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AB750BF-0B87-492C-A6D9-006AB9F54D47" style="width:450.4pt;height:338.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Хърватия за 2020 г. и съдържаща становище на Съвета относно програмата за конвергенция на Хърватия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 xml:space="preserve">На </w:t>
      </w:r>
      <w:r>
        <w:rPr>
          <w:noProof/>
          <w:color w:val="000000" w:themeColor="text1"/>
        </w:rPr>
        <w:t xml:space="preserve">17 декември 2019 г. Комисията прие годишната стратегия за устойчив растеж, с което постави началото на европейския </w:t>
      </w:r>
      <w:r>
        <w:rPr>
          <w:noProof/>
        </w:rPr>
        <w:t xml:space="preserve">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който беше посочено, че Хърватия ще бъде една от държавите членки, за които ще бъде извършен задълбочен преглед. </w:t>
      </w:r>
    </w:p>
    <w:p>
      <w:pPr>
        <w:pStyle w:val="ManualConsidrant"/>
        <w:rPr>
          <w:noProof/>
        </w:rPr>
      </w:pPr>
      <w:r>
        <w:rPr>
          <w:noProof/>
        </w:rPr>
        <w:t>(2)</w:t>
      </w:r>
      <w:r>
        <w:rPr>
          <w:noProof/>
        </w:rPr>
        <w:tab/>
        <w:t>Докладът за Хърватия за 2020 г.</w:t>
      </w:r>
      <w:r>
        <w:rPr>
          <w:rStyle w:val="FootnoteReference"/>
          <w:noProof/>
        </w:rPr>
        <w:footnoteReference w:id="3"/>
      </w:r>
      <w:r>
        <w:rPr>
          <w:noProof/>
        </w:rPr>
        <w:t xml:space="preserve"> беше публикуван на 26 февруари 2020 г. В него бяха оценени напредъкът на Хърватия в изпълнението на специфичните за държавата препоръки, приети от Съвета на</w:t>
      </w:r>
      <w:r>
        <w:rPr>
          <w:noProof/>
          <w:color w:val="FF0000"/>
        </w:rPr>
        <w:t xml:space="preserve"> </w:t>
      </w:r>
      <w:r>
        <w:rPr>
          <w:noProof/>
        </w:rPr>
        <w:t>9 юли 2019 г.</w:t>
      </w:r>
      <w:r>
        <w:rPr>
          <w:rStyle w:val="FootnoteReference"/>
          <w:noProof/>
        </w:rPr>
        <w:footnoteReference w:id="4"/>
      </w:r>
      <w:r>
        <w:rPr>
          <w:noProof/>
        </w:rPr>
        <w:t xml:space="preserve">, последващите </w:t>
      </w:r>
      <w:r>
        <w:rPr>
          <w:noProof/>
        </w:rPr>
        <w:lastRenderedPageBreak/>
        <w:t xml:space="preserve">действия във връзка с препоръките, отправени през предходните години, и напредъкът на страната по отношение на националните ѝ цели по стратегията „Европа 2020“. В доклада беше включен и задълбоченият преглед по член 5 от Регламент (ЕС) № 1176/2011, чиито резултати също бяха публикувани на 26 февруари 2020 г. Анализът на Комисията ѝ даде основание да заключи, че в Хърватия са налице макроикономически дисбаланси, свързани с високите равнища на публичния, частния и външния дълг в контекста на нисък потенциален растеж. </w:t>
      </w:r>
    </w:p>
    <w:p>
      <w:pPr>
        <w:pStyle w:val="ManualConsidrant"/>
        <w:rPr>
          <w:noProof/>
        </w:rPr>
      </w:pPr>
      <w:r>
        <w:rPr>
          <w:noProof/>
        </w:rPr>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дружествата.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6"/>
      </w:r>
      <w:r>
        <w:rPr>
          <w:noProof/>
        </w:rPr>
        <w:t>.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noProof/>
        </w:rPr>
      </w:pPr>
      <w:r>
        <w:rPr>
          <w:noProof/>
        </w:rPr>
        <w:lastRenderedPageBreak/>
        <w:t>(6)</w:t>
      </w:r>
      <w:r>
        <w:rPr>
          <w:noProof/>
        </w:rPr>
        <w:tab/>
        <w:t>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интегрирайки наред с другото зеления преход и цифровата трансформация и вадейки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здравната система, като тази готовност включва по-специално подобрени стратегии за покупка,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7"/>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Хърватия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 xml:space="preserve">Възможно е разпространението на социално-икономическите последици от пандемията да бъде значително и неравномерно в различните региони на Хърватия поради различните модели на специализация. Особено засегнати ще бъдат крайбрежните региони и островите, които разчитат значително на </w:t>
      </w:r>
      <w:r>
        <w:rPr>
          <w:noProof/>
        </w:rPr>
        <w:lastRenderedPageBreak/>
        <w:t>туризма. Поради това настоящата ситуация изисква целенасочени мерки на политиките.</w:t>
      </w:r>
    </w:p>
    <w:p>
      <w:pPr>
        <w:pStyle w:val="ManualConsidrant"/>
        <w:rPr>
          <w:noProof/>
        </w:rPr>
      </w:pPr>
      <w:r>
        <w:rPr>
          <w:noProof/>
        </w:rPr>
        <w:t>(10)</w:t>
      </w:r>
      <w:r>
        <w:rPr>
          <w:noProof/>
        </w:rPr>
        <w:tab/>
        <w:t>На 30 април 2020 г. Хърватия представи своята национална програма за реформи за 2020 г. и своята програма за конвергенция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Спрямо Хърватия понастоящем се прилагат предпазните мерки на Пакта за стабилност и растеж и тя подлежи на правилото за дълга.</w:t>
      </w:r>
    </w:p>
    <w:p>
      <w:pPr>
        <w:pStyle w:val="ManualConsidrant"/>
        <w:rPr>
          <w:noProof/>
        </w:rPr>
      </w:pPr>
      <w:r>
        <w:rPr>
          <w:noProof/>
        </w:rPr>
        <w:t>(12)</w:t>
      </w:r>
      <w:r>
        <w:rPr>
          <w:noProof/>
        </w:rPr>
        <w:tab/>
        <w:t xml:space="preserve">В своята програма за конвергенция за 2020 г. правителството планира влошаване на номиналното салдо от излишък в размер на 0,4 % от БВП през 2019 г. на дефицит от 6,8 % от БВП през 2020 г., последвано от подобряване с дефицит от 2,4 % от БВП през 2021 г. След намаление, достигнало 73,2 % от БВП през 2019 г., съгласно програмата за конвергенция за 2020 г. се очаква през 2020 г. съотношението на консолидирания държавен дълг към БВП да нарасне до 86,7 %. Макроикономическата и фискалната перспектива се характеризират с високата степен на несигурност, породена от пандемията от COVID-19. </w:t>
      </w:r>
    </w:p>
    <w:p>
      <w:pPr>
        <w:pStyle w:val="ManualConsidrant"/>
        <w:rPr>
          <w:noProof/>
        </w:rPr>
      </w:pPr>
      <w:r>
        <w:rPr>
          <w:noProof/>
        </w:rPr>
        <w:t>(13)</w:t>
      </w:r>
      <w:r>
        <w:rPr>
          <w:noProof/>
        </w:rPr>
        <w:tab/>
        <w:t>В отговор на пандемията от COVID-19 и в рамките на координирания подход на Съюза Хърватия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Съгласно програмата за конвергенция за 2020 г. тези бюджетни мерки възлизат на 2,8 % от БВП. Двете основни мерки са субсидията, която се изплаща на предприятията за задържане на служителите, и освобождаването от данъци на най-тежко засегнатите предприятия. Освен това Хърватия прие мерки, които, макар и да нямат пряко отражение върху бюджета, ще допринесат за подпомагане на ликвидността на предприятията. Според програма за конвергенция за 2020 г. те се оценяват на 1,3 % от БВП. Тези мерки включват отсрочване на данъци върху доходите на физическите лица и корпоративни подоходни данъци, както и на вноски за социално осигуряване. Като цяло предприетите от Хърватия мерки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постигането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w:t>
      </w:r>
    </w:p>
    <w:p>
      <w:pPr>
        <w:pStyle w:val="ManualConsidrant"/>
        <w:rPr>
          <w:noProof/>
        </w:rPr>
      </w:pPr>
      <w:r>
        <w:rPr>
          <w:noProof/>
        </w:rPr>
        <w:t>(14)</w:t>
      </w:r>
      <w:r>
        <w:rPr>
          <w:noProof/>
        </w:rPr>
        <w:tab/>
        <w:t>Въз основа на прогнозата на Комисията от пролетта на 2020 г. при непромененa политика се предвижда дефицитът на Хърватия по консолидирания държавен бюджет да бъде -7,1 % от БВП през 2020 г. и -2,2 % през 2021 г. Съотношението на консолидирания държавен дълг към БВП се очаква да достигне 88,6 % от БВП през 2020 г. и да намалее умерено на 83,4 % през 2021 г.</w:t>
      </w:r>
    </w:p>
    <w:p>
      <w:pPr>
        <w:pStyle w:val="ManualConsidrant"/>
        <w:rPr>
          <w:noProof/>
        </w:rPr>
      </w:pPr>
      <w:r>
        <w:rPr>
          <w:noProof/>
        </w:rPr>
        <w:t>(15)</w:t>
      </w:r>
      <w:r>
        <w:rPr>
          <w:noProof/>
        </w:rPr>
        <w:tab/>
        <w:t xml:space="preserve">На 20 май 2020 г. Комисията представи доклад, изготвен в съответствие с член 126, параграф 3 от Договора, вследствие на планираното от Хърватия  нарушение на прага на дефицита в размер на 3 % от БВП през 2020 г. Като цяло анализът сочи, че критерият за дефицита, определен в Договора и в Регламент (ЕО) № 1467/1997, не е изпълнен.  </w:t>
      </w:r>
    </w:p>
    <w:p>
      <w:pPr>
        <w:pStyle w:val="ManualConsidrant"/>
        <w:rPr>
          <w:rFonts w:cstheme="minorHAnsi"/>
          <w:bCs/>
          <w:noProof/>
          <w:szCs w:val="24"/>
        </w:rPr>
      </w:pPr>
      <w:r>
        <w:rPr>
          <w:noProof/>
        </w:rPr>
        <w:t>(16)</w:t>
      </w:r>
      <w:r>
        <w:rPr>
          <w:noProof/>
        </w:rPr>
        <w:tab/>
        <w:t xml:space="preserve">В отговор на пандемията Хърватия бързо предприе широкообхватни мерки за защита на своите граждани и ограничаване на разпространението на вируса. Пандемията (и свързаните с нея ограничителни мерки) доведе до сериозно </w:t>
      </w:r>
      <w:r>
        <w:rPr>
          <w:noProof/>
        </w:rPr>
        <w:lastRenderedPageBreak/>
        <w:t xml:space="preserve">нарушаване на  стопанската дейност с отрицателни последици за пазара на труда. Според прогнозата на Комисията се очаква реалният БВП да спадне с 9,1 % през 2020 г. и да се възстанови със 7,5% през 2021 г., а  процентът на безработицата да се увеличи до 10,2 % през 2020 г. и да се подобри на 7,4 % през 2021 г. Секторът на туризма, който представлява изключително съществен дял от хърватската икономика, ще бъде силно засегнат. Същевременно Хърватия трябваше също така да се справи с последиците от голямо земетресение в Загреб на 22 март 2020 г. За да смекчи отрицателното въздействие върху икономиката, Хърватия предприе набор от амбициозни мерки, включително мерки за подкрепа на заплатите, освобождаване от данъци и осигурителни вноски, както и тяхното отсрочване, подкрепа за МСП, допълнителни гаранции за експортно застраховане и мораториуми върху вноските по заеми, както и специфични мерки за туризма и други силно засегнати сектори. </w:t>
      </w:r>
    </w:p>
    <w:p>
      <w:pPr>
        <w:pStyle w:val="ManualConsidrant"/>
        <w:rPr>
          <w:noProof/>
        </w:rPr>
      </w:pPr>
      <w:r>
        <w:rPr>
          <w:noProof/>
        </w:rPr>
        <w:t>(17)</w:t>
      </w:r>
      <w:r>
        <w:rPr>
          <w:noProof/>
        </w:rPr>
        <w:tab/>
        <w:t>Избухването на епидемията от COVID-19 е изпитание за устойчивостта на хърватската здравна система. При все че в Хърватия достъпът до здравеопазване като цяло е добър, незадоволените поради отдалеченост медицински потребности са сред най-високите в Съюза. Евентуално по-равномерно географско разпределение на здравните работници и съоръжения ще даде възможност за по-лесен достъп до здравни услуги. В поделянето на отговорността за здравните заведения в Хърватия между централното правителство и областните органи има място за подобрение. Националното правителство трябва да покрива дълговете на болниците, притежавани от съответните области, но разполага с ограничени средства да влияе на начина, по който те се управляват. По-тясното сътрудничество между правителството и областите е от решаващо значение за гарантиране на доставките на медицински продукти от критично значение и за ефективното предприемане на стъпки за ограничаване на разпространението на COVID-19. Използването на инструменти за електронно здравеопазване дава възможност за преки контакти между здравните работници и пациентите, както и за намаляване на риска от инфекции. Използването на електронни рецепти е широко разпространено, но много малък дял от направленията за специалист и здравните досиета са цифрови.</w:t>
      </w:r>
    </w:p>
    <w:p>
      <w:pPr>
        <w:pStyle w:val="ManualConsidrant"/>
        <w:rPr>
          <w:rFonts w:cstheme="minorHAnsi"/>
          <w:noProof/>
          <w:szCs w:val="24"/>
        </w:rPr>
      </w:pPr>
      <w:r>
        <w:rPr>
          <w:noProof/>
        </w:rPr>
        <w:t>(18)</w:t>
      </w:r>
      <w:r>
        <w:rPr>
          <w:noProof/>
        </w:rPr>
        <w:tab/>
        <w:t xml:space="preserve">Поради забавянето на икономическата дейност работодателите изпитват затруднения да плащат заплати, което се очаква да доведе до по-високи  равнища на безработицата и бедността с още по-силно изразени териториални различия. Обичайно участието в активни мерки на политиката на пазара на труда е много ниско, но при сегашните обстоятелства тези програми придобиват по-голямо значение. С цел да се предостави подкрепа на работодателите и да се сведе до минимум броят на съкратените, тези мерки, но също и други срочни схеми за подпомагане, по-специално за работа при непълно работно време, следва да бъдат засилени. В краткосрочен план те запазват работни места, но в средносрочен план има място за по-добро прогнозиране на нуждите на пазара на труда по време на етапа на възстановяване. Хърватската публична служба по заетостта следва да увеличи усилията си за подкрепа на работната сила с цел развиването на подходящи умения (напр. цифрови умения), да разработи стратегии за повишаване на осведомеността, насочени към неактивното население, и да се бори с недекларирания труд. Обезщетението за безработица не осигурява предпазна мрежа за съкратените работници, тъй като както обхватът, така и адекватността му са ниски. Капацитетът на обезщетението за минимален доход по отношение на намаляване на бедността също се оценява като слаб в контекста на високи равнища на бедност и социално изключване, </w:t>
      </w:r>
      <w:r>
        <w:rPr>
          <w:noProof/>
        </w:rPr>
        <w:lastRenderedPageBreak/>
        <w:t>териториални различия и рискови фактори, свързани с възрастта, пола и уврежданията.</w:t>
      </w:r>
    </w:p>
    <w:p>
      <w:pPr>
        <w:pStyle w:val="ManualConsidrant"/>
        <w:rPr>
          <w:rFonts w:cstheme="minorHAnsi"/>
          <w:noProof/>
          <w:szCs w:val="24"/>
        </w:rPr>
      </w:pPr>
      <w:r>
        <w:rPr>
          <w:noProof/>
        </w:rPr>
        <w:t>(19)</w:t>
      </w:r>
      <w:r>
        <w:rPr>
          <w:noProof/>
        </w:rPr>
        <w:tab/>
        <w:t xml:space="preserve">Свързаността с интернет поражда безпокойство по отношение на надеждността. Домакинствата в Хърватия не разполагат с широк достъп до високоскоростен интернет у дома. Около 70 % от домакинствата са с фиксиран широколентов достъп и едва 6 % имат фиксиран широколентов достъп със скорост поне 100 Mbps. Специално в селските райони това може да предотврати дистанционната работа и дистанционното обучение, особено сред уязвимите групи, като например ученици от семейства в неравностойно положение или хора с увреждания. Тези групи рискуват да бъдат изключени от внезапния преход към по-цифровизирано общество. Следва да се насърчават алтернативни форми на организация на труда, използващи цифрови технологии, в тясно сътрудничество със социалните партньори, тъй като делът на работещите, които работят дистанционно (между 6 и 7 %), възлиза на половината от средното за ЕС. </w:t>
      </w:r>
    </w:p>
    <w:p>
      <w:pPr>
        <w:pStyle w:val="ManualConsidrant"/>
        <w:rPr>
          <w:noProof/>
        </w:rPr>
      </w:pPr>
      <w:r>
        <w:rPr>
          <w:noProof/>
        </w:rPr>
        <w:t>(20)</w:t>
      </w:r>
      <w:r>
        <w:rPr>
          <w:noProof/>
        </w:rPr>
        <w:tab/>
        <w:t>Недостигът на работна ръка е непрекъснато актуален в някои сектори на икономиката, главно поради пропуските в уменията. Насърчаването на придобиването на подходящи умения, включително цифрови умения, по време на първоначалното образование и обучение, както и по-късно чрез преквалификация и повишаване на квалификацията, би могло да доведе до нарастване на производителността и запълване на пропуските в уменията. Качеството и приобщаващият характер на системата за образование и обучение трябва да бъдат подобрени на всички равнища, а реформата на учебната програма трябва да продължи. Въвеждането на цифрово образование вече доказа своята стойност в настоящата криза; необходими са по-нататъшно развитие на инфраструктурата и материалите за цифрово образование и обучение, както и на цифровите умения на учителите, учениците и възрастните.</w:t>
      </w:r>
    </w:p>
    <w:p>
      <w:pPr>
        <w:pStyle w:val="ManualConsidrant"/>
        <w:rPr>
          <w:noProof/>
        </w:rPr>
      </w:pPr>
      <w:r>
        <w:rPr>
          <w:noProof/>
        </w:rPr>
        <w:t>(21)</w:t>
      </w:r>
      <w:r>
        <w:rPr>
          <w:noProof/>
        </w:rPr>
        <w:tab/>
        <w:t xml:space="preserve">Хърватия следва да подкрепя непрекъснатия поток от кредити и друго финансиране, включително небанково финансиране, към икономически жизнеспособните кредитополучатели, които са неблагоприятно засегнати от кризата. Хърватия е приела няколко схеми за стимулиране и подпомагане на малките и средните предприятия (МСП). Следва да продължат усилията за осигуряване на бърза и непрекъсната подкрепа за ликвидността на предприятията чрез заеми и гаранции, по-специално държавни гаранции, с акцент върху МСП, с цел преодоляване на кризата и изравняване  на пътя към възстановяването. Предприятията в Хърватия разчитат в голяма степен на банкови заеми и парични потоци, за да посрещнат нуждите си от финансиране. Банковата система следва да бъде подкрепена с гаранции, за да се отвори за ново финансиране на МСП и да подобри достъпа до финансиране, тъй като банките не разполагат с капацитет да финансират икономиката в условията на икономически спад. При разработването и прилагането на тези мерки трябва да се вземе предвид устойчивостта на банковия сектор. Освобождаването от данъци и социалноосигурителни вноски, както и  разрешаването на разсроченото им плащане също подпомогна подобряване на ликвидността на предприятията. </w:t>
      </w:r>
    </w:p>
    <w:p>
      <w:pPr>
        <w:pStyle w:val="ManualConsidrant"/>
        <w:rPr>
          <w:noProof/>
        </w:rPr>
      </w:pPr>
      <w:r>
        <w:rPr>
          <w:noProof/>
        </w:rPr>
        <w:t>(22)</w:t>
      </w:r>
      <w:r>
        <w:rPr>
          <w:noProof/>
        </w:rPr>
        <w:tab/>
        <w:t xml:space="preserve">Бяха подновени усилията за намаляване на административната тежест и регулаторните ограничения. Дейността на предприятията обаче като цяло продължава да бъде спъвана от все още високата регулаторна и административна тежест, например по отношение на разрешителните, изискванията за докладване и данъчните процедури. Идентифицирането на административните и финансовите тежести напредва чрез консултации със </w:t>
      </w:r>
      <w:r>
        <w:rPr>
          <w:noProof/>
        </w:rPr>
        <w:lastRenderedPageBreak/>
        <w:t xml:space="preserve">заинтересованите страни и чрез специален уебсайт, като се въвеждат мерки за намаляване на най-обременяващите задължения. Гарантирането на безпрепятствен достъп до различните професии, както и на упражняването им, чрез рационализиране на техните регулаторни рамки и свързаните с тях административни процедури също е от решаващо значение, особено за МСП и микропредприятията, включително едноличните търговци. Беше извършен преглед на парафискалните такси и през май 2020 г. правителството прие първи план за действие. </w:t>
      </w:r>
    </w:p>
    <w:p>
      <w:pPr>
        <w:pStyle w:val="ManualConsidrant"/>
        <w:rPr>
          <w:noProof/>
        </w:rPr>
      </w:pPr>
      <w:r>
        <w:rPr>
          <w:noProof/>
        </w:rPr>
        <w:t>(23)</w:t>
      </w:r>
      <w:r>
        <w:rPr>
          <w:noProof/>
        </w:rPr>
        <w:tab/>
        <w:t xml:space="preserve">За да се насърчи икономическото възстановяване, ще бъде важно да се даде приоритет на готови за изпълнение публични инвестиционни проекти и да се стимулират частните инвестиции, включително чрез съответни реформи. Хърватия следва да насърчава инвестициите в стимулиращите растежа сектори, като допринася за зеления и цифровия преход. Модерната и стабилна цифрова инфраструктура е от ключово значение за цифровата трансформация на публичната администрация и предприятията. В контекста на цифровия преход инвестициите в мрежи с много висок капацитет, включително от пето поколение, са задължителна предпоставка. Инвестициите следва да подкрепят целите на Хърватия за декарбонизация и енергиен преход, посочени в националния план на Хърватия в областта на енергетиката и климата. При Хърватия съществуват особени възможности и потенциал да инвестира в устойчив градски и железопътен транспорт, енергийна ефективност, възобновяеми източници на енергия и инфраструктура за опазване на околната среда. Освен това Хърватия изостава значително от средното за ЕС по отношение на управлението на водите и отпадъците, като са необходими инвестиции, за да се поддържа икономическото развитие на страната. Програмирането на Фонда за справедлив преход за периода 2021—2027 г. би могло да помогне на Хърватия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 Това ще позволи на Хърватия да използва този фонд по най-добрия начин.  </w:t>
      </w:r>
    </w:p>
    <w:p>
      <w:pPr>
        <w:pStyle w:val="ManualConsidrant"/>
        <w:rPr>
          <w:noProof/>
        </w:rPr>
      </w:pPr>
      <w:r>
        <w:rPr>
          <w:noProof/>
        </w:rPr>
        <w:t>(24)</w:t>
      </w:r>
      <w:r>
        <w:rPr>
          <w:noProof/>
        </w:rPr>
        <w:tab/>
        <w:t>Ефективността на публичната администрация в Хърватия е под средната за ЕС. Ниският капацитет за разработване и прилагане на политики и проекти възпрепятства ефективността и бързината, както стана ясно по време на кризата с изпълнението на структурните и инвестиционните фондове на ЕС, които представляват за Хърватия  голяма възможност за смекчаване на последиците от кризата и за подкрепа на възстановяването на икономиката. Прилагането на новата система за стратегическо планиране, заедно с обявената национална стратегия за развитие, не напредва. Освен това има голяма териториална разпокъсаност на публичната администрация и несъответствие между отговорностите и ресурсите на местно равнище. Това допринася за нееднаквото качество на предоставяните в страната публични услуги и повишава административните разходи.</w:t>
      </w:r>
    </w:p>
    <w:p>
      <w:pPr>
        <w:pStyle w:val="ManualConsidrant"/>
        <w:rPr>
          <w:noProof/>
        </w:rPr>
      </w:pPr>
      <w:r>
        <w:rPr>
          <w:noProof/>
        </w:rPr>
        <w:t>(25)</w:t>
      </w:r>
      <w:r>
        <w:rPr>
          <w:noProof/>
        </w:rPr>
        <w:tab/>
        <w:t xml:space="preserve">Значителното натрупване на нерешени дела и продължителните процедури в гражданските и търговските съдилища продължават да оказват влияние върху стопанската среда и ефективното приключване на производствата по несъстоятелност, като същевременно предизвикателствата пред качеството и ефективността на наказателното правосъдие възпрепятстват борбата с икономическите и финансовите престъпления. Постигнат бе напредък в </w:t>
      </w:r>
      <w:r>
        <w:rPr>
          <w:noProof/>
        </w:rPr>
        <w:lastRenderedPageBreak/>
        <w:t>решаването на най-старите висящи съдебни дела и използването на електронни комуникации в съдилищата, но все още има място за подобрение.</w:t>
      </w:r>
    </w:p>
    <w:p>
      <w:pPr>
        <w:pStyle w:val="ManualConsidrant"/>
        <w:rPr>
          <w:noProof/>
          <w:szCs w:val="24"/>
        </w:rPr>
      </w:pPr>
      <w:r>
        <w:rPr>
          <w:noProof/>
        </w:rPr>
        <w:t>(26)</w:t>
      </w:r>
      <w:r>
        <w:rPr>
          <w:noProof/>
        </w:rPr>
        <w:tab/>
        <w:t>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на европейския семестър през следващата година. Това се отнася и до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szCs w:val="24"/>
        </w:rPr>
      </w:pPr>
      <w:r>
        <w:rPr>
          <w:noProof/>
        </w:rPr>
        <w:t>(27)</w:t>
      </w:r>
      <w:r>
        <w:rPr>
          <w:noProof/>
        </w:rPr>
        <w:tab/>
        <w:t>Финансовият сектор на Хърватия е добре капитализиран и печеливш, като качеството на активите в банковия сектор се подобрява през последните няколко години. Вероятно е обаче финансовите институции да  изпитат известно напрежение, като се имат предвид техните експозиции към сектори, които са най-уязвими на избухването на пандемията от COVID-19. Бяха въведени мерки за намаляване на отрицателното въздействие върху предприятията на мерките за ограничаване на пандемията. От решаващо значение е тези мерки да са временни, да строго свързани с пандемията и да са подходящи за подпомагане на предприятията, изправени пред финансови затруднения, да възвърнат своята икономическа жизнеспособност. Такъв подход ще подкрепи предприятията, без да подкопае напредъка, постигнат от Хърватия в подобряването на стабилността на финансовия си сектор.</w:t>
      </w:r>
    </w:p>
    <w:p>
      <w:pPr>
        <w:pStyle w:val="ManualConsidrant"/>
        <w:rPr>
          <w:noProof/>
          <w:szCs w:val="24"/>
        </w:rPr>
      </w:pPr>
      <w:r>
        <w:rPr>
          <w:noProof/>
        </w:rPr>
        <w:t>(28)</w:t>
      </w:r>
      <w:r>
        <w:rPr>
          <w:noProof/>
        </w:rPr>
        <w:tab/>
        <w:t>Трайните усилия за укрепване на уредбата за предотвратяване и санкциониране на корупцията са от ключово значение за гарантиране на възстановяването след кризата, свързана с COVID-19, и за постигане на ефективно, отговорно и прозрачно отпускане и разпределение на средствата и ресурсите. Въпреки частичното изпълнение на няколко плана за действие, проблемите с корупцията и конфликтите на интереси продължават да бъдат широко разпространени за предприятията. Необходими са допълнителни усилия за укрепване на уредбата за предотвратяване и санкциониране на корупцията, за да се гарантира прозрачното и ефикасно използване на публичните средства. Необходими са по-ефективни инструменти за предотвратяване и санкциониране на корупцията, особено на местно равнище. Все още е необходимо да се укрепят механизмите за надзор на местните служители и назначените в местни публични дружества, както и да се гарантира, че комисията за конфликти на интереси може да изпълнява своята основна превантивна функция. Очаква се през 2020 г. да се задействат инициативи за увеличаване на прозрачността, като например публикуването на активите на съдии и прокурори.</w:t>
      </w:r>
    </w:p>
    <w:p>
      <w:pPr>
        <w:pStyle w:val="ManualConsidrant"/>
        <w:rPr>
          <w:i/>
          <w:noProof/>
        </w:rPr>
      </w:pPr>
      <w:r>
        <w:rPr>
          <w:noProof/>
        </w:rPr>
        <w:t>(29)</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Хърватия ще допринесе за </w:t>
      </w:r>
      <w:r>
        <w:rPr>
          <w:noProof/>
        </w:rPr>
        <w:lastRenderedPageBreak/>
        <w:t xml:space="preserve">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(30)</w:t>
      </w:r>
      <w:r>
        <w:rPr>
          <w:noProof/>
        </w:rPr>
        <w:tab/>
        <w:t xml:space="preserve">В рамките на европейския семестър за 2020 г. Комисията направи цялостен анализ на икономическата политика на Хърватия и го публикува в доклада за страната за 2020 г. Тя извърши и оценка на програмата за конвергенция за 2020 г. и националната програма за реформи за 2020 г. и на последващите действия във връзка с препоръките, отправени към Хърватия през предходните години. Комисията взе предвид не само тяхното значение за провеждането на устойчива бюджетна и социално-икономическа политика в Хърватия,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rPr>
          <w:noProof/>
        </w:rPr>
        <w:t>(31)</w:t>
      </w:r>
      <w:r>
        <w:rPr>
          <w:noProof/>
        </w:rPr>
        <w:tab/>
        <w:t>С оглед на тази оценка Съветът разгледа програмата за конвергенция за 2020 г., като становището му</w:t>
      </w:r>
      <w:r>
        <w:rPr>
          <w:rStyle w:val="FootnoteReference"/>
          <w:noProof/>
        </w:rPr>
        <w:footnoteReference w:id="8"/>
      </w:r>
      <w:r>
        <w:rPr>
          <w:noProof/>
        </w:rPr>
        <w:t xml:space="preserve"> е изразено по-специално в препоръка 1 по-долу, </w:t>
      </w:r>
    </w:p>
    <w:p>
      <w:pPr>
        <w:pStyle w:val="ManualConsidrant"/>
        <w:rPr>
          <w:noProof/>
        </w:rPr>
      </w:pPr>
      <w:r>
        <w:rPr>
          <w:noProof/>
        </w:rPr>
        <w:t>(32)</w:t>
      </w:r>
      <w:r>
        <w:rPr>
          <w:noProof/>
        </w:rPr>
        <w:tab/>
        <w:t>С оглед на задълбочения преглед, направен от Комисията, и на тази оценка Съветът разгледа националната програма за реформи за 2020 г. и програмата за конвергенция за 2020 г. Настоящите препоръки отчитат необходимостта от справяне с пандемията и улесняват възстановяването на икономиката като първа необходима стъпка за коригиране на дисбалансите. Препоръките, пряко насочени към макроикономическите дисбаланси, установени от Комисията съгласно член 6 от Регламент (ЕС) № 1176/2011, са отразени в препоръки 1, 2, 3 и 4,</w:t>
      </w:r>
    </w:p>
    <w:p>
      <w:pPr>
        <w:pStyle w:val="Formuledadoption"/>
        <w:rPr>
          <w:noProof/>
        </w:rPr>
      </w:pPr>
      <w:r>
        <w:rPr>
          <w:noProof/>
        </w:rPr>
        <w:t>ПРЕПОРЪЧВА на Хърватия да предприеме следните действия през 2020 г. и 2021 г.:</w:t>
      </w:r>
    </w:p>
    <w:p>
      <w:pPr>
        <w:pStyle w:val="ManualNumPar1"/>
        <w:rPr>
          <w:rFonts w:cstheme="minorHAnsi"/>
          <w:noProof/>
          <w:szCs w:val="24"/>
        </w:rPr>
      </w:pPr>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поддържане на икономиката и оказване на подкрепа за последващото възстановяване. Когато икономическите условия позволяват това, да провежда фискални политики, насочени към постигане на благоразумни средносрочни фискални позиции и гарантиране на устойчивостта на дълга, като същевременно засили инвестициите. Да повиши устойчивостта на здравната система. Да насърчи балансираното географско разпределение на здравните работници и съоръжения, по-тясното сътрудничество между всички равнища на администрацията и инвестициите в електронното здравеопазване. </w:t>
      </w:r>
    </w:p>
    <w:p>
      <w:pPr>
        <w:pStyle w:val="ManualNumPar1"/>
        <w:rPr>
          <w:rFonts w:cstheme="minorHAnsi"/>
          <w:noProof/>
          <w:szCs w:val="24"/>
        </w:rPr>
      </w:pPr>
      <w:r>
        <w:rPr>
          <w:noProof/>
        </w:rPr>
        <w:t>2.</w:t>
      </w:r>
      <w:r>
        <w:rPr>
          <w:noProof/>
        </w:rPr>
        <w:tab/>
        <w:t xml:space="preserve">Да засили мерките и институциите, свързани с пазара на труда, и да подобри адекватността на обезщетенията при безработица и схемите за минимален доход. Да увеличи достъпа до цифрова инфраструктура и услуги. Да насърчи придобиването на умения. </w:t>
      </w:r>
    </w:p>
    <w:p>
      <w:pPr>
        <w:pStyle w:val="ManualNumPar1"/>
        <w:rPr>
          <w:rFonts w:cstheme="minorHAnsi"/>
          <w:noProof/>
          <w:szCs w:val="24"/>
        </w:rPr>
      </w:pPr>
      <w:r>
        <w:rPr>
          <w:noProof/>
        </w:rPr>
        <w:t>3.</w:t>
      </w:r>
      <w:r>
        <w:rPr>
          <w:noProof/>
        </w:rPr>
        <w:tab/>
        <w:t xml:space="preserve">Да запази мерките за осигуряване на ликвидност на малките и средните предприятия и на самостоятелно заетите лица. Да намали допълнително парафискалните такси и регулаторните ограничения на пазарите на стоки и услуги. Да даде приоритет на готови за изпълнение публични инвестиционни проекти и да насърчава частните инвестиции за стимулиране на икономическото възстановяване. Да съсредоточи инвестициите върху екологичния и цифровия преход, по-специално върху инфраструктурата за опазване на околната среда, устойчивия градски и железопътен транспорт, </w:t>
      </w:r>
      <w:r>
        <w:rPr>
          <w:noProof/>
        </w:rPr>
        <w:lastRenderedPageBreak/>
        <w:t xml:space="preserve">чистото и ефективно производство и използване на енергия и високоскоростната широколентова свързаност. </w:t>
      </w:r>
    </w:p>
    <w:p>
      <w:pPr>
        <w:pStyle w:val="ManualNumPar1"/>
        <w:rPr>
          <w:noProof/>
        </w:rPr>
      </w:pPr>
      <w:r>
        <w:rPr>
          <w:noProof/>
        </w:rPr>
        <w:t>4.</w:t>
      </w:r>
      <w:r>
        <w:rPr>
          <w:noProof/>
        </w:rPr>
        <w:tab/>
        <w:t>Да укрепи капацитета и ефективността на публичната администрация по отношение на разработването и изпълнението на публични проекти и политики на централно и местно равнище. Да подобри ефективността на съдебната система.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OB L 306, 23.11.2011 г., стр. 25.</w:t>
      </w:r>
    </w:p>
  </w:footnote>
  <w:footnote w:id="3">
    <w:p>
      <w:pPr>
        <w:pStyle w:val="FootnoteText"/>
      </w:pPr>
      <w:r>
        <w:rPr>
          <w:rStyle w:val="FootnoteReference"/>
        </w:rPr>
        <w:footnoteRef/>
      </w:r>
      <w:r>
        <w:tab/>
        <w:t>SWD(2020) 510 final.</w:t>
      </w:r>
    </w:p>
  </w:footnote>
  <w:footnote w:id="4">
    <w:p>
      <w:pPr>
        <w:pStyle w:val="FootnoteText"/>
      </w:pPr>
      <w:r>
        <w:rPr>
          <w:rStyle w:val="FootnoteReference"/>
        </w:rPr>
        <w:footnoteRef/>
      </w:r>
      <w:r>
        <w:tab/>
        <w:t>OВ C 301, 5.9.2019 г., стр. 117.</w:t>
      </w:r>
    </w:p>
  </w:footnote>
  <w:footnote w:id="5">
    <w:p>
      <w:pPr>
        <w:pStyle w:val="FootnoteText"/>
      </w:pPr>
      <w:r>
        <w:rPr>
          <w:rStyle w:val="FootnoteReference"/>
        </w:rPr>
        <w:footnoteRef/>
      </w:r>
      <w:r>
        <w:tab/>
        <w:t>СОМ(2020) 112 final.</w:t>
      </w:r>
    </w:p>
  </w:footnote>
  <w:footnote w:id="6">
    <w:p>
      <w:pPr>
        <w:pStyle w:val="FootnoteText"/>
      </w:pPr>
      <w:r>
        <w:rPr>
          <w:rStyle w:val="FootnoteReference"/>
        </w:rPr>
        <w:footnoteRef/>
      </w:r>
      <w:r>
        <w:tab/>
        <w:t>СОМ(2020) 123 final.</w:t>
      </w:r>
    </w:p>
  </w:footnote>
  <w:footnote w:id="7">
    <w:p>
      <w:pPr>
        <w:rPr>
          <w:spacing w:val="-2"/>
        </w:rPr>
      </w:pPr>
      <w:r>
        <w:rPr>
          <w:rStyle w:val="FootnoteReference"/>
        </w:rPr>
        <w:footnoteRef/>
      </w:r>
      <w:r>
        <w:rPr>
          <w:spacing w:val="-2"/>
          <w:sz w:val="20"/>
          <w:vertAlign w:val="superscript"/>
        </w:rPr>
        <w:tab/>
      </w:r>
      <w:r>
        <w:rPr>
          <w:spacing w:val="-2"/>
        </w:rPr>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8">
    <w:p>
      <w:pPr>
        <w:pStyle w:val="FootnoteText"/>
      </w:pPr>
      <w:r>
        <w:rPr>
          <w:rStyle w:val="FootnoteReference"/>
        </w:rPr>
        <w:footnoteRef/>
      </w:r>
      <w:r>
        <w:tab/>
        <w:t>Съгласно член 9, параграф 2 от Регламент (ЕО) №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1:53: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AB750BF-0B87-492C-A6D9-006AB9F54D47"/>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86?\u1090?\u1085?\u1086?\u1089?\u1085?\u1086? \u1085?\u1072?\u1094?\u1080?\u1086?\u1085?\u1072?\u1083?\u1085?\u1072?\u1090?\u1072? \u1087?\u1088?\u1086?\u1075?\u1088?\u1072?\u1084?\u1072? \u1079?\u1072? \u1088?\u1077?\u1092?\u1086?\u1088?\u1084?\u1080? \u1085?\u1072? \u1061?\u1098?\u1088?\u1074?\u1072?\u1090?\u1080?\u1103?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61?\u1098?\u1088?\u1074?\u1072?\u1090?\u1080?\u1103? \u1079?\u1072? 2020 \u1075?.&lt;/FMT&gt;"/>
    <w:docVar w:name="LW_TITRE.OBJ.CP" w:val="&lt;FMT:Bold&gt;\u1086?\u1090?\u1085?\u1086?\u1089?\u1085?\u1086? \u1085?\u1072?\u1094?\u1080?\u1086?\u1085?\u1072?\u1083?\u1085?\u1072?\u1090?\u1072? \u1087?\u1088?\u1086?\u1075?\u1088?\u1072?\u1084?\u1072? \u1079?\u1072? \u1088?\u1077?\u1092?\u1086?\u1088?\u1084?\u1080? \u1085?\u1072? \u1061?\u1098?\u1088?\u1074?\u1072?\u1090?\u1080?\u1103?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61?\u1098?\u1088?\u1074?\u1072?\u1090?\u1080?\u1103? \u1079?\u1072? 2020 \u1075?.&lt;/FMT&gt;"/>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12232">
      <w:bodyDiv w:val="1"/>
      <w:marLeft w:val="0"/>
      <w:marRight w:val="0"/>
      <w:marTop w:val="0"/>
      <w:marBottom w:val="0"/>
      <w:divBdr>
        <w:top w:val="none" w:sz="0" w:space="0" w:color="auto"/>
        <w:left w:val="none" w:sz="0" w:space="0" w:color="auto"/>
        <w:bottom w:val="none" w:sz="0" w:space="0" w:color="auto"/>
        <w:right w:val="none" w:sz="0" w:space="0" w:color="auto"/>
      </w:divBdr>
    </w:div>
    <w:div w:id="647786281">
      <w:bodyDiv w:val="1"/>
      <w:marLeft w:val="0"/>
      <w:marRight w:val="0"/>
      <w:marTop w:val="0"/>
      <w:marBottom w:val="0"/>
      <w:divBdr>
        <w:top w:val="none" w:sz="0" w:space="0" w:color="auto"/>
        <w:left w:val="none" w:sz="0" w:space="0" w:color="auto"/>
        <w:bottom w:val="none" w:sz="0" w:space="0" w:color="auto"/>
        <w:right w:val="none" w:sz="0" w:space="0" w:color="auto"/>
      </w:divBdr>
    </w:div>
    <w:div w:id="810946277">
      <w:bodyDiv w:val="1"/>
      <w:marLeft w:val="0"/>
      <w:marRight w:val="0"/>
      <w:marTop w:val="0"/>
      <w:marBottom w:val="0"/>
      <w:divBdr>
        <w:top w:val="none" w:sz="0" w:space="0" w:color="auto"/>
        <w:left w:val="none" w:sz="0" w:space="0" w:color="auto"/>
        <w:bottom w:val="none" w:sz="0" w:space="0" w:color="auto"/>
        <w:right w:val="none" w:sz="0" w:space="0" w:color="auto"/>
      </w:divBdr>
    </w:div>
    <w:div w:id="1320888882">
      <w:bodyDiv w:val="1"/>
      <w:marLeft w:val="0"/>
      <w:marRight w:val="0"/>
      <w:marTop w:val="0"/>
      <w:marBottom w:val="0"/>
      <w:divBdr>
        <w:top w:val="none" w:sz="0" w:space="0" w:color="auto"/>
        <w:left w:val="none" w:sz="0" w:space="0" w:color="auto"/>
        <w:bottom w:val="none" w:sz="0" w:space="0" w:color="auto"/>
        <w:right w:val="none" w:sz="0" w:space="0" w:color="auto"/>
      </w:divBdr>
    </w:div>
    <w:div w:id="1611550841">
      <w:bodyDiv w:val="1"/>
      <w:marLeft w:val="0"/>
      <w:marRight w:val="0"/>
      <w:marTop w:val="0"/>
      <w:marBottom w:val="0"/>
      <w:divBdr>
        <w:top w:val="none" w:sz="0" w:space="0" w:color="auto"/>
        <w:left w:val="none" w:sz="0" w:space="0" w:color="auto"/>
        <w:bottom w:val="none" w:sz="0" w:space="0" w:color="auto"/>
        <w:right w:val="none" w:sz="0" w:space="0" w:color="auto"/>
      </w:divBdr>
    </w:div>
    <w:div w:id="1639605297">
      <w:bodyDiv w:val="1"/>
      <w:marLeft w:val="0"/>
      <w:marRight w:val="0"/>
      <w:marTop w:val="0"/>
      <w:marBottom w:val="0"/>
      <w:divBdr>
        <w:top w:val="none" w:sz="0" w:space="0" w:color="auto"/>
        <w:left w:val="none" w:sz="0" w:space="0" w:color="auto"/>
        <w:bottom w:val="none" w:sz="0" w:space="0" w:color="auto"/>
        <w:right w:val="none" w:sz="0" w:space="0" w:color="auto"/>
      </w:divBdr>
    </w:div>
    <w:div w:id="1736656575">
      <w:bodyDiv w:val="1"/>
      <w:marLeft w:val="0"/>
      <w:marRight w:val="0"/>
      <w:marTop w:val="0"/>
      <w:marBottom w:val="0"/>
      <w:divBdr>
        <w:top w:val="none" w:sz="0" w:space="0" w:color="auto"/>
        <w:left w:val="none" w:sz="0" w:space="0" w:color="auto"/>
        <w:bottom w:val="none" w:sz="0" w:space="0" w:color="auto"/>
        <w:right w:val="none" w:sz="0" w:space="0" w:color="auto"/>
      </w:divBdr>
    </w:div>
    <w:div w:id="1965960175">
      <w:bodyDiv w:val="1"/>
      <w:marLeft w:val="0"/>
      <w:marRight w:val="0"/>
      <w:marTop w:val="0"/>
      <w:marBottom w:val="0"/>
      <w:divBdr>
        <w:top w:val="none" w:sz="0" w:space="0" w:color="auto"/>
        <w:left w:val="none" w:sz="0" w:space="0" w:color="auto"/>
        <w:bottom w:val="none" w:sz="0" w:space="0" w:color="auto"/>
        <w:right w:val="none" w:sz="0" w:space="0" w:color="auto"/>
      </w:divBdr>
    </w:div>
    <w:div w:id="2056614222">
      <w:bodyDiv w:val="1"/>
      <w:marLeft w:val="0"/>
      <w:marRight w:val="0"/>
      <w:marTop w:val="0"/>
      <w:marBottom w:val="0"/>
      <w:divBdr>
        <w:top w:val="none" w:sz="0" w:space="0" w:color="auto"/>
        <w:left w:val="none" w:sz="0" w:space="0" w:color="auto"/>
        <w:bottom w:val="none" w:sz="0" w:space="0" w:color="auto"/>
        <w:right w:val="none" w:sz="0" w:space="0" w:color="auto"/>
      </w:divBdr>
    </w:div>
    <w:div w:id="21023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2801-F4E8-483B-8CE8-BEE8758E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4098</Words>
  <Characters>24387</Characters>
  <Application>Microsoft Office Word</Application>
  <DocSecurity>0</DocSecurity>
  <Lines>420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2020-06-02T10:00:00Z</dcterms:created>
  <dcterms:modified xsi:type="dcterms:W3CDTF">2020-06-04T09:53:00Z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