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26" w:rsidRDefault="003F0935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1848A86-1035-45ED-9D02-A8DE15E3E25D" style="width:450.55pt;height:434.85pt">
            <v:imagedata r:id="rId8" o:title=""/>
          </v:shape>
        </w:pict>
      </w:r>
    </w:p>
    <w:bookmarkEnd w:id="0"/>
    <w:p w:rsidR="00AB7626" w:rsidRDefault="00AB7626">
      <w:pPr>
        <w:rPr>
          <w:noProof/>
        </w:rPr>
        <w:sectPr w:rsidR="00AB76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B7626" w:rsidRDefault="003F0935" w:rsidP="003F0935">
      <w:pPr>
        <w:pStyle w:val="Annexetitre"/>
        <w:spacing w:before="0"/>
        <w:rPr>
          <w:noProof/>
        </w:rPr>
      </w:pPr>
      <w:r>
        <w:rPr>
          <w:noProof/>
        </w:rPr>
        <w:lastRenderedPageBreak/>
        <w:t xml:space="preserve">ПРИЛОЖЕНИЕ </w:t>
      </w:r>
    </w:p>
    <w:p w:rsidR="00AB7626" w:rsidRDefault="003F0935" w:rsidP="000C1A2E">
      <w:pPr>
        <w:spacing w:after="120" w:line="192" w:lineRule="auto"/>
        <w:jc w:val="center"/>
        <w:rPr>
          <w:rFonts w:eastAsia="Times New Roman"/>
          <w:i/>
          <w:noProof/>
        </w:rPr>
      </w:pPr>
      <w:r>
        <w:rPr>
          <w:i/>
          <w:noProof/>
        </w:rPr>
        <w:t>Мерките, представени в настоящия план за действие, трябва да бъдат изпълнени или ще бъдат изпълнени в съответствие с принципите за по-добро законотворчес</w:t>
      </w:r>
      <w:bookmarkStart w:id="1" w:name="_GoBack"/>
      <w:bookmarkEnd w:id="1"/>
      <w:r>
        <w:rPr>
          <w:i/>
          <w:noProof/>
        </w:rPr>
        <w:t>тво, като при необходимост ще включват анализи и оценки на въздействието.</w:t>
      </w: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7067"/>
        <w:gridCol w:w="2572"/>
      </w:tblGrid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Ключови действия, които Комисията трябва да предприеме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Примерен график</w:t>
            </w:r>
          </w:p>
        </w:tc>
      </w:tr>
      <w:tr w:rsidR="00AB7626">
        <w:tc>
          <w:tcPr>
            <w:tcW w:w="9639" w:type="dxa"/>
            <w:gridSpan w:val="2"/>
            <w:shd w:val="clear" w:color="auto" w:fill="D9D9D9" w:themeFill="background1" w:themeFillShade="D9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ХАРМОНИЗИРАНА МРЕЖА ОТ ЗАЩИТЕНИ ЗОНИ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Критерии и насоки за идентифициране и определяне на допълнителни защитени зони и екологични коридори, за подходящо планиране на управлението и за начина, по който други ефективни мерки за опазване на конкретни зони и екологизиране на градските райони могат да допринесат за постигане на количествените цели на ЕС за 2030 г., свързани с опазването на природата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 г.</w:t>
            </w:r>
          </w:p>
        </w:tc>
      </w:tr>
      <w:tr w:rsidR="00AB7626">
        <w:tc>
          <w:tcPr>
            <w:tcW w:w="7067" w:type="dxa"/>
            <w:shd w:val="clear" w:color="auto" w:fill="auto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Оценка на напредъка на ЕС при постигането на количествените цели за 2030 г. в областта на защитените зони и на необходимостта от допълнителни действия (законодателни или други) 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Най-късно до 2024 г.</w:t>
            </w:r>
          </w:p>
        </w:tc>
      </w:tr>
      <w:tr w:rsidR="00AB7626">
        <w:tc>
          <w:tcPr>
            <w:tcW w:w="9639" w:type="dxa"/>
            <w:gridSpan w:val="2"/>
            <w:shd w:val="clear" w:color="auto" w:fill="D9D9D9" w:themeFill="background1" w:themeFillShade="D9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ПЛАН НА ЕС ЗА ВЪЗСТАНОВЯВАНЕ НА ПРИРОДАТА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количествени цели на ЕС за възстановяване на природата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Насоки относно подбора на биологичните видове и местообитанията, за да се гарантира, че поне 30 % от защитените видове и местообитания, които понастоящем не са с благоприятно състояние, ще бъдат класифицирани в тази категория или при тях ще е налице категорична положителна тенденция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Преразглеждане на Директивата относно устойчивата употреба на пестициди и по-стриктно прилагане на разпоредбите за интегрирано управление на вредителите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Преглед и евентуално преразглеждане на Инициативата на ЕС относно опрашителите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Мерки, с които се гарантира, че в изготвените от държавите членки стратегически планове в областта на ОСП се определят ясни национални стойности за съответните количествени цели на стратегията за биологично разнообразие и стратегията „От фермата до трапезата“, подпомагани, </w:t>
            </w:r>
            <w:r>
              <w:rPr>
                <w:rFonts w:ascii="Times New Roman" w:hAnsi="Times New Roman"/>
                <w:i/>
                <w:iCs/>
                <w:noProof/>
              </w:rPr>
              <w:t>inter alia</w:t>
            </w:r>
            <w:r>
              <w:rPr>
                <w:rFonts w:ascii="Times New Roman" w:hAnsi="Times New Roman"/>
                <w:noProof/>
              </w:rPr>
              <w:t xml:space="preserve">, от инструментите на ОСП и прилагането на Директивата за местообитанията 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От 2020 г. нататък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План за действие в областта на биологичното земеделие за периода 2021—2026 г. 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Преразглеждане на Тематичната стратегия относно защитата на почвата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Нова стратегия на ЕС за горите, включваща пътна карта за засаждане до 2030 г. на най-малко 3 милиарда нови дървета в ЕС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Допълнително развитие на Европейската информационна система за горите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От 2020 г. нататък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Cs w:val="24"/>
              </w:rPr>
              <w:lastRenderedPageBreak/>
              <w:t>Насоки относно практиките за залесяване и повторно залесяване, стимулиращи биологичното разнообразие, и природосъобразните лесовъдни практики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Оценка на предлагането и търсенето на биомаса в европейски и световен мащаб и свързаната с това устойчивост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Текуща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Проучване на устойчивостта на използването на горска биомаса за производство на енергия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Оперативни насоки относно новите критерии за устойчивост по отношение на горската биомаса за енергийни цели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Преглед на данните за биогоривата, свързани с висок риск от непреки промени в земеползването, и определяне на траектория за постепенното им премахване до 2030 г.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Нов план за действие за съхраняване на рибните ресурси и опазване на морските екосистеми 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Насоки и подпомагане за държавите членки при идентифициране на обектите и помощ за мобилизирането на средства за възстановяване на 25 000 km свободно течащи реки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Cs w:val="24"/>
              </w:rPr>
              <w:t>Технически насоки за държавите членки във връзка с мерките им за преразглеждане на разрешенията за водочерпене и събиране на вода в резервоари и за възстановяване на екологичните потоци в преразгледаните планове за управление на речните басейни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Cs w:val="24"/>
              </w:rPr>
              <w:t>2023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Създаване на Европейска платформа за екологизиране на градовете в рамките на ново Споразумение за зелен град с участието на градове и кметове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Технически насоки относно екологизирането на градовете и съдействие при мобилизирането на финансови средства и изграждане на капацитет за държавите членки, местните и регионалните органи, включително за разработването на планове за екологизиране на градовете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План за действие за интегрирано управление на хранителните вещества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 г.</w:t>
            </w:r>
          </w:p>
        </w:tc>
      </w:tr>
      <w:tr w:rsidR="00AB7626">
        <w:tc>
          <w:tcPr>
            <w:tcW w:w="9639" w:type="dxa"/>
            <w:gridSpan w:val="2"/>
            <w:shd w:val="clear" w:color="auto" w:fill="D9D9D9" w:themeFill="background1" w:themeFillShade="D9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СЪЗДАВАНЕ НА УСЛОВИЯ ЗА ПРЕОБРАЗЯВАЩА ПРОМЯНА</w:t>
            </w:r>
          </w:p>
        </w:tc>
      </w:tr>
      <w:tr w:rsidR="00AB7626">
        <w:trPr>
          <w:trHeight w:val="753"/>
        </w:trPr>
        <w:tc>
          <w:tcPr>
            <w:tcW w:w="7067" w:type="dxa"/>
          </w:tcPr>
          <w:p w:rsidR="00AB7626" w:rsidRDefault="003F0935">
            <w:pPr>
              <w:spacing w:before="120" w:after="12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 xml:space="preserve">Оценка на ефективността на новата рамка на сътрудничество за управление на биологичното разнообразие и на необходимостта от по-стриктен (правно задължителен или друг) подход към управлението на биологичното разнообразие 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2023 г.</w:t>
            </w:r>
          </w:p>
        </w:tc>
      </w:tr>
      <w:tr w:rsidR="00AB7626">
        <w:tc>
          <w:tcPr>
            <w:tcW w:w="7067" w:type="dxa"/>
            <w:shd w:val="clear" w:color="auto" w:fill="auto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Преглед и евентуално преразглеждане на Директивата относно престъпленията срещу околната среда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Нова инициатива за устойчиво корпоративно управление, свързана с правата на човека, както и задължение за полагане на дължима грижа по отношение на околната среда и задължителна надлежна проверка във всички икономически вериги за създаване на стойност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 xml:space="preserve">Помощ за стартирането на европейско движение за бизнес и биологично разнообразие 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От 2020 г. нататък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Обновена стратегия за устойчиво финансиране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Делегиран акт съгласно Регламента за таксономията, с който ще се установи обща класификация на икономическите дейности, оказващи значителен принос за опазването и възстановяването на биологичното разнообразие и екосистемите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Cs w:val="24"/>
              </w:rPr>
              <w:t>Разработване на методи, критерии и стандарти за по-добро интегриране на съображенията, свързани с биологичното разнообразие, в процеса на вземане на публични и бизнес решения на всички равнища, както и за измерване на екологичния отпечатък на продуктите и организациите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Насърчаване на инициатива за отчитане на природния капитал в международен план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Създаване на нов център за знания в областта на биологичното разнообразие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 г.</w:t>
            </w:r>
          </w:p>
        </w:tc>
      </w:tr>
      <w:tr w:rsidR="00AB7626">
        <w:tc>
          <w:tcPr>
            <w:tcW w:w="7067" w:type="dxa"/>
            <w:shd w:val="clear" w:color="auto" w:fill="auto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препоръка на Съвета за насърчаване на сътрудничеството в областта на образованието с цел постигане на екологична устойчивост, включително при обучението в областта на биологичното разнообразие</w:t>
            </w:r>
          </w:p>
        </w:tc>
        <w:tc>
          <w:tcPr>
            <w:tcW w:w="2572" w:type="dxa"/>
            <w:shd w:val="clear" w:color="auto" w:fill="auto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9639" w:type="dxa"/>
            <w:gridSpan w:val="2"/>
            <w:shd w:val="clear" w:color="auto" w:fill="D9D9D9" w:themeFill="background1" w:themeFillShade="D9"/>
          </w:tcPr>
          <w:p w:rsidR="00AB7626" w:rsidRDefault="003F0935">
            <w:pPr>
              <w:spacing w:before="120" w:after="120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</w:rPr>
              <w:t>УСИЛИЯ НА ЕС ЗА ПРИЛАГАНЕ НА АМБИЦИОЗНА СВЕТОВНА ПРОГРАМА ЗА БИОЛОГИЧНОТО РАЗНООБРАЗИЕ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Договаряне по време на 15-ото заседание на Конференцията на страните по Конвенцията за биологичното разнообразие на споразумение за амбициозна рамка за биологичното разнообразие след 2020 г. 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2020—2021 г.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Договаряне на амбициозно споразумение относно морското биологично разнообразие в зоните, разположени извън националните юрисдикции, и относно определянето на три големи защитени морски зони в Антарктическия океан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От 2020 г. нататък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Cs w:val="24"/>
              </w:rPr>
              <w:t xml:space="preserve">Oценка на въздействието на търговските споразумения върху биологичното разнообразие, като при необходимост се предприемат последващи действия 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Cs w:val="24"/>
              </w:rPr>
              <w:t>От 2020 г. нататък</w:t>
            </w:r>
          </w:p>
        </w:tc>
      </w:tr>
      <w:tr w:rsidR="00AB7626">
        <w:tc>
          <w:tcPr>
            <w:tcW w:w="7067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Мерки за предотвратяване или свеждане до минимум на предлагането на пазара на ЕС на продукти, свързани с обезлесяване или деградация на горите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  <w:shd w:val="clear" w:color="auto" w:fill="auto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Преразглеждане на Плана за действие на ЕС срещу трафика на екземпляри от дивата флора и фауна 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</w:tr>
      <w:tr w:rsidR="00AB7626">
        <w:tc>
          <w:tcPr>
            <w:tcW w:w="7067" w:type="dxa"/>
            <w:shd w:val="clear" w:color="auto" w:fill="auto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по-строги правила за търговията със слонова кост в ЕС 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 г.</w:t>
            </w:r>
          </w:p>
        </w:tc>
      </w:tr>
      <w:tr w:rsidR="00AB7626">
        <w:tc>
          <w:tcPr>
            <w:tcW w:w="7067" w:type="dxa"/>
            <w:shd w:val="clear" w:color="auto" w:fill="auto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Инициатива „НатурAфрика“ за опазване на дивата флора и фауна и ключовите екосистеми</w:t>
            </w:r>
          </w:p>
        </w:tc>
        <w:tc>
          <w:tcPr>
            <w:tcW w:w="2572" w:type="dxa"/>
          </w:tcPr>
          <w:p w:rsidR="00AB7626" w:rsidRDefault="003F0935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От 2021 г.</w:t>
            </w:r>
          </w:p>
        </w:tc>
      </w:tr>
    </w:tbl>
    <w:p w:rsidR="00AB7626" w:rsidRDefault="00AB7626" w:rsidP="003F0935">
      <w:pPr>
        <w:rPr>
          <w:rFonts w:ascii="Times New Roman" w:hAnsi="Times New Roman" w:cs="Times New Roman"/>
          <w:noProof/>
        </w:rPr>
      </w:pPr>
    </w:p>
    <w:sectPr w:rsidR="00AB76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0" w:right="1701" w:bottom="1020" w:left="1587" w:header="601" w:footer="107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26" w:rsidRDefault="003F0935">
      <w:pPr>
        <w:spacing w:after="0" w:line="240" w:lineRule="auto"/>
      </w:pPr>
      <w:r>
        <w:separator/>
      </w:r>
    </w:p>
  </w:endnote>
  <w:endnote w:type="continuationSeparator" w:id="0">
    <w:p w:rsidR="00AB7626" w:rsidRDefault="003F0935">
      <w:pPr>
        <w:spacing w:after="0" w:line="240" w:lineRule="auto"/>
      </w:pPr>
      <w:r>
        <w:continuationSeparator/>
      </w:r>
    </w:p>
  </w:endnote>
  <w:endnote w:type="continuationNotice" w:id="1">
    <w:p w:rsidR="00AB7626" w:rsidRDefault="00AB76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26" w:rsidRDefault="00AB7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26" w:rsidRDefault="003F0935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26" w:rsidRDefault="00AB7626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26" w:rsidRDefault="00AB762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306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626" w:rsidRDefault="003F09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A2E">
          <w:rPr>
            <w:noProof/>
          </w:rPr>
          <w:t>2</w:t>
        </w:r>
        <w:r>
          <w:fldChar w:fldCharType="end"/>
        </w:r>
      </w:p>
    </w:sdtContent>
  </w:sdt>
  <w:p w:rsidR="00AB7626" w:rsidRDefault="00AB762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922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626" w:rsidRDefault="003F09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A2E">
          <w:rPr>
            <w:noProof/>
          </w:rPr>
          <w:t>1</w:t>
        </w:r>
        <w:r>
          <w:fldChar w:fldCharType="end"/>
        </w:r>
      </w:p>
    </w:sdtContent>
  </w:sdt>
  <w:p w:rsidR="00AB7626" w:rsidRDefault="00AB7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26" w:rsidRDefault="003F0935">
      <w:pPr>
        <w:spacing w:after="0" w:line="240" w:lineRule="auto"/>
      </w:pPr>
      <w:r>
        <w:separator/>
      </w:r>
    </w:p>
  </w:footnote>
  <w:footnote w:type="continuationSeparator" w:id="0">
    <w:p w:rsidR="00AB7626" w:rsidRDefault="003F0935">
      <w:pPr>
        <w:spacing w:after="0" w:line="240" w:lineRule="auto"/>
      </w:pPr>
      <w:r>
        <w:continuationSeparator/>
      </w:r>
    </w:p>
  </w:footnote>
  <w:footnote w:type="continuationNotice" w:id="1">
    <w:p w:rsidR="00AB7626" w:rsidRDefault="00AB76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26" w:rsidRDefault="00AB7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26" w:rsidRDefault="00AB7626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26" w:rsidRDefault="00AB7626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26" w:rsidRDefault="00AB762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26" w:rsidRDefault="00AB762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26" w:rsidRDefault="00AB7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77F"/>
    <w:multiLevelType w:val="hybridMultilevel"/>
    <w:tmpl w:val="F3549252"/>
    <w:lvl w:ilvl="0" w:tplc="90CEADFC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4321C"/>
    <w:multiLevelType w:val="multilevel"/>
    <w:tmpl w:val="18A01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51C07"/>
    <w:multiLevelType w:val="hybridMultilevel"/>
    <w:tmpl w:val="F6C8F7AC"/>
    <w:lvl w:ilvl="0" w:tplc="26584B4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80712"/>
    <w:multiLevelType w:val="hybridMultilevel"/>
    <w:tmpl w:val="D2709E76"/>
    <w:lvl w:ilvl="0" w:tplc="0C0EE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C31AE"/>
    <w:multiLevelType w:val="hybridMultilevel"/>
    <w:tmpl w:val="C7AE0E3A"/>
    <w:lvl w:ilvl="0" w:tplc="5062306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4800"/>
    <w:multiLevelType w:val="hybridMultilevel"/>
    <w:tmpl w:val="666A540C"/>
    <w:lvl w:ilvl="0" w:tplc="60C83E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160A1"/>
    <w:multiLevelType w:val="hybridMultilevel"/>
    <w:tmpl w:val="E4E6F362"/>
    <w:lvl w:ilvl="0" w:tplc="51F81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5145E"/>
    <w:multiLevelType w:val="multilevel"/>
    <w:tmpl w:val="B1048310"/>
    <w:name w:val="EurolookHeading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</w:lvl>
    <w:lvl w:ilvl="1">
      <w:start w:val="1"/>
      <w:numFmt w:val="decimal"/>
      <w:lvlText w:val="%1.%2."/>
      <w:lvlJc w:val="left"/>
      <w:pPr>
        <w:tabs>
          <w:tab w:val="num" w:pos="5682"/>
        </w:tabs>
        <w:ind w:left="5682" w:hanging="720"/>
      </w:p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1922" w:hanging="720"/>
      </w:pPr>
    </w:lvl>
    <w:lvl w:ilvl="3">
      <w:start w:val="1"/>
      <w:numFmt w:val="decimal"/>
      <w:lvlText w:val="%1.%2.%3.%4."/>
      <w:lvlJc w:val="left"/>
      <w:pPr>
        <w:tabs>
          <w:tab w:val="num" w:pos="1922"/>
        </w:tabs>
        <w:ind w:left="1922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838" w:hanging="958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838" w:hanging="958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38" w:hanging="958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3838" w:hanging="958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3838" w:hanging="958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1848A86-1035-45ED-9D02-A8DE15E3E25D"/>
    <w:docVar w:name="LW_COVERPAGE_TYPE" w:val="1"/>
    <w:docVar w:name="LW_CROSSREFERENCE" w:val="&lt;UNUSED&gt;"/>
    <w:docVar w:name="LW_DocType" w:val="NORMAL"/>
    <w:docVar w:name="LW_EMISSION" w:val="20.5.2020"/>
    <w:docVar w:name="LW_EMISSION_ISODATE" w:val="2020-05-2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7?\u1090?\u1088?\u1072?\u1090?\u1077?\u1075?\u1080?\u1103? \u1085?\u1072? \u1045?\u1057? \u1079?\u1072? \u1073?\u1080?\u1086?\u1083?\u1086?\u1075?\u1080?\u1095?\u1085?\u1086?\u1090?\u1086? \u1088?\u1072?\u1079?\u1085?\u1086?\u1086?\u1073?\u1088?\u1072?\u1079?\u1080?\u1077? \u1079?\u1072? 2030 \u1075?._x000d__x000d__x000b__x000d__x000b__x000d_\u1044?\u1072? \u1086?\u1089?\u1080?\u1075?\u1091?\u1088?\u1080?\u1084? \u1087?\u1086?\u1083?\u1072?\u1075?\u1072?\u1097?\u1086?\u1090?\u1086? \u1089?\u1077? \u1084?\u1103?\u1089?\u1090?\u1086? \u1085?\u1072? \u1087?\u1088?\u1080?\u1088?\u1086?\u1076?\u1072?\u1090?\u1072? \u1074? \u1085?\u1072?\u1096?\u1080?\u1103? \u1078?\u1080?\u1074?\u1086?\u1090?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38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w:rsids>
    <w:rsidRoot w:val="00AB7626"/>
    <w:rsid w:val="000C1A2E"/>
    <w:rsid w:val="003F0935"/>
    <w:rsid w:val="00A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0" w:unhideWhenUsed="1" w:qFormat="1"/>
    <w:lsdException w:name="heading 4" w:semiHidden="1" w:uiPriority="9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num" w:pos="482"/>
      </w:tabs>
      <w:spacing w:before="240" w:after="240" w:line="240" w:lineRule="auto"/>
      <w:ind w:left="482" w:hanging="482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en-I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num" w:pos="709"/>
      </w:tabs>
      <w:spacing w:after="24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en-IE"/>
    </w:rPr>
  </w:style>
  <w:style w:type="paragraph" w:styleId="Heading3">
    <w:name w:val="heading 3"/>
    <w:basedOn w:val="Normal"/>
    <w:next w:val="Normal"/>
    <w:link w:val="Heading3Char"/>
    <w:uiPriority w:val="90"/>
    <w:qFormat/>
    <w:pPr>
      <w:keepNext/>
      <w:tabs>
        <w:tab w:val="num" w:pos="1922"/>
      </w:tabs>
      <w:spacing w:after="240" w:line="240" w:lineRule="auto"/>
      <w:ind w:left="1922" w:hanging="72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en-IE"/>
    </w:rPr>
  </w:style>
  <w:style w:type="paragraph" w:styleId="Heading4">
    <w:name w:val="heading 4"/>
    <w:basedOn w:val="Normal"/>
    <w:next w:val="Normal"/>
    <w:link w:val="Heading4Char"/>
    <w:uiPriority w:val="90"/>
    <w:qFormat/>
    <w:pPr>
      <w:keepNext/>
      <w:tabs>
        <w:tab w:val="num" w:pos="1922"/>
      </w:tabs>
      <w:spacing w:after="240" w:line="240" w:lineRule="auto"/>
      <w:ind w:left="1922" w:hanging="720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IE"/>
    </w:rPr>
  </w:style>
  <w:style w:type="paragraph" w:styleId="Heading5">
    <w:name w:val="heading 5"/>
    <w:basedOn w:val="Normal"/>
    <w:next w:val="Normal"/>
    <w:link w:val="Heading5Char"/>
    <w:semiHidden/>
    <w:pPr>
      <w:keepNext/>
      <w:tabs>
        <w:tab w:val="num" w:pos="2880"/>
      </w:tabs>
      <w:spacing w:after="240" w:line="240" w:lineRule="auto"/>
      <w:ind w:left="3838" w:hanging="95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IE"/>
    </w:rPr>
  </w:style>
  <w:style w:type="paragraph" w:styleId="Heading6">
    <w:name w:val="heading 6"/>
    <w:basedOn w:val="Normal"/>
    <w:next w:val="Normal"/>
    <w:link w:val="Heading6Char"/>
    <w:semiHidden/>
    <w:pPr>
      <w:keepNext/>
      <w:tabs>
        <w:tab w:val="num" w:pos="2880"/>
      </w:tabs>
      <w:spacing w:after="240" w:line="240" w:lineRule="auto"/>
      <w:ind w:left="3838" w:hanging="958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en-IE"/>
    </w:rPr>
  </w:style>
  <w:style w:type="paragraph" w:styleId="Heading7">
    <w:name w:val="heading 7"/>
    <w:basedOn w:val="Normal"/>
    <w:next w:val="Normal"/>
    <w:link w:val="Heading7Char"/>
    <w:semiHidden/>
    <w:pPr>
      <w:keepNext/>
      <w:tabs>
        <w:tab w:val="num" w:pos="2880"/>
      </w:tabs>
      <w:spacing w:after="240" w:line="240" w:lineRule="auto"/>
      <w:ind w:left="3838" w:hanging="958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en-IE"/>
    </w:rPr>
  </w:style>
  <w:style w:type="paragraph" w:styleId="Heading8">
    <w:name w:val="heading 8"/>
    <w:basedOn w:val="Normal"/>
    <w:next w:val="Normal"/>
    <w:link w:val="Heading8Char"/>
    <w:semiHidden/>
    <w:pPr>
      <w:keepNext/>
      <w:tabs>
        <w:tab w:val="num" w:pos="2880"/>
      </w:tabs>
      <w:spacing w:after="240" w:line="240" w:lineRule="auto"/>
      <w:ind w:left="3838" w:hanging="958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en-IE"/>
    </w:rPr>
  </w:style>
  <w:style w:type="paragraph" w:styleId="Heading9">
    <w:name w:val="heading 9"/>
    <w:basedOn w:val="Normal"/>
    <w:next w:val="Normal"/>
    <w:link w:val="Heading9Char"/>
    <w:semiHidden/>
    <w:pPr>
      <w:keepNext/>
      <w:tabs>
        <w:tab w:val="num" w:pos="2880"/>
      </w:tabs>
      <w:spacing w:after="240" w:line="240" w:lineRule="auto"/>
      <w:ind w:left="3838" w:hanging="958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  <w:lang w:eastAsia="en-IE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  <w:lang w:eastAsia="en-IE"/>
    </w:rPr>
  </w:style>
  <w:style w:type="character" w:customStyle="1" w:styleId="Heading3Char">
    <w:name w:val="Heading 3 Char"/>
    <w:basedOn w:val="DefaultParagraphFont"/>
    <w:link w:val="Heading3"/>
    <w:uiPriority w:val="90"/>
    <w:rPr>
      <w:rFonts w:ascii="Times New Roman" w:eastAsia="Times New Roman" w:hAnsi="Times New Roman" w:cs="Times New Roman"/>
      <w:i/>
      <w:sz w:val="24"/>
      <w:szCs w:val="20"/>
      <w:lang w:eastAsia="en-IE"/>
    </w:rPr>
  </w:style>
  <w:style w:type="character" w:customStyle="1" w:styleId="Heading4Char">
    <w:name w:val="Heading 4 Char"/>
    <w:basedOn w:val="DefaultParagraphFont"/>
    <w:link w:val="Heading4"/>
    <w:uiPriority w:val="90"/>
    <w:rPr>
      <w:rFonts w:ascii="Times New Roman" w:eastAsia="Times New Roman" w:hAnsi="Times New Roman" w:cs="Times New Roman"/>
      <w:sz w:val="24"/>
      <w:szCs w:val="20"/>
      <w:lang w:eastAsia="en-IE"/>
    </w:rPr>
  </w:style>
  <w:style w:type="character" w:customStyle="1" w:styleId="Heading5Char">
    <w:name w:val="Heading 5 Char"/>
    <w:basedOn w:val="DefaultParagraphFont"/>
    <w:link w:val="Heading5"/>
    <w:semiHidden/>
    <w:rPr>
      <w:rFonts w:ascii="Times New Roman" w:eastAsia="Times New Roman" w:hAnsi="Times New Roman" w:cs="Times New Roman"/>
      <w:sz w:val="24"/>
      <w:szCs w:val="20"/>
      <w:lang w:eastAsia="en-IE"/>
    </w:r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sz w:val="24"/>
      <w:szCs w:val="20"/>
      <w:lang w:eastAsia="en-IE"/>
    </w:rPr>
  </w:style>
  <w:style w:type="character" w:customStyle="1" w:styleId="Heading7Char">
    <w:name w:val="Heading 7 Char"/>
    <w:basedOn w:val="DefaultParagraphFont"/>
    <w:link w:val="Heading7"/>
    <w:semiHidden/>
    <w:rPr>
      <w:rFonts w:ascii="Times New Roman" w:eastAsia="Times New Roman" w:hAnsi="Times New Roman" w:cs="Times New Roman"/>
      <w:sz w:val="24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semiHidden/>
    <w:rPr>
      <w:rFonts w:ascii="Times New Roman" w:eastAsia="Times New Roman" w:hAnsi="Times New Roman" w:cs="Times New Roman"/>
      <w:sz w:val="24"/>
      <w:szCs w:val="20"/>
      <w:lang w:eastAsia="en-IE"/>
    </w:rPr>
  </w:style>
  <w:style w:type="character" w:customStyle="1" w:styleId="Heading9Char">
    <w:name w:val="Heading 9 Char"/>
    <w:basedOn w:val="DefaultParagraphFont"/>
    <w:link w:val="Heading9"/>
    <w:semiHidden/>
    <w:rPr>
      <w:rFonts w:ascii="Times New Roman" w:eastAsia="Times New Roman" w:hAnsi="Times New Roman" w:cs="Times New Roman"/>
      <w:sz w:val="24"/>
      <w:szCs w:val="20"/>
      <w:lang w:eastAsia="en-IE"/>
    </w:rPr>
  </w:style>
  <w:style w:type="paragraph" w:customStyle="1" w:styleId="FooterLine">
    <w:name w:val="Footer Line"/>
    <w:basedOn w:val="Footer"/>
    <w:next w:val="Footer"/>
    <w:uiPriority w:val="99"/>
    <w:pPr>
      <w:tabs>
        <w:tab w:val="clear" w:pos="4680"/>
        <w:tab w:val="clear" w:pos="9360"/>
        <w:tab w:val="right" w:pos="8646"/>
      </w:tabs>
      <w:spacing w:before="120" w:line="264" w:lineRule="auto"/>
      <w:jc w:val="both"/>
    </w:pPr>
    <w:rPr>
      <w:rFonts w:ascii="Times New Roman" w:eastAsia="Times New Roman" w:hAnsi="Times New Roman" w:cs="Times New Roman"/>
      <w:sz w:val="16"/>
      <w:szCs w:val="20"/>
      <w:lang w:eastAsia="en-IE"/>
    </w:rPr>
  </w:style>
  <w:style w:type="paragraph" w:styleId="FootnoteText">
    <w:name w:val="footnote text"/>
    <w:aliases w:val="Footnote text,Reference,Fußnote,Footnote Text Char Char,Footnote Text Char Char Char Char,Footnote Text1,Footnote Text Char Char Char,Fu§notentext Char,Fu§notentext Char1 Char1,Fu§notentext Char Char Char Char,o,fn,Fußn,f,Fußnotentextf,ft"/>
    <w:basedOn w:val="Normal"/>
    <w:link w:val="FootnoteTextChar"/>
    <w:uiPriority w:val="99"/>
    <w:qFormat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character" w:customStyle="1" w:styleId="FootnoteTextChar">
    <w:name w:val="Footnote Text Char"/>
    <w:aliases w:val="Footnote text Char,Reference Char,Fußnote Char,Footnote Text Char Char Char1,Footnote Text Char Char Char Char Char,Footnote Text1 Char,Footnote Text Char Char Char Char1,Fu§notentext Char Char,Fu§notentext Char1 Char1 Char,o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en-IE"/>
    </w:rPr>
  </w:style>
  <w:style w:type="character" w:styleId="FootnoteReference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,FR,styli"/>
    <w:link w:val="SUPERSCharCharCharCharCharCharCharChar"/>
    <w:uiPriority w:val="99"/>
    <w:qFormat/>
    <w:rPr>
      <w:vertAlign w:val="superscript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ormal"/>
    <w:link w:val="FootnoteReference"/>
    <w:uiPriority w:val="99"/>
    <w:pPr>
      <w:spacing w:after="160" w:line="240" w:lineRule="exact"/>
      <w:jc w:val="both"/>
    </w:pPr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List Paragraph11,OBC Bullet,F5 List Paragraph,Colorful List - Accent 11,Normal numbered,3,CV text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uiPriority w:val="99"/>
    <w:pPr>
      <w:spacing w:after="160" w:line="240" w:lineRule="exact"/>
      <w:jc w:val="both"/>
    </w:pPr>
    <w:rPr>
      <w:vertAlign w:val="superscript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List Paragraph11 Char,OBC Bullet Char,3 Char"/>
    <w:link w:val="ListParagraph"/>
    <w:uiPriority w:val="34"/>
    <w:qFormat/>
    <w:locked/>
  </w:style>
  <w:style w:type="paragraph" w:customStyle="1" w:styleId="FigureBody">
    <w:name w:val="Figure Body"/>
    <w:basedOn w:val="Normal"/>
    <w:uiPriority w:val="7"/>
    <w:pPr>
      <w:keepNext/>
      <w:spacing w:after="40" w:line="240" w:lineRule="auto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93D3824-10CD-41A0-8DF7-ED7E71F6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5846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2020-05-19T09:51:00Z</dcterms:created>
  <dcterms:modified xsi:type="dcterms:W3CDTF">2020-06-04T10:30:00Z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7.0.1, Build 20190916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CPTemplateID">
    <vt:lpwstr>CP-039</vt:lpwstr>
  </property>
</Properties>
</file>