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DD" w:rsidRDefault="000C3100" w:rsidP="000C310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8D00F05-4350-4039-BD7E-8171120CCBBF" style="width:450.5pt;height:414.5pt">
            <v:imagedata r:id="rId8" o:title=""/>
          </v:shape>
        </w:pict>
      </w:r>
    </w:p>
    <w:bookmarkEnd w:id="0"/>
    <w:p w:rsidR="004611DD" w:rsidRDefault="004611DD">
      <w:pPr>
        <w:rPr>
          <w:noProof/>
        </w:rPr>
        <w:sectPr w:rsidR="004611DD" w:rsidSect="000C310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0C3100" w:rsidRPr="000C3100" w:rsidRDefault="000C3100" w:rsidP="000C3100">
      <w:pPr>
        <w:pStyle w:val="Typedudocument"/>
      </w:pPr>
      <w:bookmarkStart w:id="1" w:name="_GoBack"/>
      <w:bookmarkEnd w:id="1"/>
      <w:r w:rsidRPr="000C3100">
        <w:lastRenderedPageBreak/>
        <w:t>ДОКЛАД НА КОМИСИЯТА</w:t>
      </w:r>
    </w:p>
    <w:p w:rsidR="000C3100" w:rsidRPr="000C3100" w:rsidRDefault="000C3100" w:rsidP="000C3100">
      <w:pPr>
        <w:pStyle w:val="Titreobjet"/>
      </w:pPr>
      <w:r w:rsidRPr="000C3100">
        <w:t>Латвия</w:t>
      </w:r>
      <w:r w:rsidRPr="000C3100">
        <w:br/>
      </w:r>
      <w:r w:rsidRPr="000C3100">
        <w:br/>
        <w:t>Доклад, изготвен в съответствие с член 126, параграф 3 от Договора за функционирането на Европейския съюз</w:t>
      </w:r>
    </w:p>
    <w:p w:rsidR="004611DD" w:rsidRDefault="000C3100">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szCs w:val="24"/>
        </w:rPr>
        <w:t>1</w:t>
      </w:r>
      <w:r>
        <w:rPr>
          <w:rFonts w:ascii="Times New Roman" w:hAnsi="Times New Roman"/>
          <w:b/>
          <w:smallCaps/>
          <w:noProof/>
        </w:rPr>
        <w:t>.</w:t>
      </w:r>
      <w:r>
        <w:rPr>
          <w:rFonts w:ascii="Times New Roman" w:hAnsi="Times New Roman"/>
          <w:b/>
          <w:smallCaps/>
          <w:noProof/>
        </w:rPr>
        <w:tab/>
      </w:r>
      <w:r>
        <w:rPr>
          <w:rFonts w:ascii="Times New Roman" w:hAnsi="Times New Roman"/>
          <w:b/>
          <w:smallCaps/>
          <w:noProof/>
          <w:sz w:val="24"/>
          <w:szCs w:val="24"/>
        </w:rPr>
        <w:t>Въведение</w:t>
      </w:r>
      <w:r>
        <w:rPr>
          <w:rFonts w:ascii="Times New Roman" w:hAnsi="Times New Roman"/>
          <w:b/>
          <w:smallCaps/>
          <w:noProof/>
        </w:rPr>
        <w:t xml:space="preserve"> </w:t>
      </w:r>
    </w:p>
    <w:p w:rsidR="004611DD" w:rsidRDefault="000C3100">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w:t>
      </w:r>
      <w:r>
        <w:rPr>
          <w:rFonts w:ascii="Times New Roman" w:hAnsi="Times New Roman" w:cs="Times New Roman"/>
          <w:noProof/>
          <w:sz w:val="24"/>
          <w:szCs w:val="24"/>
        </w:rPr>
        <w:t xml:space="preserve">ламент (ЕО) № 1466/97 и член 3, параграф 5 и член 5, параграф 2 от Регламент (ЕО) № 1467/97, клаузата улеснява координирането на бюджетните политики в период на сериозен икономически спад. В своето съобщение Комисията излага пред Съвета становището си, че </w:t>
      </w:r>
      <w:r>
        <w:rPr>
          <w:rFonts w:ascii="Times New Roman" w:hAnsi="Times New Roman" w:cs="Times New Roman"/>
          <w:noProof/>
          <w:sz w:val="24"/>
          <w:szCs w:val="24"/>
        </w:rPr>
        <w:t>предвид очаквания сериозен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w:t>
      </w:r>
      <w:r>
        <w:rPr>
          <w:rFonts w:ascii="Times New Roman" w:hAnsi="Times New Roman" w:cs="Times New Roman"/>
          <w:noProof/>
          <w:sz w:val="24"/>
          <w:szCs w:val="24"/>
        </w:rPr>
        <w:t>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w:t>
      </w:r>
      <w:r>
        <w:rPr>
          <w:rFonts w:ascii="Times New Roman" w:hAnsi="Times New Roman" w:cs="Times New Roman"/>
          <w:noProof/>
          <w:sz w:val="24"/>
          <w:szCs w:val="24"/>
        </w:rPr>
        <w:t xml:space="preserve">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w:t>
      </w:r>
      <w:r>
        <w:rPr>
          <w:rFonts w:ascii="Times New Roman" w:hAnsi="Times New Roman" w:cs="Times New Roman"/>
          <w:noProof/>
          <w:sz w:val="24"/>
          <w:szCs w:val="24"/>
        </w:rPr>
        <w:t>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rsidR="004611DD" w:rsidRDefault="000C3100">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Данните, които бяха предоставени</w:t>
      </w:r>
      <w:r>
        <w:rPr>
          <w:rFonts w:ascii="Times New Roman" w:hAnsi="Times New Roman" w:cs="Times New Roman"/>
          <w:noProof/>
          <w:sz w:val="24"/>
          <w:szCs w:val="24"/>
        </w:rPr>
        <w:t xml:space="preserve"> от латвийските органи на 31 март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cs="Times New Roman"/>
          <w:noProof/>
          <w:sz w:val="24"/>
          <w:szCs w:val="24"/>
        </w:rPr>
        <w:t>, показват, че дефицитът по консолидирания държавен бюджет в Латвия е достигнал 0,2 % от БВП през 2019 г., а брутният консолидиран държавен дълг е възлизал на 36,9 % от БВП. Сп</w:t>
      </w:r>
      <w:r>
        <w:rPr>
          <w:rFonts w:ascii="Times New Roman" w:hAnsi="Times New Roman" w:cs="Times New Roman"/>
          <w:noProof/>
          <w:sz w:val="24"/>
          <w:szCs w:val="24"/>
        </w:rPr>
        <w:t>оред програмата за конвергенция за 2020 г. Латвия предвижда дефицит от 9,4 % от БВП през 2020 г. и дълг в размер на 51,7 % от БВП.</w:t>
      </w:r>
    </w:p>
    <w:p w:rsidR="004611DD" w:rsidRDefault="000C3100">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Планираният дефицит за 2020 г. предоставя </w:t>
      </w:r>
      <w:r>
        <w:rPr>
          <w:rFonts w:ascii="Times New Roman" w:hAnsi="Times New Roman" w:cs="Times New Roman"/>
          <w:i/>
          <w:iCs/>
          <w:noProof/>
          <w:sz w:val="24"/>
          <w:szCs w:val="24"/>
        </w:rPr>
        <w:t>prima facie</w:t>
      </w:r>
      <w:r>
        <w:rPr>
          <w:rFonts w:ascii="Times New Roman" w:hAnsi="Times New Roman" w:cs="Times New Roman"/>
          <w:noProof/>
          <w:sz w:val="24"/>
          <w:szCs w:val="24"/>
        </w:rPr>
        <w:t xml:space="preserve"> доказателство за наличието на прекомерен дефицит, както е определен в П</w:t>
      </w:r>
      <w:r>
        <w:rPr>
          <w:rFonts w:ascii="Times New Roman" w:hAnsi="Times New Roman" w:cs="Times New Roman"/>
          <w:noProof/>
          <w:sz w:val="24"/>
          <w:szCs w:val="24"/>
        </w:rPr>
        <w:t>акта за стабилност и растеж.</w:t>
      </w:r>
    </w:p>
    <w:p w:rsidR="004611DD" w:rsidRDefault="000C3100">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Поради това в този контекст Комисията изготви настоящия доклад, в който се анализира спазването от страна на Латвия на заложените в Договора критерии за дефицита и за дълга. Критерият за дълга може да се счита за изпълнен, тъй като съотношението на дълга к</w:t>
      </w:r>
      <w:r>
        <w:rPr>
          <w:rFonts w:ascii="Times New Roman" w:hAnsi="Times New Roman" w:cs="Times New Roman"/>
          <w:noProof/>
          <w:sz w:val="24"/>
          <w:szCs w:val="24"/>
        </w:rPr>
        <w:t xml:space="preserve">ъм БВП е под референтната стойност по Договора от 60 % от БВП. В него се отчитат всички действащи фактори и се обръща необходимото внимание на голямото икономическо сътресение, свързано с пандемията от COVID-19. </w:t>
      </w:r>
    </w:p>
    <w:p w:rsidR="004611DD" w:rsidRDefault="000C3100">
      <w:pPr>
        <w:keepNext/>
        <w:spacing w:before="240" w:after="120" w:line="240" w:lineRule="auto"/>
        <w:jc w:val="center"/>
        <w:rPr>
          <w:rFonts w:ascii="Times New Roman" w:eastAsia="Times New Roman" w:hAnsi="Times New Roman" w:cs="Calibri"/>
          <w:noProof/>
          <w:sz w:val="24"/>
          <w:szCs w:val="24"/>
        </w:rPr>
      </w:pPr>
      <w:r>
        <w:rPr>
          <w:rFonts w:ascii="Times New Roman" w:hAnsi="Times New Roman"/>
          <w:b/>
          <w:noProof/>
          <w:sz w:val="24"/>
          <w:szCs w:val="24"/>
        </w:rPr>
        <w:t xml:space="preserve">Таблица </w:t>
      </w:r>
      <w:r>
        <w:rPr>
          <w:rFonts w:ascii="Times New Roman" w:eastAsia="Times New Roman" w:hAnsi="Times New Roman" w:cs="Times New Roman"/>
          <w:b/>
          <w:noProof/>
          <w:sz w:val="24"/>
          <w:szCs w:val="24"/>
        </w:rPr>
        <w:fldChar w:fldCharType="begin"/>
      </w:r>
      <w:r>
        <w:rPr>
          <w:rFonts w:ascii="Times New Roman" w:eastAsia="Times New Roman" w:hAnsi="Times New Roman" w:cs="Times New Roman"/>
          <w:b/>
          <w:noProof/>
          <w:sz w:val="24"/>
          <w:szCs w:val="24"/>
        </w:rPr>
        <w:instrText xml:space="preserve"> SEQ Table \* ARABIC </w:instrText>
      </w:r>
      <w:r>
        <w:rPr>
          <w:rFonts w:ascii="Times New Roman" w:eastAsia="Times New Roman" w:hAnsi="Times New Roman" w:cs="Times New Roman"/>
          <w:b/>
          <w:noProof/>
          <w:sz w:val="24"/>
          <w:szCs w:val="24"/>
        </w:rPr>
        <w:fldChar w:fldCharType="separate"/>
      </w:r>
      <w:r>
        <w:rPr>
          <w:rFonts w:ascii="Times New Roman" w:eastAsia="Times New Roman" w:hAnsi="Times New Roman" w:cs="Times New Roman"/>
          <w:b/>
          <w:noProof/>
          <w:sz w:val="24"/>
          <w:szCs w:val="24"/>
        </w:rPr>
        <w:t>1</w:t>
      </w:r>
      <w:r>
        <w:rPr>
          <w:rFonts w:ascii="Times New Roman" w:eastAsia="Times New Roman" w:hAnsi="Times New Roman" w:cs="Times New Roman"/>
          <w:b/>
          <w:noProof/>
          <w:sz w:val="24"/>
          <w:szCs w:val="24"/>
        </w:rPr>
        <w:fldChar w:fldCharType="end"/>
      </w:r>
      <w:r>
        <w:rPr>
          <w:rFonts w:ascii="Times New Roman" w:hAnsi="Times New Roman"/>
          <w:b/>
          <w:noProof/>
          <w:sz w:val="24"/>
          <w:szCs w:val="24"/>
        </w:rPr>
        <w:t xml:space="preserve">. Дефицит по консолидирания държавен бюджет и консолидиран държавен дълг (% от БВП) </w:t>
      </w:r>
    </w:p>
    <w:tbl>
      <w:tblPr>
        <w:tblStyle w:val="TableGrid"/>
        <w:tblW w:w="0" w:type="auto"/>
        <w:tblLook w:val="04A0" w:firstRow="1" w:lastRow="0" w:firstColumn="1" w:lastColumn="0" w:noHBand="0" w:noVBand="1"/>
      </w:tblPr>
      <w:tblGrid>
        <w:gridCol w:w="1132"/>
        <w:gridCol w:w="1620"/>
        <w:gridCol w:w="1081"/>
        <w:gridCol w:w="1081"/>
        <w:gridCol w:w="1081"/>
        <w:gridCol w:w="1081"/>
        <w:gridCol w:w="1083"/>
        <w:gridCol w:w="1083"/>
      </w:tblGrid>
      <w:tr w:rsidR="004611DD">
        <w:trPr>
          <w:trHeight w:val="603"/>
        </w:trPr>
        <w:tc>
          <w:tcPr>
            <w:tcW w:w="1154" w:type="dxa"/>
          </w:tcPr>
          <w:p w:rsidR="004611DD" w:rsidRDefault="004611DD">
            <w:pPr>
              <w:keepNext/>
              <w:jc w:val="center"/>
              <w:rPr>
                <w:rFonts w:ascii="Times New Roman" w:eastAsia="Times New Roman" w:hAnsi="Times New Roman" w:cs="Calibri"/>
                <w:noProof/>
                <w:sz w:val="20"/>
                <w:szCs w:val="20"/>
              </w:rPr>
            </w:pPr>
          </w:p>
        </w:tc>
        <w:tc>
          <w:tcPr>
            <w:tcW w:w="1172" w:type="dxa"/>
          </w:tcPr>
          <w:p w:rsidR="004611DD" w:rsidRDefault="004611DD">
            <w:pPr>
              <w:keepNext/>
              <w:jc w:val="center"/>
              <w:rPr>
                <w:rFonts w:ascii="Times New Roman" w:eastAsia="Times New Roman" w:hAnsi="Times New Roman" w:cs="Calibri"/>
                <w:noProof/>
                <w:sz w:val="20"/>
                <w:szCs w:val="20"/>
              </w:rPr>
            </w:pPr>
          </w:p>
        </w:tc>
        <w:tc>
          <w:tcPr>
            <w:tcW w:w="1152"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1152"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1152"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1152"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1154"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rsidR="004611DD">
        <w:tc>
          <w:tcPr>
            <w:tcW w:w="1154"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1172"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1152"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1152"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2"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2"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1154"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-7,3</w:t>
            </w:r>
          </w:p>
        </w:tc>
        <w:tc>
          <w:tcPr>
            <w:tcW w:w="1154"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-4,5</w:t>
            </w:r>
          </w:p>
        </w:tc>
      </w:tr>
      <w:tr w:rsidR="004611DD">
        <w:tc>
          <w:tcPr>
            <w:tcW w:w="1154"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1172"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1152"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40,9</w:t>
            </w:r>
          </w:p>
        </w:tc>
        <w:tc>
          <w:tcPr>
            <w:tcW w:w="1152"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39,3</w:t>
            </w:r>
          </w:p>
        </w:tc>
        <w:tc>
          <w:tcPr>
            <w:tcW w:w="1152"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37,2</w:t>
            </w:r>
          </w:p>
        </w:tc>
        <w:tc>
          <w:tcPr>
            <w:tcW w:w="1152"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36,9</w:t>
            </w:r>
          </w:p>
        </w:tc>
        <w:tc>
          <w:tcPr>
            <w:tcW w:w="1154"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43,1</w:t>
            </w:r>
          </w:p>
        </w:tc>
        <w:tc>
          <w:tcPr>
            <w:tcW w:w="1154" w:type="dxa"/>
          </w:tcPr>
          <w:p w:rsidR="004611DD" w:rsidRDefault="000C3100">
            <w:pPr>
              <w:keepNext/>
              <w:jc w:val="center"/>
              <w:rPr>
                <w:rFonts w:ascii="Times New Roman" w:eastAsia="Times New Roman" w:hAnsi="Times New Roman" w:cs="Calibri"/>
                <w:noProof/>
                <w:sz w:val="20"/>
                <w:szCs w:val="20"/>
              </w:rPr>
            </w:pPr>
            <w:r>
              <w:rPr>
                <w:rFonts w:ascii="Times New Roman" w:hAnsi="Times New Roman"/>
                <w:noProof/>
                <w:sz w:val="20"/>
                <w:szCs w:val="20"/>
              </w:rPr>
              <w:t>43,7</w:t>
            </w:r>
          </w:p>
        </w:tc>
      </w:tr>
    </w:tbl>
    <w:p w:rsidR="004611DD" w:rsidRDefault="000C3100">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Източник: Евростат, Прогноза на Комисията от пролетта на 2020 г.</w:t>
      </w:r>
    </w:p>
    <w:p w:rsidR="004611DD" w:rsidRDefault="000C3100">
      <w:pPr>
        <w:pStyle w:val="ManualHeading1"/>
        <w:rPr>
          <w:noProof/>
        </w:rPr>
      </w:pPr>
      <w:r>
        <w:rPr>
          <w:smallCaps w:val="0"/>
          <w:noProof/>
        </w:rPr>
        <w:t>2.</w:t>
      </w:r>
      <w:r>
        <w:rPr>
          <w:b w:val="0"/>
          <w:smallCaps w:val="0"/>
          <w:noProof/>
        </w:rPr>
        <w:tab/>
      </w:r>
      <w:r>
        <w:rPr>
          <w:noProof/>
        </w:rPr>
        <w:t>Критерий за дефицита</w:t>
      </w:r>
    </w:p>
    <w:p w:rsidR="004611DD" w:rsidRDefault="000C3100">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Въз основа на програмата за стабилност за 2020 г. се планира дефицитът по консолидирания държавен </w:t>
      </w:r>
      <w:r>
        <w:rPr>
          <w:rFonts w:ascii="Times New Roman" w:hAnsi="Times New Roman"/>
          <w:noProof/>
          <w:sz w:val="24"/>
          <w:szCs w:val="24"/>
        </w:rPr>
        <w:t>бюджет на Латвия да достигне 9,4 % от БВП през 2020 г., превишавайки референтната стойност по Договора от 3 % от БВП.</w:t>
      </w:r>
    </w:p>
    <w:p w:rsidR="004611DD" w:rsidRDefault="000C3100">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превишение на референтната стойност през 2020 г. е изключение, тъй като се дължи на сериозен икономически спад. Като се има пр</w:t>
      </w:r>
      <w:r>
        <w:rPr>
          <w:rFonts w:ascii="Times New Roman" w:hAnsi="Times New Roman"/>
          <w:noProof/>
          <w:sz w:val="24"/>
          <w:szCs w:val="24"/>
        </w:rPr>
        <w:t>едвид въздействието на пандемията от COVID-19, в прогнозата на Комисията от пролетта на 2020 г. се предвижда реалният БВП да се свие с 7,0 % през 2020 г.</w:t>
      </w:r>
    </w:p>
    <w:p w:rsidR="004611DD" w:rsidRDefault="000C3100">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прогнозата на Комисията от пролетта на 2020 г. планираното превишение на референтната ст</w:t>
      </w:r>
      <w:r>
        <w:rPr>
          <w:rFonts w:ascii="Times New Roman" w:hAnsi="Times New Roman"/>
          <w:noProof/>
          <w:sz w:val="24"/>
          <w:szCs w:val="24"/>
        </w:rPr>
        <w:t xml:space="preserve">ойност от Договора не е временно. В нея се предвижда дефицитът да остане над 3 % от БВП през 2021 г. </w:t>
      </w:r>
    </w:p>
    <w:p w:rsidR="004611DD" w:rsidRDefault="000C3100">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 обобщение размерът на планирания дефицит за 2020 г. остава по-висок от референтната стойност по Договора от 3 % от БВП и не е близък до нея. Планираното</w:t>
      </w:r>
      <w:r>
        <w:rPr>
          <w:rFonts w:ascii="Times New Roman" w:hAnsi="Times New Roman"/>
          <w:noProof/>
          <w:sz w:val="24"/>
          <w:szCs w:val="24"/>
        </w:rPr>
        <w:t xml:space="preserve"> превишение се счита за изключение, но не за временно отклонение, както е определено в Договора и в Пакта за стабилност и растеж. Следователно анализът показва, че </w:t>
      </w:r>
      <w:r>
        <w:rPr>
          <w:rFonts w:ascii="Times New Roman" w:hAnsi="Times New Roman"/>
          <w:bCs/>
          <w:i/>
          <w:noProof/>
          <w:sz w:val="24"/>
          <w:szCs w:val="24"/>
        </w:rPr>
        <w:t>prima facie</w:t>
      </w:r>
      <w:r>
        <w:rPr>
          <w:rFonts w:ascii="Times New Roman" w:hAnsi="Times New Roman"/>
          <w:noProof/>
          <w:sz w:val="24"/>
          <w:szCs w:val="24"/>
        </w:rPr>
        <w:t xml:space="preserve"> критерият за дефицита, както е определено в Договора и в Регламент (ЕО) № 1467/9</w:t>
      </w:r>
      <w:r>
        <w:rPr>
          <w:rFonts w:ascii="Times New Roman" w:hAnsi="Times New Roman"/>
          <w:noProof/>
          <w:sz w:val="24"/>
          <w:szCs w:val="24"/>
        </w:rPr>
        <w:t>7, не е изпълнен.</w:t>
      </w:r>
    </w:p>
    <w:p w:rsidR="004611DD" w:rsidRDefault="000C3100">
      <w:pPr>
        <w:keepNext/>
        <w:tabs>
          <w:tab w:val="left" w:pos="850"/>
        </w:tabs>
        <w:spacing w:before="360" w:after="120" w:line="240" w:lineRule="auto"/>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3.</w:t>
      </w:r>
      <w:r>
        <w:rPr>
          <w:rFonts w:ascii="Times New Roman" w:hAnsi="Times New Roman"/>
          <w:b/>
          <w:smallCaps/>
          <w:noProof/>
          <w:sz w:val="24"/>
          <w:szCs w:val="24"/>
        </w:rPr>
        <w:tab/>
        <w:t xml:space="preserve">Действащи фактори </w:t>
      </w:r>
    </w:p>
    <w:p w:rsidR="004611DD" w:rsidRDefault="000C3100">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Съгласно член 126, параграф 3 от Договора, ако държава членка не изпълнява изискванията по единия или по двата критерия, Комисията трябва да изготви доклад. Докладът също трябва да вземе предвид дали бюджетният дефицит надвишава държавните инвестиционни ра</w:t>
      </w:r>
      <w:r>
        <w:rPr>
          <w:rFonts w:ascii="Times New Roman" w:hAnsi="Times New Roman"/>
          <w:noProof/>
          <w:sz w:val="24"/>
          <w:szCs w:val="24"/>
        </w:rPr>
        <w:t xml:space="preserve">зходи, както и всички останали действащи фактори, включително средносрочното икономическо и бюджетно състояние на държавата членка. </w:t>
      </w:r>
    </w:p>
    <w:p w:rsidR="004611DD" w:rsidRDefault="000C3100">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Тези фактори са изяснени допълнително в член 2, параграф 3 от Регламент (ЕО) № 1467/97, който предвижда, че се отчитат надл</w:t>
      </w:r>
      <w:r>
        <w:rPr>
          <w:rFonts w:ascii="Times New Roman" w:hAnsi="Times New Roman"/>
          <w:noProof/>
          <w:sz w:val="24"/>
          <w:szCs w:val="24"/>
        </w:rPr>
        <w:t xml:space="preserve">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 </w:t>
      </w:r>
    </w:p>
    <w:p w:rsidR="004611DD" w:rsidRDefault="000C310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настоящата ситуация основен допълн</w:t>
      </w:r>
      <w:r>
        <w:rPr>
          <w:rFonts w:ascii="Times New Roman" w:hAnsi="Times New Roman"/>
          <w:noProof/>
          <w:sz w:val="24"/>
          <w:szCs w:val="24"/>
        </w:rPr>
        <w:t>ителен фактор, който трябва да се вземе под внимание по отношение на 2020 г., е икономическото въздействие на пандемията от COVID-19, която се отразява в значителна степен на състоянието на бюджета и води до твърде несигурни перспективи. Пандемията също та</w:t>
      </w:r>
      <w:r>
        <w:rPr>
          <w:rFonts w:ascii="Times New Roman" w:hAnsi="Times New Roman"/>
          <w:noProof/>
          <w:sz w:val="24"/>
          <w:szCs w:val="24"/>
        </w:rPr>
        <w:t>ка доведе до активирането на общата клауза за дерогация.</w:t>
      </w:r>
    </w:p>
    <w:p w:rsidR="004611DD" w:rsidRDefault="000C3100">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3.1</w:t>
      </w:r>
      <w:r>
        <w:rPr>
          <w:rFonts w:ascii="Times New Roman" w:hAnsi="Times New Roman"/>
          <w:b/>
          <w:noProof/>
          <w:sz w:val="24"/>
          <w:szCs w:val="24"/>
        </w:rPr>
        <w:tab/>
      </w:r>
      <w:r>
        <w:rPr>
          <w:rFonts w:ascii="Times New Roman" w:hAnsi="Times New Roman"/>
          <w:b/>
          <w:noProof/>
          <w:sz w:val="24"/>
          <w:szCs w:val="24"/>
        </w:rPr>
        <w:tab/>
        <w:t xml:space="preserve">Пандемията от COVID-19 </w:t>
      </w:r>
    </w:p>
    <w:p w:rsidR="004611DD" w:rsidRDefault="000C3100">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които се </w:t>
      </w:r>
      <w:r>
        <w:rPr>
          <w:rFonts w:ascii="Times New Roman" w:hAnsi="Times New Roman"/>
          <w:bCs/>
          <w:noProof/>
          <w:sz w:val="24"/>
          <w:szCs w:val="24"/>
        </w:rPr>
        <w:t xml:space="preserve">предприемат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вече приеха или са в процес на приемане на бюджетни мерки</w:t>
      </w:r>
      <w:r>
        <w:rPr>
          <w:rFonts w:ascii="Times New Roman" w:hAnsi="Times New Roman"/>
          <w:noProof/>
          <w:sz w:val="24"/>
          <w:szCs w:val="24"/>
        </w:rPr>
        <w:t xml:space="preserve"> за увеличаване на капацитета на здравните системи и за облекчаване на положението на засегнатите в особена степен лица и сектори. Бяха приети и съществени мерки за подкрепа за ликвидност и други гаранции. При условие че се предостави по-подробна информаци</w:t>
      </w:r>
      <w:r>
        <w:rPr>
          <w:rFonts w:ascii="Times New Roman" w:hAnsi="Times New Roman"/>
          <w:noProof/>
          <w:sz w:val="24"/>
          <w:szCs w:val="24"/>
        </w:rPr>
        <w:t>я, компетентните статистически органи трябва да проучат дали те водят до незабавно въздействие върху салдото по консолидирания държавен бюджет или не. Заедно със спада на икономическата дейност тези мерки ще допринесат за значително повишаване на държавния</w:t>
      </w:r>
      <w:r>
        <w:rPr>
          <w:rFonts w:ascii="Times New Roman" w:hAnsi="Times New Roman"/>
          <w:noProof/>
          <w:sz w:val="24"/>
          <w:szCs w:val="24"/>
        </w:rPr>
        <w:t xml:space="preserve"> дефицит и държавния дълг.</w:t>
      </w:r>
    </w:p>
    <w:p w:rsidR="004611DD" w:rsidRDefault="004611DD">
      <w:pPr>
        <w:spacing w:before="120" w:after="120" w:line="240" w:lineRule="auto"/>
        <w:jc w:val="both"/>
        <w:rPr>
          <w:rFonts w:ascii="Times New Roman" w:hAnsi="Times New Roman" w:cs="Times New Roman"/>
          <w:noProof/>
          <w:sz w:val="24"/>
          <w:szCs w:val="24"/>
        </w:rPr>
      </w:pPr>
    </w:p>
    <w:p w:rsidR="004611DD" w:rsidRDefault="000C3100">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3.2</w:t>
      </w:r>
      <w:r>
        <w:rPr>
          <w:rFonts w:ascii="Times New Roman" w:hAnsi="Times New Roman"/>
          <w:b/>
          <w:noProof/>
          <w:sz w:val="24"/>
          <w:szCs w:val="24"/>
        </w:rPr>
        <w:tab/>
        <w:t xml:space="preserve">Състояние на икономиката в средносрочен план </w:t>
      </w:r>
    </w:p>
    <w:p w:rsidR="004611DD" w:rsidRDefault="000C3100">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Реалният БВП на Латвия е нараснал с 2,2 % през 2019 г. благодарение на стабилното частно потребление, но при забавяне на инвестициите и на растежа на износа. Въз основа на прогно</w:t>
      </w:r>
      <w:r>
        <w:rPr>
          <w:rFonts w:ascii="Times New Roman" w:hAnsi="Times New Roman"/>
          <w:bCs/>
          <w:noProof/>
          <w:sz w:val="24"/>
          <w:szCs w:val="24"/>
        </w:rPr>
        <w:t>зата на Комисията от пролетта на 2020 г. се очаква реалният БВП да намалее с 7 % през 2020 г. заради избухването на епидемията от COVID-19 и свързаните с това ограничителни мерки. Очаква се, че инвестициите и износът да пострадат най-много на фона на затва</w:t>
      </w:r>
      <w:r>
        <w:rPr>
          <w:rFonts w:ascii="Times New Roman" w:hAnsi="Times New Roman"/>
          <w:bCs/>
          <w:noProof/>
          <w:sz w:val="24"/>
          <w:szCs w:val="24"/>
        </w:rPr>
        <w:t>рянето на граници и на намаляващото външно търсене, а потреблението да се понижи в по-малка степен, отколкото в други държави членки. Резкият спад в БВП е смекчаващ фактор, когато се преценява спазването от страна на Латвия на критерия за дефицит през 2020</w:t>
      </w:r>
      <w:r>
        <w:rPr>
          <w:rFonts w:ascii="Times New Roman" w:hAnsi="Times New Roman"/>
          <w:bCs/>
          <w:noProof/>
          <w:sz w:val="24"/>
          <w:szCs w:val="24"/>
        </w:rPr>
        <w:t> г.</w:t>
      </w:r>
    </w:p>
    <w:p w:rsidR="004611DD" w:rsidRDefault="000C3100">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Макроикономическите прогнози са много несигурни, тъй като въздействието на пандемията от COVID-19 ще зависи от продължителността и стриктността на ограничителните мерки. Пандемията може да се задълбочи и да продължи по-дълго, отколкото се предполагаше,</w:t>
      </w:r>
      <w:r>
        <w:rPr>
          <w:rFonts w:ascii="Times New Roman" w:hAnsi="Times New Roman"/>
          <w:bCs/>
          <w:noProof/>
          <w:sz w:val="24"/>
          <w:szCs w:val="24"/>
        </w:rPr>
        <w:t xml:space="preserve"> което изисква по-строги и по-трайни ограничителни мерки. Няма ограничения по отношение на предлагането в производството и строителството. В резултат на това тези сектори могат да се окажат по-устойчиви от предвиденото, ако търсенето се възстанови. Въпреки</w:t>
      </w:r>
      <w:r>
        <w:rPr>
          <w:rFonts w:ascii="Times New Roman" w:hAnsi="Times New Roman"/>
          <w:bCs/>
          <w:noProof/>
          <w:sz w:val="24"/>
          <w:szCs w:val="24"/>
        </w:rPr>
        <w:t xml:space="preserve"> това възстановяването на Съюза може да не бъде толкова солидно, както е прогнозирано, и следователно може да доведе до по-бавно възстановяване в Латвия.</w:t>
      </w:r>
    </w:p>
    <w:p w:rsidR="004611DD" w:rsidRDefault="000C3100">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rFonts w:ascii="Times New Roman" w:hAnsi="Times New Roman"/>
          <w:b/>
          <w:noProof/>
          <w:sz w:val="24"/>
          <w:szCs w:val="24"/>
        </w:rPr>
        <w:tab/>
      </w:r>
      <w:r>
        <w:rPr>
          <w:rFonts w:ascii="Times New Roman" w:hAnsi="Times New Roman"/>
          <w:b/>
          <w:noProof/>
          <w:sz w:val="24"/>
          <w:szCs w:val="24"/>
        </w:rPr>
        <w:tab/>
        <w:t>Състояние на бюджета в средносрочен план</w:t>
      </w:r>
    </w:p>
    <w:p w:rsidR="004611DD" w:rsidRDefault="000C3100">
      <w:pPr>
        <w:spacing w:before="120" w:after="120" w:line="240" w:lineRule="auto"/>
        <w:jc w:val="both"/>
        <w:rPr>
          <w:rFonts w:ascii="Times New Roman" w:hAnsi="Times New Roman" w:cs="Times New Roman"/>
          <w:noProof/>
          <w:sz w:val="24"/>
          <w:szCs w:val="24"/>
          <w:highlight w:val="yellow"/>
        </w:rPr>
      </w:pPr>
      <w:r>
        <w:rPr>
          <w:rFonts w:ascii="Times New Roman" w:hAnsi="Times New Roman"/>
          <w:noProof/>
          <w:sz w:val="24"/>
          <w:szCs w:val="24"/>
        </w:rPr>
        <w:t>През 2019 г. въз основа на данните за изпълнението и про</w:t>
      </w:r>
      <w:r>
        <w:rPr>
          <w:rFonts w:ascii="Times New Roman" w:hAnsi="Times New Roman"/>
          <w:noProof/>
          <w:sz w:val="24"/>
          <w:szCs w:val="24"/>
        </w:rPr>
        <w:t>гнозата на Комисията от пролетта на 2020 г. структурният дефицит на Латвия от 1,7 % от БВП се оценява като близък до средносрочната бюджетна цел от -1,0 % от БВП, като се вземе предвид допуснатото отклонение, свързано с реформата на здравеопазването в разм</w:t>
      </w:r>
      <w:r>
        <w:rPr>
          <w:rFonts w:ascii="Times New Roman" w:hAnsi="Times New Roman"/>
          <w:noProof/>
          <w:sz w:val="24"/>
          <w:szCs w:val="24"/>
        </w:rPr>
        <w:t>ер на 0,5 % от БВП , което показва, че е налице спазване на изискванията на Пакта за стабилност и растеж</w:t>
      </w:r>
      <w:r>
        <w:rPr>
          <w:noProof/>
          <w:sz w:val="24"/>
          <w:szCs w:val="24"/>
        </w:rPr>
        <w:t>.</w:t>
      </w:r>
    </w:p>
    <w:p w:rsidR="004611DD" w:rsidRDefault="000C310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програмата за стабилност се предвижда през 2020 г. държавният дефицит да се влоши до 9,4 %. Очаква се икономическият спад да доведе до намаляване на</w:t>
      </w:r>
      <w:r>
        <w:rPr>
          <w:rFonts w:ascii="Times New Roman" w:hAnsi="Times New Roman"/>
          <w:noProof/>
          <w:sz w:val="24"/>
          <w:szCs w:val="24"/>
        </w:rPr>
        <w:t xml:space="preserve"> държавните данъчни и неданъчни приходи с около 5 % от БВП. Нарастването на броя на безработните и по-голямото търсене на отпуск по болест и на социално подпомагане се очаква да е в размер на около 1 % от БВП. Освен това се очаква мерките за подкрепа на пр</w:t>
      </w:r>
      <w:r>
        <w:rPr>
          <w:rFonts w:ascii="Times New Roman" w:hAnsi="Times New Roman"/>
          <w:noProof/>
          <w:sz w:val="24"/>
          <w:szCs w:val="24"/>
        </w:rPr>
        <w:t>едприятията и домакинствата да доведат до увеличаване на бюджетния дефицит с 3 % от БВП през 2020 г. Мерките за реакция при кризи включват възможности за отлагане на данъци до три години, подкрепата за доходите за работниците при спряно производство и за б</w:t>
      </w:r>
      <w:r>
        <w:rPr>
          <w:rFonts w:ascii="Times New Roman" w:hAnsi="Times New Roman"/>
          <w:noProof/>
          <w:sz w:val="24"/>
          <w:szCs w:val="24"/>
        </w:rPr>
        <w:t>езработните, както и мерки за подкрепа за ликвидност и за подпомагане по сектори. Повечето от мерките за стимулиране се очаква да приключат през 2021 г.</w:t>
      </w:r>
    </w:p>
    <w:p w:rsidR="004611DD" w:rsidRDefault="000C310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Въз основа на прогнозата на Комисията от пролетта се очаква бюджетният дефицит да достигне 7,3 % от БВП</w:t>
      </w:r>
      <w:r>
        <w:rPr>
          <w:rFonts w:ascii="Times New Roman" w:hAnsi="Times New Roman"/>
          <w:noProof/>
          <w:sz w:val="24"/>
          <w:szCs w:val="24"/>
        </w:rPr>
        <w:t xml:space="preserve"> през 2020 г. Това предполага подобен ефект от мерките за стимулиране като този, посочен в програмата за стабилност, но през 2020 г. спадът в заетостта се очаква да бъде по-нисък, както и да бъдат по-ниски автоматичните стабилизатори от разходната страна. </w:t>
      </w:r>
      <w:r>
        <w:rPr>
          <w:rFonts w:ascii="Times New Roman" w:hAnsi="Times New Roman"/>
          <w:noProof/>
          <w:sz w:val="24"/>
          <w:szCs w:val="24"/>
        </w:rPr>
        <w:t xml:space="preserve">Различията в макроикономическите и фискалните прогнози отразяват високата степен на несигурност, свързана с тях. </w:t>
      </w:r>
    </w:p>
    <w:p w:rsidR="004611DD" w:rsidRDefault="000C3100">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3.4</w:t>
      </w:r>
      <w:r>
        <w:rPr>
          <w:rFonts w:ascii="Times New Roman" w:hAnsi="Times New Roman"/>
          <w:b/>
          <w:noProof/>
          <w:sz w:val="24"/>
          <w:szCs w:val="24"/>
        </w:rPr>
        <w:tab/>
        <w:t>Други фактори, изтъкнати от държавата членка</w:t>
      </w:r>
    </w:p>
    <w:p w:rsidR="004611DD" w:rsidRDefault="000C3100">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На 15 май 2020 г. латвийските органи изпратиха писмо със действащите фактори в съответствие с</w:t>
      </w:r>
      <w:r>
        <w:rPr>
          <w:rFonts w:ascii="Times New Roman" w:hAnsi="Times New Roman"/>
          <w:bCs/>
          <w:noProof/>
          <w:sz w:val="24"/>
          <w:szCs w:val="24"/>
        </w:rPr>
        <w:t xml:space="preserve"> разпоредбите в член 2, параграф 3 от Регламент (ЕО) № 1467/97. Анализът, представен в предходните раздели, вече обхваща в голяма степен основните фактори, изложени от органите. По-специално, превишението на бюджетния дефицит над референтната стойност по Д</w:t>
      </w:r>
      <w:r>
        <w:rPr>
          <w:rFonts w:ascii="Times New Roman" w:hAnsi="Times New Roman"/>
          <w:bCs/>
          <w:noProof/>
          <w:sz w:val="24"/>
          <w:szCs w:val="24"/>
        </w:rPr>
        <w:t xml:space="preserve">оговора се дължи изключително на въздействието на породената от COVID- 19 криза. </w:t>
      </w:r>
    </w:p>
    <w:p w:rsidR="004611DD" w:rsidRDefault="000C3100">
      <w:pPr>
        <w:spacing w:before="120" w:after="120" w:line="240" w:lineRule="auto"/>
        <w:jc w:val="both"/>
        <w:rPr>
          <w:rFonts w:ascii="Times New Roman" w:eastAsia="Times New Roman" w:hAnsi="Times New Roman" w:cs="Calibri"/>
          <w:bCs/>
          <w:noProof/>
          <w:sz w:val="24"/>
          <w:szCs w:val="24"/>
          <w:highlight w:val="yellow"/>
        </w:rPr>
      </w:pPr>
      <w:r>
        <w:rPr>
          <w:rFonts w:ascii="Times New Roman" w:hAnsi="Times New Roman"/>
          <w:bCs/>
          <w:noProof/>
          <w:sz w:val="24"/>
          <w:szCs w:val="24"/>
        </w:rPr>
        <w:t xml:space="preserve"> </w:t>
      </w:r>
    </w:p>
    <w:p w:rsidR="004611DD" w:rsidRDefault="000C3100">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szCs w:val="24"/>
        </w:rPr>
        <w:t>4.</w:t>
      </w:r>
      <w:r>
        <w:rPr>
          <w:rFonts w:ascii="Times New Roman" w:hAnsi="Times New Roman"/>
          <w:b/>
          <w:smallCaps/>
          <w:noProof/>
          <w:sz w:val="24"/>
          <w:szCs w:val="24"/>
        </w:rPr>
        <w:tab/>
        <w:t>Заключения</w:t>
      </w:r>
    </w:p>
    <w:p w:rsidR="004611DD" w:rsidRDefault="000C3100">
      <w:pPr>
        <w:spacing w:before="120" w:after="120" w:line="240" w:lineRule="auto"/>
        <w:jc w:val="both"/>
        <w:rPr>
          <w:rFonts w:ascii="Times New Roman" w:eastAsia="Times New Roman" w:hAnsi="Times New Roman" w:cs="Calibri"/>
          <w:bCs/>
          <w:noProof/>
          <w:sz w:val="24"/>
          <w:szCs w:val="24"/>
          <w:highlight w:val="yellow"/>
        </w:rPr>
      </w:pPr>
      <w:r>
        <w:rPr>
          <w:rFonts w:ascii="Times New Roman" w:hAnsi="Times New Roman"/>
          <w:noProof/>
          <w:sz w:val="24"/>
          <w:szCs w:val="24"/>
        </w:rPr>
        <w:t>Съгласно програмата за стабилност е планирано номиналният дефицит по консолидирания държавен бюджет на Латвия през 2020 г. да нарасне до 9,4 % от БВП, т.е. да</w:t>
      </w:r>
      <w:r>
        <w:rPr>
          <w:rFonts w:ascii="Times New Roman" w:hAnsi="Times New Roman"/>
          <w:noProof/>
          <w:sz w:val="24"/>
          <w:szCs w:val="24"/>
        </w:rPr>
        <w:t xml:space="preserve"> бъде по-висок от референтната стойност по Договора от 3 % от БВП и не близък до нея.</w:t>
      </w:r>
      <w:r>
        <w:rPr>
          <w:rFonts w:ascii="Times New Roman" w:hAnsi="Times New Roman"/>
          <w:bCs/>
          <w:noProof/>
          <w:sz w:val="24"/>
          <w:szCs w:val="24"/>
        </w:rPr>
        <w:t xml:space="preserve"> Планираното превишение на референтната стойност се счита за изключение, но не и за временно отклонение. </w:t>
      </w:r>
    </w:p>
    <w:p w:rsidR="004611DD" w:rsidRDefault="000C310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съответствие с Договора и с Пакта за стабилност и растеж в наст</w:t>
      </w:r>
      <w:r>
        <w:rPr>
          <w:rFonts w:ascii="Times New Roman" w:hAnsi="Times New Roman"/>
          <w:noProof/>
          <w:sz w:val="24"/>
          <w:szCs w:val="24"/>
        </w:rPr>
        <w:t xml:space="preserve">оящия доклад бяха разгледани също така и действащите фактори. </w:t>
      </w:r>
    </w:p>
    <w:p w:rsidR="004611DD" w:rsidRDefault="000C310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Като цяло, тъй като планираният дефицит е доста над 3 % от БВП превишението не е временно и като се вземат предвид всички действащи фактори, анализът показва, че критерият за дефицит, определен</w:t>
      </w:r>
      <w:r>
        <w:rPr>
          <w:rFonts w:ascii="Times New Roman" w:hAnsi="Times New Roman"/>
          <w:noProof/>
          <w:sz w:val="24"/>
          <w:szCs w:val="24"/>
        </w:rPr>
        <w:t xml:space="preserve"> в Договора и в Регламент (ЕО) № 1467/1997, не е изпълнен.</w:t>
      </w:r>
    </w:p>
    <w:sectPr w:rsidR="004611D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1DD" w:rsidRDefault="000C3100">
      <w:pPr>
        <w:spacing w:after="0" w:line="240" w:lineRule="auto"/>
      </w:pPr>
      <w:r>
        <w:separator/>
      </w:r>
    </w:p>
  </w:endnote>
  <w:endnote w:type="continuationSeparator" w:id="0">
    <w:p w:rsidR="004611DD" w:rsidRDefault="000C3100">
      <w:pPr>
        <w:spacing w:after="0" w:line="240" w:lineRule="auto"/>
      </w:pPr>
      <w:r>
        <w:continuationSeparator/>
      </w:r>
    </w:p>
  </w:endnote>
  <w:endnote w:type="continuationNotice" w:id="1">
    <w:p w:rsidR="004611DD" w:rsidRDefault="00461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100" w:rsidRPr="000C3100" w:rsidRDefault="000C3100" w:rsidP="000C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100" w:rsidRPr="000C3100" w:rsidRDefault="000C3100" w:rsidP="000C3100">
    <w:pPr>
      <w:pStyle w:val="FooterCoverPage"/>
      <w:rPr>
        <w:rFonts w:ascii="Arial" w:hAnsi="Arial" w:cs="Arial"/>
        <w:b/>
        <w:sz w:val="48"/>
      </w:rPr>
    </w:pPr>
    <w:r w:rsidRPr="000C3100">
      <w:rPr>
        <w:rFonts w:ascii="Arial" w:hAnsi="Arial" w:cs="Arial"/>
        <w:b/>
        <w:sz w:val="48"/>
      </w:rPr>
      <w:t>BG</w:t>
    </w:r>
    <w:r w:rsidRPr="000C3100">
      <w:rPr>
        <w:rFonts w:ascii="Arial" w:hAnsi="Arial" w:cs="Arial"/>
        <w:b/>
        <w:sz w:val="48"/>
      </w:rPr>
      <w:tab/>
    </w:r>
    <w:r w:rsidRPr="000C3100">
      <w:rPr>
        <w:rFonts w:ascii="Arial" w:hAnsi="Arial" w:cs="Arial"/>
        <w:b/>
        <w:sz w:val="48"/>
      </w:rPr>
      <w:tab/>
    </w:r>
    <w:r w:rsidRPr="000C3100">
      <w:tab/>
    </w:r>
    <w:r w:rsidRPr="000C3100">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100" w:rsidRPr="000C3100" w:rsidRDefault="000C3100" w:rsidP="000C310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DD" w:rsidRDefault="004611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DD" w:rsidRDefault="000C3100">
    <w:pPr>
      <w:pStyle w:val="Footer"/>
      <w:jc w:val="center"/>
    </w:pPr>
    <w:r>
      <w:fldChar w:fldCharType="begin"/>
    </w:r>
    <w:r>
      <w:instrText xml:space="preserve"> PAGE   \* MERGEFORMAT </w:instrText>
    </w:r>
    <w:r>
      <w:fldChar w:fldCharType="separate"/>
    </w:r>
    <w:r>
      <w:rPr>
        <w:noProof/>
      </w:rPr>
      <w:t>1</w:t>
    </w:r>
    <w:r>
      <w:fldChar w:fldCharType="end"/>
    </w:r>
  </w:p>
  <w:p w:rsidR="004611DD" w:rsidRDefault="004611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DD" w:rsidRDefault="0046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1DD" w:rsidRDefault="000C3100">
      <w:pPr>
        <w:spacing w:after="0" w:line="240" w:lineRule="auto"/>
      </w:pPr>
      <w:r>
        <w:separator/>
      </w:r>
    </w:p>
  </w:footnote>
  <w:footnote w:type="continuationSeparator" w:id="0">
    <w:p w:rsidR="004611DD" w:rsidRDefault="000C3100">
      <w:pPr>
        <w:spacing w:after="0" w:line="240" w:lineRule="auto"/>
      </w:pPr>
      <w:r>
        <w:continuationSeparator/>
      </w:r>
    </w:p>
  </w:footnote>
  <w:footnote w:type="continuationNotice" w:id="1">
    <w:p w:rsidR="004611DD" w:rsidRDefault="004611DD">
      <w:pPr>
        <w:spacing w:after="0" w:line="240" w:lineRule="auto"/>
      </w:pPr>
    </w:p>
  </w:footnote>
  <w:footnote w:id="2">
    <w:p w:rsidR="004611DD" w:rsidRDefault="000C3100">
      <w:pPr>
        <w:pStyle w:val="FootnoteText"/>
      </w:pPr>
      <w:r>
        <w:rPr>
          <w:rStyle w:val="FootnoteReference"/>
        </w:rPr>
        <w:footnoteRef/>
      </w:r>
      <w:r>
        <w:t xml:space="preserve"> </w:t>
      </w:r>
      <w:hyperlink r:id="rId1" w:history="1">
        <w:r>
          <w:rPr>
            <w:rStyle w:val="Hyperlink"/>
          </w:rPr>
          <w:t>https://ec.europa.eu/eurostat/documents/2995521/10294648/2-22042020-AP-EN.pdf/6c8f0ef4-6221-1094-fef7-a07764b0369f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100" w:rsidRPr="000C3100" w:rsidRDefault="000C3100" w:rsidP="000C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100" w:rsidRPr="000C3100" w:rsidRDefault="000C3100" w:rsidP="000C310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100" w:rsidRPr="000C3100" w:rsidRDefault="000C3100" w:rsidP="000C310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DD" w:rsidRDefault="00461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DD" w:rsidRDefault="00461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DD" w:rsidRDefault="0046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15:restartNumberingAfterBreak="0">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15:restartNumberingAfterBreak="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15:restartNumberingAfterBreak="0">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15:restartNumberingAfterBreak="0">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15:restartNumberingAfterBreak="0">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15:restartNumberingAfterBreak="0">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15:restartNumberingAfterBreak="0">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15:restartNumberingAfterBreak="0">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15:restartNumberingAfterBreak="0">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20) 549 final of 20.5.2020._x000b_Concerns all the linguistic versions except English, French, German and Latvian._x000b_Modification of the document\u8217?s marking on the cover page._x000b_The text shall read as follows:"/>
    <w:docVar w:name="LW_COVERPAGE_EXISTS" w:val="True"/>
    <w:docVar w:name="LW_COVERPAGE_GUID" w:val="08D00F05-4350-4039-BD7E-8171120CCBBF"/>
    <w:docVar w:name="LW_COVERPAGE_TYPE" w:val="1"/>
    <w:docVar w:name="LW_CROSSREFERENCE" w:val="&lt;UNUSED&gt;"/>
    <w:docVar w:name="LW_DocType" w:val="NORMAL"/>
    <w:docVar w:name="LW_EMISSION" w:val="4.6.2020"/>
    <w:docVar w:name="LW_EMISSION_ISODATE" w:val="2020-06-04"/>
    <w:docVar w:name="LW_EMISSION_LOCATION" w:val="BRX"/>
    <w:docVar w:name="LW_EMISSION_PREFIX" w:val="\u1041?\u1088?\u1102?\u1082?\u1089?\u1077?\u1083?,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2"/>
    <w:docVar w:name="LW_REF.INST.NEW_TEXT" w:val="(2020) 5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51?\u1072?\u1090?\u1074?\u1080?\u1103?_x000b_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w:rsids>
    <w:rsidRoot w:val="004611DD"/>
    <w:rsid w:val="000C3100"/>
    <w:rsid w:val="004611DD"/>
    <w:rsid w:val="005C64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5:docId w15:val="{B75B08F0-D5DE-4645-872A-6882F25A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41772581">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7183265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77DA-E3F6-407A-AF0E-C390B7DC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1716</Words>
  <Characters>9117</Characters>
  <Application>Microsoft Office Word</Application>
  <DocSecurity>0</DocSecurity>
  <Lines>193</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PAGANELI Erifili (SG)</cp:lastModifiedBy>
  <cp:revision>36</cp:revision>
  <cp:lastPrinted>2019-05-13T14:09:00Z</cp:lastPrinted>
  <dcterms:created xsi:type="dcterms:W3CDTF">2020-05-18T14:51:00Z</dcterms:created>
  <dcterms:modified xsi:type="dcterms:W3CDTF">2020-06-04T09:10:00Z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