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D4BB411-FDDC-43DC-9297-0C15E4C59A51"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Словакия за 2020 г. и съдържаща становище на Съвета относно програмата за стабилност на Словакия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също прие Доклада за механизма за предупреждение, в който Словакия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Словакия за 2020 г.</w:t>
      </w:r>
      <w:r>
        <w:rPr>
          <w:rStyle w:val="FootnoteReference"/>
          <w:noProof/>
        </w:rPr>
        <w:footnoteReference w:id="2"/>
      </w:r>
      <w:r>
        <w:rPr>
          <w:noProof/>
        </w:rPr>
        <w:t xml:space="preserve"> беше публикуван на 26 февруари 2020 г. В него бе оценен напредъкът на Словакия в изпълнението на специфичните за държавата препоръки, приети от Съвета на</w:t>
      </w:r>
      <w:r>
        <w:rPr>
          <w:noProof/>
          <w:color w:val="FF0000"/>
        </w:rPr>
        <w:t xml:space="preserve"> </w:t>
      </w:r>
      <w:r>
        <w:rPr>
          <w:noProof/>
        </w:rPr>
        <w:t>9 юли 2019 г.</w:t>
      </w:r>
      <w:r>
        <w:rPr>
          <w:rStyle w:val="FootnoteReference"/>
          <w:noProof/>
        </w:rPr>
        <w:footnoteReference w:id="3"/>
      </w:r>
      <w:r>
        <w:rPr>
          <w:noProof/>
        </w:rPr>
        <w:t xml:space="preserve">, последващите действия във връзка с препоръките, отправени към Словакия през предходните години, както и напредъкът на страната по националните ѝ цели по стратегията „Европа 2020“. </w:t>
      </w:r>
    </w:p>
    <w:p>
      <w:pPr>
        <w:pStyle w:val="ManualConsidrant"/>
        <w:rPr>
          <w:noProof/>
          <w:szCs w:val="24"/>
        </w:rPr>
      </w:pPr>
      <w:r>
        <w:rPr>
          <w:noProof/>
        </w:rPr>
        <w:lastRenderedPageBreak/>
        <w:t>(3)</w:t>
      </w:r>
      <w:r>
        <w:rPr>
          <w:noProof/>
        </w:rPr>
        <w:tab/>
        <w:t>На 11 март 2020 г. Световната здравна организация обяви официално разпространението на COVID-19 за световна пандемия.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4"/>
      </w:r>
      <w:r>
        <w:rPr>
          <w:noProof/>
        </w:rPr>
        <w:t xml:space="preserve">, в което се призовава за координирани икономически мерки в отговор на кризата, включващи всички участници на национално равнище и на равнището на Съюза. </w:t>
      </w:r>
    </w:p>
    <w:p>
      <w:pPr>
        <w:pStyle w:val="ManualConsidrant"/>
        <w:rPr>
          <w:noProof/>
        </w:rPr>
      </w:pPr>
      <w:r>
        <w:rPr>
          <w:noProof/>
        </w:rPr>
        <w:t>(4)</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от Пакта за стабилност и растеж</w:t>
      </w:r>
      <w:r>
        <w:rPr>
          <w:rStyle w:val="FootnoteReference"/>
          <w:noProof/>
        </w:rPr>
        <w:footnoteReference w:id="5"/>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 </w:t>
      </w:r>
    </w:p>
    <w:p>
      <w:pPr>
        <w:pStyle w:val="ManualConsidrant"/>
        <w:rPr>
          <w:i/>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w:t>
      </w:r>
      <w:r>
        <w:rPr>
          <w:noProof/>
        </w:rPr>
        <w:lastRenderedPageBreak/>
        <w:t>и икономики, както и към устойчивия растеж, като наред с другото се интегрират зеленият преход и цифровата трансформация и се извадят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готовност за действие при кризи в здравния сектор,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съфинансиране от бюджета на Съюза в размер на 100 %. Словакия се насърчава да използва пълноценно тези възможности, за да помогне на лицата и секторите, които са най-силно засегнати от предизвикателствата.</w:t>
      </w:r>
    </w:p>
    <w:p>
      <w:pPr>
        <w:pStyle w:val="ManualConsidrant"/>
        <w:rPr>
          <w:noProof/>
        </w:rPr>
      </w:pPr>
      <w:r>
        <w:rPr>
          <w:noProof/>
        </w:rPr>
        <w:t>(9)</w:t>
      </w:r>
      <w:r>
        <w:rPr>
          <w:noProof/>
        </w:rPr>
        <w:tab/>
        <w:t>Може да се очаква социално-икономическите последици от пандемията да бъдат неравномерно разпределени между регионите поради различните модели на специализация и пропуските в инфраструктурата. Това води до значителен риск от увеличаване на регионалните различия в Словакия, по-специално между столицата и Западна Словакия, от една страна, и Източна и Югоизточна Словакия, от друга страна.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18 май 2020 г. Словакия представи своята национална програма за реформи за 2020 г. и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Спрямо Словакия понастоящем се прилагат предпазните мерки на Пакта за стабилност и растеж. </w:t>
      </w:r>
    </w:p>
    <w:p>
      <w:pPr>
        <w:pStyle w:val="ManualConsidrant"/>
        <w:rPr>
          <w:noProof/>
        </w:rPr>
      </w:pPr>
      <w:r>
        <w:rPr>
          <w:noProof/>
        </w:rPr>
        <w:lastRenderedPageBreak/>
        <w:t>(12)</w:t>
      </w:r>
      <w:r>
        <w:rPr>
          <w:noProof/>
        </w:rPr>
        <w:tab/>
        <w:t>На 13 юли 2018 г. Съветът препоръча на Словакия да гарантира, че номиналният темп на растеж на нетните първични държавни разходи</w:t>
      </w:r>
      <w:r>
        <w:rPr>
          <w:rStyle w:val="FootnoteReference"/>
          <w:noProof/>
        </w:rPr>
        <w:footnoteReference w:id="7"/>
      </w:r>
      <w:r>
        <w:rPr>
          <w:noProof/>
        </w:rPr>
        <w:t xml:space="preserve"> не надвишава 4,1 % през 2019 г., което съответства на годишна корекция на структурното салдо от 0,5 % от БВП. Цялостната оценка на Комисията от пролетта на 2019 г. потвърждава значително отклонение от препоръчания план за корекции за постигане на средносрочната структурна цел през 2019 г. и през 2018 и 2019 г. взети заедно. С оглед на активирането на общата клауза за дерогация обаче не е оправдано предприемането на по-нататъшни стъпки в рамките на процедурата при значително отклонение за Словакия.</w:t>
      </w:r>
    </w:p>
    <w:p>
      <w:pPr>
        <w:pStyle w:val="ManualConsidrant"/>
        <w:rPr>
          <w:noProof/>
        </w:rPr>
      </w:pPr>
      <w:r>
        <w:rPr>
          <w:noProof/>
        </w:rPr>
        <w:t>(13)</w:t>
      </w:r>
      <w:r>
        <w:rPr>
          <w:noProof/>
        </w:rPr>
        <w:tab/>
        <w:t xml:space="preserve">В своята програма за стабилност за 2020 г. правителството планира влошаване на номиналното салдо от дефицит в размер на 1,3 % от БВП през 2019 г. до дефицит от 8,4 % от БВП през 2020 г. Предвижда се дефицитът да намалее до 4,9 % от БВП през 2021 г., до 3,7 % от БВП през 2022 г. и да достигне 2,9 % от БВП до 2023 г. След спада до 48 % от БВП през 2019 г. съотношението на консолидирания държавен дълг към БВП се очаква да нарасне до 61,2 % през 2020 г. съгласно програмата за стабилност за 2020 г. Макроикономическата и фискалната перспектива са засегнати заради високата степен на несигурност, свързана с пандемията от COVID-19. </w:t>
      </w:r>
    </w:p>
    <w:p>
      <w:pPr>
        <w:pStyle w:val="ManualConsidrant"/>
        <w:rPr>
          <w:noProof/>
        </w:rPr>
      </w:pPr>
      <w:r>
        <w:rPr>
          <w:noProof/>
        </w:rPr>
        <w:t>(14)</w:t>
      </w:r>
      <w:r>
        <w:rPr>
          <w:noProof/>
        </w:rPr>
        <w:tab/>
        <w:t>В отговор на пандемията от COVID-19 и в рамките на координирания подход на Съюза Словакия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Според програмата за стабилност за 2020 г. тези бюджетни мерки възлизат на 2,6 % от БВП. Мерките включват компенсиране на възнагражденията, за служителите, обезщетения за самостоятелно заетите лица, схеми за обезщетения за болест и полагане на грижи, както и закупуване на медицински стоки, свързани с пандемията от COVID-19. Освен това Словакия обяви мерки, които, макар и да нямат пряко отражение върху бюджета, ще допринесат за подкрепа за ликвидност за предприятията, която програмата за стабилност за 2020 г. оценява на 3 % от БВП. Тези мерки включват отсрочване за данъците върху дохода и за социалноосигурителни вноски, когато приходите са намалели с повече от 40 % (1,4 % от БВП) и гаранции по заеми (1,6 % от БВП). Като цяло мерките, предприети от Словакия, са в съответствие с насоките, изложени в съобщението на Комисията за координирани икономически мерки в отговор на пандемията от COVID-19. Пълното прилагане на тези мерки, последвано от пренасочване на фискалните политики към постигането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w:t>
      </w:r>
    </w:p>
    <w:p>
      <w:pPr>
        <w:pStyle w:val="ManualConsidrant"/>
        <w:rPr>
          <w:noProof/>
        </w:rPr>
      </w:pPr>
      <w:r>
        <w:rPr>
          <w:noProof/>
        </w:rPr>
        <w:t>(15)</w:t>
      </w:r>
      <w:r>
        <w:rPr>
          <w:noProof/>
        </w:rPr>
        <w:tab/>
        <w:t xml:space="preserve">Според прогнозата на Комисията от пролетта на 2020 г. при непроменени политики салдото на консолидирания държавен бюджет на Словакия се очаква да бъде -8,5 % от БВП през 2020 г. и -4,2 % през 2021 г. Съотношението на </w:t>
      </w:r>
      <w:r>
        <w:rPr>
          <w:noProof/>
        </w:rPr>
        <w:lastRenderedPageBreak/>
        <w:t>консолидирания държавен дълг към БВП се очаква да остане под 60 % от БВП през 2020 и 2021 г.</w:t>
      </w:r>
    </w:p>
    <w:p>
      <w:pPr>
        <w:pStyle w:val="ManualConsidrant"/>
        <w:rPr>
          <w:noProof/>
        </w:rPr>
      </w:pPr>
      <w:r>
        <w:rPr>
          <w:noProof/>
        </w:rPr>
        <w:t>(16)</w:t>
      </w:r>
      <w:r>
        <w:rPr>
          <w:noProof/>
        </w:rPr>
        <w:tab/>
        <w:t>На 20 май 2020 г. Комисията публикува доклад, изготвен в съответствие с член 126, параграф 3 от Договора поради планираното от Словакия нарушение на прага от 3 % от БВП за дефицит през 2020 г. Като цяло анализът показва, че критерият за дефицит, както е определен в Договора и в Регламент (ЕО) № 1467/1997, не е изпълнен.</w:t>
      </w:r>
    </w:p>
    <w:p>
      <w:pPr>
        <w:pStyle w:val="ManualConsidrant"/>
        <w:rPr>
          <w:noProof/>
          <w:szCs w:val="24"/>
        </w:rPr>
      </w:pPr>
      <w:r>
        <w:rPr>
          <w:noProof/>
        </w:rPr>
        <w:t>(17)</w:t>
      </w:r>
      <w:r>
        <w:rPr>
          <w:noProof/>
        </w:rPr>
        <w:tab/>
        <w:t>След избухването на епидемията от COVID-19 Словакия предприе бързи и безпрецедентни мерки за спиране и предотвратяване на по-нататъшното разпространение на вируса. След регистрирането на първия случай на 6 март 2020 г., тя обяви извънредно положение, считано от 12 март 2020 г., и въведе строги изисквания за социално дистанциране, карантина и санитарни правила, както и ограничения за пътуване. Магазините бяха затворени, а производството във важни икономически сектори беше спряно в продължение на няколко седмици, докато правителството започне постепенно разхлабване на ограниченията от края на април 2020 г. Вследствие на това се очаква икономиката на Словакия да навлезе в дълбока рецесия през 2020 г., тъй като са засегнати частното потребление, инвестициите и търговията. Очаква се тя да намалее рязко с 6,7 % през 2020 г., а безработицата се очаква да достигне 8,8 % през 2020 г. спрямо 5,8 % през 2019 г. Словакия отговори като прие няколко набора от мерки за смекчаване на неблагоприятните последици от кризата, включително чрез преразпределяне на неизползвани средства по линия на политиката на сближаване в размер на 1,2 милиарда евро. Мерките включват схеми за въвеждане на непълно работно време с компенсиране на възнагражденията, подпомагане на доходите на служителите чрез обезщетения за болест и полагане на грижи, както и предоставяне на обезщетения за самостоятелно заетите лица с цел компенсиране на загубата на доходи. Допълнителни мерки за подкрепа за ликвидност за предприятията и самостоятелно заетите лица включват банкови заеми, отсрочване на данъци и разсрочване на социалноосигурителните вноски, както и предоставяне на банкови гаранции и изгодни схеми за лихви. Схемата за отпускане на заеми за малки и средни предприятия (МСП) с първоначално разпределени средства в размер на 38 милиони евро ще бъде увеличена с 330 милиона евро от неизползвани средства по линия на фондове на Съюза и национална схема в размер на 500 милиона евро. Други мерки включват прекъсване на данъчните ревизии и задължения за авансови плащания на данъците, отлагане на плащането на наема за предприятия и физически лица.</w:t>
      </w:r>
    </w:p>
    <w:p>
      <w:pPr>
        <w:pStyle w:val="ManualConsidrant"/>
        <w:rPr>
          <w:noProof/>
        </w:rPr>
      </w:pPr>
      <w:r>
        <w:rPr>
          <w:noProof/>
        </w:rPr>
        <w:t>(18)</w:t>
      </w:r>
      <w:r>
        <w:rPr>
          <w:noProof/>
        </w:rPr>
        <w:tab/>
        <w:t xml:space="preserve">Пандемията от COVID-19 изостри необходимостта Словакия да продължи да работи за преодоляване на структурните предизвикателства в здравната си система. Необходими са допълнителни инвестиции за подобряване на нейната устойчивост, за намаляване на недостига на работна сила в здравния сектор и за осигуряване на подходящи доставки на медицински продукти и инфраструктура от критично значение. Успоредно с усилията за осигуряване на адекватно предлагане на здравни работници в бъдеще, ефективните политики биха могли да намалят географските различия по отношение на наличието на лекари и да осигурят достъп до грижи за цялото население. Модернизирането на болничната мрежа и преодоляването на структурното недостатъчно финансиране на обществените болници са от ключово значение за повишаване на качеството и на разходната ефективност на здравните услуги. Предоставянето на първична </w:t>
      </w:r>
      <w:r>
        <w:rPr>
          <w:noProof/>
        </w:rPr>
        <w:lastRenderedPageBreak/>
        <w:t>медицинска помощ трябва да бъде засилено с цел намаляване на натиска върху болниците и подобряване на управлението на хроничните заболявания, както и засилването координацията между различните нива и видове грижи. Особено безпокойство буди недостатъчният достъп до качествени и достъпни дългосрочни грижи поради общото недостатъчно финансиране на обществените и домашните услуги за полагане на грижи, фрагментираното управление и липсата на системна координация на социалните и здравните услуги.</w:t>
      </w:r>
    </w:p>
    <w:p>
      <w:pPr>
        <w:pStyle w:val="ManualConsidrant"/>
        <w:rPr>
          <w:noProof/>
        </w:rPr>
      </w:pPr>
      <w:r>
        <w:rPr>
          <w:noProof/>
        </w:rPr>
        <w:t>(19)</w:t>
      </w:r>
      <w:r>
        <w:rPr>
          <w:noProof/>
        </w:rPr>
        <w:tab/>
        <w:t xml:space="preserve">Породената от COVID-19 криза изостри вече съществуващите трудности в социалната сфера в Словакия. Тя създаде спешна необходимост от осигуряване на подходящи заместващи доходи за работниците, в тясно сътрудничество със социалните партньори. За да се намали въздействието на кризата върху заетостта, бяха задействани схеми за работа при непълно работно време с участието на фондовете на Съюза. Според прогнозата на Комисията безработицата се очаква да нарасне до 8,8 % през 2020 г. и да се възстанови до 7,1 % през 2021 г. Въпреки известно облекчение през 2018 г. системата за обезщетения за безработица в Словакия се характеризира със строги изисквания за допустимост, относително кратка продължителност на обезщетенията (общо правило от шест месеца, като този срок бе удължен малко по време на кризата) и ниски коефициенти на заместване на дохода за бенефициерите. Някои групи са особено уязвими по отношение на кризата и е вероятно да имат ограничен достъп до услуги за социална закрила и грижи, включително маргинализирани ромски общности, които често също нямат достъп до основни услуги, възрастни хора и хора с ниска квалификация. </w:t>
      </w:r>
    </w:p>
    <w:p>
      <w:pPr>
        <w:pStyle w:val="ManualConsidrant"/>
        <w:rPr>
          <w:noProof/>
        </w:rPr>
      </w:pPr>
      <w:r>
        <w:rPr>
          <w:noProof/>
        </w:rPr>
        <w:t>(20)</w:t>
      </w:r>
      <w:r>
        <w:rPr>
          <w:noProof/>
        </w:rPr>
        <w:tab/>
        <w:t>Кризата увеличи необходимостта от развитие на цифровите умения на населението, включително на тези на учителите, както и необходимостта от разширяване на широколентовата свързаност, тъй като много ученици все още са без връзка с интернет или не разполагат и с други необходими условия за учене у дома, по-специално в маргинализираните ромски общности. Продължават да съществуват предизвикателства, свързани с равния достъп до качествено и приобщаващо образование, тъй като основните умения и общите резултати на учениците са силно засегнати от социално-икономическия им произход. Налице са ясно изразени разлики между училищата и регионите, които са отразени и в високия процент на преждевременно напусналите системата на образованието и обучението, по-специално в Източна Словакия. Привлекателността на учителската професия и качеството на първоначалната подготовка на учителите остават ниски. Освен това процентът на децата, записани в заведения за образование и грижи в ранна детска възраст, особено при децата под три години, е най-ниският в ЕС, което има допълнително отрицателно въздействие върху резултатите от образованието.</w:t>
      </w:r>
    </w:p>
    <w:p>
      <w:pPr>
        <w:pStyle w:val="ManualConsidrant"/>
        <w:rPr>
          <w:noProof/>
        </w:rPr>
      </w:pPr>
      <w:r>
        <w:rPr>
          <w:noProof/>
        </w:rPr>
        <w:t>(21)</w:t>
      </w:r>
      <w:r>
        <w:rPr>
          <w:noProof/>
        </w:rPr>
        <w:tab/>
        <w:t xml:space="preserve">Породената от COVID-19 криза превърна бързото разгръщане на подкрепата за ликвидност за предприятията в неотложен приоритет за Словакия чрез добре насочени заеми и гаранции, с акцент върху МСП, като се използва новата гъвкавост, предоставена от временната рамка за държавна помощ за подпомагане на икономиката и преразпределяне на средства по линия на фондовете на политиката на сближаване. Подходящите гаранции за риска, съчетани с ниските лихвени проценти и дългите срокове до падежа, могат да спомогнат за гарантиране на бързото предоставяне на заеми от посредници и за възприемането им от страна на предприятията. В процеса на изготвяне и на прилагане на тези мерки трябва да се вземе предвид устойчивостта на банковия </w:t>
      </w:r>
      <w:r>
        <w:rPr>
          <w:noProof/>
        </w:rPr>
        <w:lastRenderedPageBreak/>
        <w:t>сектор. Разрешаването на разсрочването на плащанията на данъци и на социалноосигурителни вноски може допълнително да спомогне за облекчаване на краткосрочните ликвидни затруднения, пред които са изправени МСП и самостоятелно заетите лица. В средносрочен план борбата с укриването на данъци и подобряването на спазването на данъчното законодателство остават приоритети за Словакия като средство за гарантиране на устойчивостта на публичните финанси и за насърчаване на еднакви условия на конкуренция, улесняващи икономическото възстановяване. За да се гарантират надеждни баланси на паричните потоци за МСП, е важно публичните органи и предприятията да бъдат инструктирани на всички равнища да ускорят плащането на фактурите на своите доставчици.</w:t>
      </w:r>
    </w:p>
    <w:p>
      <w:pPr>
        <w:pStyle w:val="ManualConsidrant"/>
        <w:rPr>
          <w:noProof/>
        </w:rPr>
      </w:pPr>
      <w:r>
        <w:rPr>
          <w:noProof/>
        </w:rPr>
        <w:t>(22)</w:t>
      </w:r>
      <w:r>
        <w:rPr>
          <w:noProof/>
        </w:rPr>
        <w:tab/>
        <w:t xml:space="preserve">Насърчаването на благоприятна бизнес среда и подобряването на качеството на публичните услуги са от решаващо значение за възстановяването и за създаването на по-благоприятен инвестиционен климат. За да се гарантира ефективността на мерките за възстановяване, е важно да се намали ненужната административна тежест и да се опростят процедурите, включително чрез ефективно използване на „обслужване на едно гише“ за предприятията. Цялостната ефективност на публичните институции и на администрацията на Словакия продължава да бъде ниска. Тя може да бъде подобрена чрез по-нататъшна цифровизация, по-добра координация и планиране на цифровата инфраструктура и разработване на софтуер. По-нататъшните усилия за реформа биха могли да подобрят координацията на разработването на политики, изготвянето на нормативни актове и да осигурят висока ефективност на държавната служба и на управлението на човешките ресурси. За да се засили устойчивостта на икономиката, Словакия би спечелила от увеличаване на иновационния капацитет на предприятията, особено на МСП, чрез преодоляване на фрагментираното управление на екосистемата за научни изследвания и иновации. По-доброто сътрудничество между предприятията, научните изследвания, академичните среди и публичния сектор може да подпомогне обмена на знания и умения и да помогне на предприятията да въвеждат иновации и да развиват нови работни и производствени възможности. </w:t>
      </w:r>
    </w:p>
    <w:p>
      <w:pPr>
        <w:pStyle w:val="ManualConsidrant"/>
        <w:rPr>
          <w:noProof/>
        </w:rPr>
      </w:pPr>
      <w:r>
        <w:rPr>
          <w:noProof/>
        </w:rPr>
        <w:t>(23)</w:t>
      </w:r>
      <w:r>
        <w:rPr>
          <w:noProof/>
        </w:rPr>
        <w:tab/>
        <w:t xml:space="preserve">За да се насърчи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съответни реформи. Предоставянето на възможност на по-слабо развитите региони да наваксат и да станат по-основани на знанието, конкурентоспособни и продуктивни, са необходими повече стратегически инвестиции в Словакия, особено с цел развитието на инфраструктура, включително цифрови и други ключови услуги, и подобряването на транспортните мрежи. Пандемията от COVID-19 изостри съществуващите пропуски в цифровата инфраструктура. Разширяването на покритието и скоростта на широколентовия достъп ще позволи по-равнопоставен и по-добър достъп до интернет. Образователната система на Словакия и пазарът на труда биха могли да бъдат подобрени, като се положат усилия за осигуряване на по-добър набор от умения на населението в контекста на променящата се икономика и общество, включително чрез учене през целия живот, засилено сътрудничество между бизнеса и образованието на всички равнища и по-добро свързване на програмите за обучение и преквалификация с настоящите и бъдещите нужди на пазара на труда. </w:t>
      </w:r>
    </w:p>
    <w:p>
      <w:pPr>
        <w:pStyle w:val="ManualConsidrant"/>
        <w:rPr>
          <w:noProof/>
        </w:rPr>
      </w:pPr>
      <w:r>
        <w:rPr>
          <w:noProof/>
        </w:rPr>
        <w:lastRenderedPageBreak/>
        <w:t>(24)</w:t>
      </w:r>
      <w:r>
        <w:rPr>
          <w:noProof/>
        </w:rPr>
        <w:tab/>
        <w:t>През следващите години възстановяването на икономическия растеж ще изисква политически усилия и целеви инвестиции, за да може Словакия да се възползва от възможностите за създаване на по-устойчива икономика с и по-висока добавена стойност. Тези усилия следва да отчитат регионалните различия. Установените в плана на Словакия в областта на енергетиката и климата приоритетни сектори, които изкисват допълнителни усилия, включват намаляване на енергийната интензивност на промишлеността, подкрепа за решения за енергийна ефективност, по-специално за домакинствата, и инвестиции в енергия от възобновяеми източници. Една по-благоприятна регулаторна среда би могла да спомогне за увеличаването на дела на възобновяемите енергийни източници в енергийните доставки. Словакия ще се възползва от ускоряването на изпълнението на плана за действие за преобразуването на Horná Nitra, като преориентира средствата към решения за целия регион и ще се възползва от възможността за напредък по отношение на постепенното прекратяване на използването на въглища. Намаляването на замърсяването на въздуха, причинено от изгарянето на твърди горива и увеличаващите се емисии от транспорта, подобряването на системата за управление на отпадъците с новаторски решения за събиране и пречистване, завършването на мрежите за питейна вода и канализация за решаване на санитарните проблеми, подпомагането на проекти за интелигентни мрежи и преминаването към неутрална по отношение на климата и кръгова икономика могат да помогнат за това Словакия да поеме по пътя на устойчивия икономически растеж. Програмирането на Фонда за справедлив преход за периода 2021—2027 г. би могло да помогне на Словакия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w:t>
      </w:r>
      <w:r>
        <w:rPr>
          <w:rStyle w:val="FootnoteReference"/>
          <w:noProof/>
        </w:rPr>
        <w:footnoteReference w:id="8"/>
      </w:r>
      <w:r>
        <w:rPr>
          <w:noProof/>
        </w:rPr>
        <w:t>. Това би позволило на Словакия да използва този фонд по най-добрия начин.</w:t>
      </w:r>
    </w:p>
    <w:p>
      <w:pPr>
        <w:pStyle w:val="ManualConsidrant"/>
        <w:rPr>
          <w:noProof/>
        </w:rPr>
      </w:pPr>
      <w:r>
        <w:rPr>
          <w:noProof/>
        </w:rPr>
        <w:t>(25)</w:t>
      </w:r>
      <w:r>
        <w:rPr>
          <w:noProof/>
        </w:rPr>
        <w:tab/>
        <w:t>Новите тенденции в международната организирана престъпност, включително злоупотребата с правни субекти за целите на изпирането на пари, оказват натиск върху Словакия да подобри рамката си за борба с изпирането на пари с цел предотвратяване и борба с икономическата престъпност. Разбирането на излагането на риск продължава да бъде ниско, въпреки амбициозните планове на правителството за засилване на предотвратяването, разследването и наказателното преследване на изпирането на пари. Ограничените човешки ресурси и обучение възпрепятстват ефективния надзор на специалистите, участващи в учредяването на предприятия. Стъпките, предприети в рамките на плана за действие на правителството, все още не са предоставили инструментите за ефективно идентифициране и наказателно преследване на престъпленията, свързани с изпирането на пари, както и за конфискация на активи.</w:t>
      </w:r>
    </w:p>
    <w:p>
      <w:pPr>
        <w:pStyle w:val="ManualConsidrant"/>
        <w:rPr>
          <w:noProof/>
        </w:rPr>
      </w:pPr>
      <w:r>
        <w:rPr>
          <w:noProof/>
        </w:rPr>
        <w:t>(26)</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тяхното изпълнение ще продължи да бъде наблюдавано през целия годишен цикъл на европейския семестър през следващата година. Това се отнася и до препоръките </w:t>
      </w:r>
      <w:r>
        <w:rPr>
          <w:noProof/>
        </w:rPr>
        <w:lastRenderedPageBreak/>
        <w:t xml:space="preserve">относно икономическите политики, свързани с инвестициите. Въпросните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преустановяване на мерките във връзка с настоящата криза. </w:t>
      </w:r>
    </w:p>
    <w:p>
      <w:pPr>
        <w:pStyle w:val="ManualConsidrant"/>
        <w:rPr>
          <w:noProof/>
        </w:rPr>
      </w:pPr>
      <w:r>
        <w:rPr>
          <w:noProof/>
        </w:rPr>
        <w:t>(27)</w:t>
      </w:r>
      <w:r>
        <w:rPr>
          <w:noProof/>
        </w:rPr>
        <w:tab/>
        <w:t>Словакия следва да продължи да работи върху своя ангажимент за преодоляване на конкретни опасения относно общата цялост на правосъдната си система, тъй като е вероятно те да подкопаят доверието в нейното ефективно функциониране. В Словакия напредъкът в изпълнението на реформите за борба с корупцията продължават да бъдат ограничени. Все още не са проведени редица превантивни реформи, включително правила за лобиране, дарения, несъвместимост и контакти с трети страни в процеса на вземане на решения, както и осигуряване на защита на лицата, сигнализиращи за нередности. Въпреки че статистическите данни за престъпността варират, броят на случаите на корупция по високите етажи на властта, обект на разследване, продължава да е малък, като усилията за санкциониране на юридическите лица имат известно въздействие.</w:t>
      </w:r>
    </w:p>
    <w:p>
      <w:pPr>
        <w:pStyle w:val="ManualConsidrant"/>
        <w:rPr>
          <w:noProof/>
          <w:szCs w:val="24"/>
        </w:rPr>
      </w:pPr>
      <w:r>
        <w:rPr>
          <w:noProof/>
        </w:rPr>
        <w:t>(28)</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Словакия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szCs w:val="24"/>
        </w:rPr>
      </w:pPr>
      <w:r>
        <w:rPr>
          <w:noProof/>
        </w:rPr>
        <w:t>(29)</w:t>
      </w:r>
      <w:r>
        <w:rPr>
          <w:noProof/>
        </w:rPr>
        <w:tab/>
        <w:t>Тясната координация между икономиките в икономическия и паричен съюз е от ключово значение за бързото възстановяване от икономическите последици от разпространението на COVID-19. Като държава членка, чиято парична единица е еврото, и като вземе предвид политическите насоки на Еврогрупата, Словакия следва да гарантира, че политиките ѝ продължават да са в съответствие с препоръките за еврозоната и да са координирани с тези на другите държави членки от еврозоната.</w:t>
      </w:r>
    </w:p>
    <w:p>
      <w:pPr>
        <w:pStyle w:val="ManualConsidrant"/>
        <w:rPr>
          <w:noProof/>
        </w:rPr>
      </w:pPr>
      <w:r>
        <w:rPr>
          <w:noProof/>
        </w:rPr>
        <w:t>(30)</w:t>
      </w:r>
      <w:r>
        <w:rPr>
          <w:noProof/>
        </w:rPr>
        <w:tab/>
        <w:t xml:space="preserve">В рамките на европейския семестър за 2020 г. Комисията направи цялостен анализ на икономическата политика на Словакия и го публикува в доклада за страната от 2020 г. Освен това Комисията направи оценка на програмата за стабилност за 2020 г., националната програма за реформи за 2020 г. и последващите действия във връзка с препоръките, отправени към Словакия през предходните години. Комисията взе предвид не само тяхното значение за провеждането на устойчива бюджетна и социално-икономическа политика в Словакия,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ЕС към бъдещите решения на държавите членки. </w:t>
      </w:r>
    </w:p>
    <w:p>
      <w:pPr>
        <w:pStyle w:val="ManualConsidrant"/>
        <w:rPr>
          <w:noProof/>
        </w:rPr>
      </w:pPr>
      <w:r>
        <w:rPr>
          <w:noProof/>
        </w:rPr>
        <w:t>(31)</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9"/>
      </w:r>
      <w:r>
        <w:rPr>
          <w:noProof/>
        </w:rPr>
        <w:t xml:space="preserve"> е отразено по-специално в препоръка 1 по-долу,</w:t>
      </w:r>
    </w:p>
    <w:p>
      <w:pPr>
        <w:rPr>
          <w:noProof/>
        </w:rPr>
      </w:pPr>
    </w:p>
    <w:p>
      <w:pPr>
        <w:pStyle w:val="Formuledadoption"/>
        <w:rPr>
          <w:noProof/>
        </w:rPr>
      </w:pPr>
      <w:r>
        <w:rPr>
          <w:noProof/>
        </w:rPr>
        <w:lastRenderedPageBreak/>
        <w:t>ПРЕПОРЪЧВА на Словакия да предприеме следните действия през 2020 г. и 2021 г.:</w:t>
      </w:r>
    </w:p>
    <w:p>
      <w:pPr>
        <w:pStyle w:val="ManualNumPar1"/>
        <w:rPr>
          <w:noProof/>
        </w:rPr>
      </w:pPr>
      <w:r>
        <w:rPr>
          <w:noProof/>
        </w:rPr>
        <w:t>1.</w:t>
      </w:r>
      <w:r>
        <w:rPr>
          <w:noProof/>
        </w:rPr>
        <w:tab/>
        <w:t>В съответствие с общата клауза за дерогация да предприеме всички необходими мерки за ефективно справяне с пандемията, да поддържа икономиката и да подпомага последващото възстановяване. Когато икономическите условия позволяват това, да проведе фискални политики, насочени към постигане на разумни средносрочни фискални позиции и да гарантира устойчивостта на дълга, като същевременно засили инвестициите. Да укрепи устойчивостта на здравната система в областта на работната сила в здравеопазването, на критичните медицински продукти и инфраструктура. Да подобри предоставянето на първична помощ и координацията между различните видове грижи.</w:t>
      </w:r>
    </w:p>
    <w:p>
      <w:pPr>
        <w:pStyle w:val="ManualNumPar1"/>
        <w:rPr>
          <w:noProof/>
        </w:rPr>
      </w:pPr>
      <w:r>
        <w:rPr>
          <w:noProof/>
        </w:rPr>
        <w:t>2.</w:t>
      </w:r>
      <w:r>
        <w:rPr>
          <w:noProof/>
        </w:rPr>
        <w:tab/>
        <w:t>Да осигури подходящо заместване на доходите и да гарантира достъп до социална закрила и основни услуги за всички. Да укрепи цифровите умения. Да гарантира равен достъп до качествено образование.</w:t>
      </w:r>
    </w:p>
    <w:p>
      <w:pPr>
        <w:pStyle w:val="ManualNumPar1"/>
        <w:rPr>
          <w:noProof/>
        </w:rPr>
      </w:pPr>
      <w:r>
        <w:rPr>
          <w:noProof/>
        </w:rPr>
        <w:t>3.</w:t>
      </w:r>
      <w:r>
        <w:rPr>
          <w:noProof/>
        </w:rPr>
        <w:tab/>
        <w:t xml:space="preserve">Да прилага ефективни мерки за гарантиране на ликвидността на малките и средните предприятия и на самостоятелно заетите лица. Да запълни пропуските в цифровата инфраструктура. Да даде приоритет на готови за изпълнение публични инвестиционни проекти и да насърчава частните инвестиции с цел стимулиране на икономическото възстановяване. Да съсредоточи инвестициите върху екологичния и цифровия преход, по-специално върху чисто и ефективно производство и използване на енергия и ресурси, устойчив обществен транспорт и управление на отпадъците. </w:t>
      </w:r>
    </w:p>
    <w:p>
      <w:pPr>
        <w:pStyle w:val="ManualNumPar1"/>
        <w:rPr>
          <w:noProof/>
        </w:rPr>
      </w:pPr>
      <w:r>
        <w:rPr>
          <w:noProof/>
        </w:rPr>
        <w:t>4.</w:t>
      </w:r>
      <w:r>
        <w:rPr>
          <w:noProof/>
        </w:rPr>
        <w:tab/>
        <w:t xml:space="preserve">Да гарантира ефективен надзор и прилагане на уредбата за борба с изпирането на пари. Да осигури благоприятна бизнес среда и качествени обществени услуги чрез засилена координация и разработване на политики. Да се справи с опасенията, свързани с почтеността в съдебната система. </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szCs w:val="24"/>
        </w:rPr>
      </w:pPr>
      <w:r>
        <w:rPr>
          <w:noProof/>
        </w:rPr>
        <w:tab/>
        <w:t>Председател</w:t>
      </w:r>
      <w:r>
        <w:rPr>
          <w:noProof/>
          <w:szCs w:val="24"/>
        </w:rPr>
        <w:t xml:space="preserve"> </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524 final.</w:t>
      </w:r>
    </w:p>
  </w:footnote>
  <w:footnote w:id="3">
    <w:p>
      <w:pPr>
        <w:pStyle w:val="FootnoteText"/>
        <w:rPr>
          <w:rStyle w:val="FootnoteReference"/>
        </w:rPr>
      </w:pPr>
      <w:r>
        <w:rPr>
          <w:rStyle w:val="FootnoteReference"/>
        </w:rPr>
        <w:footnoteRef/>
      </w:r>
      <w:r>
        <w:rPr>
          <w:vertAlign w:val="superscript"/>
        </w:rPr>
        <w:tab/>
      </w:r>
      <w:r>
        <w:t>OB C 301, 5.9.2019 г., стр. 117.</w:t>
      </w:r>
    </w:p>
  </w:footnote>
  <w:footnote w:id="4">
    <w:p>
      <w:pPr>
        <w:pStyle w:val="FootnoteText"/>
      </w:pPr>
      <w:r>
        <w:rPr>
          <w:rStyle w:val="FootnoteReference"/>
        </w:rPr>
        <w:footnoteRef/>
      </w:r>
      <w:r>
        <w:tab/>
        <w:t>СОМ(2020) 112 final.</w:t>
      </w:r>
    </w:p>
  </w:footnote>
  <w:footnote w:id="5">
    <w:p>
      <w:pPr>
        <w:pStyle w:val="FootnoteText"/>
      </w:pPr>
      <w:r>
        <w:rPr>
          <w:rStyle w:val="FootnoteReference"/>
        </w:rPr>
        <w:footnoteRef/>
      </w:r>
      <w:r>
        <w:tab/>
        <w:t>COM(2020) 123 final.</w:t>
      </w:r>
    </w:p>
  </w:footnote>
  <w:footnote w:id="6">
    <w:p>
      <w:pPr>
        <w:rPr>
          <w:sz w:val="20"/>
          <w:szCs w:val="20"/>
        </w:rPr>
      </w:pPr>
      <w:r>
        <w:rPr>
          <w:rStyle w:val="FootnoteReference"/>
        </w:rPr>
        <w:footnoteRef/>
      </w:r>
      <w:r>
        <w:tab/>
      </w:r>
      <w:r>
        <w:rPr>
          <w:sz w:val="20"/>
          <w:szCs w:val="20"/>
        </w:rPr>
        <w:t>Регламент (ЕС) № 2020/460 на Европейския парламент и на Съвета от 30 март 2020 г. за изменение на Регламент (ЕС) № 1301/2013, Регламент (ЕС) № 1303/2013 и Регламент (ЕС) № 508/2014 по</w:t>
      </w:r>
      <w:r>
        <w:t xml:space="preserve"> </w:t>
      </w:r>
      <w:r>
        <w:rPr>
          <w:sz w:val="20"/>
          <w:szCs w:val="20"/>
        </w:rPr>
        <w:t xml:space="preserve">отношение на специфичните </w:t>
      </w:r>
      <w:r>
        <w:rPr>
          <w:sz w:val="20"/>
          <w:szCs w:val="20"/>
          <w:shd w:val="clear" w:color="auto" w:fill="FFFFFF"/>
        </w:rPr>
        <w:t>мерки за мобилизиране на инвестиции в здравните системи на държавите членки и в други сектори на техните икономики в отговор на разпространението на COVID-19, (Инвестиционна инициатива в отговор на коронавируса)</w:t>
      </w:r>
      <w:r>
        <w:rPr>
          <w:sz w:val="20"/>
          <w:szCs w:val="20"/>
        </w:rPr>
        <w:t xml:space="preserve"> </w:t>
      </w:r>
      <w:r>
        <w:rPr>
          <w:sz w:val="20"/>
          <w:szCs w:val="20"/>
          <w:shd w:val="clear" w:color="auto" w:fill="FFFFFF"/>
        </w:rPr>
        <w:t>(OВ L 99, 31.3.2020 г., стр. 5) и Регламент (ЕС) № 2020/558 на Европейския парламент и на Съвета от 23 април 2020 г. за изменение на Регламент (ЕС) № 1301/2013 и Регламент (ЕС) № 1303/2013 по отношение на специфичните мерки за предоставяне на извънредна гъвкавост при използването на европейските структурни и инвестиционни фондове в отговор на разпространението на COVID-19 (OВ L 130, 24.4.2020 г., стр. 1).</w:t>
      </w:r>
    </w:p>
  </w:footnote>
  <w:footnote w:id="7">
    <w:p>
      <w:pPr>
        <w:pStyle w:val="FootnoteText"/>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8">
    <w:p>
      <w:pPr>
        <w:pStyle w:val="FootnoteText"/>
      </w:pPr>
      <w:r>
        <w:rPr>
          <w:rStyle w:val="FootnoteReference"/>
        </w:rPr>
        <w:footnoteRef/>
      </w:r>
      <w:r>
        <w:tab/>
        <w:t>SWD(2020) 524 final.</w:t>
      </w:r>
    </w:p>
  </w:footnote>
  <w:footnote w:id="9">
    <w:p>
      <w:pPr>
        <w:pStyle w:val="FootnoteText"/>
      </w:pPr>
      <w:r>
        <w:rPr>
          <w:rStyle w:val="FootnoteReference"/>
        </w:rPr>
        <w:footnoteRef/>
      </w:r>
      <w:r>
        <w:tab/>
        <w:t>Съгласно член 5,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4:31: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D4BB411-FDDC-43DC-9297-0C15E4C59A51"/>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57?\u1083?\u1086?\u1074?\u1072?\u1082?\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7?\u1083?\u1086?\u1074?\u1072?\u1082?\u1080?\u1103? \u1079?\u1072? 2020 \u1075?.&lt;/FMT&gt;_x000b_"/>
    <w:docVar w:name="LW_TITRE.OBJ.CP" w:val="&lt;FMT:Bold&gt;\u1086?\u1090?\u1085?\u1086?\u1089?\u1085?\u1086? \u1085?\u1072?\u1094?\u1080?\u1086?\u1085?\u1072?\u1083?\u1085?\u1072?\u1090?\u1072? \u1087?\u1088?\u1086?\u1075?\u1088?\u1072?\u1084?\u1072? \u1079?\u1072? \u1088?\u1077?\u1092?\u1086?\u1088?\u1084?\u1080? \u1085?\u1072? \u1057?\u1083?\u1086?\u1074?\u1072?\u1082?\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7?\u1083?\u1086?\u1074?\u1072?\u1082?\u1080?\u1103? \u1079?\u1072? 2020 \u1075?.&lt;/FMT&gt;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151">
      <w:bodyDiv w:val="1"/>
      <w:marLeft w:val="0"/>
      <w:marRight w:val="0"/>
      <w:marTop w:val="0"/>
      <w:marBottom w:val="0"/>
      <w:divBdr>
        <w:top w:val="none" w:sz="0" w:space="0" w:color="auto"/>
        <w:left w:val="none" w:sz="0" w:space="0" w:color="auto"/>
        <w:bottom w:val="none" w:sz="0" w:space="0" w:color="auto"/>
        <w:right w:val="none" w:sz="0" w:space="0" w:color="auto"/>
      </w:divBdr>
    </w:div>
    <w:div w:id="161239597">
      <w:bodyDiv w:val="1"/>
      <w:marLeft w:val="0"/>
      <w:marRight w:val="0"/>
      <w:marTop w:val="0"/>
      <w:marBottom w:val="0"/>
      <w:divBdr>
        <w:top w:val="none" w:sz="0" w:space="0" w:color="auto"/>
        <w:left w:val="none" w:sz="0" w:space="0" w:color="auto"/>
        <w:bottom w:val="none" w:sz="0" w:space="0" w:color="auto"/>
        <w:right w:val="none" w:sz="0" w:space="0" w:color="auto"/>
      </w:divBdr>
    </w:div>
    <w:div w:id="262344530">
      <w:bodyDiv w:val="1"/>
      <w:marLeft w:val="0"/>
      <w:marRight w:val="0"/>
      <w:marTop w:val="0"/>
      <w:marBottom w:val="0"/>
      <w:divBdr>
        <w:top w:val="none" w:sz="0" w:space="0" w:color="auto"/>
        <w:left w:val="none" w:sz="0" w:space="0" w:color="auto"/>
        <w:bottom w:val="none" w:sz="0" w:space="0" w:color="auto"/>
        <w:right w:val="none" w:sz="0" w:space="0" w:color="auto"/>
      </w:divBdr>
    </w:div>
    <w:div w:id="264388974">
      <w:bodyDiv w:val="1"/>
      <w:marLeft w:val="0"/>
      <w:marRight w:val="0"/>
      <w:marTop w:val="0"/>
      <w:marBottom w:val="0"/>
      <w:divBdr>
        <w:top w:val="none" w:sz="0" w:space="0" w:color="auto"/>
        <w:left w:val="none" w:sz="0" w:space="0" w:color="auto"/>
        <w:bottom w:val="none" w:sz="0" w:space="0" w:color="auto"/>
        <w:right w:val="none" w:sz="0" w:space="0" w:color="auto"/>
      </w:divBdr>
    </w:div>
    <w:div w:id="272858914">
      <w:bodyDiv w:val="1"/>
      <w:marLeft w:val="0"/>
      <w:marRight w:val="0"/>
      <w:marTop w:val="0"/>
      <w:marBottom w:val="0"/>
      <w:divBdr>
        <w:top w:val="none" w:sz="0" w:space="0" w:color="auto"/>
        <w:left w:val="none" w:sz="0" w:space="0" w:color="auto"/>
        <w:bottom w:val="none" w:sz="0" w:space="0" w:color="auto"/>
        <w:right w:val="none" w:sz="0" w:space="0" w:color="auto"/>
      </w:divBdr>
    </w:div>
    <w:div w:id="311449988">
      <w:bodyDiv w:val="1"/>
      <w:marLeft w:val="0"/>
      <w:marRight w:val="0"/>
      <w:marTop w:val="0"/>
      <w:marBottom w:val="0"/>
      <w:divBdr>
        <w:top w:val="none" w:sz="0" w:space="0" w:color="auto"/>
        <w:left w:val="none" w:sz="0" w:space="0" w:color="auto"/>
        <w:bottom w:val="none" w:sz="0" w:space="0" w:color="auto"/>
        <w:right w:val="none" w:sz="0" w:space="0" w:color="auto"/>
      </w:divBdr>
    </w:div>
    <w:div w:id="347491139">
      <w:bodyDiv w:val="1"/>
      <w:marLeft w:val="0"/>
      <w:marRight w:val="0"/>
      <w:marTop w:val="0"/>
      <w:marBottom w:val="0"/>
      <w:divBdr>
        <w:top w:val="none" w:sz="0" w:space="0" w:color="auto"/>
        <w:left w:val="none" w:sz="0" w:space="0" w:color="auto"/>
        <w:bottom w:val="none" w:sz="0" w:space="0" w:color="auto"/>
        <w:right w:val="none" w:sz="0" w:space="0" w:color="auto"/>
      </w:divBdr>
    </w:div>
    <w:div w:id="465199863">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33048781">
      <w:bodyDiv w:val="1"/>
      <w:marLeft w:val="0"/>
      <w:marRight w:val="0"/>
      <w:marTop w:val="0"/>
      <w:marBottom w:val="0"/>
      <w:divBdr>
        <w:top w:val="none" w:sz="0" w:space="0" w:color="auto"/>
        <w:left w:val="none" w:sz="0" w:space="0" w:color="auto"/>
        <w:bottom w:val="none" w:sz="0" w:space="0" w:color="auto"/>
        <w:right w:val="none" w:sz="0" w:space="0" w:color="auto"/>
      </w:divBdr>
    </w:div>
    <w:div w:id="734201508">
      <w:bodyDiv w:val="1"/>
      <w:marLeft w:val="0"/>
      <w:marRight w:val="0"/>
      <w:marTop w:val="0"/>
      <w:marBottom w:val="0"/>
      <w:divBdr>
        <w:top w:val="none" w:sz="0" w:space="0" w:color="auto"/>
        <w:left w:val="none" w:sz="0" w:space="0" w:color="auto"/>
        <w:bottom w:val="none" w:sz="0" w:space="0" w:color="auto"/>
        <w:right w:val="none" w:sz="0" w:space="0" w:color="auto"/>
      </w:divBdr>
    </w:div>
    <w:div w:id="849679782">
      <w:bodyDiv w:val="1"/>
      <w:marLeft w:val="0"/>
      <w:marRight w:val="0"/>
      <w:marTop w:val="0"/>
      <w:marBottom w:val="0"/>
      <w:divBdr>
        <w:top w:val="none" w:sz="0" w:space="0" w:color="auto"/>
        <w:left w:val="none" w:sz="0" w:space="0" w:color="auto"/>
        <w:bottom w:val="none" w:sz="0" w:space="0" w:color="auto"/>
        <w:right w:val="none" w:sz="0" w:space="0" w:color="auto"/>
      </w:divBdr>
    </w:div>
    <w:div w:id="860244038">
      <w:bodyDiv w:val="1"/>
      <w:marLeft w:val="0"/>
      <w:marRight w:val="0"/>
      <w:marTop w:val="0"/>
      <w:marBottom w:val="0"/>
      <w:divBdr>
        <w:top w:val="none" w:sz="0" w:space="0" w:color="auto"/>
        <w:left w:val="none" w:sz="0" w:space="0" w:color="auto"/>
        <w:bottom w:val="none" w:sz="0" w:space="0" w:color="auto"/>
        <w:right w:val="none" w:sz="0" w:space="0" w:color="auto"/>
      </w:divBdr>
    </w:div>
    <w:div w:id="1049039706">
      <w:bodyDiv w:val="1"/>
      <w:marLeft w:val="0"/>
      <w:marRight w:val="0"/>
      <w:marTop w:val="0"/>
      <w:marBottom w:val="0"/>
      <w:divBdr>
        <w:top w:val="none" w:sz="0" w:space="0" w:color="auto"/>
        <w:left w:val="none" w:sz="0" w:space="0" w:color="auto"/>
        <w:bottom w:val="none" w:sz="0" w:space="0" w:color="auto"/>
        <w:right w:val="none" w:sz="0" w:space="0" w:color="auto"/>
      </w:divBdr>
    </w:div>
    <w:div w:id="1128668759">
      <w:bodyDiv w:val="1"/>
      <w:marLeft w:val="0"/>
      <w:marRight w:val="0"/>
      <w:marTop w:val="0"/>
      <w:marBottom w:val="0"/>
      <w:divBdr>
        <w:top w:val="none" w:sz="0" w:space="0" w:color="auto"/>
        <w:left w:val="none" w:sz="0" w:space="0" w:color="auto"/>
        <w:bottom w:val="none" w:sz="0" w:space="0" w:color="auto"/>
        <w:right w:val="none" w:sz="0" w:space="0" w:color="auto"/>
      </w:divBdr>
    </w:div>
    <w:div w:id="1213883757">
      <w:bodyDiv w:val="1"/>
      <w:marLeft w:val="0"/>
      <w:marRight w:val="0"/>
      <w:marTop w:val="0"/>
      <w:marBottom w:val="0"/>
      <w:divBdr>
        <w:top w:val="none" w:sz="0" w:space="0" w:color="auto"/>
        <w:left w:val="none" w:sz="0" w:space="0" w:color="auto"/>
        <w:bottom w:val="none" w:sz="0" w:space="0" w:color="auto"/>
        <w:right w:val="none" w:sz="0" w:space="0" w:color="auto"/>
      </w:divBdr>
    </w:div>
    <w:div w:id="1262029217">
      <w:bodyDiv w:val="1"/>
      <w:marLeft w:val="0"/>
      <w:marRight w:val="0"/>
      <w:marTop w:val="0"/>
      <w:marBottom w:val="0"/>
      <w:divBdr>
        <w:top w:val="none" w:sz="0" w:space="0" w:color="auto"/>
        <w:left w:val="none" w:sz="0" w:space="0" w:color="auto"/>
        <w:bottom w:val="none" w:sz="0" w:space="0" w:color="auto"/>
        <w:right w:val="none" w:sz="0" w:space="0" w:color="auto"/>
      </w:divBdr>
    </w:div>
    <w:div w:id="1428310912">
      <w:bodyDiv w:val="1"/>
      <w:marLeft w:val="0"/>
      <w:marRight w:val="0"/>
      <w:marTop w:val="0"/>
      <w:marBottom w:val="0"/>
      <w:divBdr>
        <w:top w:val="none" w:sz="0" w:space="0" w:color="auto"/>
        <w:left w:val="none" w:sz="0" w:space="0" w:color="auto"/>
        <w:bottom w:val="none" w:sz="0" w:space="0" w:color="auto"/>
        <w:right w:val="none" w:sz="0" w:space="0" w:color="auto"/>
      </w:divBdr>
    </w:div>
    <w:div w:id="1441026308">
      <w:bodyDiv w:val="1"/>
      <w:marLeft w:val="0"/>
      <w:marRight w:val="0"/>
      <w:marTop w:val="0"/>
      <w:marBottom w:val="0"/>
      <w:divBdr>
        <w:top w:val="none" w:sz="0" w:space="0" w:color="auto"/>
        <w:left w:val="none" w:sz="0" w:space="0" w:color="auto"/>
        <w:bottom w:val="none" w:sz="0" w:space="0" w:color="auto"/>
        <w:right w:val="none" w:sz="0" w:space="0" w:color="auto"/>
      </w:divBdr>
    </w:div>
    <w:div w:id="1442870450">
      <w:bodyDiv w:val="1"/>
      <w:marLeft w:val="0"/>
      <w:marRight w:val="0"/>
      <w:marTop w:val="0"/>
      <w:marBottom w:val="0"/>
      <w:divBdr>
        <w:top w:val="none" w:sz="0" w:space="0" w:color="auto"/>
        <w:left w:val="none" w:sz="0" w:space="0" w:color="auto"/>
        <w:bottom w:val="none" w:sz="0" w:space="0" w:color="auto"/>
        <w:right w:val="none" w:sz="0" w:space="0" w:color="auto"/>
      </w:divBdr>
    </w:div>
    <w:div w:id="1515849232">
      <w:bodyDiv w:val="1"/>
      <w:marLeft w:val="0"/>
      <w:marRight w:val="0"/>
      <w:marTop w:val="0"/>
      <w:marBottom w:val="0"/>
      <w:divBdr>
        <w:top w:val="none" w:sz="0" w:space="0" w:color="auto"/>
        <w:left w:val="none" w:sz="0" w:space="0" w:color="auto"/>
        <w:bottom w:val="none" w:sz="0" w:space="0" w:color="auto"/>
        <w:right w:val="none" w:sz="0" w:space="0" w:color="auto"/>
      </w:divBdr>
    </w:div>
    <w:div w:id="1547571233">
      <w:bodyDiv w:val="1"/>
      <w:marLeft w:val="0"/>
      <w:marRight w:val="0"/>
      <w:marTop w:val="0"/>
      <w:marBottom w:val="0"/>
      <w:divBdr>
        <w:top w:val="none" w:sz="0" w:space="0" w:color="auto"/>
        <w:left w:val="none" w:sz="0" w:space="0" w:color="auto"/>
        <w:bottom w:val="none" w:sz="0" w:space="0" w:color="auto"/>
        <w:right w:val="none" w:sz="0" w:space="0" w:color="auto"/>
      </w:divBdr>
    </w:div>
    <w:div w:id="156876226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15669470">
      <w:bodyDiv w:val="1"/>
      <w:marLeft w:val="0"/>
      <w:marRight w:val="0"/>
      <w:marTop w:val="0"/>
      <w:marBottom w:val="0"/>
      <w:divBdr>
        <w:top w:val="none" w:sz="0" w:space="0" w:color="auto"/>
        <w:left w:val="none" w:sz="0" w:space="0" w:color="auto"/>
        <w:bottom w:val="none" w:sz="0" w:space="0" w:color="auto"/>
        <w:right w:val="none" w:sz="0" w:space="0" w:color="auto"/>
      </w:divBdr>
    </w:div>
    <w:div w:id="1641955993">
      <w:bodyDiv w:val="1"/>
      <w:marLeft w:val="0"/>
      <w:marRight w:val="0"/>
      <w:marTop w:val="0"/>
      <w:marBottom w:val="0"/>
      <w:divBdr>
        <w:top w:val="none" w:sz="0" w:space="0" w:color="auto"/>
        <w:left w:val="none" w:sz="0" w:space="0" w:color="auto"/>
        <w:bottom w:val="none" w:sz="0" w:space="0" w:color="auto"/>
        <w:right w:val="none" w:sz="0" w:space="0" w:color="auto"/>
      </w:divBdr>
    </w:div>
    <w:div w:id="1918319252">
      <w:bodyDiv w:val="1"/>
      <w:marLeft w:val="0"/>
      <w:marRight w:val="0"/>
      <w:marTop w:val="0"/>
      <w:marBottom w:val="0"/>
      <w:divBdr>
        <w:top w:val="none" w:sz="0" w:space="0" w:color="auto"/>
        <w:left w:val="none" w:sz="0" w:space="0" w:color="auto"/>
        <w:bottom w:val="none" w:sz="0" w:space="0" w:color="auto"/>
        <w:right w:val="none" w:sz="0" w:space="0" w:color="auto"/>
      </w:divBdr>
    </w:div>
    <w:div w:id="1926568245">
      <w:bodyDiv w:val="1"/>
      <w:marLeft w:val="0"/>
      <w:marRight w:val="0"/>
      <w:marTop w:val="0"/>
      <w:marBottom w:val="0"/>
      <w:divBdr>
        <w:top w:val="none" w:sz="0" w:space="0" w:color="auto"/>
        <w:left w:val="none" w:sz="0" w:space="0" w:color="auto"/>
        <w:bottom w:val="none" w:sz="0" w:space="0" w:color="auto"/>
        <w:right w:val="none" w:sz="0" w:space="0" w:color="auto"/>
      </w:divBdr>
    </w:div>
    <w:div w:id="1931887355">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2395C9-2DA4-4DC6-9342-965F3B1E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4292</Words>
  <Characters>25196</Characters>
  <Application>Microsoft Office Word</Application>
  <DocSecurity>0</DocSecurity>
  <Lines>434</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2020-05-18T08:31:00Z</cp:lastPrinted>
  <dcterms:created xsi:type="dcterms:W3CDTF">2020-05-26T14:47:00Z</dcterms:created>
  <dcterms:modified xsi:type="dcterms:W3CDTF">2020-06-04T12:31:00Z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