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478398A-2186-45C7-9A5A-8475AD485E3A" style="width:450.7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Швеция за 2020 г. и съдържаща становище на Съвета относно програмата за конвергенция на Швеция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 xml:space="preserve">На </w:t>
      </w:r>
      <w:r>
        <w:rPr>
          <w:noProof/>
          <w:color w:val="000000" w:themeColor="text1"/>
        </w:rPr>
        <w:t xml:space="preserve">17 декември 2019 г. Комисията прие годишната стратегия за устойчив растеж, с което постави началото на европейския </w:t>
      </w:r>
      <w:r>
        <w:rPr>
          <w:noProof/>
        </w:rPr>
        <w:t>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прие също доклада за механизма за предупреждение, в който беше посочено, че Швеция ще бъде една от държавите членки, за които ще се извърши задълбочен преглед.</w:t>
      </w:r>
    </w:p>
    <w:p>
      <w:pPr>
        <w:pStyle w:val="ManualConsidrant"/>
        <w:rPr>
          <w:noProof/>
        </w:rPr>
      </w:pPr>
      <w:r>
        <w:rPr>
          <w:noProof/>
        </w:rPr>
        <w:t>(2)</w:t>
      </w:r>
      <w:r>
        <w:rPr>
          <w:noProof/>
        </w:rPr>
        <w:tab/>
        <w:t>Докладът за Швеция за 2020 г.</w:t>
      </w:r>
      <w:r>
        <w:rPr>
          <w:rStyle w:val="FootnoteReference"/>
          <w:noProof/>
        </w:rPr>
        <w:footnoteReference w:id="3"/>
      </w:r>
      <w:r>
        <w:rPr>
          <w:noProof/>
        </w:rPr>
        <w:t xml:space="preserve"> беше публикуван на 26 февруари 2020 г. В него бе оценен напредъкът на Швеция в изпълнението на специфичните за държавата препоръки, приети от Съвета на</w:t>
      </w:r>
      <w:r>
        <w:rPr>
          <w:noProof/>
          <w:color w:val="FF0000"/>
        </w:rPr>
        <w:t xml:space="preserve"> </w:t>
      </w:r>
      <w:r>
        <w:rPr>
          <w:noProof/>
        </w:rPr>
        <w:t>9 юли 2019 г.</w:t>
      </w:r>
      <w:r>
        <w:rPr>
          <w:rStyle w:val="FootnoteReference"/>
          <w:noProof/>
        </w:rPr>
        <w:footnoteReference w:id="4"/>
      </w:r>
      <w:r>
        <w:rPr>
          <w:noProof/>
        </w:rPr>
        <w:t xml:space="preserve">, последващите действия във </w:t>
      </w:r>
      <w:r>
        <w:rPr>
          <w:noProof/>
        </w:rPr>
        <w:lastRenderedPageBreak/>
        <w:t>връзка с препоръките, отправени през предходните години, както и напредъкът на страната по националните ѝ цели по стратегията „Европа 2020“. В доклада беше включен и задълбоченият преглед по член 5 от Регламент (ЕС) № 1176/2011, чиито резултати също бяха публикувани на 26 февруари 2020 г. Анализът на Комисията ѝ даде основание да заключи, че в Швеция са налице макроикономически дисбаланси. По-специално високото равнище на надценка на жилищата в съчетание с продължаващото нарастване на задлъжнялостта на домакинствата създават рискове от неуправляема корекция. Това би могло да има отрицателно въздействие върху икономиката и евентуално също върху банковия сектор. Всяко отрицателно въздействие върху банковия сектор би могло също така да се разпростре в съседните държави, като се имат предвид системните финансови взаимовръзки. През последните години бяха предприети някои мерки за справяне с тези дисбаланси. Досега обаче тези мерки имат ограничено въздействие. Все още има съществени пропуски в политиките, по-специално във връзка с данъчните стимули за дългово финансиране на собствеността на жилище,  с функционирането на предлагането на жилища, както и особено с пазара на отдаване под наем.</w:t>
      </w:r>
    </w:p>
    <w:p>
      <w:pPr>
        <w:pStyle w:val="ManualConsidrant"/>
        <w:rPr>
          <w:noProof/>
          <w:szCs w:val="24"/>
        </w:rPr>
      </w:pPr>
      <w:r>
        <w:rPr>
          <w:noProof/>
        </w:rPr>
        <w:t>(3)</w:t>
      </w:r>
      <w:r>
        <w:rPr>
          <w:noProof/>
        </w:rPr>
        <w:tab/>
        <w:t>На 11 март 2020 г. Световната здравна организация обяви официално световна пандемия от COVID-19. Това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дружествата.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5"/>
      </w:r>
      <w:r>
        <w:rPr>
          <w:noProof/>
        </w:rPr>
        <w:t xml:space="preserve">, в което се призовава за координирани икономически мерки в отговор на кризата, включващи всички участници на национално равнище и на равнището на Съюза. </w:t>
      </w:r>
    </w:p>
    <w:p>
      <w:pPr>
        <w:pStyle w:val="ManualConsidrant"/>
        <w:rPr>
          <w:noProof/>
          <w:szCs w:val="24"/>
        </w:rPr>
      </w:pPr>
      <w:r>
        <w:rPr>
          <w:noProof/>
        </w:rPr>
        <w:t>(4)</w:t>
      </w:r>
      <w:r>
        <w:rPr>
          <w:noProof/>
        </w:rPr>
        <w:tab/>
        <w:t>Редица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предвидена в Пакта за стабилност и растеж</w:t>
      </w:r>
      <w:r>
        <w:rPr>
          <w:rStyle w:val="FootnoteReference"/>
          <w:noProof/>
        </w:rPr>
        <w:footnoteReference w:id="6"/>
      </w:r>
      <w:r>
        <w:rPr>
          <w:noProof/>
        </w:rPr>
        <w:t xml:space="preserve">.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w:t>
      </w:r>
      <w:r>
        <w:rPr>
          <w:noProof/>
        </w:rPr>
        <w:lastRenderedPageBreak/>
        <w:t>средносрочен план. Във връзка с корективната част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pStyle w:val="ManualConsidrant"/>
        <w:rPr>
          <w:i/>
          <w:noProof/>
        </w:rPr>
      </w:pPr>
      <w:r>
        <w:rPr>
          <w:noProof/>
        </w:rPr>
        <w:t>(6)</w:t>
      </w:r>
      <w:r>
        <w:rPr>
          <w:noProof/>
        </w:rPr>
        <w:tab/>
        <w:t>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и икономики, както и към устойчивия растеж, интегрирайки наред с другото зеления преход и цифровата трансформация и вадейки всички поуки от кризата.</w:t>
      </w:r>
    </w:p>
    <w:p>
      <w:pPr>
        <w:pStyle w:val="ManualConsidrant"/>
        <w:rPr>
          <w:noProof/>
        </w:rPr>
      </w:pPr>
      <w:r>
        <w:rPr>
          <w:noProof/>
        </w:rPr>
        <w:t>(7)</w:t>
      </w:r>
      <w:r>
        <w:rPr>
          <w:noProof/>
        </w:rPr>
        <w:tab/>
        <w:t>Кризата, свързана с COVID-19, изтъкна гъвкавостта, която предлага единният пазар по отношение на адаптирането към извънредни ситуации. За да се гарантира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планове за готовност за действие при кризи в здравната система, като тази готовност включва по-специално подобрени стратегии за покупка,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7"/>
      </w:r>
      <w:r>
        <w:rPr>
          <w:noProof/>
        </w:rPr>
        <w:t xml:space="preserve">,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Швеция се </w:t>
      </w:r>
      <w:r>
        <w:rPr>
          <w:noProof/>
        </w:rPr>
        <w:lastRenderedPageBreak/>
        <w:t>насърчава да използва пълноценно тези възможности, за да помогне на хората и секторите, които са в най-затруднено положение.</w:t>
      </w:r>
    </w:p>
    <w:p>
      <w:pPr>
        <w:pStyle w:val="ManualConsidrant"/>
        <w:rPr>
          <w:noProof/>
        </w:rPr>
      </w:pPr>
      <w:r>
        <w:rPr>
          <w:noProof/>
        </w:rPr>
        <w:t>(9)</w:t>
      </w:r>
      <w:r>
        <w:rPr>
          <w:noProof/>
        </w:rPr>
        <w:tab/>
        <w:t>Възможно е разпространението на социално-икономическите последици от пандемията да бъде неравномерно в различните региони поради различните модели на специализация — по-специално в регионите, които разчитат значително на туризма и в по-общ план на стопански дейности, при които е необходим пряк контакт с потребителите. Това води до съществен риск регионалните различия в Швеция да се засилят, като се задълбочи вече наблюдаваната тенденция за увеличаване на различията между столицата и останалата част на страната, както и между градските и селските райони. В съчетание с риска от временни смущения в процеса на сближаване между държавите членки настоящата ситуация изисква целенасочени мерки на политиките.</w:t>
      </w:r>
    </w:p>
    <w:p>
      <w:pPr>
        <w:pStyle w:val="ManualConsidrant"/>
        <w:rPr>
          <w:noProof/>
        </w:rPr>
      </w:pPr>
      <w:r>
        <w:rPr>
          <w:noProof/>
        </w:rPr>
        <w:t>(10)</w:t>
      </w:r>
      <w:r>
        <w:rPr>
          <w:noProof/>
        </w:rPr>
        <w:tab/>
        <w:t>На 27 април 2020 г. Швеция представи своята национална програма за реформи за 2020 г., а на 28 април 2020 г. — своята програма за конвергенция за 2020 г. Двете програми бяха оценени едновременно, за да бъдат отчетени взаимовръзките между тях.</w:t>
      </w:r>
    </w:p>
    <w:p>
      <w:pPr>
        <w:pStyle w:val="ManualConsidrant"/>
        <w:rPr>
          <w:noProof/>
        </w:rPr>
      </w:pPr>
      <w:r>
        <w:rPr>
          <w:noProof/>
        </w:rPr>
        <w:t>(11)</w:t>
      </w:r>
      <w:r>
        <w:rPr>
          <w:noProof/>
        </w:rPr>
        <w:tab/>
        <w:t xml:space="preserve">Спрямо Швеция понастоящем се прилагат предпазните мерки на Пакта за стабилност и растеж. </w:t>
      </w:r>
    </w:p>
    <w:p>
      <w:pPr>
        <w:pStyle w:val="ManualConsidrant"/>
        <w:rPr>
          <w:noProof/>
        </w:rPr>
      </w:pPr>
      <w:r>
        <w:rPr>
          <w:noProof/>
        </w:rPr>
        <w:t>(12)</w:t>
      </w:r>
      <w:r>
        <w:rPr>
          <w:noProof/>
        </w:rPr>
        <w:tab/>
        <w:t>В своята програма за конвергенция за 2020 г. правителството планира влошаване в номиналното салдо от излишък в размер на 0,4 % от БВП през 2019 г. на дефицит от 3,8 % от БВП през 2020 г. Очаква се дефицитът да намалее до 1,4 % от БВП през 2021 г. и да достигне излишък от 1,5 % през 2023 г. След намаление, достигнало 35 % от БВП през 2019 г., съгласно програмата за конвергенция за 2020 г. се очаква през 2020 г. съотношението на консолидирания държавен дълг към БВП да нарасне до 40 %. Макроикономическата и фискалната перспектива се характеризират с високата степен на несигурност, породена от пандемията от COVID-19.</w:t>
      </w:r>
    </w:p>
    <w:p>
      <w:pPr>
        <w:pStyle w:val="ManualConsidrant"/>
        <w:rPr>
          <w:noProof/>
        </w:rPr>
      </w:pPr>
      <w:r>
        <w:rPr>
          <w:noProof/>
        </w:rPr>
        <w:t>(13)</w:t>
      </w:r>
      <w:r>
        <w:rPr>
          <w:noProof/>
        </w:rPr>
        <w:tab/>
        <w:t xml:space="preserve">В отговор на пандемията от COVID-19 и в рамките на координирания подход на Съюза Швеция прие бюджетни мерки за увеличаване на капацитета на здравната система, за ограничаване на пандемията и за облекчаване на положението на засегнатите в особена степен хора и сектори. Съгласно програмата за конвергенция за 2020 г. тези бюджетни мерки възлизат на 2,4 % от БВП. Мерките включват: укрепване на здравното обслужване (0,1 % от БВП), спешна помощ за сектори в затруднено положение (1,6 % от БВП) и мерки в областта на пазара на труда и социалната политика (0,2 % от БВП). Освен това Швеция обяви мерки, които, без да имат пряко отражение върху бюджета, ще допринесат за подпомагане на ликвидността на предприятията. Съгласно програмата за конвергенция тези мерки включват по-специално отсрочване на данъци в размер до 6,9 % от БВП, както и различни видове гаранции по заеми и разширени кредитни механизми, възлизащи на приблизително 4,7 % от БВП. Като цяло предприетите от Швеция мерки са в съответствие с насоките, изложени в съобщението на Комисията относно координирани икономически мерки в отговор на пандемията от COVID-19. Цялостното прилагане на тези мерки, последвано от пренасочване на фискалните политики към постигането на разумни средносрочни фискални позиции, когато икономическите условия позволяват това, ще допринесе за запазването на фискалната устойчивост в средносрочен план. </w:t>
      </w:r>
    </w:p>
    <w:p>
      <w:pPr>
        <w:pStyle w:val="ManualConsidrant"/>
        <w:rPr>
          <w:noProof/>
        </w:rPr>
      </w:pPr>
      <w:r>
        <w:rPr>
          <w:noProof/>
        </w:rPr>
        <w:lastRenderedPageBreak/>
        <w:t>(14)</w:t>
      </w:r>
      <w:r>
        <w:rPr>
          <w:noProof/>
        </w:rPr>
        <w:tab/>
        <w:t>Въз основа на прогнозата на Комисията от пролетта на 2020 г. при непромененa политика се предвижда салдото на консолидирания държавен бюджет на Швеция да бъде -5,6 % от БВП през 2020 г. и -2,2 % през 2021 г. Съотношението на консолидирания държавен дълг към БВП се очаква да остане под 60 % от БВП през 2020 г. и 2021 г.</w:t>
      </w:r>
    </w:p>
    <w:p>
      <w:pPr>
        <w:pStyle w:val="ManualConsidrant"/>
        <w:rPr>
          <w:noProof/>
          <w:szCs w:val="24"/>
        </w:rPr>
      </w:pPr>
      <w:r>
        <w:rPr>
          <w:noProof/>
        </w:rPr>
        <w:t>(15)</w:t>
      </w:r>
      <w:r>
        <w:rPr>
          <w:noProof/>
        </w:rPr>
        <w:tab/>
        <w:t xml:space="preserve">На 20 май 2020 г. Комисията публикува доклад, изготвен в съответствие с член 126, параграф 3 от Договора, вследствие на планираното от Швеция   нарушение на прага на дефицита в размер на 3 % от БВП през 2020 г. Като цяло анализът сочи, че критерият за дефицита, определен в Договора и в Регламент (ЕО) № 1467/1997, не е изпълнен.  </w:t>
      </w:r>
    </w:p>
    <w:p>
      <w:pPr>
        <w:pStyle w:val="ManualConsidrant"/>
        <w:rPr>
          <w:i/>
          <w:noProof/>
        </w:rPr>
      </w:pPr>
      <w:r>
        <w:rPr>
          <w:noProof/>
        </w:rPr>
        <w:t>(16)</w:t>
      </w:r>
      <w:r>
        <w:rPr>
          <w:noProof/>
        </w:rPr>
        <w:tab/>
        <w:t>Икономиката на Швеция се забави по безпрецедентен начин след избухването на пандемията от COVID-19. Според прогнозата на Комисията безработицата се очаква да нарасне до 9,7 % през 2020 г. и да се възстанови на 9,3 % през 2021 г. Очаква се силно понижение на частното потребление, по-специално в най-силно изложените категории на потребление, като транспорт, ресторанти и настаняване. Предвижда се при бруто образуването на основен капитал да настъпи още по-рязък спад, отколкото при потреблението, дължащ се до голяма степен на несигурността по отношение на темпа на възстановяването. Шведските органи започнаха да предприемат мерки на ранен етап и с разпространението на пандемията увеличиха постъпателно интензивността на мерките на политиката. Мерките бяха ориентирани към здравеопазването и реагирането на икономическите последици. Мерките, свързани със здравеопазването, включват икономическа подкрепа от страна на правителството за всички допълнителни разходи поради пандемията от COVID-19 на регионите и местните органи, отговарящи за системата на здравеопазването. В икономически аспект правителството предприе широк набор от мерки за облекчаване на разходите на корпоративния сектор (краткосрочни съкращения, разходи за отпуск по болест, отмяна  на дела на работодателя от социалноосигурителните вноски, кредитни гаранции и намаления на наемите), както и за осигуряване на корпоративна ликвидност (отлагане на плащания на данъци, включително плащания на ДДС). Освен това националната банка реши да отпуска заеми на дружества чрез банки и да закупува държавни и общински облигации, както и обезпечени ипотечни облигации и облигации и търговски ценни книжа, емитирани от шведски нефинансови предприятия. При разработването и прилагането на тези мерки трябва да се вземе предвид устойчивостта на банковия сектор. Националната банка сключи също споразумения за валутни суапове с други централни банки, включително Федералния резерв на САЩ, за да се гарантира на финансовия сектор наличието на основните валути. Социалната политика и политиката в областта на пазара на труда бяха разширени чрез увеличаване на обезщетенията за безработица и обезщетенията за болест, понижаване на изискванията за достъп до схемата за безработица и чрез активни политики в областта на пазара на труда и образованието (зелени работни места, удължаване на схемата „Ново начало чрез работа“, летни курсове, повече студенти във висшето образование).</w:t>
      </w:r>
    </w:p>
    <w:p>
      <w:pPr>
        <w:pStyle w:val="ManualConsidrant"/>
        <w:rPr>
          <w:noProof/>
        </w:rPr>
      </w:pPr>
      <w:r>
        <w:rPr>
          <w:noProof/>
        </w:rPr>
        <w:t>(17)</w:t>
      </w:r>
      <w:r>
        <w:rPr>
          <w:noProof/>
        </w:rPr>
        <w:tab/>
        <w:t xml:space="preserve">Краткосрочният политически отговор на Швеция на избухналата пандемия от COVID-19 разчита на осигуряването на съответните ресурси и свободен капацитет, както и на адаптирането на ролите и отговорностите на здравните работници. В средносрочен план това следва да доведе и до навременно и балансирано в географско отношение здравеопазване, съответно разпределение </w:t>
      </w:r>
      <w:r>
        <w:rPr>
          <w:noProof/>
        </w:rPr>
        <w:lastRenderedPageBreak/>
        <w:t>на здравните работници между различните здравни структури (например в извънболничната и болничната помощ), както и да спомогне за избягването на структурен недостиг на медицински персонал. Използването на силния сектор за научни изследвания и иновации на Швеция за ръководени от науката действия може да допринесе за напредък при разработването на ваксини, леченията и диагностиката, както и превръщането на резултатите от научните изследвания в политики в областта на общественото здраве.</w:t>
      </w:r>
    </w:p>
    <w:p>
      <w:pPr>
        <w:pStyle w:val="ManualConsidrant"/>
        <w:rPr>
          <w:noProof/>
        </w:rPr>
      </w:pPr>
      <w:r>
        <w:rPr>
          <w:noProof/>
        </w:rPr>
        <w:t>(18)</w:t>
      </w:r>
      <w:r>
        <w:rPr>
          <w:noProof/>
        </w:rPr>
        <w:tab/>
        <w:t xml:space="preserve">Подкрепата за наличието на умения, и по-специално цифрови умения, може да поддържа по-високия растеж на производителността чрез научни изследвания и иновации във високотехнологичните сектори и да спомогне за постигането на амбициозните цели на Швеция, съдържащи се в нейния национален план в областта на климата и енергетиката. Необходими са също така инвестиции за намаляване на разликите в образователните резултати между учащите се с мигрантски и местен произход. Високото качество на работната ръка е основен фактор, допринасящ за растежа на производителността на труда, но този принос бе почти изчерпан преди кризата с COVID-19. Също така ще бъде необходимо да се разгледа въпросът с интегрирането на пазара на труда на групи, чийто потенциал не е бил напълно използван преди кризата, като например мигрантите от държави извън ЕС и хората с увреждания. Недостигът на умения е особено ясно изразен в образованието, здравеопазването, социалната дейност, информационните и комуникационните технологии, промишлеността и строителството. </w:t>
      </w:r>
    </w:p>
    <w:p>
      <w:pPr>
        <w:pStyle w:val="ManualConsidrant"/>
        <w:rPr>
          <w:rFonts w:ascii="Calibri" w:hAnsi="Calibri" w:cs="Calibri"/>
          <w:noProof/>
          <w:szCs w:val="24"/>
        </w:rPr>
      </w:pPr>
      <w:r>
        <w:rPr>
          <w:noProof/>
        </w:rPr>
        <w:t>(19)</w:t>
      </w:r>
      <w:r>
        <w:rPr>
          <w:noProof/>
        </w:rPr>
        <w:tab/>
        <w:t>За да се стимулира икономическото възстановяване, ще бъде важно да се даде приоритет на готови за  изпълнение публични инвестиционни проекти, както и да се стимулират частните инвестиции, включително чрез съответни реформи.</w:t>
      </w:r>
      <w:r>
        <w:rPr>
          <w:noProof/>
          <w:color w:val="000000"/>
          <w:szCs w:val="24"/>
        </w:rPr>
        <w:t xml:space="preserve"> </w:t>
      </w:r>
      <w:r>
        <w:rPr>
          <w:noProof/>
        </w:rPr>
        <w:t xml:space="preserve">В секторите на цифровите технологии и микроелектрониката повече от 50 % от работодателите съобщават за недостиг на умения, засягащ растежа. Поддържането на високия дял на публичните разходи в областта на научните изследвания е необходимо условие за подобряване на производителността. Също така за възстановяването на растежа на производителността на труда са необходими увеличаване на капитала и по-големи инвестиции във високотехнологичните и иновативните сектори. Разпространението на нови цифрови технологии сред малките и средните предприятия ще спомогне за повишаване на производителността. Кризата показа колко важна е цифровата инфраструктура, както и че е необходимо наличието на бърза и стабилна свързаност във всички места, където хората живеят или работят. Разширяването на мобилния широколентов достъп в радиочестотната лента 700 MHz ще играе важна роля, както и възможността за финансова подкрепа за развитието на фиксиран широколентов достъп. Бъдещият търг на 5G ще осигури допълнителен тласък на цифровизацията на шведската икономика. Целта за постигане на неутрално по отношение на климата общество през 2045 г. ще изисква инвестиции в научни изследвания и иновации, които позволяват разработването и реализирането на нови, конкурентоспособни решения за декарбонизация и координирани социални и политически действия. Транспортът е основната област за намаляване на емисиите на парникови газове в Швеция. В политическия дневен ред стои цялостна и сравнително бърза трансформация на автомобилния парк към превозните средства с ниски емисии. Планираните инвестиции в железопътната инфраструктура са от значение за улесняване на разделянето на видовете транспорт и за постигане на амбициозната цел на Швеция в областта на климата. Електрификацията на транспорта и </w:t>
      </w:r>
      <w:r>
        <w:rPr>
          <w:noProof/>
        </w:rPr>
        <w:lastRenderedPageBreak/>
        <w:t>промишлеността ще изисква значителни инвестиции в производството и разпределението на електроенергия. Програмирането на Фонда за справедлив преход за периода 2021—2027 г. би могло да помогне на Швеция да преодолее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страната</w:t>
      </w:r>
      <w:r>
        <w:rPr>
          <w:rStyle w:val="FootnoteReference"/>
          <w:noProof/>
        </w:rPr>
        <w:footnoteReference w:id="8"/>
      </w:r>
      <w:r>
        <w:rPr>
          <w:noProof/>
        </w:rPr>
        <w:t xml:space="preserve">. Това ще позволи на Швеция да използва този фонд по най-добрия начин. </w:t>
      </w:r>
    </w:p>
    <w:p>
      <w:pPr>
        <w:pStyle w:val="ManualConsidrant"/>
        <w:rPr>
          <w:noProof/>
        </w:rPr>
      </w:pPr>
      <w:r>
        <w:rPr>
          <w:noProof/>
        </w:rPr>
        <w:t>(20)</w:t>
      </w:r>
      <w:r>
        <w:rPr>
          <w:noProof/>
        </w:rPr>
        <w:tab/>
        <w:t>Упоритите твърдения и съмнения за изпиране на пари засегнаха репутацията на шведските банки, като предотвратяването на изпирането на пари продължава да бъде приоритет за Швеция. Ефективният надзор изисква повече ресурси и подходящи процедури за прилагане на подход, основаващ се на оценка на риска. Швеция отчете, че са необходими повече ресурси за упражняване на съответен надзор и извършване на адекватни разследвания, и укрепи капацитета на своята агенция за финансов надзор. Този капацитет обаче е все още нисък в сравнение с размера на шведския финансов сектор. Продължават да съществуват предизвикателства, като все още не е напълно приложен основаният на риска подход.</w:t>
      </w:r>
    </w:p>
    <w:p>
      <w:pPr>
        <w:pStyle w:val="ManualConsidrant"/>
        <w:rPr>
          <w:noProof/>
        </w:rPr>
      </w:pPr>
      <w:r>
        <w:rPr>
          <w:noProof/>
        </w:rPr>
        <w:t>(21)</w:t>
      </w:r>
      <w:r>
        <w:rPr>
          <w:noProof/>
        </w:rPr>
        <w:tab/>
        <w:t>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ще продължат да бъдат наблюдавани през целия годишен цикъл на европейския семестър през следващата година. Това се отнася и до препоръките относно свързаните с инвестициите икономически политики. Тези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премахване на мерките, свързани с настоящата криза.</w:t>
      </w:r>
    </w:p>
    <w:p>
      <w:pPr>
        <w:pStyle w:val="ManualConsidrant"/>
        <w:rPr>
          <w:noProof/>
        </w:rPr>
      </w:pPr>
      <w:r>
        <w:rPr>
          <w:noProof/>
        </w:rPr>
        <w:t>(22)</w:t>
      </w:r>
      <w:r>
        <w:rPr>
          <w:noProof/>
        </w:rPr>
        <w:tab/>
        <w:t>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Швеция ще допринесе за напредъка към постигането на ЦУР и за общите усилия за осигуряване на конкурентоспособна устойчивост в Съюза.</w:t>
      </w:r>
    </w:p>
    <w:p>
      <w:pPr>
        <w:pStyle w:val="ManualConsidrant"/>
        <w:rPr>
          <w:noProof/>
        </w:rPr>
      </w:pPr>
      <w:r>
        <w:rPr>
          <w:noProof/>
        </w:rPr>
        <w:t>(23)</w:t>
      </w:r>
      <w:r>
        <w:rPr>
          <w:noProof/>
        </w:rPr>
        <w:tab/>
        <w:t xml:space="preserve">В рамките на европейския семестър за 2020 г. Комисията направи цялостен анализ на икономическата политика на Швеция и го публикува в доклада за страната за 2020 г. Тя извърши и оценка на програмата за конвергенция за 2020 г., на националната програма за реформи за 2020 г. и на последващите мерки, свързани с препоръките, отправени към Швеция през предходните години. Комисията взе предвид не само тяхното значение за провеждането на устойчива бюджетна и социално-икономическа политика в Швеция, но и тяхното съответствие с правилата и насоките на Съюза предвид необходимостта от </w:t>
      </w:r>
      <w:r>
        <w:rPr>
          <w:noProof/>
        </w:rPr>
        <w:lastRenderedPageBreak/>
        <w:t xml:space="preserve">засилване на цялостното икономическо управление на Съюза чрез принос на равнището на Съюза към бъдещите национални решения. </w:t>
      </w:r>
    </w:p>
    <w:p>
      <w:pPr>
        <w:pStyle w:val="ManualConsidrant"/>
        <w:rPr>
          <w:noProof/>
        </w:rPr>
      </w:pPr>
      <w:r>
        <w:rPr>
          <w:noProof/>
        </w:rPr>
        <w:t>(24)</w:t>
      </w:r>
      <w:r>
        <w:rPr>
          <w:noProof/>
        </w:rPr>
        <w:tab/>
        <w:t>С оглед на тази оценка Съветът разгледа програмата за конвергенция за 2020 г., като становището му</w:t>
      </w:r>
      <w:r>
        <w:rPr>
          <w:rStyle w:val="FootnoteReference"/>
          <w:noProof/>
        </w:rPr>
        <w:footnoteReference w:id="9"/>
      </w:r>
      <w:r>
        <w:rPr>
          <w:noProof/>
        </w:rPr>
        <w:t xml:space="preserve"> е изразено по-специално в препоръка 1 по-долу. </w:t>
      </w:r>
    </w:p>
    <w:p>
      <w:pPr>
        <w:pStyle w:val="ManualConsidrant"/>
        <w:rPr>
          <w:noProof/>
        </w:rPr>
      </w:pPr>
      <w:r>
        <w:rPr>
          <w:noProof/>
        </w:rPr>
        <w:t>(25)</w:t>
      </w:r>
      <w:r>
        <w:rPr>
          <w:noProof/>
        </w:rPr>
        <w:tab/>
        <w:t>С оглед на задълбочения преглед, направен от Комисията, и на тази оценка Съветът разгледа националната програма за реформи за 2020 г. и програмата за конвергенция за 2020 г. Настоящите препоръки отчитат необходимостта от справяне с пандемията и улесняват възстановяването на икономиката като първа необходима стъпка за коригиране на дисбалансите. След пренасочването на препоръките към целта за справяне със социално-икономическите последици от пандемията и за улесняването на икономическото възстановяване, нито една от настоящите препоръки не се занимава пряко макроикономическите дисбаланси, установени от Комисията съгласно член 6 от Регламент (ЕС) № 1176/2011,</w:t>
      </w:r>
    </w:p>
    <w:p>
      <w:pPr>
        <w:rPr>
          <w:noProof/>
        </w:rPr>
      </w:pPr>
    </w:p>
    <w:p>
      <w:pPr>
        <w:pStyle w:val="Formuledadoption"/>
        <w:rPr>
          <w:noProof/>
        </w:rPr>
      </w:pPr>
      <w:r>
        <w:rPr>
          <w:noProof/>
        </w:rPr>
        <w:t>ПРЕПОРЪЧВА на Швеция да предприеме следните действия през 2020 г. и 2021 г.:</w:t>
      </w:r>
    </w:p>
    <w:p>
      <w:pPr>
        <w:pStyle w:val="ManualNumPar1"/>
        <w:rPr>
          <w:noProof/>
          <w:szCs w:val="24"/>
        </w:rPr>
      </w:pPr>
      <w:r>
        <w:rPr>
          <w:noProof/>
        </w:rPr>
        <w:t>1.</w:t>
      </w:r>
      <w:r>
        <w:rPr>
          <w:noProof/>
        </w:rPr>
        <w:tab/>
        <w:t>В съответствие с общата клауза за дерогация да предприеме всички необходими мерки за ефективно справяне с пандемията, поддържане на икономиката и оказване на подкрепа за последващото възстановяване. Когато икономическите условия позволяват това, да провежда фискални политики, насочени към постигане на разумни средносрочни фискални позиции и гарантиране на устойчивост на дълга, като същевременно засилва инвестициите.</w:t>
      </w:r>
      <w:r>
        <w:rPr>
          <w:i/>
          <w:noProof/>
          <w:szCs w:val="24"/>
        </w:rPr>
        <w:t xml:space="preserve"> </w:t>
      </w:r>
      <w:r>
        <w:rPr>
          <w:noProof/>
        </w:rPr>
        <w:t xml:space="preserve">Да гарантира устойчивостта на системата за здравеопазване, включително чрез адекватни доставки на оборудване, инфраструктура и работна сила от критично значение. </w:t>
      </w:r>
    </w:p>
    <w:p>
      <w:pPr>
        <w:pStyle w:val="ManualNumPar1"/>
        <w:rPr>
          <w:noProof/>
          <w:szCs w:val="24"/>
        </w:rPr>
      </w:pPr>
      <w:r>
        <w:rPr>
          <w:noProof/>
        </w:rPr>
        <w:t>2.</w:t>
      </w:r>
      <w:r>
        <w:rPr>
          <w:noProof/>
        </w:rPr>
        <w:tab/>
        <w:t>Да насърчава иновациите и да оказва подкрепа за образованието и развитието на умения. Да даде приоритет на готови за изпълнение публични инвестиционни проекти и да насърчава частните инвестиции за стимулиране на икономическото възстановяване. Да съсредоточи инвестициите върху екологичния и цифровия преход, по-специално върху чистото и ефективно производство и използване на енергия, високотехнологичните и иновативните сектори, мрежите от пето поколение и устойчивия транспорт.</w:t>
      </w:r>
    </w:p>
    <w:p>
      <w:pPr>
        <w:pStyle w:val="ManualNumPar1"/>
        <w:rPr>
          <w:noProof/>
          <w:szCs w:val="24"/>
        </w:rPr>
      </w:pPr>
      <w:r>
        <w:rPr>
          <w:noProof/>
        </w:rPr>
        <w:t>3.</w:t>
      </w:r>
      <w:r>
        <w:rPr>
          <w:noProof/>
        </w:rPr>
        <w:tab/>
        <w:t>Да подобри ефективността на надзора за борба с изпирането на пари и ефективно да прилага уредбата за борба с изпирането на пари.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OB L 306, 23.11.2011 г., стр. 25.</w:t>
      </w:r>
    </w:p>
  </w:footnote>
  <w:footnote w:id="3">
    <w:p>
      <w:pPr>
        <w:pStyle w:val="FootnoteText"/>
      </w:pPr>
      <w:r>
        <w:rPr>
          <w:rStyle w:val="FootnoteReference"/>
        </w:rPr>
        <w:footnoteRef/>
      </w:r>
      <w:r>
        <w:tab/>
        <w:t>SWD(2020) 526 final.</w:t>
      </w:r>
    </w:p>
  </w:footnote>
  <w:footnote w:id="4">
    <w:p>
      <w:pPr>
        <w:pStyle w:val="FootnoteText"/>
      </w:pPr>
      <w:r>
        <w:rPr>
          <w:rStyle w:val="FootnoteReference"/>
        </w:rPr>
        <w:footnoteRef/>
      </w:r>
      <w:r>
        <w:tab/>
        <w:t>OВ C 301, 5.9.2019 г., стр. 117.</w:t>
      </w:r>
    </w:p>
  </w:footnote>
  <w:footnote w:id="5">
    <w:p>
      <w:pPr>
        <w:pStyle w:val="FootnoteText"/>
      </w:pPr>
      <w:r>
        <w:rPr>
          <w:rStyle w:val="FootnoteReference"/>
        </w:rPr>
        <w:footnoteRef/>
      </w:r>
      <w:r>
        <w:tab/>
        <w:t>СОМ(2020) 112 final.</w:t>
      </w:r>
    </w:p>
  </w:footnote>
  <w:footnote w:id="6">
    <w:p>
      <w:pPr>
        <w:pStyle w:val="FootnoteText"/>
      </w:pPr>
      <w:r>
        <w:rPr>
          <w:rStyle w:val="FootnoteReference"/>
        </w:rPr>
        <w:footnoteRef/>
      </w:r>
      <w:r>
        <w:tab/>
        <w:t>СОМ(2020) 123 final.</w:t>
      </w:r>
    </w:p>
  </w:footnote>
  <w:footnote w:id="7">
    <w:p>
      <w:pPr>
        <w:rPr>
          <w:sz w:val="20"/>
          <w:szCs w:val="20"/>
        </w:rPr>
      </w:pPr>
      <w:r>
        <w:rPr>
          <w:rStyle w:val="FootnoteReference"/>
        </w:rPr>
        <w:footnoteRef/>
      </w:r>
      <w:r>
        <w:rPr>
          <w:sz w:val="20"/>
          <w:szCs w:val="20"/>
        </w:rPr>
        <w:tab/>
        <w:t>Регламент (ЕС) 2020/460 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(ОВ L 99, 31.3.2020 г., стр. 5) и Регламент (ЕС) 2020/558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(ОВ L 130, 24.4.2020 г., стр. 1).</w:t>
      </w:r>
    </w:p>
  </w:footnote>
  <w:footnote w:id="8">
    <w:p>
      <w:pPr>
        <w:pStyle w:val="FootnoteText"/>
      </w:pPr>
      <w:r>
        <w:rPr>
          <w:rStyle w:val="FootnoteReference"/>
        </w:rPr>
        <w:footnoteRef/>
      </w:r>
      <w:r>
        <w:tab/>
        <w:t>SWD(2020) 526 final.</w:t>
      </w:r>
    </w:p>
  </w:footnote>
  <w:footnote w:id="9">
    <w:p>
      <w:pPr>
        <w:pStyle w:val="FootnoteText"/>
      </w:pPr>
      <w:r>
        <w:rPr>
          <w:rStyle w:val="FootnoteReference"/>
        </w:rPr>
        <w:footnoteRef/>
      </w:r>
      <w:r>
        <w:tab/>
        <w:t>Съгласно член 9, параграф 2 от Регламент (ЕО) №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4 14:36:1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1478398A-2186-45C7-9A5A-8475AD485E3A"/>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86?\u1090?\u1085?\u1086?\u1089?\u1085?\u1086? \u1085?\u1072?\u1094?\u1080?\u1086?\u1085?\u1072?\u1083?\u1085?\u1072?\u1090?\u1072? \u1087?\u1088?\u1086?\u1075?\u1088?\u1072?\u1084?\u1072? \u1079?\u1072? \u1088?\u1077?\u1092?\u1086?\u1088?\u1084?\u1080? \u1085?\u1072? \u1064?\u1074?\u1077?\u1094?\u1080?\u1103? \u1079?\u1072? 2020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64?\u1074?\u1077?\u1094?\u1080?\u1103? \u1079?\u1072? 2020 \u1075?."/>
    <w:docVar w:name="LW_TITRE.OBJ.CP" w:val="\u1086?\u1090?\u1085?\u1086?\u1089?\u1085?\u1086? \u1085?\u1072?\u1094?\u1080?\u1086?\u1085?\u1072?\u1083?\u1085?\u1072?\u1090?\u1072? \u1087?\u1088?\u1086?\u1075?\u1088?\u1072?\u1084?\u1072? \u1079?\u1072? \u1088?\u1077?\u1092?\u1086?\u1088?\u1084?\u1080? \u1085?\u1072? \u1064?\u1074?\u1077?\u1094?\u1080?\u1103? \u1079?\u1072? 2020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64?\u1074?\u1077?\u1094?\u1080?\u1103? \u1079?\u1072? 2020 \u1075?."/>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94">
      <w:bodyDiv w:val="1"/>
      <w:marLeft w:val="0"/>
      <w:marRight w:val="0"/>
      <w:marTop w:val="0"/>
      <w:marBottom w:val="0"/>
      <w:divBdr>
        <w:top w:val="none" w:sz="0" w:space="0" w:color="auto"/>
        <w:left w:val="none" w:sz="0" w:space="0" w:color="auto"/>
        <w:bottom w:val="none" w:sz="0" w:space="0" w:color="auto"/>
        <w:right w:val="none" w:sz="0" w:space="0" w:color="auto"/>
      </w:divBdr>
    </w:div>
    <w:div w:id="120659395">
      <w:bodyDiv w:val="1"/>
      <w:marLeft w:val="0"/>
      <w:marRight w:val="0"/>
      <w:marTop w:val="0"/>
      <w:marBottom w:val="0"/>
      <w:divBdr>
        <w:top w:val="none" w:sz="0" w:space="0" w:color="auto"/>
        <w:left w:val="none" w:sz="0" w:space="0" w:color="auto"/>
        <w:bottom w:val="none" w:sz="0" w:space="0" w:color="auto"/>
        <w:right w:val="none" w:sz="0" w:space="0" w:color="auto"/>
      </w:divBdr>
    </w:div>
    <w:div w:id="358970135">
      <w:bodyDiv w:val="1"/>
      <w:marLeft w:val="0"/>
      <w:marRight w:val="0"/>
      <w:marTop w:val="0"/>
      <w:marBottom w:val="0"/>
      <w:divBdr>
        <w:top w:val="none" w:sz="0" w:space="0" w:color="auto"/>
        <w:left w:val="none" w:sz="0" w:space="0" w:color="auto"/>
        <w:bottom w:val="none" w:sz="0" w:space="0" w:color="auto"/>
        <w:right w:val="none" w:sz="0" w:space="0" w:color="auto"/>
      </w:divBdr>
    </w:div>
    <w:div w:id="1171724094">
      <w:bodyDiv w:val="1"/>
      <w:marLeft w:val="0"/>
      <w:marRight w:val="0"/>
      <w:marTop w:val="0"/>
      <w:marBottom w:val="0"/>
      <w:divBdr>
        <w:top w:val="none" w:sz="0" w:space="0" w:color="auto"/>
        <w:left w:val="none" w:sz="0" w:space="0" w:color="auto"/>
        <w:bottom w:val="none" w:sz="0" w:space="0" w:color="auto"/>
        <w:right w:val="none" w:sz="0" w:space="0" w:color="auto"/>
      </w:divBdr>
    </w:div>
    <w:div w:id="1201670908">
      <w:bodyDiv w:val="1"/>
      <w:marLeft w:val="0"/>
      <w:marRight w:val="0"/>
      <w:marTop w:val="0"/>
      <w:marBottom w:val="0"/>
      <w:divBdr>
        <w:top w:val="none" w:sz="0" w:space="0" w:color="auto"/>
        <w:left w:val="none" w:sz="0" w:space="0" w:color="auto"/>
        <w:bottom w:val="none" w:sz="0" w:space="0" w:color="auto"/>
        <w:right w:val="none" w:sz="0" w:space="0" w:color="auto"/>
      </w:divBdr>
    </w:div>
    <w:div w:id="1846018540">
      <w:bodyDiv w:val="1"/>
      <w:marLeft w:val="0"/>
      <w:marRight w:val="0"/>
      <w:marTop w:val="0"/>
      <w:marBottom w:val="0"/>
      <w:divBdr>
        <w:top w:val="none" w:sz="0" w:space="0" w:color="auto"/>
        <w:left w:val="none" w:sz="0" w:space="0" w:color="auto"/>
        <w:bottom w:val="none" w:sz="0" w:space="0" w:color="auto"/>
        <w:right w:val="none" w:sz="0" w:space="0" w:color="auto"/>
      </w:divBdr>
    </w:div>
    <w:div w:id="194125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B0ED9-7725-4CE6-9467-10641084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3466</Words>
  <Characters>20316</Characters>
  <Application>Microsoft Office Word</Application>
  <DocSecurity>0</DocSecurity>
  <Lines>356</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2020-05-18T08:24:00Z</cp:lastPrinted>
  <dcterms:created xsi:type="dcterms:W3CDTF">2020-06-02T11:51:00Z</dcterms:created>
  <dcterms:modified xsi:type="dcterms:W3CDTF">2020-06-04T12:36:00Z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