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62B6EBD-C6FF-4FB2-98C5-EB17636423FD" style="width:451.35pt;height:35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Финландия за 2020 г</w:t>
      </w:r>
      <w:r>
        <w:rPr>
          <w:noProof/>
          <w:lang w:val="fr-BE"/>
        </w:rPr>
        <w:t>o</w:t>
      </w:r>
      <w:r>
        <w:rPr>
          <w:noProof/>
        </w:rPr>
        <w:t>дина и съдържаща становище на Съвета относно програмата за стабилност на Финландия за 2020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също прие Доклада за механизма за предупреждение, в който Финландия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Финландия за 2020 г.</w:t>
      </w:r>
      <w:r>
        <w:rPr>
          <w:rStyle w:val="FootnoteReference"/>
          <w:noProof/>
        </w:rPr>
        <w:footnoteReference w:id="2"/>
      </w:r>
      <w:r>
        <w:rPr>
          <w:noProof/>
        </w:rPr>
        <w:t xml:space="preserve"> беше публикуван на 26 февруари 2020 г. В него бе оценен напредъкът на Финландия в изпълнението на специфичните за държавата препоръки, приети от Съвета на 9 юли 2019 г.</w:t>
      </w:r>
      <w:r>
        <w:rPr>
          <w:rStyle w:val="FootnoteReference"/>
          <w:noProof/>
        </w:rPr>
        <w:footnoteReference w:id="3"/>
      </w:r>
      <w:r>
        <w:rPr>
          <w:noProof/>
        </w:rPr>
        <w:t xml:space="preserve">, последващите </w:t>
      </w:r>
      <w:r>
        <w:rPr>
          <w:noProof/>
        </w:rPr>
        <w:lastRenderedPageBreak/>
        <w:t xml:space="preserve">действия във връзка с препоръките, отправени през предходните години, както и напредъкът на страната по националните ѝ цели по стратегията „Европа 2020“. </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i/>
          <w:noProof/>
        </w:rPr>
      </w:pPr>
      <w:r>
        <w:rPr>
          <w:noProof/>
        </w:rPr>
        <w:t>(5)</w:t>
      </w:r>
      <w:r>
        <w:rPr>
          <w:noProof/>
        </w:rPr>
        <w:tab/>
        <w:t>На 20 март 2020 г. Комисията прие Съобщение относно задействането на общата клауза за дерогация, предвидена в Пакта за стабилност и растеж</w:t>
      </w:r>
      <w:r>
        <w:rPr>
          <w:rStyle w:val="FootnoteReference"/>
          <w:noProof/>
        </w:rPr>
        <w:footnoteReference w:id="5"/>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във времена на сериозен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задействането на клаузата. На 23 март 2020 г. министрите на финансите на държавите членки се съгласиха с оценката на Комисията. Задействането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w:t>
      </w:r>
      <w:r>
        <w:rPr>
          <w:noProof/>
        </w:rPr>
        <w:lastRenderedPageBreak/>
        <w:t>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готовност за действие при кризи в здравната система,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Финландия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Има вероятност социално-икономическите последици от пандемията да бъдат неравномерно разпределени между различните сектори и региони поради различните модели на специализация. Това води до риск от задълбочаване на различията във Финландия.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30 април 2020 г. Финландия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За Финландия понастоящем се прилагат предпазните мерки на Пакта за стабилност и растеж и правилото за дълга. </w:t>
      </w:r>
    </w:p>
    <w:p>
      <w:pPr>
        <w:pStyle w:val="ManualConsidrant"/>
        <w:rPr>
          <w:noProof/>
        </w:rPr>
      </w:pPr>
      <w:r>
        <w:rPr>
          <w:noProof/>
        </w:rPr>
        <w:lastRenderedPageBreak/>
        <w:t>(12)</w:t>
      </w:r>
      <w:r>
        <w:rPr>
          <w:noProof/>
        </w:rPr>
        <w:tab/>
        <w:t>В своята програма за стабилност за 2020 г. правителството планира номиналното салдо да се влоши от дефицит в размер на 1,1 % от БВП през 2019 г. до дефицит от 7,2 % от БВП през 2020 г. Предвижда се дефицитът да намалее до 4,0 % от БВП през 2021 г. След увеличението, достигнало 59,4 % от БВП през 2019 г., съгласно програма за стабилност за 2020 г. се очаква през 2020 г. съотношението на консолидирания държавен дълг към БВП да нарасне до 69,1 %.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(13)</w:t>
      </w:r>
      <w:r>
        <w:rPr>
          <w:noProof/>
        </w:rPr>
        <w:tab/>
        <w:t>В отговор на пандемията от COVID-19 и в рамките на координирания подход на Съюза Финландия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лица и сектори. Съгласно програмата за стабилност за 2020 г. тези бюджетни мерки възлязоха на 1,7 % от БВП. Мерките включват както спешни разходи за опазване на здравето и обществения ред, така и мерки за подкрепа на предприятията и служителите. Освен това Финландия обяви мерки, които, макар и да нямат пряко отражение върху бюджета, ще допринесат за подпомагане на ликвидността на предприятията. Според програмата за стабилност за 2020 г. те се оценяват на 5 % от БВП. Тези мерки включват гаранции по заеми за дружества, предназначени главно за МСП, както и специфични гаранционни схеми за Finnair и корабоплавателните дружества, които гарантират сигурността на доставките. Освен това във Финландия бяха приети и други мерки за засилване на ликвидността, които не са включени в програмата за стабилност, сред които отсрочване на плащането на корпоративните данъци. Тези допълнителни мерки се оценяват на 15 % от БВП. Като цяло предприетите от Финландия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да се случи, ще допринесе за запазването на фискалната устойчивост в средносрочен план.</w:t>
      </w:r>
    </w:p>
    <w:p>
      <w:pPr>
        <w:pStyle w:val="ManualConsidrant"/>
        <w:rPr>
          <w:noProof/>
        </w:rPr>
      </w:pPr>
      <w:r>
        <w:rPr>
          <w:noProof/>
        </w:rPr>
        <w:t>(14)</w:t>
      </w:r>
      <w:r>
        <w:rPr>
          <w:noProof/>
        </w:rPr>
        <w:tab/>
        <w:t xml:space="preserve">Въз основа на прогнозата на Комисията от пролетта на 2020 г. при непроменена политика се предвижда салдото по консолидирания държавен бюджет на Финландия да бъде -7,4 % от БВП през 2020 г. и -3,4 % през 2021 г. Съотношението на консолидирания държавен дълг към БВП се очаква да достигне 69,4 % от БВП през 2020 г. и 69,6 % през 2021 г. </w:t>
      </w:r>
    </w:p>
    <w:p>
      <w:pPr>
        <w:pStyle w:val="ManualConsidrant"/>
        <w:rPr>
          <w:noProof/>
        </w:rPr>
      </w:pPr>
      <w:r>
        <w:rPr>
          <w:noProof/>
        </w:rPr>
        <w:t>(15)</w:t>
      </w:r>
      <w:r>
        <w:rPr>
          <w:noProof/>
        </w:rPr>
        <w:tab/>
        <w:t xml:space="preserve">На 20 май 2020 г. Комисията представи доклад, изготвен в съответствие с член 126, параграф 3 от Договора, вследствие на планираното от Финландия нарушение на прага на дефицита в размер на 3 % от БВП през 2020 г. Като цяло анализът показва, че критерият за дефицита, определен в Договора и в Регламент (ЕО) № 1467/1997, не е изпълнен. </w:t>
      </w:r>
    </w:p>
    <w:p>
      <w:pPr>
        <w:pStyle w:val="ManualConsidrant"/>
        <w:rPr>
          <w:noProof/>
        </w:rPr>
      </w:pPr>
      <w:r>
        <w:rPr>
          <w:noProof/>
        </w:rPr>
        <w:t>(16)</w:t>
      </w:r>
      <w:r>
        <w:rPr>
          <w:noProof/>
        </w:rPr>
        <w:tab/>
        <w:t xml:space="preserve">В отговор на кризата Финландия предприе всеобхватни действия в подкрепа на своята здравна система и икономика. Например, финландското правителство прие няколко допълнителни бюджета и реши да подобри сигурността на работните места за служителите, а условията за получаване на обезщетения за безработица бяха облекчени. Достъпът до обезщетения за безработица беше улеснен за работещите на свободна практика и предприемачите. Мерките за социална сигурност възлизат на 1,6 милиарда евро. На предприятията бяха предоставени преки безвъзмездни средства от 1 милиард евро в допълнение към </w:t>
      </w:r>
      <w:r>
        <w:rPr>
          <w:noProof/>
        </w:rPr>
        <w:lastRenderedPageBreak/>
        <w:t xml:space="preserve">10 милиарда евро гарантирани от държавата заеми. Правителството временно намали размера на пенсионните отчисления, плащани от работодателите, с 2,6 процентни пункта и задели най-малко 1 милиард евро за пакет от мерки в подкрепа на общините. Финландският орган за финансов надзор понижи капиталовите изисквания за финландските кредитни институции, като премахна буфера за системен риск и адаптира специфичните за кредитните институции изисквания. Правителството номинира работна група под ръководството на Министерството на финансите и Министерството на социалните въпроси и здравеопазването, за да подготви стратегията на страната за излизане от кризата. </w:t>
      </w:r>
      <w:r>
        <w:rPr>
          <w:noProof/>
          <w:color w:val="FF0000"/>
        </w:rPr>
        <w:t>Въз основа на доклад, изготвен от работната група, правителството прие в началото на май план за поетапно излизане от кризата. Работната група</w:t>
      </w:r>
      <w:r>
        <w:rPr>
          <w:noProof/>
        </w:rPr>
        <w:t xml:space="preserve"> ще предложи освен това подходящи мерки за справяне със здравните, социалните и икономическите последици от кризата. Тя се консултира със социалните партньори, общините, организациите на гражданското общество и организациите за опазване на околната среда.</w:t>
      </w:r>
    </w:p>
    <w:p>
      <w:pPr>
        <w:pStyle w:val="ManualConsidrant"/>
        <w:rPr>
          <w:noProof/>
        </w:rPr>
      </w:pPr>
      <w:r>
        <w:rPr>
          <w:noProof/>
        </w:rPr>
        <w:t>(17)</w:t>
      </w:r>
      <w:r>
        <w:rPr>
          <w:noProof/>
        </w:rPr>
        <w:tab/>
        <w:t>Въпреки че Финландия показа обща готовност да се справи с кризата, предизвикана от COVID-19, за нея би било полезно да повиши своята устойчивост. Здравните заведения в различните райони трябваше да пренасочат медицински персонал за лечението на пациенти с коронавирус и да се отклоняват от определените по-рано законоустановени срокове за неспешни здравни грижи. Настоящата система на здравни услуги, предоставяни от различни доставчици, доведе до неравномерна гъстота на здравните работници в цялата страна. Разпокъсаността на предоставянето на услуги и неравнопоставеният достъп до социални и първични здравни услуги се очаква да представляват проблем и след кризата, особено за безработните и пенсионерите, включително за хората с увреждания. С нарастването на безработицата поради кризата с COVID-19, както краткосрочните, така и средносрочните действия на политиката следва да се съсредоточат върху подобряването на равнопоставения достъп до първични здравни грижи. В средносрочен план продължава да е важно да се следват плановете за реформа в здравеопазването и социалната сфера, предвидени от няколко поредни финландски правителства, особено като се има предвид, че те подготвят Финландия за мащабни демографски промени и ще помогнат на страната да запази в бъдеще качеството на своята здравна система, като същевременно подобри достъпа до нея. Дългосрочната устойчивост на публичните финанси на Финландия продължава да е застрашена поради прогнозираното увеличаване на разходите, свързани със застаряването на населението, и по-специално социалните и здравните грижи.</w:t>
      </w:r>
    </w:p>
    <w:p>
      <w:pPr>
        <w:pStyle w:val="ManualConsidrant"/>
        <w:rPr>
          <w:noProof/>
        </w:rPr>
      </w:pPr>
      <w:r>
        <w:rPr>
          <w:noProof/>
        </w:rPr>
        <w:t>(18)</w:t>
      </w:r>
      <w:r>
        <w:rPr>
          <w:noProof/>
        </w:rPr>
        <w:tab/>
        <w:t>Според прогнозата на Комисията се очаква безработицата да нарасне до 8,3 % през 2020 г. и да се възстанови до 7,7 % през 2021 г.</w:t>
      </w:r>
      <w:r>
        <w:rPr>
          <w:i/>
          <w:iCs/>
          <w:noProof/>
          <w:szCs w:val="24"/>
        </w:rPr>
        <w:t xml:space="preserve"> </w:t>
      </w:r>
      <w:r>
        <w:rPr>
          <w:noProof/>
        </w:rPr>
        <w:t xml:space="preserve">Необходими са ефективни действия на политиките в краткосрочен и средносрочен план, изготвени в тясно сътрудничество със социалните партньори, за да се ограничи нарастването на безработицата и за повторното интегриране на пазара на труда на онези, които са загубили работата си поради кризата с COVID-19. Тези усилия следва също така да подкрепят групите, изложени на риск от бедност и социално изключване, като например нискоквалифицираните лица, хората с увреждания, лицата с частична трудоспособност и хората с мигрантски произход. Финландия въведе схеми за непълно работно време, чрез които много служители излязоха в дългосрочен принудителен отпуск. Активните политики по заетостта, включително мерките за повишаване на квалификацията и за преквалификация, биха могли да гарантират бързо и трайно завръщане на пазара на труда. Субсидираните </w:t>
      </w:r>
      <w:r>
        <w:rPr>
          <w:noProof/>
        </w:rPr>
        <w:lastRenderedPageBreak/>
        <w:t>заплати биха могли да бъдат насочени и комбинирани с обучение и последващи действия от страна на публичните служби по заетостта. Преквалификацията и повишаването на квалификацията са от възлово значение за запазването на пригодността за заетост на работната сила в една все по-цифровизирана и екологична икономика. Непрестанната реформа в образованието би могла да отговори на нуждата от повишаване на уменията на възрастните, включително на тези с ниска квалификация, в секторите, които са от значение за пазара на труда, като сектора на информационните и комуникационните технологии (ИКТ). За да получи пазарът уменията, които са му необходими в периоди на демографски и технологични промени, ще бъде важно да се запази адекватността на образователната система спрямо пазара на труда, като бъдат осигурени също достатъчно места в университетите в съответствие с прогнозите за заетостта за всеки сектор и регион. За да се избегне влошаване на социално-икономическото положение на най-уязвимите групи вследствие на кризата, предизвикана от COVID-19, преодоляването на цифровото разделение ще бъде от възлово значение, по-специално за да се гарантира, че учащите се в неравностойно положение получават достъп до качествено образование. Сложната система за обезщетения създава пречки пред започването на работа. За да се насърчи започването на работа на намалено работно време и на непълно работно време, регистърът на доходите, съдържащ информация в реално време относно заплатите и обезщетенията, следва да бъде ефективно използван заедно с ускоряването на времето за обработване на обезщетенията за социална сигурност. В средносрочен план ще бъде важно Финландия да реформира системата за социални помощи, така че да стимулира заетостта и да подготви своята система за социална сигурност за бъдещето.</w:t>
      </w:r>
    </w:p>
    <w:p>
      <w:pPr>
        <w:pStyle w:val="ManualConsidrant"/>
        <w:rPr>
          <w:noProof/>
        </w:rPr>
      </w:pPr>
      <w:r>
        <w:rPr>
          <w:noProof/>
        </w:rPr>
        <w:t>(19)</w:t>
      </w:r>
      <w:r>
        <w:rPr>
          <w:noProof/>
        </w:rPr>
        <w:tab/>
        <w:t xml:space="preserve">Оказването на помощ на предприятията, особено за малките и средните предприятия (МСП), за да оцелеят през кризата, е от съществено значение за стимулиране на икономиката след премахването на наложените понастоящем мерки. Временната подкрепа за осигуряване на ликвидност посредством заеми, безвъзмездни средства и гаранции би могла да помогне на предприятията да преминат през този период на голяма несигурност и значително по-ниски приходи. При разработването и прилагането на тези мерки трябва да се вземе предвид устойчивостта на банковия сектор. </w:t>
      </w:r>
    </w:p>
    <w:p>
      <w:pPr>
        <w:pStyle w:val="ManualConsidrant"/>
        <w:rPr>
          <w:noProof/>
        </w:rPr>
      </w:pPr>
      <w:r>
        <w:rPr>
          <w:noProof/>
        </w:rPr>
        <w:t>(20)</w:t>
      </w:r>
      <w:r>
        <w:rPr>
          <w:noProof/>
        </w:rPr>
        <w:tab/>
        <w:t>За да се насърчи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подходящи реформи.</w:t>
      </w:r>
      <w:r>
        <w:rPr>
          <w:noProof/>
          <w:color w:val="000000"/>
          <w:szCs w:val="24"/>
        </w:rPr>
        <w:t xml:space="preserve"> </w:t>
      </w:r>
      <w:r>
        <w:rPr>
          <w:noProof/>
        </w:rPr>
        <w:t xml:space="preserve">Инвестициите във Финландия остават под средните за ЕС за категории, които в най-голяма степен подкрепят повишаването на производителността, по-специално инвестициите в оборудване и в интелектуална собственост. Това може да ограничи потенциала на страната за дългосрочен растеж и да възпрепятства нейната конкурентоспособност и възстановяване. Увеличаването на инвестициите в научноизследователска и развойна дейност е възлов фактор, позволяващ на структурната промяна да благоприятства икономическите сектори с интензивно използване на знания, както и да укрепи потенциала за дългосрочен растеж. За планираното преминаване към неутралност по отношение на климата до 2035 г., което е отразено също в националния план на Финландия в областта на енергетиката и климата, ще са необходими значителни инвестиции, особено в електроенергийните мрежи и в устойчивия транспорт. Под ръководството на парламентарна ръководна група се разработва нова национална транспортна система за 2021 г. Наред със съображенията, свързани </w:t>
      </w:r>
      <w:r>
        <w:rPr>
          <w:noProof/>
        </w:rPr>
        <w:lastRenderedPageBreak/>
        <w:t>със здравето, околната среда, регионалното развитие и производителността, са необходими непрекъснати усилия за разгръщане на високоскоростен широколентов достъп до интернет и за подобряване на други цифрови инфраструктури с оглед на рационализирането на логистиката и поддържането на икономическата дейност в отдалечените райони. Програмирането на Фонда за справедлив преход за периода 2021—2027 г. би могло да помогне на Финландия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7"/>
      </w:r>
      <w:r>
        <w:rPr>
          <w:noProof/>
        </w:rPr>
        <w:t>. Това ще позволи на Финландия да използва този фонд възможно най-пълноценно.</w:t>
      </w:r>
    </w:p>
    <w:p>
      <w:pPr>
        <w:pStyle w:val="ManualConsidrant"/>
        <w:rPr>
          <w:noProof/>
        </w:rPr>
      </w:pPr>
      <w:r>
        <w:rPr>
          <w:noProof/>
        </w:rPr>
        <w:t>(21)</w:t>
      </w:r>
      <w:r>
        <w:rPr>
          <w:noProof/>
        </w:rPr>
        <w:tab/>
        <w:t>Оценката на риска в областта на борбата с изпирането на пари във Финландия понастоящем е остаряла и ще бъде актуализирана през 2020 г. Финландският финансов надзорен орган наскоро подобри капацитета си за надзор. Въпреки това персоналът все още е недостатъчен, а подходът „основан на риска“ към надзора все още не се прилага правилно. Въпреки че бяха разследвани няколко случая на предполагаеми нарушения, въвеждането на възпираща политика за налагане на санкции остава друга приоритетна област. През последните месеци рязко се увеличи броят на докладите за съмнителни сделки, а инструментите в рамките на звеното за финансово разузнаване изглеждат недостатъчни за анализа на тази информация. Продължава да бъде недостатъчен обменът на информация между звеното за финансово разузнаване и надзорния орган.</w:t>
      </w:r>
    </w:p>
    <w:p>
      <w:pPr>
        <w:pStyle w:val="ManualConsidrant"/>
        <w:rPr>
          <w:noProof/>
          <w:szCs w:val="24"/>
        </w:rPr>
      </w:pPr>
      <w:r>
        <w:rPr>
          <w:noProof/>
        </w:rPr>
        <w:t>(22)</w:t>
      </w:r>
      <w:r>
        <w:rPr>
          <w:noProof/>
        </w:rPr>
        <w:tab/>
        <w:t>Настоящите препоръки са насочени към справянето със социално-икономическите последици от пандемията и улесняването на икономическото възстановяване, докато специфичните за всяка държава препоръки за 2019 г., които Съветът прие на 9 юли 2019 г., обхващат също така реформите, които са от съществено значение за справянето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относно икономическите политики, свързани с инвестициите. Въпросните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преустановяване на мерките във връзка с настоящата криза.</w:t>
      </w:r>
    </w:p>
    <w:p>
      <w:pPr>
        <w:pStyle w:val="ManualConsidrant"/>
        <w:rPr>
          <w:noProof/>
          <w:szCs w:val="24"/>
        </w:rPr>
      </w:pPr>
      <w:r>
        <w:rPr>
          <w:noProof/>
        </w:rPr>
        <w:t>(23)</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Финландия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szCs w:val="24"/>
        </w:rPr>
      </w:pPr>
      <w:r>
        <w:rPr>
          <w:noProof/>
        </w:rPr>
        <w:t>(24)</w:t>
      </w:r>
      <w:r>
        <w:rPr>
          <w:noProof/>
        </w:rPr>
        <w:tab/>
        <w:t xml:space="preserve">Тясната координация между икономиките в икономическия и паричен съюз е от възлово значение за бързото възстановяване от въздействието на COVID-19 върху икономиката. Като държава членка, чиято парична единица е еврото и предвид политическите насоки на Еврогрупата, Финландия следва да гарантира, </w:t>
      </w:r>
      <w:r>
        <w:rPr>
          <w:noProof/>
        </w:rPr>
        <w:lastRenderedPageBreak/>
        <w:t>че нейните политики са съобразени с препоръките за еврозоната и са координирани с тези на останалите държави членки от еврозоната.</w:t>
      </w:r>
    </w:p>
    <w:p>
      <w:pPr>
        <w:pStyle w:val="ManualConsidrant"/>
        <w:rPr>
          <w:noProof/>
        </w:rPr>
      </w:pPr>
      <w:r>
        <w:rPr>
          <w:noProof/>
        </w:rPr>
        <w:t>(25)</w:t>
      </w:r>
      <w:r>
        <w:rPr>
          <w:noProof/>
        </w:rPr>
        <w:tab/>
        <w:t xml:space="preserve">В рамките на европейския семестър за 2020 г. Комисията направи цялостен анализ на икономическата политика на Финландия и го публикува в доклада за страната от 2020 г. Освен това Комисията направи оценка на програмата за стабилност за 2020 г., националната програма за реформи за 2020 г. и последващите действия във връзка с препоръките, отправени към Финландия през предходните години. Комисията взе предвид не само тяхното значение за провеждането на устойчива бюджетна и социално-икономическа политика в Финландия,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rPr>
          <w:noProof/>
        </w:rPr>
        <w:t>(26)</w:t>
      </w:r>
      <w:r>
        <w:rPr>
          <w:noProof/>
        </w:rPr>
        <w:tab/>
        <w:t>С оглед на тази оценка Съветът разгледа програмата за стабилност за 2020 г., като становището</w:t>
      </w:r>
      <w:r>
        <w:rPr>
          <w:rStyle w:val="FootnoteReference"/>
          <w:noProof/>
        </w:rPr>
        <w:footnoteReference w:id="8"/>
      </w:r>
      <w:r>
        <w:rPr>
          <w:noProof/>
        </w:rPr>
        <w:t xml:space="preserve"> му е изразено по-специално в препоръка 1 по-долу, </w:t>
      </w:r>
    </w:p>
    <w:p>
      <w:pPr>
        <w:rPr>
          <w:noProof/>
        </w:rPr>
      </w:pPr>
    </w:p>
    <w:p>
      <w:pPr>
        <w:pStyle w:val="Formuledadoption"/>
        <w:rPr>
          <w:noProof/>
        </w:rPr>
      </w:pPr>
      <w:r>
        <w:rPr>
          <w:noProof/>
        </w:rPr>
        <w:t>ПРЕПОРЪЧВА на Финландия да предприеме следните действия през 2020 и 2021 г.:</w:t>
      </w:r>
    </w:p>
    <w:p>
      <w:pPr>
        <w:pStyle w:val="ManualNumPar1"/>
        <w:rPr>
          <w:noProof/>
          <w:szCs w:val="24"/>
        </w:rPr>
      </w:pPr>
      <w:bookmarkStart w:id="1" w:name="_CopyToNewDocument_"/>
      <w:bookmarkEnd w:id="1"/>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бюджетни политики, насочени към постигане на разумни средносрочни фискални позиции и гарантиращи устойчивостта на дълга, като същевременно насърчават инвестициите. Да се справи с недостига на здравни работници, за да укрепи устойчивостта на здравната система и подобри достъпа до социални и здравни услуги.</w:t>
      </w:r>
    </w:p>
    <w:p>
      <w:pPr>
        <w:pStyle w:val="ManualNumPar1"/>
        <w:rPr>
          <w:noProof/>
          <w:szCs w:val="24"/>
        </w:rPr>
      </w:pPr>
      <w:r>
        <w:rPr>
          <w:noProof/>
        </w:rPr>
        <w:t>2.</w:t>
      </w:r>
      <w:r>
        <w:rPr>
          <w:noProof/>
        </w:rPr>
        <w:tab/>
        <w:t>Да засили мерките за подкрепа на заетостта и да укрепи активните политики по заетостта.</w:t>
      </w:r>
    </w:p>
    <w:p>
      <w:pPr>
        <w:pStyle w:val="ManualNumPar1"/>
        <w:rPr>
          <w:noProof/>
          <w:szCs w:val="24"/>
        </w:rPr>
      </w:pPr>
      <w:r>
        <w:rPr>
          <w:noProof/>
        </w:rPr>
        <w:t>3.</w:t>
      </w:r>
      <w:r>
        <w:rPr>
          <w:noProof/>
        </w:rPr>
        <w:tab/>
        <w:t xml:space="preserve">Да вземе мерки за осигуряване на ликвидност за реалната икономика, по-специално за малките и средните предприятия. Да даде приоритет на готови за изпълнение проекти за публични инвестиции и да окуражава частните инвестиции, които да спомогнат за икономическото възстановяване. Да съсредоточи инвестициите върху екологичния и цифровия преход, по-специално върху чистото и ефективно производство на енергия и нейното използване, устойчивата и ефикасна инфраструктура, както и върху научните изследвания и иновациите. </w:t>
      </w:r>
    </w:p>
    <w:p>
      <w:pPr>
        <w:pStyle w:val="ManualNumPar1"/>
        <w:rPr>
          <w:noProof/>
          <w:szCs w:val="24"/>
        </w:rPr>
      </w:pPr>
      <w:r>
        <w:rPr>
          <w:noProof/>
        </w:rPr>
        <w:t>4.</w:t>
      </w:r>
      <w:r>
        <w:rPr>
          <w:noProof/>
        </w:rPr>
        <w:tab/>
        <w:t>Да гарантира ефективен надзор и прилагане на уредбата за борба с изпирането на пари.</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525 final.</w:t>
      </w:r>
    </w:p>
  </w:footnote>
  <w:footnote w:id="3">
    <w:p>
      <w:pPr>
        <w:pStyle w:val="FootnoteText"/>
        <w:rPr>
          <w:rStyle w:val="FootnoteReference"/>
        </w:rPr>
      </w:pPr>
      <w:r>
        <w:rPr>
          <w:rStyle w:val="FootnoteReference"/>
        </w:rPr>
        <w:footnoteRef/>
      </w:r>
      <w:r>
        <w:tab/>
        <w:t>OВ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СОМ(2020) 123 final.</w:t>
      </w:r>
    </w:p>
  </w:footnote>
  <w:footnote w:id="6">
    <w:p>
      <w:r>
        <w:rPr>
          <w:rStyle w:val="FootnoteReference"/>
        </w:rPr>
        <w:footnoteRef/>
      </w:r>
      <w:r>
        <w:tab/>
      </w:r>
      <w:r>
        <w:rPr>
          <w:sz w:val="20"/>
          <w:szCs w:val="20"/>
        </w:rPr>
        <w:t xml:space="preserve">Регламент (ЕС) 2020/460 </w:t>
      </w:r>
      <w:r>
        <w:rPr>
          <w:sz w:val="20"/>
          <w:szCs w:val="20"/>
          <w:shd w:val="clear" w:color="auto" w:fill="FFFFFF"/>
        </w:rPr>
        <w:t>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w:t>
      </w:r>
      <w:r>
        <w:rPr>
          <w:sz w:val="20"/>
          <w:szCs w:val="20"/>
        </w:rPr>
        <w:t xml:space="preserve">ОВ L 99, 31.3.2020 г., стр. 5) и Регламент (ЕС) 2020/558 </w:t>
      </w:r>
      <w:r>
        <w:rPr>
          <w:sz w:val="20"/>
          <w:szCs w:val="20"/>
          <w:shd w:val="clear" w:color="auto" w:fill="FFFFFF"/>
        </w:rPr>
        <w:t>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z w:val="20"/>
          <w:szCs w:val="20"/>
        </w:rPr>
        <w:t>ОВ L 130, 24.4.2020 г., стр. 1).</w:t>
      </w:r>
    </w:p>
  </w:footnote>
  <w:footnote w:id="7">
    <w:p>
      <w:pPr>
        <w:pStyle w:val="FootnoteText"/>
      </w:pPr>
      <w:r>
        <w:rPr>
          <w:rStyle w:val="FootnoteReference"/>
        </w:rPr>
        <w:footnoteRef/>
      </w:r>
      <w:r>
        <w:tab/>
        <w:t>SWD(2020) 525 final.</w:t>
      </w:r>
    </w:p>
  </w:footnote>
  <w:footnote w:id="8">
    <w:p>
      <w:pPr>
        <w:pStyle w:val="FootnoteText"/>
      </w:pPr>
      <w:r>
        <w:rPr>
          <w:rStyle w:val="FootnoteReference"/>
        </w:rPr>
        <w:footnoteRef/>
      </w:r>
      <w:r>
        <w:tab/>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4:39: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62B6EBD-C6FF-4FB2-98C5-EB17636423FD"/>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60?\u1080?\u1085?\u1083?\u1072?\u1085?\u1076?\u1080?\u1103? \u1079?\u1072? 2020 \u1075?\u1086?\u1076?\u1080?\u1085?\u1072?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60?\u1080?\u1085?\u1083?\u1072?\u1085?\u1076?\u1080?\u1103? \u1079?\u1072? 2020 \u1075?\u1086?\u1076?\u1080?\u1085?\u1072?"/>
    <w:docVar w:name="LW_TITRE.OBJ.CP" w:val="\u1086?\u1090?\u1085?\u1086?\u1089?\u1085?\u1086? \u1085?\u1072?\u1094?\u1080?\u1086?\u1085?\u1072?\u1083?\u1085?\u1072?\u1090?\u1072? \u1087?\u1088?\u1086?\u1075?\u1088?\u1072?\u1084?\u1072? \u1079?\u1072? \u1088?\u1077?\u1092?\u1086?\u1088?\u1084?\u1080? \u1085?\u1072? \u1060?\u1080?\u1085?\u1083?\u1072?\u1085?\u1076?\u1080?\u1103? \u1079?\u1072? 2020 \u1075?\u1086?\u1076?\u1080?\u1085?\u1072?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60?\u1080?\u1085?\u1083?\u1072?\u1085?\u1076?\u1080?\u1103? \u1079?\u1072? 2020 \u1075?\u1086?\u1076?\u1080?\u1085?\u1072?"/>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095">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900480371">
      <w:bodyDiv w:val="1"/>
      <w:marLeft w:val="0"/>
      <w:marRight w:val="0"/>
      <w:marTop w:val="0"/>
      <w:marBottom w:val="0"/>
      <w:divBdr>
        <w:top w:val="none" w:sz="0" w:space="0" w:color="auto"/>
        <w:left w:val="none" w:sz="0" w:space="0" w:color="auto"/>
        <w:bottom w:val="none" w:sz="0" w:space="0" w:color="auto"/>
        <w:right w:val="none" w:sz="0" w:space="0" w:color="auto"/>
      </w:divBdr>
    </w:div>
    <w:div w:id="1056734362">
      <w:bodyDiv w:val="1"/>
      <w:marLeft w:val="0"/>
      <w:marRight w:val="0"/>
      <w:marTop w:val="0"/>
      <w:marBottom w:val="0"/>
      <w:divBdr>
        <w:top w:val="none" w:sz="0" w:space="0" w:color="auto"/>
        <w:left w:val="none" w:sz="0" w:space="0" w:color="auto"/>
        <w:bottom w:val="none" w:sz="0" w:space="0" w:color="auto"/>
        <w:right w:val="none" w:sz="0" w:space="0" w:color="auto"/>
      </w:divBdr>
    </w:div>
    <w:div w:id="1066490490">
      <w:bodyDiv w:val="1"/>
      <w:marLeft w:val="0"/>
      <w:marRight w:val="0"/>
      <w:marTop w:val="0"/>
      <w:marBottom w:val="0"/>
      <w:divBdr>
        <w:top w:val="none" w:sz="0" w:space="0" w:color="auto"/>
        <w:left w:val="none" w:sz="0" w:space="0" w:color="auto"/>
        <w:bottom w:val="none" w:sz="0" w:space="0" w:color="auto"/>
        <w:right w:val="none" w:sz="0" w:space="0" w:color="auto"/>
      </w:divBdr>
    </w:div>
    <w:div w:id="1471821983">
      <w:bodyDiv w:val="1"/>
      <w:marLeft w:val="0"/>
      <w:marRight w:val="0"/>
      <w:marTop w:val="0"/>
      <w:marBottom w:val="0"/>
      <w:divBdr>
        <w:top w:val="none" w:sz="0" w:space="0" w:color="auto"/>
        <w:left w:val="none" w:sz="0" w:space="0" w:color="auto"/>
        <w:bottom w:val="none" w:sz="0" w:space="0" w:color="auto"/>
        <w:right w:val="none" w:sz="0" w:space="0" w:color="auto"/>
      </w:divBdr>
    </w:div>
    <w:div w:id="155392530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3510</Words>
  <Characters>20709</Characters>
  <Application>Microsoft Office Word</Application>
  <DocSecurity>0</DocSecurity>
  <Lines>357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2020-05-18T08:27:00Z</cp:lastPrinted>
  <dcterms:created xsi:type="dcterms:W3CDTF">2020-05-26T15:58:00Z</dcterms:created>
  <dcterms:modified xsi:type="dcterms:W3CDTF">2020-06-04T12:39:00Z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