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F194E144-E04E-4E48-8F4C-277639E453F1" style="width:450.45pt;height:447.5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>ПРИЛОЖЕНИЕ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Приложения I, II и V към предложение COM (2018) 375 на Комисията се изменят, както следва:</w:t>
      </w:r>
    </w:p>
    <w:p>
      <w:pPr>
        <w:pStyle w:val="NormalCentered"/>
        <w:jc w:val="left"/>
        <w:rPr>
          <w:noProof/>
          <w:szCs w:val="24"/>
        </w:rPr>
      </w:pPr>
    </w:p>
    <w:p>
      <w:pPr>
        <w:pStyle w:val="NormalCentered"/>
        <w:jc w:val="left"/>
        <w:rPr>
          <w:noProof/>
          <w:szCs w:val="24"/>
        </w:rPr>
      </w:pPr>
      <w:r>
        <w:rPr>
          <w:noProof/>
        </w:rPr>
        <w:t xml:space="preserve"> (1) в приложение I, в таблица 1 се добавят следните кодове по измерение:</w:t>
      </w:r>
    </w:p>
    <w:p>
      <w:pPr>
        <w:pStyle w:val="NormalCentered"/>
        <w:jc w:val="left"/>
        <w:rPr>
          <w:noProof/>
          <w:szCs w:val="24"/>
        </w:rPr>
      </w:pPr>
      <w:r>
        <w:rPr>
          <w:noProof/>
        </w:rPr>
        <w:t xml:space="preserve"> „</w:t>
      </w:r>
    </w:p>
    <w:tbl>
      <w:tblPr>
        <w:tblW w:w="14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0053"/>
        <w:gridCol w:w="1654"/>
        <w:gridCol w:w="1808"/>
      </w:tblGrid>
      <w:tr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023a</w:t>
            </w:r>
          </w:p>
        </w:tc>
        <w:tc>
          <w:tcPr>
            <w:tcW w:w="10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Финансиране на оборотен капитал на МСП под формата на безвъзмездни средства за справяне с извънредна ситуация*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0 %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0 %</w:t>
            </w:r>
          </w:p>
        </w:tc>
      </w:tr>
      <w:tr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095a</w:t>
            </w:r>
          </w:p>
        </w:tc>
        <w:tc>
          <w:tcPr>
            <w:tcW w:w="10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Критично оборудване и стоки, необходими за справяне с извънредна ситуация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0 %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0 %</w:t>
            </w:r>
          </w:p>
        </w:tc>
      </w:tr>
    </w:tbl>
    <w:p>
      <w:pPr>
        <w:pStyle w:val="NormalCentered"/>
        <w:jc w:val="left"/>
        <w:rPr>
          <w:noProof/>
          <w:szCs w:val="24"/>
        </w:rPr>
      </w:pPr>
      <w:r>
        <w:rPr>
          <w:noProof/>
        </w:rPr>
        <w:t>*Код 023a може да се използва само когато се изпълняват временни мерки за използване на ЕФРР в отговор на извънредни обстоятелства в съответствие с член 11a от [изменено предложение за ЕФРР].”</w:t>
      </w:r>
    </w:p>
    <w:p>
      <w:pPr>
        <w:pStyle w:val="NormalCentered"/>
        <w:jc w:val="left"/>
        <w:rPr>
          <w:noProof/>
          <w:szCs w:val="24"/>
        </w:rPr>
      </w:pPr>
    </w:p>
    <w:p>
      <w:pPr>
        <w:pStyle w:val="NormalCentered"/>
        <w:jc w:val="left"/>
        <w:rPr>
          <w:noProof/>
          <w:szCs w:val="24"/>
        </w:rPr>
      </w:pPr>
    </w:p>
    <w:p>
      <w:pPr>
        <w:pStyle w:val="NormalCentered"/>
        <w:jc w:val="left"/>
        <w:rPr>
          <w:noProof/>
          <w:szCs w:val="24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6838" w:h="11906" w:orient="landscape" w:code="9"/>
          <w:pgMar w:top="1417" w:right="1417" w:bottom="1417" w:left="1417" w:header="709" w:footer="709" w:gutter="0"/>
          <w:cols w:space="720"/>
          <w:titlePg/>
          <w:docGrid w:linePitch="360"/>
        </w:sectPr>
      </w:pPr>
    </w:p>
    <w:p>
      <w:pPr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(2)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  <w:szCs w:val="24"/>
        </w:rPr>
        <w:t>в приложение ІІ се добавя следната точка 4а:</w:t>
      </w:r>
    </w:p>
    <w:p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„4a. Прехвърляния към инструменти с пряко или непряко управление, между фондове със споделено управление, включително между фондове на политиката на сближаване, с обосновка</w:t>
      </w:r>
    </w:p>
    <w:p>
      <w:pPr>
        <w:spacing w:before="120" w:after="12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Позоваване: член 8, буква г) и член 21</w:t>
      </w:r>
    </w:p>
    <w:p>
      <w:pPr>
        <w:rPr>
          <w:rFonts w:ascii="Times New Roman" w:eastAsia="Times New Roman" w:hAnsi="Times New Roman" w:cs="Times New Roman"/>
          <w:i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Таблица 3a: Прехвърляния към инструменти с пряко или непряко управление*</w:t>
      </w:r>
      <w:r>
        <w:rPr>
          <w:rFonts w:ascii="Times New Roman" w:hAnsi="Times New Roman"/>
          <w:i/>
          <w:noProof/>
          <w:sz w:val="20"/>
        </w:rP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2"/>
        <w:gridCol w:w="1517"/>
        <w:gridCol w:w="1736"/>
        <w:gridCol w:w="1736"/>
        <w:gridCol w:w="1736"/>
        <w:gridCol w:w="1735"/>
        <w:gridCol w:w="1735"/>
        <w:gridCol w:w="2773"/>
      </w:tblGrid>
      <w:tr>
        <w:tc>
          <w:tcPr>
            <w:tcW w:w="440" w:type="pct"/>
            <w:tcBorders>
              <w:bottom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Фонд</w:t>
            </w:r>
          </w:p>
        </w:tc>
        <w:tc>
          <w:tcPr>
            <w:tcW w:w="533" w:type="pct"/>
            <w:tcBorders>
              <w:bottom w:val="nil"/>
            </w:tcBorders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Категория региони</w:t>
            </w:r>
          </w:p>
        </w:tc>
        <w:tc>
          <w:tcPr>
            <w:tcW w:w="610" w:type="pct"/>
            <w:tcBorders>
              <w:bottom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Инструмент 1</w:t>
            </w:r>
          </w:p>
        </w:tc>
        <w:tc>
          <w:tcPr>
            <w:tcW w:w="610" w:type="pct"/>
            <w:tcBorders>
              <w:bottom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Инструмент 2</w:t>
            </w:r>
          </w:p>
        </w:tc>
        <w:tc>
          <w:tcPr>
            <w:tcW w:w="610" w:type="pct"/>
            <w:tcBorders>
              <w:bottom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Инструмент 3</w:t>
            </w:r>
          </w:p>
        </w:tc>
        <w:tc>
          <w:tcPr>
            <w:tcW w:w="610" w:type="pct"/>
            <w:tcBorders>
              <w:bottom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Инструмент 4</w:t>
            </w:r>
          </w:p>
        </w:tc>
        <w:tc>
          <w:tcPr>
            <w:tcW w:w="610" w:type="pct"/>
            <w:tcBorders>
              <w:bottom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Инструмент 5</w:t>
            </w:r>
          </w:p>
        </w:tc>
        <w:tc>
          <w:tcPr>
            <w:tcW w:w="975" w:type="pct"/>
            <w:tcBorders>
              <w:bottom w:val="nil"/>
            </w:tcBorders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Сума за прехвърляне</w:t>
            </w:r>
          </w:p>
        </w:tc>
      </w:tr>
      <w:tr>
        <w:tc>
          <w:tcPr>
            <w:tcW w:w="440" w:type="pct"/>
            <w:tcBorders>
              <w:top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(a)</w:t>
            </w:r>
          </w:p>
        </w:tc>
        <w:tc>
          <w:tcPr>
            <w:tcW w:w="610" w:type="pct"/>
            <w:tcBorders>
              <w:top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(b)</w:t>
            </w:r>
          </w:p>
        </w:tc>
        <w:tc>
          <w:tcPr>
            <w:tcW w:w="610" w:type="pct"/>
            <w:tcBorders>
              <w:top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(c)</w:t>
            </w:r>
          </w:p>
        </w:tc>
        <w:tc>
          <w:tcPr>
            <w:tcW w:w="610" w:type="pct"/>
            <w:tcBorders>
              <w:top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(d)</w:t>
            </w:r>
          </w:p>
        </w:tc>
        <w:tc>
          <w:tcPr>
            <w:tcW w:w="610" w:type="pct"/>
            <w:tcBorders>
              <w:top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(e)</w:t>
            </w:r>
          </w:p>
        </w:tc>
        <w:tc>
          <w:tcPr>
            <w:tcW w:w="975" w:type="pct"/>
            <w:tcBorders>
              <w:top w:val="nil"/>
            </w:tcBorders>
          </w:tcPr>
          <w:p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(f)=(a)+(b)+(c)+(d)+(e)</w:t>
            </w:r>
          </w:p>
        </w:tc>
      </w:tr>
      <w:tr>
        <w:tc>
          <w:tcPr>
            <w:tcW w:w="440" w:type="pct"/>
            <w:vMerge w:val="restar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ЕФРР</w:t>
            </w: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По-силно развити региони</w:t>
            </w: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  <w:vMerge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Региони в преход</w:t>
            </w: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  <w:vMerge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По-слабо развити региони</w:t>
            </w: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  <w:vMerge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Най-отдалечени региони и северни слабо населени региони</w:t>
            </w: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  <w:vMerge w:val="restar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ЕСФ+</w:t>
            </w: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По-силно развити региони</w:t>
            </w: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  <w:vMerge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Региони в преход</w:t>
            </w: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  <w:vMerge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По-слабо развити региони</w:t>
            </w: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  <w:vMerge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Най-отдалечени региони</w:t>
            </w: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КФ</w:t>
            </w: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ЕФМДР</w:t>
            </w: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>
        <w:tc>
          <w:tcPr>
            <w:tcW w:w="44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Общо</w:t>
            </w:r>
          </w:p>
        </w:tc>
        <w:tc>
          <w:tcPr>
            <w:tcW w:w="533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0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</w:tcPr>
          <w:p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*Кумулативни суми на всички прехвърляния през програмния период.</w:t>
      </w:r>
    </w:p>
    <w:p>
      <w:pPr>
        <w:rPr>
          <w:rFonts w:ascii="Times New Roman" w:eastAsia="Times New Roman" w:hAnsi="Times New Roman" w:cs="Times New Roman"/>
          <w:noProof/>
          <w:sz w:val="20"/>
        </w:rPr>
      </w:pP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Текстово поле [3000] (обосновка)</w:t>
            </w:r>
          </w:p>
        </w:tc>
      </w:tr>
    </w:tbl>
    <w:p>
      <w:pPr>
        <w:rPr>
          <w:rFonts w:ascii="Times New Roman" w:eastAsia="Times New Roman" w:hAnsi="Times New Roman" w:cs="Times New Roman"/>
          <w:b/>
          <w:noProof/>
          <w:sz w:val="20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footnotePr>
            <w:numRestart w:val="eachSect"/>
          </w:footnotePr>
          <w:pgSz w:w="16838" w:h="11906" w:orient="landscape" w:code="9"/>
          <w:pgMar w:top="1417" w:right="1417" w:bottom="1417" w:left="1417" w:header="709" w:footer="709" w:gutter="0"/>
          <w:cols w:space="720"/>
          <w:titlePg/>
          <w:docGrid w:linePitch="360"/>
        </w:sectPr>
      </w:pPr>
    </w:p>
    <w:p>
      <w:pPr>
        <w:rPr>
          <w:rFonts w:ascii="Times New Roman" w:eastAsia="Times New Roman" w:hAnsi="Times New Roman" w:cs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Таблица 3б: Прехвърляния между фондове със споделено управление, включително между фондове на политиката на сближаване*</w:t>
      </w:r>
    </w:p>
    <w:p>
      <w:pPr>
        <w:spacing w:before="120" w:after="12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Позоваване: член 8 и член 21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4"/>
        <w:gridCol w:w="1347"/>
        <w:gridCol w:w="905"/>
        <w:gridCol w:w="847"/>
        <w:gridCol w:w="903"/>
        <w:gridCol w:w="1346"/>
        <w:gridCol w:w="905"/>
        <w:gridCol w:w="847"/>
        <w:gridCol w:w="903"/>
        <w:gridCol w:w="1091"/>
        <w:gridCol w:w="502"/>
        <w:gridCol w:w="895"/>
        <w:gridCol w:w="813"/>
        <w:gridCol w:w="621"/>
        <w:gridCol w:w="723"/>
        <w:gridCol w:w="688"/>
      </w:tblGrid>
      <w:tr>
        <w:tc>
          <w:tcPr>
            <w:tcW w:w="0" w:type="auto"/>
            <w:gridSpan w:val="2"/>
            <w:vMerge w:val="restart"/>
            <w:tcBorders>
              <w:tl2br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ЕФРР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ЕСФ+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КФ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ЕФМДР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ФУМИ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ФВС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ИУГВ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Общо </w:t>
            </w:r>
          </w:p>
        </w:tc>
      </w:tr>
      <w:tr>
        <w:trPr>
          <w:trHeight w:val="673"/>
        </w:trPr>
        <w:tc>
          <w:tcPr>
            <w:tcW w:w="0" w:type="auto"/>
            <w:gridSpan w:val="2"/>
            <w:vMerge/>
            <w:tcBorders>
              <w:tl2br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По-силно развити региони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Региони в преход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По-слабо развити региони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Най-отдалечени региони и северни слабо населени региони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По-силно развити региони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Региони в преход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По-слабо развити региони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Най-отдалечени региони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</w:tr>
      <w:tr>
        <w:trPr>
          <w:trHeight w:val="428"/>
        </w:trPr>
        <w:tc>
          <w:tcPr>
            <w:tcW w:w="0" w:type="auto"/>
            <w:vMerge w:val="restart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ЕФРР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По-силно развити региони</w:t>
            </w: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rPr>
          <w:trHeight w:val="350"/>
        </w:trPr>
        <w:tc>
          <w:tcPr>
            <w:tcW w:w="0" w:type="auto"/>
            <w:vMerge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Региони в преход</w:t>
            </w: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rPr>
          <w:trHeight w:val="286"/>
        </w:trPr>
        <w:tc>
          <w:tcPr>
            <w:tcW w:w="0" w:type="auto"/>
            <w:vMerge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По-слабо развити региони</w:t>
            </w: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rPr>
          <w:trHeight w:val="648"/>
        </w:trPr>
        <w:tc>
          <w:tcPr>
            <w:tcW w:w="0" w:type="auto"/>
            <w:vMerge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Най-отдалечени региони и северни слабо населени региони</w:t>
            </w: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c>
          <w:tcPr>
            <w:tcW w:w="0" w:type="auto"/>
            <w:vMerge w:val="restart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ЕСФ+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По-силно развити региони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c>
          <w:tcPr>
            <w:tcW w:w="0" w:type="auto"/>
            <w:vMerge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Региони в преход 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c>
          <w:tcPr>
            <w:tcW w:w="0" w:type="auto"/>
            <w:vMerge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По-слабо развити региони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c>
          <w:tcPr>
            <w:tcW w:w="0" w:type="auto"/>
            <w:vMerge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Най-отдалечени региони 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rPr>
          <w:trHeight w:val="372"/>
        </w:trPr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КФ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ЕФМДР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Общо</w:t>
            </w: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</w:rPr>
        <w:t>*Кумулативни суми на всички прехвърляния през програмния период — прехвърляне до 5 % общо от първоначално отпуснатите за всяка държава суми по всеки фонд към всеки друг инструмент с пряко или непряко управление, прехвърляне до 5 % общо от първоначално отпуснатите за всяка държава суми по всеки фонд към друг фонд или фондове и допълнително прехвърляне до 5 % общо от първоначално отпуснатите за всяка държава суми по фондове между ЕФРР, ЕСФ+ или Кохезионния фонд в рамките на глобалните средства на държавата членка по цел „Инвестиции за растеж и работни места“.“</w:t>
      </w:r>
      <w:r>
        <w:rPr>
          <w:rFonts w:ascii="Times New Roman" w:hAnsi="Times New Roman"/>
          <w:noProof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Текстово поле [3000] (обосновка)</w:t>
            </w:r>
          </w:p>
        </w:tc>
      </w:tr>
    </w:tbl>
    <w:p>
      <w:pPr>
        <w:spacing w:before="120" w:after="120" w:line="240" w:lineRule="auto"/>
        <w:jc w:val="right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“</w:t>
      </w:r>
    </w:p>
    <w:p>
      <w:pPr>
        <w:rPr>
          <w:rFonts w:ascii="Times New Roman" w:hAnsi="Times New Roman" w:cs="Times New Roman"/>
          <w:b/>
          <w:noProof/>
          <w:sz w:val="24"/>
          <w:szCs w:val="24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(3) в приложение V точка 3.А. се изменя, както следва:</w:t>
      </w:r>
    </w:p>
    <w:p>
      <w:pPr>
        <w:ind w:left="360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w:t>а) второто поле за отметка се заменя със следното:</w:t>
      </w:r>
    </w:p>
    <w:p>
      <w:pPr>
        <w:spacing w:after="0"/>
        <w:ind w:left="357"/>
        <w:rPr>
          <w:rFonts w:ascii="Times New Roman" w:hAnsi="Times New Roman" w:cs="Times New Roman"/>
          <w:noProof/>
          <w:sz w:val="24"/>
          <w:szCs w:val="16"/>
        </w:rPr>
      </w:pPr>
      <w:r>
        <w:rPr>
          <w:rFonts w:ascii="Times New Roman" w:hAnsi="Times New Roman"/>
          <w:noProof/>
          <w:sz w:val="24"/>
          <w:szCs w:val="16"/>
        </w:rPr>
        <w:t xml:space="preserve"> „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>
        <w:tc>
          <w:tcPr>
            <w:tcW w:w="9322" w:type="dxa"/>
          </w:tcPr>
          <w:p>
            <w:pPr>
              <w:pStyle w:val="Text3"/>
              <w:spacing w:after="0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Изменение на програмата, свързано с член 21, РОР (прехвърляния към инструменти с пряко или непряко управление</w:t>
            </w:r>
            <w:r>
              <w:rPr>
                <w:b/>
                <w:noProof/>
                <w:sz w:val="20"/>
                <w:szCs w:val="20"/>
                <w:u w:val="single"/>
              </w:rPr>
              <w:t>,</w:t>
            </w:r>
            <w:r>
              <w:rPr>
                <w:noProof/>
                <w:sz w:val="20"/>
                <w:szCs w:val="20"/>
              </w:rPr>
              <w:t xml:space="preserve"> между фондове със споделено управление, </w:t>
            </w:r>
            <w:r>
              <w:rPr>
                <w:b/>
                <w:noProof/>
                <w:sz w:val="20"/>
                <w:szCs w:val="20"/>
                <w:u w:val="single"/>
              </w:rPr>
              <w:t xml:space="preserve">включително между фондове на политиката на сближаване </w:t>
            </w:r>
            <w:r>
              <w:rPr>
                <w:noProof/>
                <w:sz w:val="20"/>
                <w:szCs w:val="20"/>
              </w:rPr>
              <w:t>)</w:t>
            </w:r>
          </w:p>
        </w:tc>
      </w:tr>
    </w:tbl>
    <w:p>
      <w:pPr>
        <w:ind w:left="8640"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“</w:t>
      </w:r>
    </w:p>
    <w:p>
      <w:pPr>
        <w:pStyle w:val="ListParagraph"/>
        <w:rPr>
          <w:rFonts w:ascii="Times New Roman" w:hAnsi="Times New Roman" w:cs="Times New Roman"/>
          <w:noProof/>
          <w:sz w:val="16"/>
          <w:szCs w:val="16"/>
        </w:rPr>
      </w:pPr>
    </w:p>
    <w:p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б) под таблица 16 се добавя следното каре:</w:t>
      </w:r>
    </w:p>
    <w:p>
      <w:pPr>
        <w:pStyle w:val="ListParagraph"/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Обосновка на предлаганото прехвърляне – член 21, параграф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noProof/>
                <w:sz w:val="24"/>
                <w:szCs w:val="24"/>
                <w:u w:val="single"/>
              </w:rPr>
              <w:t xml:space="preserve">Текстово поле [3 000] </w:t>
            </w:r>
          </w:p>
          <w:p>
            <w:pP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u w:val="single"/>
              </w:rPr>
            </w:pPr>
          </w:p>
        </w:tc>
      </w:tr>
    </w:tbl>
    <w:p>
      <w:pPr>
        <w:ind w:left="8640"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Cs w:val="24"/>
        </w:rPr>
        <w:t>“</w:t>
      </w:r>
    </w:p>
    <w:p>
      <w:pPr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в)  заглавието на таблица 17 и съответната бележка под линия се заменят със следното:</w:t>
      </w:r>
    </w:p>
    <w:p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>„Таблица 17: Прехвърляния между фондове със споделено управление, включително между фондове на политиката на сближаване*</w:t>
      </w:r>
    </w:p>
    <w:p>
      <w:pPr>
        <w:spacing w:after="0"/>
        <w:ind w:left="360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*Кумулативни суми на всички прехвърляния през програмния период — прехвърляне до 5 % общо от първоначално отпуснатите за всяка държава суми по фондове към друг фонд или фондове и допълнително прехвърляне до 5 % общо от първоначално отпуснатите за всяка държава суми по фондове между ЕФРР, ЕСФ+ или Кохезионния фонд в рамките на глобалните средства на държавата членка по цел „Инвестиции за растеж и работни места“.“</w:t>
      </w:r>
    </w:p>
    <w:p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г) под таблица 17 се добавя следното каре:</w:t>
      </w:r>
    </w:p>
    <w:p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>„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Обосновка на предлаганото прехвърляне – член 21, параграф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noProof/>
                <w:sz w:val="24"/>
                <w:szCs w:val="24"/>
                <w:u w:val="single"/>
              </w:rPr>
              <w:t xml:space="preserve">Текстово поле [3 000] </w:t>
            </w:r>
          </w:p>
          <w:p>
            <w:pP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u w:val="single"/>
              </w:rPr>
            </w:pPr>
          </w:p>
        </w:tc>
      </w:tr>
    </w:tbl>
    <w:p>
      <w:pPr>
        <w:ind w:left="8640"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Cs w:val="24"/>
        </w:rPr>
        <w:t>“</w:t>
      </w:r>
    </w:p>
    <w:sectPr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20219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>
    <w:pPr>
      <w:pStyle w:val="FooterCoverPage"/>
      <w:ind w:left="0"/>
      <w:rPr>
        <w:rFonts w:ascii="Arial" w:hAnsi="Arial" w:cs="Arial"/>
        <w:b/>
        <w:sz w:val="4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1235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FooterCoverPage"/>
      <w:ind w:left="0"/>
      <w:rPr>
        <w:rFonts w:ascii="Arial" w:hAnsi="Arial" w:cs="Arial"/>
        <w:b/>
        <w:sz w:val="4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73207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Footer"/>
      <w:pBdr>
        <w:top w:val="single" w:sz="4" w:space="1" w:color="808080"/>
      </w:pBdr>
      <w:jc w:val="right"/>
      <w:rPr>
        <w:rStyle w:val="PageNumbe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49320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7867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Footer"/>
      <w:pBdr>
        <w:top w:val="single" w:sz="4" w:space="1" w:color="808080"/>
      </w:pBdr>
      <w:jc w:val="right"/>
      <w:rPr>
        <w:rStyle w:val="PageNumbe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47054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7B6F46"/>
      </w:pBdr>
      <w:tabs>
        <w:tab w:val="right" w:pos="8820"/>
      </w:tabs>
      <w:ind w:right="3027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7B6F46"/>
      </w:pBdr>
      <w:tabs>
        <w:tab w:val="right" w:pos="8820"/>
      </w:tabs>
      <w:ind w:right="3027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8FB"/>
    <w:multiLevelType w:val="hybridMultilevel"/>
    <w:tmpl w:val="15F81032"/>
    <w:lvl w:ilvl="0" w:tplc="544A086A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D2B"/>
    <w:multiLevelType w:val="hybridMultilevel"/>
    <w:tmpl w:val="879C0604"/>
    <w:lvl w:ilvl="0" w:tplc="52BA1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2C6"/>
    <w:multiLevelType w:val="hybridMultilevel"/>
    <w:tmpl w:val="B74A1426"/>
    <w:lvl w:ilvl="0" w:tplc="DC14909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21879"/>
    <w:multiLevelType w:val="hybridMultilevel"/>
    <w:tmpl w:val="2BDE3528"/>
    <w:lvl w:ilvl="0" w:tplc="6678694E">
      <w:start w:val="10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B1664"/>
    <w:multiLevelType w:val="hybridMultilevel"/>
    <w:tmpl w:val="D0E6B49C"/>
    <w:lvl w:ilvl="0" w:tplc="1C1CC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26D8"/>
    <w:multiLevelType w:val="hybridMultilevel"/>
    <w:tmpl w:val="56BA7598"/>
    <w:lvl w:ilvl="0" w:tplc="B956B1E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6D26"/>
    <w:multiLevelType w:val="hybridMultilevel"/>
    <w:tmpl w:val="C978B7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75CC8E8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200C08"/>
    <w:multiLevelType w:val="hybridMultilevel"/>
    <w:tmpl w:val="2C6A2324"/>
    <w:lvl w:ilvl="0" w:tplc="724403CE">
      <w:start w:val="18"/>
      <w:numFmt w:val="decimal"/>
      <w:lvlText w:val="(%1)"/>
      <w:lvlJc w:val="left"/>
      <w:pPr>
        <w:ind w:left="760" w:hanging="40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915A3"/>
    <w:multiLevelType w:val="hybridMultilevel"/>
    <w:tmpl w:val="7EDC1C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AB16BD"/>
    <w:multiLevelType w:val="hybridMultilevel"/>
    <w:tmpl w:val="CAD0110A"/>
    <w:lvl w:ilvl="0" w:tplc="59E2AFC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A5024C"/>
    <w:multiLevelType w:val="hybridMultilevel"/>
    <w:tmpl w:val="18B43780"/>
    <w:lvl w:ilvl="0" w:tplc="52BA1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3D4"/>
    <w:multiLevelType w:val="hybridMultilevel"/>
    <w:tmpl w:val="97565540"/>
    <w:lvl w:ilvl="0" w:tplc="52BA1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63E62"/>
    <w:multiLevelType w:val="hybridMultilevel"/>
    <w:tmpl w:val="60B8DFD2"/>
    <w:lvl w:ilvl="0" w:tplc="52BA1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revisionView w:markup="0"/>
  <w:defaultTabStop w:val="720"/>
  <w:hyphenationZone w:val="425"/>
  <w:characterSpacingControl w:val="doNotCompress"/>
  <w:hdrShapeDefaults>
    <o:shapedefaults v:ext="edit" spidmax="716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194E144-E04E-4E48-8F4C-277639E453F1"/>
    <w:docVar w:name="LW_COVERPAGE_TYPE" w:val="1"/>
    <w:docVar w:name="LW_CROSSREFERENCE" w:val="&lt;UNUSED&gt;"/>
    <w:docVar w:name="LW_DocType" w:val="NORMAL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6?\u1087?\u1088?\u1077?\u1076?\u1077?\u1083?\u1103?\u1085?\u1077? \u1085?\u1072? \u1086?\u1073?\u1097?\u1086?\u1087?\u1088?\u1080?\u1083?\u1086?\u1078?\u1080?\u1084?\u1080? \u1088?\u1072?\u1079?\u1087?\u1086?\u1088?\u1077?\u1076?\u1073?\u1080? \u1079?\u1072? \u1045?\u1074?\u1088?\u1086?\u1087?\u1077?\u1081?\u1089?\u1082?\u1080?\u1103? \u1092?\u1086?\u1085?\u1076? \u1079?\u1072? \u1088?\u1077?\u1075?\u1080?\u1086?\u1085?\u1072?\u1083?\u1085?\u1086? \u1088?\u1072?\u1079?\u1074?\u1080?\u1090?\u1080?\u1077?, \u1045?\u1074?\u1088?\u1086?\u1087?\u1077?\u1081?\u1089?\u1082?\u1080?\u1103? \u1089?\u1086?\u1094?\u1080?\u1072?\u1083?\u1077?\u1085? \u1092?\u1086?\u1085?\u1076?+, \u1050?\u1086?\u1093?\u1077?\u1079?\u1080?\u1086?\u1085?\u1085?\u1080?\u1103? \u1092?\u1086?\u1085?\u1076?, \u1060?\u1086?\u1085?\u1076?\u1072? \u1079?\u1072? \u1089?\u1087?\u1088?\u1072?\u1074?\u1077?\u1076?\u1083?\u1080?\u1074? \u1087?\u1088?\u1077?\u1093?\u1086?\u1076?, \u1045?\u1074?\u1088?\u1086?\u1087?\u1077?\u1081?\u1089?\u1082?\u1080?\u1103? \u1092?\u1086?\u1085?\u1076? \u1079?\u1072? \u1084?\u1086?\u1088?\u1089?\u1082?\u1086? \u1076?\u1077?\u1083?\u1086? \u1080? \u1088?\u1080?\u1073?\u1072?\u1088?\u1089?\u1090?\u1074?\u1086?, \u1082?\u1072?\u1082?\u1090?\u1086? \u1080? \u1092?\u1080?\u1085?\u1072?\u1085?\u1089?\u1086?\u1074?\u1080? \u1087?\u1088?\u1072?\u1074?\u1080?\u1083?\u1072? \u1079?\u1072? \u1090?\u1103?\u1093? \u1080? \u1079?\u1072? \u1092?\u1086?\u1085?\u1076? \u8222?\u1059?\u1073?\u1077?\u1078?\u1080?\u1097?\u1077? \u1080? \u1084?\u1080?\u1075?\u1088?\u1072?\u1094?\u1080?\u1103?\u8220?, \u1092?\u1086?\u1085?\u1076? \u8222?\u1042?\u1098?\u1090?\u1088?\u1077?\u1096?\u1085?\u1072? \u1089?\u1080?\u1075?\u1091?\u1088?\u1085?\u1086?\u1089?\u1090?\u8220? \u1080? \u1080?\u1085?\u1089?\u1090?\u1088?\u1091?\u1084?\u1077?\u1085?\u1090?\u1072? \u1079?\u1072? \u1091?\u1087?\u1088?\u1072?\u1074?\u1083?\u1077?\u1085?\u1080?\u1077? \u1085?\u1072? \u1075?\u1088?\u1072?\u1085?\u1080?\u1094?\u1080?\u1090?\u1077? \u1080? \u1074?\u1080?\u1079?\u1080?\u109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20) 4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8?\u1079?\u1084?\u1077?\u1085?\u1077?\u1085?\u1086? \u1087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styleId="FootnoteText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"/>
    <w:link w:val="FootnoteTextChar"/>
    <w:uiPriority w:val="99"/>
    <w:unhideWhenUsed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Text Char Char Char,Footnote Text Char1 Char Char Char,Footnote Text Char Char Char Char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Footnote refere"/>
    <w:uiPriority w:val="99"/>
    <w:unhideWhenUsed/>
    <w:rPr>
      <w:shd w:val="clear" w:color="auto" w:fill="auto"/>
      <w:vertAlign w:val="superscript"/>
    </w:rPr>
  </w:style>
  <w:style w:type="table" w:styleId="TableGrid">
    <w:name w:val="Table Grid"/>
    <w:basedOn w:val="TableNormal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PageNumber">
    <w:name w:val="page number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styleId="FootnoteText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"/>
    <w:link w:val="FootnoteTextChar"/>
    <w:uiPriority w:val="99"/>
    <w:unhideWhenUsed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Text Char Char Char,Footnote Text Char1 Char Char Char,Footnote Text Char Char Char Char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Footnote refere"/>
    <w:uiPriority w:val="99"/>
    <w:unhideWhenUsed/>
    <w:rPr>
      <w:shd w:val="clear" w:color="auto" w:fill="auto"/>
      <w:vertAlign w:val="superscript"/>
    </w:rPr>
  </w:style>
  <w:style w:type="table" w:styleId="TableGrid">
    <w:name w:val="Table Grid"/>
    <w:basedOn w:val="TableNormal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PageNumber">
    <w:name w:val="page number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E5C010E-ED35-41D9-A02E-E650FCF2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633</Words>
  <Characters>3529</Characters>
  <Application>Microsoft Office Word</Application>
  <DocSecurity>0</DocSecurity>
  <Lines>504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MINCHEVA Yordanka (REGIO)</dc:creator>
  <cp:keywords/>
  <dc:description/>
  <cp:lastModifiedBy>WES PDFC Administrator</cp:lastModifiedBy>
  <cp:revision>10</cp:revision>
  <cp:lastPrinted>2019-12-03T09:14:00Z</cp:lastPrinted>
  <dcterms:created xsi:type="dcterms:W3CDTF">2020-05-27T15:40:00Z</dcterms:created>
  <dcterms:modified xsi:type="dcterms:W3CDTF">2020-06-04T15:01:00Z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