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8B10800-E00D-4DDF-A6BE-193C2D6FC71C" style="width:451.5pt;height:46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ANNEXE</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annexes I, II et V de la proposition COM(2018) 375 de la Commission sont modifiées comme suit:</w:t>
      </w:r>
    </w:p>
    <w:p>
      <w:pPr>
        <w:pStyle w:val="NormalCentered"/>
        <w:jc w:val="left"/>
        <w:rPr>
          <w:noProof/>
          <w:szCs w:val="24"/>
        </w:rPr>
      </w:pPr>
    </w:p>
    <w:p>
      <w:pPr>
        <w:pStyle w:val="NormalCentered"/>
        <w:jc w:val="left"/>
        <w:rPr>
          <w:noProof/>
          <w:szCs w:val="24"/>
        </w:rPr>
      </w:pPr>
      <w:r>
        <w:rPr>
          <w:noProof/>
        </w:rPr>
        <w:t xml:space="preserve"> 1) À l’annexe I, les codes de dimension suivants sont insérés dans le tableau 1:</w:t>
      </w:r>
    </w:p>
    <w:p>
      <w:pPr>
        <w:pStyle w:val="NormalCentered"/>
        <w:jc w:val="left"/>
        <w:rPr>
          <w:noProof/>
          <w:szCs w:val="24"/>
        </w:rPr>
      </w:pPr>
      <w:r>
        <w:rPr>
          <w:noProof/>
        </w:rPr>
        <w:t xml:space="preserve"> «</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0053"/>
        <w:gridCol w:w="1654"/>
        <w:gridCol w:w="1808"/>
      </w:tblGrid>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rFonts w:ascii="Times New Roman" w:hAnsi="Times New Roman" w:cs="Times New Roman"/>
                <w:noProof/>
                <w:sz w:val="20"/>
              </w:rPr>
            </w:pPr>
            <w:r>
              <w:rPr>
                <w:rFonts w:ascii="Times New Roman" w:hAnsi="Times New Roman"/>
                <w:noProof/>
                <w:sz w:val="20"/>
              </w:rPr>
              <w:t>023a</w:t>
            </w:r>
          </w:p>
        </w:tc>
        <w:tc>
          <w:tcPr>
            <w:tcW w:w="10053"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ascii="Times New Roman" w:hAnsi="Times New Roman" w:cs="Times New Roman"/>
                <w:noProof/>
                <w:sz w:val="20"/>
              </w:rPr>
            </w:pPr>
            <w:r>
              <w:rPr>
                <w:rFonts w:ascii="Times New Roman" w:hAnsi="Times New Roman"/>
                <w:noProof/>
                <w:sz w:val="20"/>
              </w:rPr>
              <w:t>Financement du fonds de roulement des PME sous forme de subventions destinées à faire face à la situation d’urgence*</w:t>
            </w:r>
          </w:p>
        </w:tc>
        <w:tc>
          <w:tcPr>
            <w:tcW w:w="1654"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rFonts w:ascii="Times New Roman" w:hAnsi="Times New Roman" w:cs="Times New Roman"/>
                <w:noProof/>
                <w:sz w:val="20"/>
              </w:rPr>
            </w:pPr>
            <w:r>
              <w:rPr>
                <w:rFonts w:ascii="Times New Roman" w:hAnsi="Times New Roman"/>
                <w:noProof/>
                <w:sz w:val="20"/>
              </w:rPr>
              <w:t>095a</w:t>
            </w:r>
          </w:p>
        </w:tc>
        <w:tc>
          <w:tcPr>
            <w:tcW w:w="10053"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ascii="Times New Roman" w:hAnsi="Times New Roman" w:cs="Times New Roman"/>
                <w:noProof/>
                <w:sz w:val="20"/>
              </w:rPr>
            </w:pPr>
            <w:r>
              <w:rPr>
                <w:rFonts w:ascii="Times New Roman" w:hAnsi="Times New Roman"/>
                <w:noProof/>
                <w:sz w:val="20"/>
              </w:rPr>
              <w:t>Équipements et fournitures essentiels nécessaires pour faire face à la situation d’urgence</w:t>
            </w:r>
          </w:p>
        </w:tc>
        <w:tc>
          <w:tcPr>
            <w:tcW w:w="1654"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noProof/>
                <w:sz w:val="20"/>
              </w:rPr>
              <w:t>0 %</w:t>
            </w:r>
          </w:p>
        </w:tc>
      </w:tr>
    </w:tbl>
    <w:p>
      <w:pPr>
        <w:pStyle w:val="NormalCentered"/>
        <w:jc w:val="left"/>
        <w:rPr>
          <w:noProof/>
          <w:szCs w:val="24"/>
        </w:rPr>
      </w:pPr>
      <w:r>
        <w:rPr>
          <w:noProof/>
        </w:rPr>
        <w:t xml:space="preserve">*Le code 023a ne peut être utilisé qu’en cas de mise en œuvre des mesures temporaires relatives à l’utilisation du FEDER en réaction à des circonstances exceptionnelles conformément à l’article 11 </w:t>
      </w:r>
      <w:r>
        <w:rPr>
          <w:i/>
          <w:noProof/>
        </w:rPr>
        <w:t>bis</w:t>
      </w:r>
      <w:r>
        <w:rPr>
          <w:noProof/>
        </w:rPr>
        <w:t xml:space="preserve"> de [la proposition modifiée relative au FEDER].»</w:t>
      </w:r>
    </w:p>
    <w:p>
      <w:pPr>
        <w:pStyle w:val="NormalCentered"/>
        <w:jc w:val="left"/>
        <w:rPr>
          <w:noProof/>
          <w:szCs w:val="24"/>
        </w:rPr>
      </w:pPr>
    </w:p>
    <w:p>
      <w:pPr>
        <w:pStyle w:val="NormalCentered"/>
        <w:jc w:val="left"/>
        <w:rPr>
          <w:noProof/>
          <w:szCs w:val="24"/>
        </w:rPr>
      </w:pPr>
    </w:p>
    <w:p>
      <w:pPr>
        <w:pStyle w:val="NormalCentered"/>
        <w:jc w:val="left"/>
        <w:rPr>
          <w:noProof/>
          <w:szCs w:val="24"/>
        </w:rPr>
        <w:sectPr>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6838" w:h="11906" w:orient="landscape" w:code="9"/>
          <w:pgMar w:top="1417" w:right="1417" w:bottom="1417" w:left="1417" w:header="709" w:footer="709" w:gutter="0"/>
          <w:cols w:space="720"/>
          <w:titlePg/>
          <w:docGrid w:linePitch="360"/>
        </w:sectPr>
      </w:pPr>
    </w:p>
    <w:p>
      <w:pPr>
        <w:spacing w:before="120" w:after="0" w:line="240" w:lineRule="auto"/>
        <w:rPr>
          <w:rFonts w:ascii="Times New Roman" w:hAnsi="Times New Roman" w:cs="Times New Roman"/>
          <w:noProof/>
          <w:sz w:val="24"/>
          <w:szCs w:val="24"/>
        </w:rPr>
      </w:pPr>
      <w:r>
        <w:rPr>
          <w:rFonts w:ascii="Times New Roman" w:hAnsi="Times New Roman"/>
          <w:noProof/>
          <w:sz w:val="24"/>
          <w:szCs w:val="24"/>
        </w:rPr>
        <w:lastRenderedPageBreak/>
        <w:t>2)</w:t>
      </w:r>
      <w:r>
        <w:rPr>
          <w:noProof/>
        </w:rPr>
        <w:tab/>
      </w:r>
      <w:r>
        <w:rPr>
          <w:rFonts w:ascii="Times New Roman" w:hAnsi="Times New Roman"/>
          <w:noProof/>
          <w:sz w:val="24"/>
          <w:szCs w:val="24"/>
        </w:rPr>
        <w:t>À l'annexe II, le point 4a suivant est inséré:</w:t>
      </w:r>
    </w:p>
    <w:p>
      <w:pPr>
        <w:spacing w:after="0" w:line="240" w:lineRule="auto"/>
        <w:rPr>
          <w:rFonts w:ascii="Times New Roman" w:hAnsi="Times New Roman" w:cs="Times New Roman"/>
          <w:noProof/>
          <w:sz w:val="24"/>
          <w:szCs w:val="24"/>
        </w:rPr>
      </w:pPr>
    </w:p>
    <w:p>
      <w:pPr>
        <w:spacing w:after="120" w:line="240" w:lineRule="auto"/>
        <w:rPr>
          <w:rFonts w:ascii="Times New Roman" w:hAnsi="Times New Roman" w:cs="Times New Roman"/>
          <w:b/>
          <w:noProof/>
          <w:sz w:val="24"/>
          <w:szCs w:val="24"/>
          <w:u w:val="single"/>
        </w:rPr>
      </w:pPr>
      <w:r>
        <w:rPr>
          <w:rFonts w:ascii="Times New Roman" w:hAnsi="Times New Roman"/>
          <w:b/>
          <w:noProof/>
          <w:sz w:val="24"/>
          <w:szCs w:val="24"/>
          <w:u w:val="single"/>
        </w:rPr>
        <w:t>«4a Transferts à des instruments relevant de la gestion directe ou indirecte, entre Fonds relevant de la gestion partagée, y compris entre les Fonds de la politique de cohésion, avec justification</w:t>
      </w:r>
    </w:p>
    <w:p>
      <w:pPr>
        <w:spacing w:before="120" w:after="120" w:line="240" w:lineRule="auto"/>
        <w:rPr>
          <w:rFonts w:ascii="Times New Roman" w:hAnsi="Times New Roman" w:cs="Times New Roman"/>
          <w:i/>
          <w:noProof/>
          <w:sz w:val="24"/>
          <w:szCs w:val="24"/>
        </w:rPr>
      </w:pPr>
      <w:r>
        <w:rPr>
          <w:rFonts w:ascii="Times New Roman" w:hAnsi="Times New Roman"/>
          <w:i/>
          <w:noProof/>
          <w:sz w:val="24"/>
          <w:szCs w:val="24"/>
        </w:rPr>
        <w:t>Référence: Article 8, point (d) et article 21:</w:t>
      </w:r>
    </w:p>
    <w:p>
      <w:pPr>
        <w:rPr>
          <w:rFonts w:ascii="Times New Roman" w:eastAsia="Times New Roman" w:hAnsi="Times New Roman" w:cs="Times New Roman"/>
          <w:i/>
          <w:noProof/>
          <w:sz w:val="20"/>
        </w:rPr>
      </w:pPr>
      <w:r>
        <w:rPr>
          <w:rFonts w:ascii="Times New Roman" w:hAnsi="Times New Roman"/>
          <w:b/>
          <w:noProof/>
          <w:sz w:val="20"/>
        </w:rPr>
        <w:t>Tableau 3a: Transfert à des instruments relevant de la gestion directe ou indirecte*</w:t>
      </w:r>
      <w:r>
        <w:rPr>
          <w:rFonts w:ascii="Times New Roman" w:hAnsi="Times New Roman"/>
          <w:i/>
          <w:noProof/>
          <w:sz w:val="20"/>
        </w:rPr>
        <w:t xml:space="preserve"> </w:t>
      </w:r>
    </w:p>
    <w:tbl>
      <w:tblPr>
        <w:tblStyle w:val="TableGrid"/>
        <w:tblW w:w="5000" w:type="pct"/>
        <w:tblLayout w:type="fixed"/>
        <w:tblLook w:val="04A0" w:firstRow="1" w:lastRow="0" w:firstColumn="1" w:lastColumn="0" w:noHBand="0" w:noVBand="1"/>
      </w:tblPr>
      <w:tblGrid>
        <w:gridCol w:w="1252"/>
        <w:gridCol w:w="1517"/>
        <w:gridCol w:w="1736"/>
        <w:gridCol w:w="1736"/>
        <w:gridCol w:w="1736"/>
        <w:gridCol w:w="1735"/>
        <w:gridCol w:w="1735"/>
        <w:gridCol w:w="2773"/>
      </w:tblGrid>
      <w:tr>
        <w:tc>
          <w:tcPr>
            <w:tcW w:w="44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b/>
                <w:noProof/>
                <w:sz w:val="18"/>
                <w:szCs w:val="18"/>
              </w:rPr>
              <w:t>Fonds</w:t>
            </w:r>
          </w:p>
        </w:tc>
        <w:tc>
          <w:tcPr>
            <w:tcW w:w="533" w:type="pct"/>
            <w:tcBorders>
              <w:bottom w:val="nil"/>
            </w:tcBorders>
          </w:tcPr>
          <w:p>
            <w:pPr>
              <w:spacing w:beforeLines="60" w:before="144" w:afterLines="60" w:after="144"/>
              <w:rPr>
                <w:rFonts w:ascii="Times New Roman" w:eastAsia="Times New Roman" w:hAnsi="Times New Roman" w:cs="Times New Roman"/>
                <w:b/>
                <w:noProof/>
                <w:sz w:val="18"/>
                <w:szCs w:val="18"/>
              </w:rPr>
            </w:pPr>
            <w:r>
              <w:rPr>
                <w:rFonts w:ascii="Times New Roman" w:hAnsi="Times New Roman"/>
                <w:b/>
                <w:noProof/>
                <w:sz w:val="18"/>
                <w:szCs w:val="18"/>
              </w:rPr>
              <w:t>Catégorie de régions</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b/>
                <w:noProof/>
                <w:sz w:val="18"/>
                <w:szCs w:val="18"/>
              </w:rPr>
              <w:t>Instrument 1</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b/>
                <w:noProof/>
                <w:sz w:val="18"/>
                <w:szCs w:val="18"/>
              </w:rPr>
              <w:t>Instrument 2</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b/>
                <w:noProof/>
                <w:sz w:val="18"/>
                <w:szCs w:val="18"/>
              </w:rPr>
              <w:t>Instrument 3</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b/>
                <w:noProof/>
                <w:sz w:val="18"/>
                <w:szCs w:val="18"/>
              </w:rPr>
              <w:t>Instrument 4</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b/>
                <w:noProof/>
                <w:sz w:val="18"/>
                <w:szCs w:val="18"/>
              </w:rPr>
              <w:t>Instrument 5</w:t>
            </w:r>
          </w:p>
        </w:tc>
        <w:tc>
          <w:tcPr>
            <w:tcW w:w="975" w:type="pct"/>
            <w:tcBorders>
              <w:bottom w:val="nil"/>
            </w:tcBorders>
          </w:tcPr>
          <w:p>
            <w:pPr>
              <w:spacing w:beforeLines="60" w:before="144" w:afterLines="60" w:after="144"/>
              <w:rPr>
                <w:rFonts w:ascii="Times New Roman" w:eastAsia="Times New Roman" w:hAnsi="Times New Roman" w:cs="Times New Roman"/>
                <w:b/>
                <w:noProof/>
                <w:sz w:val="18"/>
                <w:szCs w:val="18"/>
              </w:rPr>
            </w:pPr>
            <w:r>
              <w:rPr>
                <w:rFonts w:ascii="Times New Roman" w:hAnsi="Times New Roman"/>
                <w:b/>
                <w:noProof/>
                <w:sz w:val="18"/>
                <w:szCs w:val="18"/>
              </w:rPr>
              <w:t>Montant du transfert</w:t>
            </w:r>
          </w:p>
        </w:tc>
      </w:tr>
      <w:tr>
        <w:tc>
          <w:tcPr>
            <w:tcW w:w="440" w:type="pct"/>
            <w:tcBorders>
              <w:top w:val="nil"/>
            </w:tcBorders>
          </w:tcPr>
          <w:p>
            <w:pPr>
              <w:spacing w:beforeLines="60" w:before="144" w:afterLines="60" w:after="144"/>
              <w:jc w:val="center"/>
              <w:rPr>
                <w:rFonts w:ascii="Times New Roman" w:eastAsia="Times New Roman" w:hAnsi="Times New Roman" w:cs="Times New Roman"/>
                <w:noProof/>
                <w:sz w:val="18"/>
                <w:szCs w:val="18"/>
              </w:rPr>
            </w:pPr>
          </w:p>
        </w:tc>
        <w:tc>
          <w:tcPr>
            <w:tcW w:w="533" w:type="pct"/>
            <w:tcBorders>
              <w:top w:val="nil"/>
            </w:tcBorders>
          </w:tcPr>
          <w:p>
            <w:pPr>
              <w:spacing w:beforeLines="60" w:before="144" w:afterLines="60" w:after="144"/>
              <w:jc w:val="center"/>
              <w:rPr>
                <w:rFonts w:ascii="Times New Roman" w:eastAsia="Times New Roman" w:hAnsi="Times New Roman" w:cs="Times New Roman"/>
                <w:noProof/>
                <w:sz w:val="18"/>
                <w:szCs w:val="18"/>
              </w:rPr>
            </w:pP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hAnsi="Times New Roman"/>
                <w:noProof/>
                <w:sz w:val="16"/>
                <w:szCs w:val="16"/>
              </w:rPr>
              <w:t>a)</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hAnsi="Times New Roman"/>
                <w:noProof/>
                <w:sz w:val="16"/>
                <w:szCs w:val="16"/>
              </w:rPr>
              <w:t>b)</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hAnsi="Times New Roman"/>
                <w:noProof/>
                <w:sz w:val="16"/>
                <w:szCs w:val="16"/>
              </w:rPr>
              <w:t>c)</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hAnsi="Times New Roman"/>
                <w:noProof/>
                <w:sz w:val="16"/>
                <w:szCs w:val="16"/>
              </w:rPr>
              <w:t>d)</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hAnsi="Times New Roman"/>
                <w:noProof/>
                <w:sz w:val="16"/>
                <w:szCs w:val="16"/>
              </w:rPr>
              <w:t>e)</w:t>
            </w:r>
          </w:p>
        </w:tc>
        <w:tc>
          <w:tcPr>
            <w:tcW w:w="975"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hAnsi="Times New Roman"/>
                <w:noProof/>
                <w:sz w:val="16"/>
                <w:szCs w:val="16"/>
              </w:rPr>
              <w:t>f) = a) + b) + c) + d) + e)</w:t>
            </w:r>
          </w:p>
        </w:tc>
      </w:tr>
      <w:tr>
        <w:tc>
          <w:tcPr>
            <w:tcW w:w="440" w:type="pct"/>
            <w:vMerge w:val="restart"/>
          </w:tcPr>
          <w:p>
            <w:pPr>
              <w:spacing w:beforeLines="60" w:before="144" w:afterLines="60" w:after="144"/>
              <w:rPr>
                <w:rFonts w:ascii="Times New Roman" w:eastAsia="Times New Roman" w:hAnsi="Times New Roman" w:cs="Times New Roman"/>
                <w:noProof/>
                <w:sz w:val="18"/>
                <w:szCs w:val="18"/>
              </w:rPr>
            </w:pPr>
            <w:r>
              <w:rPr>
                <w:rFonts w:ascii="Times New Roman" w:hAnsi="Times New Roman"/>
                <w:noProof/>
                <w:sz w:val="18"/>
                <w:szCs w:val="18"/>
              </w:rPr>
              <w:t>FEDER</w:t>
            </w: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noProof/>
                <w:sz w:val="16"/>
                <w:szCs w:val="16"/>
              </w:rPr>
              <w:t>Plus développées</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noProof/>
                <w:sz w:val="16"/>
                <w:szCs w:val="16"/>
              </w:rPr>
              <w:t>En transition</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hAnsi="Times New Roman" w:cs="Times New Roman"/>
                <w:noProof/>
                <w:sz w:val="16"/>
                <w:szCs w:val="16"/>
              </w:rPr>
            </w:pPr>
            <w:r>
              <w:rPr>
                <w:rFonts w:ascii="Times New Roman" w:hAnsi="Times New Roman"/>
                <w:noProof/>
                <w:sz w:val="16"/>
                <w:szCs w:val="16"/>
              </w:rPr>
              <w:t>Moins développées</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noProof/>
                <w:sz w:val="16"/>
                <w:szCs w:val="16"/>
              </w:rPr>
              <w:t>Ultrapériphériques et septentrionales à faible densité de population</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val="restart"/>
          </w:tcPr>
          <w:p>
            <w:pPr>
              <w:spacing w:beforeLines="60" w:before="144" w:afterLines="60" w:after="144"/>
              <w:rPr>
                <w:rFonts w:ascii="Times New Roman" w:eastAsia="Times New Roman" w:hAnsi="Times New Roman" w:cs="Times New Roman"/>
                <w:noProof/>
                <w:sz w:val="18"/>
                <w:szCs w:val="18"/>
              </w:rPr>
            </w:pPr>
            <w:r>
              <w:rPr>
                <w:rFonts w:ascii="Times New Roman" w:hAnsi="Times New Roman"/>
                <w:noProof/>
                <w:sz w:val="18"/>
                <w:szCs w:val="18"/>
              </w:rPr>
              <w:t>FSE+</w:t>
            </w: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noProof/>
                <w:sz w:val="16"/>
                <w:szCs w:val="16"/>
              </w:rPr>
              <w:t>Plus développées</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noProof/>
                <w:sz w:val="16"/>
                <w:szCs w:val="16"/>
              </w:rPr>
              <w:t>En transition</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noProof/>
                <w:sz w:val="16"/>
                <w:szCs w:val="16"/>
              </w:rPr>
              <w:t>Moins développées</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noProof/>
                <w:sz w:val="16"/>
                <w:szCs w:val="16"/>
              </w:rPr>
              <w:t>Ultrapériphériques</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tcPr>
          <w:p>
            <w:pPr>
              <w:spacing w:beforeLines="60" w:before="144" w:afterLines="60" w:after="144"/>
              <w:rPr>
                <w:rFonts w:ascii="Times New Roman" w:eastAsia="Times New Roman" w:hAnsi="Times New Roman" w:cs="Times New Roman"/>
                <w:noProof/>
                <w:sz w:val="18"/>
                <w:szCs w:val="18"/>
              </w:rPr>
            </w:pPr>
            <w:r>
              <w:rPr>
                <w:rFonts w:ascii="Times New Roman" w:hAnsi="Times New Roman"/>
                <w:noProof/>
                <w:sz w:val="18"/>
                <w:szCs w:val="18"/>
              </w:rPr>
              <w:t>FC</w:t>
            </w:r>
          </w:p>
        </w:tc>
        <w:tc>
          <w:tcPr>
            <w:tcW w:w="533"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tcPr>
          <w:p>
            <w:pPr>
              <w:spacing w:beforeLines="60" w:before="144" w:afterLines="60" w:after="144"/>
              <w:rPr>
                <w:rFonts w:ascii="Times New Roman" w:eastAsia="Times New Roman" w:hAnsi="Times New Roman" w:cs="Times New Roman"/>
                <w:noProof/>
                <w:sz w:val="18"/>
                <w:szCs w:val="18"/>
              </w:rPr>
            </w:pPr>
            <w:r>
              <w:rPr>
                <w:rFonts w:ascii="Times New Roman" w:hAnsi="Times New Roman"/>
                <w:noProof/>
                <w:sz w:val="18"/>
                <w:szCs w:val="18"/>
              </w:rPr>
              <w:t>FEAMP</w:t>
            </w:r>
          </w:p>
        </w:tc>
        <w:tc>
          <w:tcPr>
            <w:tcW w:w="533"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tcPr>
          <w:p>
            <w:pPr>
              <w:spacing w:beforeLines="60" w:before="144" w:afterLines="60" w:after="144"/>
              <w:rPr>
                <w:rFonts w:ascii="Times New Roman" w:eastAsia="Times New Roman" w:hAnsi="Times New Roman" w:cs="Times New Roman"/>
                <w:noProof/>
                <w:sz w:val="18"/>
                <w:szCs w:val="18"/>
              </w:rPr>
            </w:pPr>
            <w:r>
              <w:rPr>
                <w:rFonts w:ascii="Times New Roman" w:hAnsi="Times New Roman"/>
                <w:noProof/>
                <w:sz w:val="18"/>
                <w:szCs w:val="18"/>
              </w:rPr>
              <w:t>Total</w:t>
            </w:r>
          </w:p>
        </w:tc>
        <w:tc>
          <w:tcPr>
            <w:tcW w:w="533"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bl>
    <w:p>
      <w:pPr>
        <w:spacing w:after="0"/>
        <w:rPr>
          <w:rFonts w:ascii="Times New Roman" w:eastAsia="Times New Roman" w:hAnsi="Times New Roman" w:cs="Times New Roman"/>
          <w:noProof/>
          <w:sz w:val="16"/>
          <w:szCs w:val="16"/>
        </w:rPr>
      </w:pPr>
      <w:r>
        <w:rPr>
          <w:rFonts w:ascii="Times New Roman" w:hAnsi="Times New Roman"/>
          <w:noProof/>
          <w:sz w:val="16"/>
          <w:szCs w:val="16"/>
        </w:rPr>
        <w:t>*Montants cumulés pour tous les transferts au cours de la période de programmation.</w:t>
      </w:r>
    </w:p>
    <w:p>
      <w:pPr>
        <w:rPr>
          <w:rFonts w:ascii="Times New Roman" w:eastAsia="Times New Roman" w:hAnsi="Times New Roman" w:cs="Times New Roman"/>
          <w:noProof/>
          <w:sz w:val="20"/>
        </w:rPr>
      </w:pPr>
    </w:p>
    <w:p>
      <w:pPr>
        <w:spacing w:after="0"/>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noProof/>
                <w:sz w:val="24"/>
                <w:szCs w:val="24"/>
              </w:rPr>
            </w:pPr>
            <w:r>
              <w:rPr>
                <w:rFonts w:ascii="Times New Roman" w:hAnsi="Times New Roman"/>
                <w:noProof/>
                <w:sz w:val="24"/>
                <w:szCs w:val="24"/>
              </w:rPr>
              <w:t>Champ de texte [3000] (justification)</w:t>
            </w:r>
          </w:p>
        </w:tc>
      </w:tr>
    </w:tbl>
    <w:p>
      <w:pPr>
        <w:rPr>
          <w:rFonts w:ascii="Times New Roman" w:eastAsia="Times New Roman" w:hAnsi="Times New Roman" w:cs="Times New Roman"/>
          <w:b/>
          <w:noProof/>
          <w:sz w:val="20"/>
        </w:rPr>
        <w:sectPr>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6838" w:h="11906" w:orient="landscape" w:code="9"/>
          <w:pgMar w:top="1417" w:right="1417" w:bottom="1417" w:left="1417" w:header="709" w:footer="709" w:gutter="0"/>
          <w:cols w:space="720"/>
          <w:titlePg/>
          <w:docGrid w:linePitch="360"/>
        </w:sectPr>
      </w:pPr>
    </w:p>
    <w:p>
      <w:pPr>
        <w:rPr>
          <w:rFonts w:ascii="Times New Roman" w:eastAsia="Times New Roman" w:hAnsi="Times New Roman" w:cs="Times New Roman"/>
          <w:b/>
          <w:noProof/>
          <w:sz w:val="20"/>
        </w:rPr>
      </w:pPr>
      <w:r>
        <w:rPr>
          <w:rFonts w:ascii="Times New Roman" w:hAnsi="Times New Roman"/>
          <w:b/>
          <w:noProof/>
          <w:sz w:val="20"/>
        </w:rPr>
        <w:t>Tableau 3b: Transferts entre Fonds relevant de la gestion partagée, y compris entre les Fonds de la politique de cohésion*</w:t>
      </w:r>
    </w:p>
    <w:p>
      <w:pPr>
        <w:spacing w:before="120" w:after="120" w:line="240" w:lineRule="auto"/>
        <w:rPr>
          <w:rFonts w:ascii="Times New Roman" w:hAnsi="Times New Roman" w:cs="Times New Roman"/>
          <w:i/>
          <w:noProof/>
          <w:sz w:val="24"/>
          <w:szCs w:val="24"/>
        </w:rPr>
      </w:pPr>
      <w:r>
        <w:rPr>
          <w:rFonts w:ascii="Times New Roman" w:hAnsi="Times New Roman"/>
          <w:i/>
          <w:noProof/>
          <w:sz w:val="24"/>
          <w:szCs w:val="24"/>
        </w:rPr>
        <w:t>Référence: article 8 et article 21</w:t>
      </w:r>
    </w:p>
    <w:tbl>
      <w:tblPr>
        <w:tblStyle w:val="TableGrid"/>
        <w:tblW w:w="0" w:type="auto"/>
        <w:shd w:val="clear" w:color="auto" w:fill="FFFFFF" w:themeFill="background1"/>
        <w:tblLook w:val="04A0" w:firstRow="1" w:lastRow="0" w:firstColumn="1" w:lastColumn="0" w:noHBand="0" w:noVBand="1"/>
      </w:tblPr>
      <w:tblGrid>
        <w:gridCol w:w="827"/>
        <w:gridCol w:w="1379"/>
        <w:gridCol w:w="983"/>
        <w:gridCol w:w="802"/>
        <w:gridCol w:w="983"/>
        <w:gridCol w:w="1379"/>
        <w:gridCol w:w="983"/>
        <w:gridCol w:w="802"/>
        <w:gridCol w:w="983"/>
        <w:gridCol w:w="1379"/>
        <w:gridCol w:w="449"/>
        <w:gridCol w:w="836"/>
        <w:gridCol w:w="681"/>
        <w:gridCol w:w="488"/>
        <w:gridCol w:w="652"/>
        <w:gridCol w:w="614"/>
      </w:tblGrid>
      <w:tr>
        <w:tc>
          <w:tcPr>
            <w:tcW w:w="0" w:type="auto"/>
            <w:gridSpan w:val="2"/>
            <w:vMerge w:val="restart"/>
            <w:tcBorders>
              <w:tl2br w:val="single" w:sz="4" w:space="0" w:color="auto"/>
            </w:tcBorders>
            <w:shd w:val="clear" w:color="auto" w:fill="FFFFFF" w:themeFill="background1"/>
          </w:tcPr>
          <w:p>
            <w:pPr>
              <w:rPr>
                <w:rFonts w:ascii="Times New Roman" w:hAnsi="Times New Roman" w:cs="Times New Roman"/>
                <w:b/>
                <w:noProof/>
                <w:sz w:val="18"/>
                <w:szCs w:val="18"/>
              </w:rPr>
            </w:pPr>
          </w:p>
        </w:tc>
        <w:tc>
          <w:tcPr>
            <w:tcW w:w="0" w:type="auto"/>
            <w:gridSpan w:val="4"/>
            <w:shd w:val="clear" w:color="auto" w:fill="FFFFFF" w:themeFill="background1"/>
          </w:tcPr>
          <w:p>
            <w:pPr>
              <w:jc w:val="center"/>
              <w:rPr>
                <w:rFonts w:ascii="Times New Roman" w:hAnsi="Times New Roman" w:cs="Times New Roman"/>
                <w:b/>
                <w:noProof/>
                <w:sz w:val="18"/>
                <w:szCs w:val="18"/>
              </w:rPr>
            </w:pPr>
            <w:r>
              <w:rPr>
                <w:rFonts w:ascii="Times New Roman" w:hAnsi="Times New Roman"/>
                <w:b/>
                <w:noProof/>
                <w:sz w:val="18"/>
                <w:szCs w:val="18"/>
              </w:rPr>
              <w:t>FEDER</w:t>
            </w:r>
          </w:p>
        </w:tc>
        <w:tc>
          <w:tcPr>
            <w:tcW w:w="0" w:type="auto"/>
            <w:gridSpan w:val="4"/>
            <w:shd w:val="clear" w:color="auto" w:fill="FFFFFF" w:themeFill="background1"/>
          </w:tcPr>
          <w:p>
            <w:pPr>
              <w:jc w:val="center"/>
              <w:rPr>
                <w:rFonts w:ascii="Times New Roman" w:hAnsi="Times New Roman" w:cs="Times New Roman"/>
                <w:b/>
                <w:noProof/>
                <w:sz w:val="18"/>
                <w:szCs w:val="18"/>
              </w:rPr>
            </w:pPr>
            <w:r>
              <w:rPr>
                <w:rFonts w:ascii="Times New Roman" w:hAnsi="Times New Roman"/>
                <w:b/>
                <w:noProof/>
                <w:sz w:val="18"/>
                <w:szCs w:val="18"/>
              </w:rPr>
              <w:t>FSE+</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b/>
                <w:noProof/>
                <w:sz w:val="18"/>
                <w:szCs w:val="18"/>
              </w:rPr>
              <w:t>FC</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b/>
                <w:noProof/>
                <w:sz w:val="18"/>
                <w:szCs w:val="18"/>
              </w:rPr>
              <w:t>FEAMP</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b/>
                <w:noProof/>
                <w:sz w:val="18"/>
                <w:szCs w:val="18"/>
              </w:rPr>
              <w:t>FAMI</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b/>
                <w:noProof/>
                <w:sz w:val="18"/>
                <w:szCs w:val="18"/>
              </w:rPr>
              <w:t>FSI</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b/>
                <w:noProof/>
                <w:sz w:val="18"/>
                <w:szCs w:val="18"/>
              </w:rPr>
              <w:t>IGFV</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b/>
                <w:noProof/>
                <w:sz w:val="18"/>
                <w:szCs w:val="18"/>
              </w:rPr>
              <w:t xml:space="preserve">Total </w:t>
            </w:r>
          </w:p>
        </w:tc>
      </w:tr>
      <w:tr>
        <w:trPr>
          <w:trHeight w:val="673"/>
        </w:trPr>
        <w:tc>
          <w:tcPr>
            <w:tcW w:w="0" w:type="auto"/>
            <w:gridSpan w:val="2"/>
            <w:vMerge/>
            <w:tcBorders>
              <w:tl2br w:val="single" w:sz="4" w:space="0" w:color="auto"/>
            </w:tcBorders>
            <w:shd w:val="clear" w:color="auto" w:fill="FFFFFF" w:themeFill="background1"/>
          </w:tcPr>
          <w:p>
            <w:pPr>
              <w:rPr>
                <w:rFonts w:ascii="Times New Roman" w:eastAsia="Times New Roman" w:hAnsi="Times New Roman" w:cs="Times New Roman"/>
                <w:b/>
                <w:i/>
                <w:noProof/>
                <w:sz w:val="18"/>
                <w:szCs w:val="18"/>
              </w:rPr>
            </w:pPr>
          </w:p>
        </w:tc>
        <w:tc>
          <w:tcPr>
            <w:tcW w:w="0" w:type="auto"/>
            <w:tcBorders>
              <w:bottom w:val="single" w:sz="4" w:space="0" w:color="auto"/>
            </w:tcBorders>
            <w:shd w:val="clear" w:color="auto" w:fill="FFFFFF" w:themeFill="background1"/>
          </w:tcPr>
          <w:p>
            <w:pPr>
              <w:jc w:val="center"/>
              <w:rPr>
                <w:rFonts w:ascii="Times New Roman" w:eastAsia="Times New Roman" w:hAnsi="Times New Roman" w:cs="Times New Roman"/>
                <w:noProof/>
                <w:sz w:val="16"/>
                <w:szCs w:val="16"/>
              </w:rPr>
            </w:pPr>
            <w:r>
              <w:rPr>
                <w:rFonts w:ascii="Times New Roman" w:hAnsi="Times New Roman"/>
                <w:noProof/>
                <w:sz w:val="16"/>
                <w:szCs w:val="16"/>
              </w:rPr>
              <w:t>Plus développées</w:t>
            </w:r>
          </w:p>
        </w:tc>
        <w:tc>
          <w:tcPr>
            <w:tcW w:w="0" w:type="auto"/>
            <w:tcBorders>
              <w:bottom w:val="single" w:sz="4" w:space="0" w:color="auto"/>
            </w:tcBorders>
            <w:shd w:val="clear" w:color="auto" w:fill="FFFFFF" w:themeFill="background1"/>
          </w:tcPr>
          <w:p>
            <w:pPr>
              <w:jc w:val="center"/>
              <w:rPr>
                <w:rFonts w:ascii="Times New Roman" w:hAnsi="Times New Roman" w:cs="Times New Roman"/>
                <w:noProof/>
                <w:sz w:val="16"/>
                <w:szCs w:val="16"/>
              </w:rPr>
            </w:pPr>
            <w:r>
              <w:rPr>
                <w:rFonts w:ascii="Times New Roman" w:hAnsi="Times New Roman"/>
                <w:noProof/>
                <w:sz w:val="16"/>
                <w:szCs w:val="16"/>
              </w:rPr>
              <w:t>En transition</w:t>
            </w:r>
          </w:p>
        </w:tc>
        <w:tc>
          <w:tcPr>
            <w:tcW w:w="0" w:type="auto"/>
            <w:tcBorders>
              <w:bottom w:val="single" w:sz="4" w:space="0" w:color="auto"/>
            </w:tcBorders>
            <w:shd w:val="clear" w:color="auto" w:fill="FFFFFF" w:themeFill="background1"/>
          </w:tcPr>
          <w:p>
            <w:pPr>
              <w:jc w:val="center"/>
              <w:rPr>
                <w:rFonts w:ascii="Times New Roman" w:hAnsi="Times New Roman" w:cs="Times New Roman"/>
                <w:noProof/>
                <w:sz w:val="16"/>
                <w:szCs w:val="16"/>
              </w:rPr>
            </w:pPr>
            <w:r>
              <w:rPr>
                <w:rFonts w:ascii="Times New Roman" w:hAnsi="Times New Roman"/>
                <w:noProof/>
                <w:sz w:val="16"/>
                <w:szCs w:val="16"/>
              </w:rPr>
              <w:t>Moins développées</w:t>
            </w:r>
          </w:p>
        </w:tc>
        <w:tc>
          <w:tcPr>
            <w:tcW w:w="0" w:type="auto"/>
            <w:tcBorders>
              <w:bottom w:val="single" w:sz="4" w:space="0" w:color="auto"/>
            </w:tcBorders>
            <w:shd w:val="clear" w:color="auto" w:fill="FFFFFF" w:themeFill="background1"/>
          </w:tcPr>
          <w:p>
            <w:pPr>
              <w:jc w:val="center"/>
              <w:rPr>
                <w:rFonts w:ascii="Times New Roman" w:hAnsi="Times New Roman" w:cs="Times New Roman"/>
                <w:noProof/>
                <w:sz w:val="16"/>
                <w:szCs w:val="16"/>
              </w:rPr>
            </w:pPr>
            <w:r>
              <w:rPr>
                <w:rFonts w:ascii="Times New Roman" w:hAnsi="Times New Roman"/>
                <w:noProof/>
                <w:sz w:val="16"/>
                <w:szCs w:val="16"/>
              </w:rPr>
              <w:t>Ultrapériphériques et septentrionales à faible densité de population</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hAnsi="Times New Roman"/>
                <w:noProof/>
                <w:sz w:val="16"/>
                <w:szCs w:val="16"/>
              </w:rPr>
              <w:t>Plus développées</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hAnsi="Times New Roman"/>
                <w:noProof/>
                <w:sz w:val="16"/>
                <w:szCs w:val="16"/>
              </w:rPr>
              <w:t>En transition</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hAnsi="Times New Roman"/>
                <w:noProof/>
                <w:sz w:val="16"/>
                <w:szCs w:val="16"/>
              </w:rPr>
              <w:t>Moins développées</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hAnsi="Times New Roman"/>
                <w:noProof/>
                <w:sz w:val="16"/>
                <w:szCs w:val="16"/>
              </w:rPr>
              <w:t>Ultrapériphériques</w:t>
            </w: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r>
      <w:tr>
        <w:trPr>
          <w:trHeight w:val="428"/>
        </w:trPr>
        <w:tc>
          <w:tcPr>
            <w:tcW w:w="0" w:type="auto"/>
            <w:vMerge w:val="restart"/>
            <w:shd w:val="clear" w:color="auto" w:fill="FFFFFF" w:themeFill="background1"/>
          </w:tcPr>
          <w:p>
            <w:pPr>
              <w:spacing w:before="60" w:after="60"/>
              <w:rPr>
                <w:rFonts w:ascii="Times New Roman" w:hAnsi="Times New Roman" w:cs="Times New Roman"/>
                <w:b/>
                <w:noProof/>
                <w:sz w:val="18"/>
                <w:szCs w:val="18"/>
              </w:rPr>
            </w:pPr>
            <w:r>
              <w:rPr>
                <w:rFonts w:ascii="Times New Roman" w:hAnsi="Times New Roman"/>
                <w:b/>
                <w:noProof/>
                <w:sz w:val="18"/>
                <w:szCs w:val="18"/>
              </w:rPr>
              <w:t>FEDER</w:t>
            </w: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noProof/>
                <w:sz w:val="16"/>
                <w:szCs w:val="16"/>
              </w:rPr>
              <w:t>Plus développées</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350"/>
        </w:trPr>
        <w:tc>
          <w:tcPr>
            <w:tcW w:w="0" w:type="auto"/>
            <w:vMerge/>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noProof/>
                <w:sz w:val="16"/>
                <w:szCs w:val="16"/>
              </w:rPr>
              <w:t>En transition</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286"/>
        </w:trPr>
        <w:tc>
          <w:tcPr>
            <w:tcW w:w="0" w:type="auto"/>
            <w:vMerge/>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noProof/>
                <w:sz w:val="16"/>
                <w:szCs w:val="16"/>
              </w:rPr>
            </w:pPr>
            <w:r>
              <w:rPr>
                <w:rFonts w:ascii="Times New Roman" w:hAnsi="Times New Roman"/>
                <w:noProof/>
                <w:sz w:val="16"/>
                <w:szCs w:val="16"/>
              </w:rPr>
              <w:t>Moins développées</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648"/>
        </w:trPr>
        <w:tc>
          <w:tcPr>
            <w:tcW w:w="0" w:type="auto"/>
            <w:vMerge/>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noProof/>
                <w:sz w:val="16"/>
                <w:szCs w:val="16"/>
              </w:rPr>
              <w:t>Ultrapériphériques et septentrionales à faible densité de population</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val="restart"/>
            <w:shd w:val="clear" w:color="auto" w:fill="FFFFFF" w:themeFill="background1"/>
          </w:tcPr>
          <w:p>
            <w:pPr>
              <w:spacing w:before="60" w:after="60"/>
              <w:rPr>
                <w:rFonts w:ascii="Times New Roman" w:eastAsia="Times New Roman" w:hAnsi="Times New Roman" w:cs="Times New Roman"/>
                <w:b/>
                <w:i/>
                <w:noProof/>
                <w:sz w:val="18"/>
                <w:szCs w:val="18"/>
              </w:rPr>
            </w:pPr>
            <w:r>
              <w:rPr>
                <w:rFonts w:ascii="Times New Roman" w:hAnsi="Times New Roman"/>
                <w:b/>
                <w:i/>
                <w:noProof/>
                <w:sz w:val="18"/>
                <w:szCs w:val="18"/>
              </w:rPr>
              <w:t>FSE+</w:t>
            </w: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noProof/>
                <w:sz w:val="16"/>
                <w:szCs w:val="16"/>
              </w:rPr>
              <w:t>Plus développées</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shd w:val="clear" w:color="auto" w:fill="FFFFFF" w:themeFill="background1"/>
          </w:tcPr>
          <w:p>
            <w:pPr>
              <w:spacing w:before="60" w:after="60"/>
              <w:rPr>
                <w:rFonts w:ascii="Times New Roman" w:eastAsia="Times New Roman" w:hAnsi="Times New Roman" w:cs="Times New Roman"/>
                <w:b/>
                <w:i/>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noProof/>
                <w:sz w:val="16"/>
                <w:szCs w:val="16"/>
              </w:rPr>
              <w:t xml:space="preserve">En transition </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shd w:val="clear" w:color="auto" w:fill="FFFFFF" w:themeFill="background1"/>
          </w:tcPr>
          <w:p>
            <w:pPr>
              <w:spacing w:before="60" w:after="60"/>
              <w:rPr>
                <w:rFonts w:ascii="Times New Roman" w:eastAsia="Times New Roman" w:hAnsi="Times New Roman" w:cs="Times New Roman"/>
                <w:b/>
                <w:i/>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noProof/>
                <w:sz w:val="16"/>
                <w:szCs w:val="16"/>
              </w:rPr>
              <w:t>Moins développées</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shd w:val="clear" w:color="auto" w:fill="FFFFFF" w:themeFill="background1"/>
          </w:tcPr>
          <w:p>
            <w:pPr>
              <w:spacing w:before="60" w:after="60"/>
              <w:rPr>
                <w:rFonts w:ascii="Times New Roman" w:eastAsia="Times New Roman" w:hAnsi="Times New Roman" w:cs="Times New Roman"/>
                <w:b/>
                <w:i/>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noProof/>
                <w:sz w:val="16"/>
                <w:szCs w:val="16"/>
              </w:rPr>
              <w:t xml:space="preserve">Ultrapériphériques </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372"/>
        </w:trPr>
        <w:tc>
          <w:tcPr>
            <w:tcW w:w="0" w:type="auto"/>
            <w:shd w:val="clear" w:color="auto" w:fill="FFFFFF" w:themeFill="background1"/>
          </w:tcPr>
          <w:p>
            <w:pPr>
              <w:spacing w:before="60" w:after="60"/>
              <w:rPr>
                <w:rFonts w:ascii="Times New Roman" w:eastAsia="Times New Roman" w:hAnsi="Times New Roman" w:cs="Times New Roman"/>
                <w:b/>
                <w:i/>
                <w:noProof/>
                <w:sz w:val="18"/>
                <w:szCs w:val="18"/>
              </w:rPr>
            </w:pPr>
            <w:r>
              <w:rPr>
                <w:rFonts w:ascii="Times New Roman" w:hAnsi="Times New Roman"/>
                <w:b/>
                <w:i/>
                <w:noProof/>
                <w:sz w:val="18"/>
                <w:szCs w:val="18"/>
              </w:rPr>
              <w:t>FC</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shd w:val="clear" w:color="auto" w:fill="FFFFFF" w:themeFill="background1"/>
          </w:tcPr>
          <w:p>
            <w:pPr>
              <w:spacing w:before="60" w:after="60"/>
              <w:rPr>
                <w:rFonts w:ascii="Times New Roman" w:eastAsia="Times New Roman" w:hAnsi="Times New Roman" w:cs="Times New Roman"/>
                <w:b/>
                <w:i/>
                <w:noProof/>
                <w:sz w:val="18"/>
                <w:szCs w:val="18"/>
              </w:rPr>
            </w:pPr>
            <w:r>
              <w:rPr>
                <w:rFonts w:ascii="Times New Roman" w:hAnsi="Times New Roman"/>
                <w:b/>
                <w:i/>
                <w:noProof/>
                <w:sz w:val="18"/>
                <w:szCs w:val="18"/>
              </w:rPr>
              <w:t>FEAMP</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shd w:val="clear" w:color="auto" w:fill="FFFFFF" w:themeFill="background1"/>
          </w:tcPr>
          <w:p>
            <w:pPr>
              <w:spacing w:before="60" w:after="60"/>
              <w:rPr>
                <w:rFonts w:ascii="Times New Roman" w:hAnsi="Times New Roman" w:cs="Times New Roman"/>
                <w:b/>
                <w:noProof/>
                <w:sz w:val="18"/>
                <w:szCs w:val="18"/>
              </w:rPr>
            </w:pPr>
            <w:r>
              <w:rPr>
                <w:rFonts w:ascii="Times New Roman" w:hAnsi="Times New Roman"/>
                <w:b/>
                <w:noProof/>
                <w:sz w:val="18"/>
                <w:szCs w:val="18"/>
              </w:rPr>
              <w:t>Total</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auto"/>
          </w:tcPr>
          <w:p>
            <w:pPr>
              <w:spacing w:before="60" w:after="60"/>
              <w:rPr>
                <w:rFonts w:ascii="Times New Roman" w:hAnsi="Times New Roman" w:cs="Times New Roman"/>
                <w:b/>
                <w:noProof/>
                <w:sz w:val="18"/>
                <w:szCs w:val="18"/>
              </w:rPr>
            </w:pPr>
          </w:p>
        </w:tc>
        <w:tc>
          <w:tcPr>
            <w:tcW w:w="0" w:type="auto"/>
            <w:shd w:val="clear" w:color="auto" w:fill="auto"/>
          </w:tcPr>
          <w:p>
            <w:pPr>
              <w:spacing w:before="60" w:after="60"/>
              <w:rPr>
                <w:rFonts w:ascii="Times New Roman" w:hAnsi="Times New Roman" w:cs="Times New Roman"/>
                <w:b/>
                <w:noProof/>
                <w:sz w:val="18"/>
                <w:szCs w:val="18"/>
              </w:rPr>
            </w:pPr>
          </w:p>
        </w:tc>
        <w:tc>
          <w:tcPr>
            <w:tcW w:w="0" w:type="auto"/>
            <w:shd w:val="clear" w:color="auto" w:fill="auto"/>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bl>
    <w:p>
      <w:pPr>
        <w:spacing w:after="0"/>
        <w:rPr>
          <w:rFonts w:ascii="Times New Roman" w:hAnsi="Times New Roman" w:cs="Times New Roman"/>
          <w:noProof/>
          <w:sz w:val="24"/>
          <w:szCs w:val="24"/>
        </w:rPr>
      </w:pPr>
      <w:r>
        <w:rPr>
          <w:rFonts w:ascii="Times New Roman" w:hAnsi="Times New Roman"/>
          <w:noProof/>
          <w:sz w:val="16"/>
          <w:szCs w:val="16"/>
        </w:rPr>
        <w:t>*Montants cumulés pour tous les transferts au cours de la période de programmation - transfert d’au maximum 5 % de la dotation nationale initiale de chaque Fonds à un autre instrument relevant de la gestion directe ou indirecte, transfert d’au maximum 5 % de la dotation nationale initiale de chaque Fonds à un ou plusieurs autres Fonds, et transfert supplémentaire d’au maximum 5 % de la dotation nationale initiale par Fonds entre le FEDER, le FSE+ ou le Fonds de cohésion, dans les limites des ressources globales par État membre au titre de l’objectif «Investissement pour l’emploi et la croissance»</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noProof/>
                <w:sz w:val="24"/>
                <w:szCs w:val="24"/>
              </w:rPr>
            </w:pPr>
            <w:r>
              <w:rPr>
                <w:rFonts w:ascii="Times New Roman" w:hAnsi="Times New Roman"/>
                <w:noProof/>
                <w:sz w:val="24"/>
                <w:szCs w:val="24"/>
              </w:rPr>
              <w:t>Champ de texte [3000] (justification)</w:t>
            </w:r>
          </w:p>
        </w:tc>
      </w:tr>
    </w:tbl>
    <w:p>
      <w:pPr>
        <w:spacing w:before="120" w:after="120" w:line="240" w:lineRule="auto"/>
        <w:rPr>
          <w:rFonts w:ascii="Times New Roman" w:hAnsi="Times New Roman" w:cs="Times New Roman"/>
          <w:noProof/>
          <w:sz w:val="28"/>
          <w:szCs w:val="24"/>
        </w:rPr>
      </w:pPr>
      <w:r>
        <w:rPr>
          <w:rFonts w:ascii="Times New Roman" w:hAnsi="Times New Roman"/>
          <w:noProof/>
          <w:sz w:val="24"/>
          <w:szCs w:val="24"/>
        </w:rPr>
        <w:t>»</w:t>
      </w:r>
    </w:p>
    <w:p>
      <w:pPr>
        <w:rPr>
          <w:rFonts w:ascii="Times New Roman" w:hAnsi="Times New Roman" w:cs="Times New Roman"/>
          <w:b/>
          <w:noProof/>
          <w:sz w:val="24"/>
          <w:szCs w:val="24"/>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20"/>
          <w:docGrid w:linePitch="360"/>
        </w:sectPr>
      </w:pPr>
    </w:p>
    <w:p>
      <w:pPr>
        <w:ind w:left="360"/>
        <w:rPr>
          <w:rFonts w:ascii="Times New Roman" w:hAnsi="Times New Roman" w:cs="Times New Roman"/>
          <w:noProof/>
          <w:sz w:val="24"/>
          <w:szCs w:val="24"/>
        </w:rPr>
      </w:pPr>
      <w:r>
        <w:rPr>
          <w:rFonts w:ascii="Times New Roman" w:hAnsi="Times New Roman"/>
          <w:noProof/>
          <w:sz w:val="24"/>
          <w:szCs w:val="24"/>
        </w:rPr>
        <w:t>3) À l’annexe V, le point 3.A est modifié comme suit:</w:t>
      </w:r>
    </w:p>
    <w:p>
      <w:pPr>
        <w:ind w:left="360"/>
        <w:rPr>
          <w:rFonts w:ascii="Times New Roman" w:hAnsi="Times New Roman" w:cs="Times New Roman"/>
          <w:noProof/>
          <w:sz w:val="16"/>
          <w:szCs w:val="16"/>
        </w:rPr>
      </w:pPr>
      <w:r>
        <w:rPr>
          <w:rFonts w:ascii="Times New Roman" w:hAnsi="Times New Roman"/>
          <w:noProof/>
          <w:sz w:val="24"/>
          <w:szCs w:val="24"/>
        </w:rPr>
        <w:t>a) la seconde case à cocher est remplacée par le texte suivant:</w:t>
      </w:r>
    </w:p>
    <w:p>
      <w:pPr>
        <w:spacing w:after="0"/>
        <w:ind w:left="357"/>
        <w:rPr>
          <w:rFonts w:ascii="Times New Roman" w:hAnsi="Times New Roman" w:cs="Times New Roman"/>
          <w:noProof/>
          <w:sz w:val="24"/>
          <w:szCs w:val="16"/>
        </w:rPr>
      </w:pPr>
      <w:r>
        <w:rPr>
          <w:rFonts w:ascii="Times New Roman" w:hAnsi="Times New Roman"/>
          <w:noProof/>
          <w:sz w:val="24"/>
          <w:szCs w:val="16"/>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Modification du programme liée à l’article 21 du règlement portant dispositions communes (transferts à des instruments en gestion directe ou indirecte</w:t>
            </w:r>
            <w:r>
              <w:rPr>
                <w:b/>
                <w:noProof/>
                <w:sz w:val="20"/>
                <w:szCs w:val="20"/>
                <w:u w:val="single"/>
              </w:rPr>
              <w:t>,</w:t>
            </w:r>
            <w:r>
              <w:rPr>
                <w:noProof/>
                <w:sz w:val="20"/>
                <w:szCs w:val="20"/>
              </w:rPr>
              <w:t xml:space="preserve">, entre Fonds relevant de la gestion partagée, </w:t>
            </w:r>
            <w:r>
              <w:rPr>
                <w:b/>
                <w:noProof/>
                <w:sz w:val="20"/>
                <w:szCs w:val="20"/>
                <w:u w:val="single"/>
              </w:rPr>
              <w:t>y compris entre les Fonds de la politique de cohésion)</w:t>
            </w:r>
          </w:p>
        </w:tc>
      </w:tr>
    </w:tbl>
    <w:p>
      <w:pPr>
        <w:ind w:left="8640" w:firstLine="720"/>
        <w:rPr>
          <w:rFonts w:ascii="Times New Roman" w:eastAsia="Times New Roman" w:hAnsi="Times New Roman" w:cs="Times New Roman"/>
          <w:noProof/>
          <w:sz w:val="24"/>
          <w:szCs w:val="24"/>
        </w:rPr>
      </w:pPr>
      <w:r>
        <w:rPr>
          <w:rFonts w:ascii="Times New Roman" w:hAnsi="Times New Roman"/>
          <w:noProof/>
          <w:sz w:val="24"/>
          <w:szCs w:val="24"/>
        </w:rPr>
        <w:t>»</w:t>
      </w:r>
    </w:p>
    <w:p>
      <w:pPr>
        <w:pStyle w:val="ListParagraph"/>
        <w:rPr>
          <w:rFonts w:ascii="Times New Roman" w:hAnsi="Times New Roman" w:cs="Times New Roman"/>
          <w:noProof/>
          <w:sz w:val="16"/>
          <w:szCs w:val="16"/>
        </w:rPr>
      </w:pPr>
    </w:p>
    <w:p>
      <w:pPr>
        <w:pStyle w:val="ListParagraph"/>
        <w:rPr>
          <w:rFonts w:ascii="Times New Roman" w:hAnsi="Times New Roman" w:cs="Times New Roman"/>
          <w:noProof/>
          <w:sz w:val="24"/>
          <w:szCs w:val="24"/>
        </w:rPr>
      </w:pPr>
      <w:r>
        <w:rPr>
          <w:rFonts w:ascii="Times New Roman" w:hAnsi="Times New Roman"/>
          <w:noProof/>
          <w:sz w:val="24"/>
          <w:szCs w:val="24"/>
        </w:rPr>
        <w:t>b) la case suivante est insérée sous le tableau 16:</w:t>
      </w:r>
    </w:p>
    <w:p>
      <w:pPr>
        <w:pStyle w:val="ListParagraph"/>
        <w:spacing w:after="0"/>
        <w:rPr>
          <w:rFonts w:ascii="Times New Roman" w:eastAsia="Times New Roman" w:hAnsi="Times New Roman" w:cs="Times New Roman"/>
          <w:b/>
          <w:noProof/>
          <w:sz w:val="24"/>
          <w:szCs w:val="24"/>
          <w:u w:val="single"/>
        </w:rPr>
      </w:pPr>
    </w:p>
    <w:p>
      <w:pPr>
        <w:spacing w:after="0"/>
        <w:rPr>
          <w:rFonts w:ascii="Times New Roman" w:eastAsia="Times New Roman" w:hAnsi="Times New Roman" w:cs="Times New Roman"/>
          <w:b/>
          <w:noProof/>
          <w:sz w:val="24"/>
          <w:szCs w:val="24"/>
          <w:u w:val="single"/>
        </w:rPr>
      </w:pPr>
      <w:r>
        <w:rPr>
          <w:rFonts w:ascii="Times New Roman" w:hAnsi="Times New Roman"/>
          <w:noProof/>
          <w:sz w:val="24"/>
          <w:szCs w:val="24"/>
          <w:u w:val="single"/>
        </w:rPr>
        <w:t>«</w:t>
      </w:r>
      <w:r>
        <w:rPr>
          <w:rFonts w:ascii="Times New Roman" w:hAnsi="Times New Roman"/>
          <w:b/>
          <w:noProof/>
          <w:sz w:val="24"/>
          <w:szCs w:val="24"/>
          <w:u w:val="single"/>
        </w:rPr>
        <w:t>Justification du transfert proposé – article 21, paragraphe 3</w:t>
      </w:r>
    </w:p>
    <w:tbl>
      <w:tblPr>
        <w:tblStyle w:val="TableGrid"/>
        <w:tblW w:w="0" w:type="auto"/>
        <w:tblLook w:val="04A0" w:firstRow="1" w:lastRow="0" w:firstColumn="1" w:lastColumn="0" w:noHBand="0" w:noVBand="1"/>
      </w:tblPr>
      <w:tblGrid>
        <w:gridCol w:w="9288"/>
      </w:tblGrid>
      <w:tr>
        <w:tc>
          <w:tcPr>
            <w:tcW w:w="9288" w:type="dxa"/>
          </w:tcPr>
          <w:p>
            <w:pPr>
              <w:rPr>
                <w:rFonts w:ascii="Times New Roman" w:eastAsia="Times New Roman" w:hAnsi="Times New Roman" w:cs="Times New Roman"/>
                <w:b/>
                <w:iCs/>
                <w:noProof/>
                <w:sz w:val="24"/>
                <w:szCs w:val="24"/>
                <w:u w:val="single"/>
              </w:rPr>
            </w:pPr>
            <w:r>
              <w:rPr>
                <w:rFonts w:ascii="Times New Roman" w:hAnsi="Times New Roman"/>
                <w:b/>
                <w:iCs/>
                <w:noProof/>
                <w:sz w:val="24"/>
                <w:szCs w:val="24"/>
                <w:u w:val="single"/>
              </w:rPr>
              <w:t xml:space="preserve">Champ de texte [3 000] </w:t>
            </w:r>
          </w:p>
          <w:p>
            <w:pPr>
              <w:rPr>
                <w:rFonts w:ascii="Times New Roman" w:eastAsia="Times New Roman" w:hAnsi="Times New Roman" w:cs="Times New Roman"/>
                <w:b/>
                <w:iCs/>
                <w:noProof/>
                <w:sz w:val="24"/>
                <w:szCs w:val="24"/>
                <w:u w:val="single"/>
              </w:rPr>
            </w:pPr>
          </w:p>
        </w:tc>
      </w:tr>
    </w:tbl>
    <w:p>
      <w:pPr>
        <w:ind w:left="8640" w:firstLine="720"/>
        <w:rPr>
          <w:rFonts w:ascii="Times New Roman" w:hAnsi="Times New Roman" w:cs="Times New Roman"/>
          <w:noProof/>
          <w:sz w:val="24"/>
          <w:szCs w:val="24"/>
        </w:rPr>
      </w:pPr>
      <w:r>
        <w:rPr>
          <w:rFonts w:ascii="Times New Roman" w:hAnsi="Times New Roman"/>
          <w:noProof/>
          <w:szCs w:val="24"/>
        </w:rPr>
        <w:t>»</w:t>
      </w:r>
    </w:p>
    <w:p>
      <w:pPr>
        <w:ind w:firstLine="720"/>
        <w:rPr>
          <w:rFonts w:ascii="Times New Roman" w:hAnsi="Times New Roman" w:cs="Times New Roman"/>
          <w:noProof/>
          <w:sz w:val="24"/>
          <w:szCs w:val="24"/>
        </w:rPr>
      </w:pPr>
      <w:r>
        <w:rPr>
          <w:rFonts w:ascii="Times New Roman" w:hAnsi="Times New Roman"/>
          <w:noProof/>
          <w:sz w:val="24"/>
          <w:szCs w:val="24"/>
        </w:rPr>
        <w:t>c) l’intitulé du tableau 17 et la note de bas de page correspondante sont remplacés par le texte suivant:</w:t>
      </w:r>
    </w:p>
    <w:p>
      <w:pPr>
        <w:rPr>
          <w:rFonts w:ascii="Times New Roman" w:hAnsi="Times New Roman" w:cs="Times New Roman"/>
          <w:b/>
          <w:noProof/>
          <w:sz w:val="24"/>
          <w:szCs w:val="24"/>
          <w:u w:val="single"/>
        </w:rPr>
      </w:pPr>
      <w:r>
        <w:rPr>
          <w:rFonts w:ascii="Times New Roman" w:hAnsi="Times New Roman"/>
          <w:noProof/>
          <w:sz w:val="24"/>
          <w:szCs w:val="24"/>
        </w:rPr>
        <w:t>«Tableau 17: Transferts entre Fonds relevant de la gestion partagée, y compris entre les Fonds de la politique de cohésion*</w:t>
      </w:r>
    </w:p>
    <w:p>
      <w:pPr>
        <w:spacing w:after="0"/>
        <w:ind w:left="360"/>
        <w:rPr>
          <w:rFonts w:ascii="Times New Roman" w:eastAsia="Times New Roman" w:hAnsi="Times New Roman" w:cs="Times New Roman"/>
          <w:noProof/>
          <w:sz w:val="16"/>
          <w:szCs w:val="16"/>
        </w:rPr>
      </w:pPr>
      <w:r>
        <w:rPr>
          <w:rFonts w:ascii="Times New Roman" w:hAnsi="Times New Roman"/>
          <w:noProof/>
          <w:sz w:val="16"/>
          <w:szCs w:val="16"/>
        </w:rPr>
        <w:t>*Montants cumulés pour tous les transferts au cours de la période de programmation - transfert d’au maximum 5 % de la dotation nationale initiale de chaque Fonds à un ou plusieurs autres Fonds et transfert supplémentaire d’au maximum 5 % de la dotation nationale initiale par Fonds entre le FEDER, le FSE+ ou le Fonds de cohésion, dans les limites des ressources globales par État membre au titre de l’objectif «Investissement pour l’emploi et la croissance».</w:t>
      </w:r>
    </w:p>
    <w:p>
      <w:pPr>
        <w:pStyle w:val="ListParagraph"/>
        <w:rPr>
          <w:rFonts w:ascii="Times New Roman" w:hAnsi="Times New Roman" w:cs="Times New Roman"/>
          <w:noProof/>
          <w:sz w:val="24"/>
          <w:szCs w:val="24"/>
        </w:rPr>
      </w:pPr>
    </w:p>
    <w:p>
      <w:pPr>
        <w:pStyle w:val="ListParagraph"/>
        <w:rPr>
          <w:rFonts w:ascii="Times New Roman" w:hAnsi="Times New Roman" w:cs="Times New Roman"/>
          <w:noProof/>
          <w:sz w:val="24"/>
          <w:szCs w:val="24"/>
        </w:rPr>
      </w:pPr>
      <w:r>
        <w:rPr>
          <w:rFonts w:ascii="Times New Roman" w:hAnsi="Times New Roman"/>
          <w:noProof/>
          <w:sz w:val="24"/>
          <w:szCs w:val="24"/>
        </w:rPr>
        <w:t>d) la case suivante est insérée sous le tableau 17:</w:t>
      </w:r>
    </w:p>
    <w:p>
      <w:pPr>
        <w:spacing w:after="0"/>
        <w:rPr>
          <w:rFonts w:ascii="Times New Roman" w:eastAsia="Times New Roman" w:hAnsi="Times New Roman" w:cs="Times New Roman"/>
          <w:b/>
          <w:noProof/>
          <w:sz w:val="24"/>
          <w:szCs w:val="24"/>
          <w:u w:val="single"/>
        </w:rPr>
      </w:pPr>
      <w:r>
        <w:rPr>
          <w:rFonts w:ascii="Times New Roman" w:hAnsi="Times New Roman"/>
          <w:noProof/>
          <w:sz w:val="24"/>
          <w:szCs w:val="24"/>
        </w:rPr>
        <w:t>«</w:t>
      </w:r>
      <w:r>
        <w:rPr>
          <w:rFonts w:ascii="Times New Roman" w:hAnsi="Times New Roman"/>
          <w:b/>
          <w:noProof/>
          <w:sz w:val="24"/>
          <w:szCs w:val="24"/>
          <w:u w:val="single"/>
        </w:rPr>
        <w:t>Justification du transfert proposé – article 21, paragraphe 3</w:t>
      </w:r>
    </w:p>
    <w:tbl>
      <w:tblPr>
        <w:tblStyle w:val="TableGrid"/>
        <w:tblW w:w="0" w:type="auto"/>
        <w:tblLook w:val="04A0" w:firstRow="1" w:lastRow="0" w:firstColumn="1" w:lastColumn="0" w:noHBand="0" w:noVBand="1"/>
      </w:tblPr>
      <w:tblGrid>
        <w:gridCol w:w="9288"/>
      </w:tblGrid>
      <w:tr>
        <w:tc>
          <w:tcPr>
            <w:tcW w:w="9288" w:type="dxa"/>
          </w:tcPr>
          <w:p>
            <w:pPr>
              <w:rPr>
                <w:rFonts w:ascii="Times New Roman" w:eastAsia="Times New Roman" w:hAnsi="Times New Roman" w:cs="Times New Roman"/>
                <w:b/>
                <w:iCs/>
                <w:noProof/>
                <w:sz w:val="24"/>
                <w:szCs w:val="24"/>
                <w:u w:val="single"/>
              </w:rPr>
            </w:pPr>
            <w:r>
              <w:rPr>
                <w:rFonts w:ascii="Times New Roman" w:hAnsi="Times New Roman"/>
                <w:b/>
                <w:iCs/>
                <w:noProof/>
                <w:sz w:val="24"/>
                <w:szCs w:val="24"/>
                <w:u w:val="single"/>
              </w:rPr>
              <w:t xml:space="preserve">Champ de texte [3 000] </w:t>
            </w:r>
          </w:p>
          <w:p>
            <w:pPr>
              <w:rPr>
                <w:rFonts w:ascii="Times New Roman" w:eastAsia="Times New Roman" w:hAnsi="Times New Roman" w:cs="Times New Roman"/>
                <w:b/>
                <w:iCs/>
                <w:noProof/>
                <w:sz w:val="24"/>
                <w:szCs w:val="24"/>
                <w:u w:val="single"/>
              </w:rPr>
            </w:pPr>
          </w:p>
        </w:tc>
      </w:tr>
    </w:tbl>
    <w:p>
      <w:pPr>
        <w:ind w:left="8640" w:firstLine="720"/>
        <w:rPr>
          <w:rFonts w:ascii="Times New Roman" w:hAnsi="Times New Roman" w:cs="Times New Roman"/>
          <w:noProof/>
          <w:sz w:val="24"/>
          <w:szCs w:val="24"/>
        </w:rPr>
      </w:pPr>
      <w:r>
        <w:rPr>
          <w:rFonts w:ascii="Times New Roman" w:hAnsi="Times New Roman"/>
          <w:noProof/>
          <w:szCs w:val="24"/>
        </w:rPr>
        <w:t>»</w:t>
      </w:r>
    </w:p>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0219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p>
    <w:pPr>
      <w:pStyle w:val="FooterCoverPage"/>
      <w:ind w:left="0"/>
      <w:rPr>
        <w:rFonts w:ascii="Arial" w:hAnsi="Arial" w:cs="Arial"/>
        <w:b/>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123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CoverPage"/>
      <w:ind w:left="0"/>
      <w:rPr>
        <w:rFonts w:ascii="Arial" w:hAnsi="Arial" w:cs="Arial"/>
        <w:b/>
        <w:sz w:val="4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32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3</w:t>
        </w:r>
        <w:r>
          <w:fldChar w:fldCharType="end"/>
        </w:r>
      </w:p>
    </w:sdtContent>
  </w:sdt>
  <w:p>
    <w:pPr>
      <w:pStyle w:val="Footer"/>
      <w:pBdr>
        <w:top w:val="single" w:sz="4" w:space="1" w:color="808080"/>
      </w:pBdr>
      <w:jc w:val="right"/>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932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786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Bdr>
        <w:top w:val="single" w:sz="4" w:space="1" w:color="808080"/>
      </w:pBdr>
      <w:jc w:val="right"/>
      <w:rPr>
        <w:rStyle w:val="PageNumbe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705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8FB"/>
    <w:multiLevelType w:val="hybridMultilevel"/>
    <w:tmpl w:val="15F81032"/>
    <w:lvl w:ilvl="0" w:tplc="544A0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33D2B"/>
    <w:multiLevelType w:val="hybridMultilevel"/>
    <w:tmpl w:val="879C0604"/>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A432C6"/>
    <w:multiLevelType w:val="hybridMultilevel"/>
    <w:tmpl w:val="B74A1426"/>
    <w:lvl w:ilvl="0" w:tplc="DC14909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D21879"/>
    <w:multiLevelType w:val="hybridMultilevel"/>
    <w:tmpl w:val="2BDE3528"/>
    <w:lvl w:ilvl="0" w:tplc="6678694E">
      <w:start w:val="10"/>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CB1664"/>
    <w:multiLevelType w:val="hybridMultilevel"/>
    <w:tmpl w:val="D0E6B49C"/>
    <w:lvl w:ilvl="0" w:tplc="1C1CCA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18426D8"/>
    <w:multiLevelType w:val="hybridMultilevel"/>
    <w:tmpl w:val="56BA7598"/>
    <w:lvl w:ilvl="0" w:tplc="B956B1E0">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C200C08"/>
    <w:multiLevelType w:val="hybridMultilevel"/>
    <w:tmpl w:val="2C6A2324"/>
    <w:lvl w:ilvl="0" w:tplc="724403CE">
      <w:start w:val="18"/>
      <w:numFmt w:val="decimal"/>
      <w:lvlText w:val="(%1)"/>
      <w:lvlJc w:val="left"/>
      <w:pPr>
        <w:ind w:left="760" w:hanging="40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5AB16BD"/>
    <w:multiLevelType w:val="hybridMultilevel"/>
    <w:tmpl w:val="CAD0110A"/>
    <w:lvl w:ilvl="0" w:tplc="59E2AF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66A5024C"/>
    <w:multiLevelType w:val="hybridMultilevel"/>
    <w:tmpl w:val="18B43780"/>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2D43D4"/>
    <w:multiLevelType w:val="hybridMultilevel"/>
    <w:tmpl w:val="97565540"/>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663E62"/>
    <w:multiLevelType w:val="hybridMultilevel"/>
    <w:tmpl w:val="60B8DFD2"/>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7"/>
  </w:num>
  <w:num w:numId="5">
    <w:abstractNumId w:val="6"/>
  </w:num>
  <w:num w:numId="6">
    <w:abstractNumId w:val="1"/>
  </w:num>
  <w:num w:numId="7">
    <w:abstractNumId w:val="10"/>
  </w:num>
  <w:num w:numId="8">
    <w:abstractNumId w:val="11"/>
  </w:num>
  <w:num w:numId="9">
    <w:abstractNumId w:val="2"/>
  </w:num>
  <w:num w:numId="10">
    <w:abstractNumId w:val="0"/>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757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F8B10800-E00D-4DDF-A6BE-193C2D6FC71C"/>
    <w:docVar w:name="LW_COVERPAGE_TYPE" w:val="1"/>
    <w:docVar w:name="LW_CROSSREFERENCE" w:val="&lt;UNUSED&gt;"/>
    <w:docVar w:name="LW_DATE.ADOPT.CP_ISODATE" w:val="&lt;EMPTY&gt;"/>
    <w:docVar w:name="LW_DocType" w:val="NORMAL"/>
    <w:docVar w:name="LW_EMISSION" w:val="28.5.2020"/>
    <w:docVar w:name="LW_EMISSION_ISODATE" w:val="2020-05-28"/>
    <w:docVar w:name="LW_EMISSION_LOCATION" w:val="BRX"/>
    <w:docVar w:name="LW_EMISSION_PREFIX" w:val="Bruxelles, le "/>
    <w:docVar w:name="LW_EMISSION_SUFFIX" w:val=" "/>
    <w:docVar w:name="LW_ID_DOCTYPE_NONLW" w:val="CP-03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portant dispositions communes relatives au Fonds européen de développement régional, au Fonds social européen plus, au Fonds de cohésion, au Fonds pour une transition juste et au Fonds européen pour les affaires maritimes et la pêche, et établissant les règles financières applicables à ces Fonds et au Fonds «Asile et migration», au Fonds pour la sécurité intérieure et à l\u8217?instrument relatif à la gestion des frontières et aux visas_x000d__x000d__x000b_"/>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NNEXE_x000b_"/>
    <w:docVar w:name="LW_TYPEACTEPRINCIPAL.CP" w:val="Proposition modifiée de _x000b_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2">
    <w:name w:val="Table Grid2"/>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styleId="PageNumber">
    <w:name w:val="page numbe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2">
    <w:name w:val="Table Grid2"/>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styleId="PageNumber">
    <w:name w:val="page numbe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9746">
      <w:bodyDiv w:val="1"/>
      <w:marLeft w:val="0"/>
      <w:marRight w:val="0"/>
      <w:marTop w:val="0"/>
      <w:marBottom w:val="0"/>
      <w:divBdr>
        <w:top w:val="none" w:sz="0" w:space="0" w:color="auto"/>
        <w:left w:val="none" w:sz="0" w:space="0" w:color="auto"/>
        <w:bottom w:val="none" w:sz="0" w:space="0" w:color="auto"/>
        <w:right w:val="none" w:sz="0" w:space="0" w:color="auto"/>
      </w:divBdr>
    </w:div>
    <w:div w:id="388378752">
      <w:bodyDiv w:val="1"/>
      <w:marLeft w:val="0"/>
      <w:marRight w:val="0"/>
      <w:marTop w:val="0"/>
      <w:marBottom w:val="0"/>
      <w:divBdr>
        <w:top w:val="none" w:sz="0" w:space="0" w:color="auto"/>
        <w:left w:val="none" w:sz="0" w:space="0" w:color="auto"/>
        <w:bottom w:val="none" w:sz="0" w:space="0" w:color="auto"/>
        <w:right w:val="none" w:sz="0" w:space="0" w:color="auto"/>
      </w:divBdr>
    </w:div>
    <w:div w:id="420568804">
      <w:bodyDiv w:val="1"/>
      <w:marLeft w:val="0"/>
      <w:marRight w:val="0"/>
      <w:marTop w:val="0"/>
      <w:marBottom w:val="0"/>
      <w:divBdr>
        <w:top w:val="none" w:sz="0" w:space="0" w:color="auto"/>
        <w:left w:val="none" w:sz="0" w:space="0" w:color="auto"/>
        <w:bottom w:val="none" w:sz="0" w:space="0" w:color="auto"/>
        <w:right w:val="none" w:sz="0" w:space="0" w:color="auto"/>
      </w:divBdr>
    </w:div>
    <w:div w:id="509834854">
      <w:bodyDiv w:val="1"/>
      <w:marLeft w:val="0"/>
      <w:marRight w:val="0"/>
      <w:marTop w:val="0"/>
      <w:marBottom w:val="0"/>
      <w:divBdr>
        <w:top w:val="none" w:sz="0" w:space="0" w:color="auto"/>
        <w:left w:val="none" w:sz="0" w:space="0" w:color="auto"/>
        <w:bottom w:val="none" w:sz="0" w:space="0" w:color="auto"/>
        <w:right w:val="none" w:sz="0" w:space="0" w:color="auto"/>
      </w:divBdr>
    </w:div>
    <w:div w:id="1037777206">
      <w:bodyDiv w:val="1"/>
      <w:marLeft w:val="0"/>
      <w:marRight w:val="0"/>
      <w:marTop w:val="0"/>
      <w:marBottom w:val="0"/>
      <w:divBdr>
        <w:top w:val="none" w:sz="0" w:space="0" w:color="auto"/>
        <w:left w:val="none" w:sz="0" w:space="0" w:color="auto"/>
        <w:bottom w:val="none" w:sz="0" w:space="0" w:color="auto"/>
        <w:right w:val="none" w:sz="0" w:space="0" w:color="auto"/>
      </w:divBdr>
    </w:div>
    <w:div w:id="1466239848">
      <w:bodyDiv w:val="1"/>
      <w:marLeft w:val="0"/>
      <w:marRight w:val="0"/>
      <w:marTop w:val="0"/>
      <w:marBottom w:val="0"/>
      <w:divBdr>
        <w:top w:val="none" w:sz="0" w:space="0" w:color="auto"/>
        <w:left w:val="none" w:sz="0" w:space="0" w:color="auto"/>
        <w:bottom w:val="none" w:sz="0" w:space="0" w:color="auto"/>
        <w:right w:val="none" w:sz="0" w:space="0" w:color="auto"/>
      </w:divBdr>
    </w:div>
    <w:div w:id="1765149504">
      <w:bodyDiv w:val="1"/>
      <w:marLeft w:val="0"/>
      <w:marRight w:val="0"/>
      <w:marTop w:val="0"/>
      <w:marBottom w:val="0"/>
      <w:divBdr>
        <w:top w:val="none" w:sz="0" w:space="0" w:color="auto"/>
        <w:left w:val="none" w:sz="0" w:space="0" w:color="auto"/>
        <w:bottom w:val="none" w:sz="0" w:space="0" w:color="auto"/>
        <w:right w:val="none" w:sz="0" w:space="0" w:color="auto"/>
      </w:divBdr>
    </w:div>
    <w:div w:id="2036694227">
      <w:bodyDiv w:val="1"/>
      <w:marLeft w:val="0"/>
      <w:marRight w:val="0"/>
      <w:marTop w:val="0"/>
      <w:marBottom w:val="0"/>
      <w:divBdr>
        <w:top w:val="none" w:sz="0" w:space="0" w:color="auto"/>
        <w:left w:val="none" w:sz="0" w:space="0" w:color="auto"/>
        <w:bottom w:val="none" w:sz="0" w:space="0" w:color="auto"/>
        <w:right w:val="none" w:sz="0" w:space="0" w:color="auto"/>
      </w:divBdr>
    </w:div>
    <w:div w:id="21386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1E1614-CD6E-4192-B958-A3B85798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720</Words>
  <Characters>3734</Characters>
  <Application>Microsoft Office Word</Application>
  <DocSecurity>0</DocSecurity>
  <Lines>466</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MINCHEVA Yordanka (REGIO)</dc:creator>
  <cp:keywords/>
  <dc:description/>
  <cp:lastModifiedBy>DIGIT/C6</cp:lastModifiedBy>
  <cp:revision>12</cp:revision>
  <cp:lastPrinted>2019-12-03T09:14:00Z</cp:lastPrinted>
  <dcterms:created xsi:type="dcterms:W3CDTF">2020-05-27T15:40:00Z</dcterms:created>
  <dcterms:modified xsi:type="dcterms:W3CDTF">2020-06-04T15:02:00Z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 Build 20190717</vt:lpwstr>
  </property>
</Properties>
</file>