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rStyle w:val="Marker1"/>
          <w:rFonts w:eastAsia="Arial Unicode MS"/>
          <w:noProof/>
        </w:rPr>
      </w:pPr>
      <w:bookmarkStart w:id="0" w:name="LW_BM_COVERPAGE"/>
      <w:r>
        <w:rPr>
          <w:rStyle w:val="Marker1"/>
          <w:rFonts w:eastAsia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896DF110-B8B6-40C8-86C8-89D7162CBBF2" style="width:450.75pt;height:406.5pt">
            <v:imagedata r:id="rId12" o:title=""/>
          </v:shape>
        </w:pict>
      </w:r>
    </w:p>
    <w:bookmarkEnd w:id="0"/>
    <w:p>
      <w:pPr>
        <w:rPr>
          <w:rStyle w:val="Marker1"/>
          <w:rFonts w:eastAsia="Arial Unicode MS"/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Style w:val="Marker1"/>
          <w:rFonts w:eastAsia="Arial Unicode MS"/>
          <w:b/>
          <w:noProof/>
          <w:color w:val="auto"/>
        </w:rPr>
      </w:pPr>
      <w:bookmarkStart w:id="1" w:name="_GoBack"/>
      <w:bookmarkEnd w:id="1"/>
      <w:r>
        <w:rPr>
          <w:rStyle w:val="Marker1"/>
          <w:b/>
          <w:noProof/>
          <w:color w:val="auto"/>
        </w:rPr>
        <w:lastRenderedPageBreak/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Финансови инструменти, от които могат да се използват възстановени суми</w:t>
      </w:r>
    </w:p>
    <w:p>
      <w:pPr>
        <w:shd w:val="clear" w:color="auto" w:fill="FFFFFF" w:themeFill="background1"/>
        <w:spacing w:before="0" w:after="200" w:line="276" w:lineRule="auto"/>
        <w:rPr>
          <w:noProof/>
          <w:szCs w:val="24"/>
        </w:rPr>
      </w:pPr>
      <w:r>
        <w:rPr>
          <w:noProof/>
        </w:rPr>
        <w:t>А. Капиталови инструменти: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Европейски механизъм за технологии (ETF98): Решение 98/347/ЕО на Съвета от 19 май 1998 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 г., стр. 43).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i/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Проект за трансфер на технологии (TTP): Решение на Комисията за приемане на решение за допълнително финансиране относно финансирането действия на дейността „Вътрешен пазар за стоки и отраслови политики“ на Генерална дирекция „Предприятия и промишленост“ за 2007 г. и приемане на рамково решение относно финансирането на подготвителното действие „Европейският съюз поема ролята си в глобализирания свят“ и четири пилотни проекта „Еразъм за млади предприемачи“, „Мерки за насърчаване на сътрудничеството и партньорствата между микропредприятия и МСП“, „Трансфер на технологии“ и „Най-добри европейски дестинации“ на Генерална дирекция „Предприятия и промишленост“ за 2007 г. (C(2007) 531).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Европейски механизъм за технологии (ETF01): Решение 2000/819/ЕО на Съвета от 20 декември 2000 г. относно многогодишна програма за предприятия и предприемачество, и по-специално за малките и средните предприятия (МСП) (2001—2005 г.) (OВ L 333, 29.12.2000 г., стр. 84).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висок растеж и иновации на МСП (GIF): Решение № 1639/2006/ЕО на Европейския парламент и на Съвета от 24 октомври 2006 г. за създаване на Рамкова програма за конкурентоспособност и иновации (2007—2013 г.) (ОВ L 310, 9.11.2006 г., стр. 15).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свързване на Европа (МСЕ): Регламент (ЕС) № 1316/2013 на Европейския парламент и на Съвета от 11 декември 2013 г. за създаване на Механизъм за свързване на Европа, за изменение на Регламент (ЕС) № 913/2010 и за отмяна на регламенти (ЕО) № 680/2007 и (ЕО) № 67/2010 (OВ L 348, 20.12.2013 г., стр. 129), изменен с Регламент (ЕС) 2015/1017 на Европейския парламент и на Съвета от 25 юни 2015 г. за Европейския фонд за стратегически инвестиции, Европейския консултантски център по инвестиционни въпроси и Европейския портал за инвестиционни проекти и за изменение на регламенти (ЕС) № 1291/2013 и (ЕС) № 1316/2013 — Европейски фонд за стратегически инвестиции (OВ L 169, 1.7.2015 г., стр. 1).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  <w:szCs w:val="24"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 xml:space="preserve">COSME — Капиталов механизъм за растеж (КМР): Регламент (ЕС) № 1287/2013 на Европейския парламент и на Съвета от 11 декември 2013 г. за създаване на Програма за конкурентоспособност на предприятията и за малките и средните предприятия (COSME) (2014—2020 г.) и за отмяна на Решение № 1639/2006/ЕО (ОВ L 347, 20.12.2013 г., стр. 33). 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Капиталов механизъм по InnovFin: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 1982/2006/ЕО (OB L 347, 20.12.2013 г., стр. 104);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 г.)“ и за отмяна на Регламент (ЕО) № 1906/2006 (ОВ L 347, 20.12.2013 г., стр. 81);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Решение 2013/743/ЕС на Съвета от 3 декември 2013 г. за създаване на специфичната програма за изпълнение на „Хоризонт 2020“ — рамковата програма за научни изследвания и иновации (2014—2020 г.) и за отмяна на решения 2006/971/ЕО, 2006/972/ЕО, 2006/973/ЕО, 2006/974/ЕО и 2006/975/ЕО (ОВ L 347, 20.12.2013 г., стр. 965).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Компонент на EaSi в областта на инвестициите за изграждане на капацитет: Регламент (ЕС) № 1296/2013 на Европейския парламент и на Съвета от 11 декември 2013 г. относно Програма на Европейския съюз за заетост и социални иновации („EaSI“) и за изменение на Решение № 283/2010/ЕС за създаване на Европейски механизъм за микрофинансиране за трудова заетост и социално приобщаване „Прогрес“ (ОВ L 347, 20.12.2013 г., стр. 238).</w:t>
      </w:r>
    </w:p>
    <w:p>
      <w:pPr>
        <w:shd w:val="clear" w:color="auto" w:fill="FFFFFF" w:themeFill="background1"/>
        <w:spacing w:before="0" w:after="200" w:line="276" w:lineRule="auto"/>
        <w:rPr>
          <w:noProof/>
          <w:szCs w:val="24"/>
        </w:rPr>
      </w:pPr>
      <w:r>
        <w:rPr>
          <w:noProof/>
        </w:rPr>
        <w:t>Б. Гаранционни инструменти: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по отношение на МСП 1998 г. (SMEG 1998): Решение 98/347/ЕО на Съвета от 19 май 1998 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 г., стр. 43).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по отношение на МСП 2001 г. (SMEG 2001): Решение 2000/819/ЕО на Съвета от 20 декември 2000 г. относно многогодишна програма за предприятия и предприемачество, и по-специално за малките и средните предприятия (МСП) (2001—2005 г.) (OВ L 333, 29.12.2000 г., стр. 84).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по отношение на МСП 2007 г. (SMEG 2007): Решение № 1639/2006/ЕО на Европейския парламент и на Съвета от 24 октомври 2006 г. за създаване на Рамкова програма за конкурентоспособност и иновации (2007—2013 г.) (ОВ L 310, 9.11.2006 г., стр. 15).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Европейски механизъм за микрофинансиране „Прогрес“ — Гаранции (EPMF-G): Решение № 283/2010/ЕС на Европейския парламент и на Съвета от 25 март 2010 г. за създаване на Европейски механизъм за микрофинансиране за трудова заетост и социално приобщаване „Прогрес“ (ОВ L 87, 7.4.2010 г., стр. 1).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b/>
          <w:bCs/>
          <w:noProof/>
        </w:rPr>
      </w:pPr>
      <w:r>
        <w:rPr>
          <w:rFonts w:ascii="Symbol" w:hAnsi="Symbol"/>
          <w:bCs/>
          <w:noProof/>
        </w:rPr>
        <w:t></w:t>
      </w:r>
      <w:r>
        <w:rPr>
          <w:rFonts w:ascii="Symbol" w:hAnsi="Symbol"/>
          <w:bCs/>
          <w:noProof/>
        </w:rPr>
        <w:tab/>
      </w:r>
      <w:r>
        <w:rPr>
          <w:noProof/>
        </w:rPr>
        <w:t>Инструмент за поделяне на риска (RSI):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Решение № 1982/2006/ЕО на Европейския парламент и на Съвета от 18 декември 2006 г. относно Седмата рамкова програма на Европейската общност за научни изследвания, технологично развитие и демонстрационни дейности (2007-2013 г.) изявления на Комисията (ОВ L 412, 30.12.2006 г., стр. 1); 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iCs/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Решение 2006/971/ЕО на Съвета от 19 декември 2006 г. относно специфичната програма „Сътрудничество“ в изпълнение на Седмата рамкова програма на Европейската общност за изследвания, технологично развитие и демонстрационни дейности (2007—2013 г.) (ОВ L 400, 30.12.2006 г., стр. 86); 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iCs/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Решение 2006/974 на Съвета от 19 декември 2006 г. относно специалната програма „Капацитети“ за изпълнение на Седмата рамкова програма на Европейската общност за научни изследвания, технологично развитие и демонстрационни дейности (2007—2013 г.) (ОВ L 400, 30.12.2006 г., стр. 299). 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b/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Гаранция за EaSI: Регламент (ЕС) № 1296/2013 на Европейския парламент и на Съвета от 11 декември 2013 г. относно Програма на Европейския съюз за заетост и социални иновации („EaSI“) и за изменение на Решение № 283/2010/ЕС за създаване на Европейски механизъм за микрофинансиране за трудова заетост и социално приобщаване „Прогрес“ (ОВ L 347, 20.12.2013 г., стр. 238).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на заеми по COSME (COSME LGF): Регламент (ЕС) № 1287/2013 на Европейския парламент и на Съвета от 11 декември 2013 г. за създаване на Програма за конкурентоспособност на предприятията и за малките и средните предприятия (COSME) (2014—2020 г.) и за отмяна на Решение № 1639/2006/ЕО (ОВ L 347, 20.12.2013 г., стр. 33).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iCs/>
          <w:noProof/>
        </w:rPr>
      </w:pPr>
      <w:r>
        <w:rPr>
          <w:rFonts w:ascii="Symbol" w:hAnsi="Symbol"/>
          <w:iCs/>
          <w:noProof/>
        </w:rPr>
        <w:t></w:t>
      </w:r>
      <w:r>
        <w:rPr>
          <w:rFonts w:ascii="Symbol" w:hAnsi="Symbol"/>
          <w:iCs/>
          <w:noProof/>
        </w:rPr>
        <w:tab/>
      </w:r>
      <w:r>
        <w:rPr>
          <w:noProof/>
        </w:rPr>
        <w:t>Дългов механизъм по InnovFin: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iCs/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 г.)“ и за отмяна на Регламент (ЕО) № 1906/2006 (ОВ L 347, 20.12.2013 г., стр. 81);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iCs/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 1982/2006/ЕО (OB L 347, 20.12.2013 г., стр. 104);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Решение 2013/743/ЕС на Съвета от 3 декември 2013 г. за създаване на специфичната програма за изпълнение на „Хоризонт 2020“ — рамковата програма за научни изследвания и иновации (2014—2020 г.) и за отмяна на решения 2006/971/ЕО, 2006/972/ЕО, 2006/973/ЕО, 2006/974/ЕО и 2006/975/ЕО (ОВ L 347, 20.12.2013 г., стр. 965).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на заеми за секторите на културата и творчеството (CCS GF): Регламент (ЕС) № 1295/2013 на Европейския парламент и на Съвета от 11 декември 2013 г. за създаване на програма „Творческа Европа“ (2014—2020 г.) и за отмяна на Решения № 1718/2006/ЕО, № 1855/2006/ЕО и № 1041/2009/ЕО ( ОВ L 347, 20.12.2013 г., стр. 221).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Механизъм за гарантиране на студентски заеми (SLGF): Регламент (ЕС) № 1288/2013 на Европейския парламент и на Съвета от 11 декември 2013 г. за създаване на „Еразъм +“ — програма на Съюза в областта на образованието, обучението, младежта и спорта и за отмяна на решения № 1719/2006/ЕО, № 1720/2006/ЕО и № 1298/2008/ЕО (ОВ L 347, 20.12.2013 г., стp. 50).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Инструмент за частно финансиране за енергийна ефективност (PF4EE): Регламент (ЕС) № 1293/2013 на Европейския парламент и на Съвета от 11 декември 2013 г. за създаване на Програма за околната среда и действията по климата (LIFE) и за отмяна на Регламент (ЕО) № 614/2007 (ОВ L 347, 20.12.2013 г., стр. 185).</w:t>
      </w:r>
    </w:p>
    <w:p>
      <w:pPr>
        <w:shd w:val="clear" w:color="auto" w:fill="FFFFFF" w:themeFill="background1"/>
        <w:spacing w:before="0" w:after="200" w:line="276" w:lineRule="auto"/>
        <w:rPr>
          <w:noProof/>
          <w:szCs w:val="24"/>
        </w:rPr>
      </w:pPr>
      <w:r>
        <w:rPr>
          <w:noProof/>
        </w:rPr>
        <w:t>В. Инструменти за поделяне на риска: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Програма InnovFin: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 г.)“ и за отмяна на Регламент (ЕО) № 1906/2006 (ОВ L 347, 20.12.2013 г., стр. 81);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 1982/2006/ЕО (OB L 347, 20.12.2013 г., стр. 104).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Дългов инструмент на Механизма за свързване на Европа (ДИ на МСЕ): Регламент (ЕС) № 1316/2013 на Европейския парламент и на Съвета от 11 декември 2013 г. за създаване на Механизъм за свързване на Европа, за изменение на Регламент (ЕС) № 913/2010 и за отмяна на регламенти (ЕО) № 680/2007 и (ЕО) № 67/2010 (ОВ L 348, 20.12.2013 г., стр. 129).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Инструмент за финансиране на природен капитал (NCFF): Регламент (ЕС) № 1293/2013 на Европейския парламент и на Съвета от 11 декември 2013 г. за създаване на Програма за околната среда и действията по климата (LIFE) и за отмяна на Регламент (ЕО) № 614/2007 (ОВ L 347, 20.12.2013 г., стр. 185).</w:t>
      </w:r>
    </w:p>
    <w:p>
      <w:pPr>
        <w:shd w:val="clear" w:color="auto" w:fill="FFFFFF" w:themeFill="background1"/>
        <w:spacing w:before="0" w:after="200" w:line="276" w:lineRule="auto"/>
        <w:rPr>
          <w:noProof/>
          <w:szCs w:val="24"/>
        </w:rPr>
      </w:pPr>
      <w:r>
        <w:rPr>
          <w:noProof/>
        </w:rPr>
        <w:t>Г. Специални инвестиционни механизми: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Европейски механизъм за микрофинансиране „Прогрес“ – Fonds commun de placements – fonds d'investissements spécialisés (EPMF FCP-FIS):</w:t>
      </w:r>
      <w:r>
        <w:rPr>
          <w:b/>
          <w:noProof/>
        </w:rPr>
        <w:t xml:space="preserve"> </w:t>
      </w:r>
      <w:r>
        <w:rPr>
          <w:noProof/>
        </w:rPr>
        <w:t xml:space="preserve">Решение № 283/2010/ЕС на Европейския парламент и на Съвета от 25 март 2010 г. за създаване на Европейски механизъм за микрофинансиране за трудова заетост и социално приобщаване „Прогрес“ (ОВ L 87, 7.4.2010 г., стр. 1). 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noProof/>
        </w:rPr>
        <w:t>Фонд „Marguerite“: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  <w:t>Регламент (ЕО) № 680/2007 на Европейския парламент и на Съвета от 20 юни 2007 г. за установяване на общи правила за отпускане на финансова помощ от Общността в областта на трансевропейските транспортни и енергийни мрежи (ОВ L 162, 22.6.2007 г., стр. 1);</w:t>
      </w:r>
    </w:p>
    <w:p>
      <w:pPr>
        <w:pStyle w:val="Tiret1"/>
        <w:numPr>
          <w:ilvl w:val="0"/>
          <w:numId w:val="0"/>
        </w:numPr>
        <w:shd w:val="clear" w:color="auto" w:fill="FFFFFF" w:themeFill="background1"/>
        <w:tabs>
          <w:tab w:val="left" w:pos="1417"/>
        </w:tabs>
        <w:ind w:left="1417" w:hanging="567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noProof/>
          <w:bdr w:val="none" w:sz="0" w:space="0" w:color="auto" w:frame="1"/>
        </w:rPr>
        <w:t>Решение на Комисията от 25.2.2010 г. относно участието на Европейския съюз в Европейския фонд за енергетика, изменение на климата и инфраструктура 2020 г.(фонд „Marguerite“) (С(2010) 941).</w:t>
      </w:r>
    </w:p>
    <w:p>
      <w:pPr>
        <w:pStyle w:val="Bullet0"/>
        <w:numPr>
          <w:ilvl w:val="0"/>
          <w:numId w:val="0"/>
        </w:numPr>
        <w:shd w:val="clear" w:color="auto" w:fill="FFFFFF" w:themeFill="background1"/>
        <w:tabs>
          <w:tab w:val="left" w:pos="850"/>
        </w:tabs>
        <w:ind w:left="850" w:hanging="850"/>
        <w:rPr>
          <w:iCs/>
          <w:noProof/>
        </w:rPr>
      </w:pPr>
      <w:r>
        <w:rPr>
          <w:rFonts w:ascii="Symbol" w:hAnsi="Symbol"/>
          <w:noProof/>
        </w:rPr>
        <w:t></w:t>
      </w:r>
      <w:r>
        <w:rPr>
          <w:rFonts w:ascii="Symbol" w:hAnsi="Symbol"/>
          <w:noProof/>
        </w:rPr>
        <w:tab/>
      </w:r>
      <w:r>
        <w:rPr>
          <w:rStyle w:val="st"/>
          <w:noProof/>
        </w:rPr>
        <w:t>Европейски</w:t>
      </w:r>
      <w:r>
        <w:rPr>
          <w:rStyle w:val="Emphasis"/>
          <w:i w:val="0"/>
          <w:noProof/>
        </w:rPr>
        <w:t xml:space="preserve"> фонд</w:t>
      </w:r>
      <w:r>
        <w:rPr>
          <w:rStyle w:val="st"/>
          <w:noProof/>
        </w:rPr>
        <w:t xml:space="preserve"> за енергийна ефективност (EEEF):</w:t>
      </w:r>
      <w:r>
        <w:rPr>
          <w:noProof/>
        </w:rPr>
        <w:t xml:space="preserve"> Регламент (ЕС) № 1233/2010 на Европейския парламент и на Съвета от 15 декември 2010 г. за изменение на Регламент (ЕО) № 663/2009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 (ОВ L 346, 30.12.2010 г., стр. 5).</w:t>
      </w:r>
    </w:p>
    <w:p>
      <w:pPr>
        <w:spacing w:before="0" w:after="160" w:line="259" w:lineRule="auto"/>
        <w:jc w:val="left"/>
        <w:rPr>
          <w:rStyle w:val="Marker1"/>
          <w:rFonts w:eastAsia="Arial Unicode MS"/>
          <w:noProof/>
          <w:color w:val="auto"/>
        </w:rPr>
      </w:pPr>
      <w:r>
        <w:rPr>
          <w:noProof/>
        </w:rPr>
        <w:br w:type="page"/>
      </w:r>
    </w:p>
    <w:p>
      <w:pPr>
        <w:spacing w:before="0" w:after="200" w:line="276" w:lineRule="auto"/>
        <w:jc w:val="center"/>
        <w:rPr>
          <w:rStyle w:val="Marker1"/>
          <w:rFonts w:eastAsia="Arial Unicode MS"/>
          <w:b/>
          <w:noProof/>
          <w:color w:val="auto"/>
        </w:rPr>
      </w:pPr>
      <w:r>
        <w:rPr>
          <w:rStyle w:val="Marker1"/>
          <w:b/>
          <w:noProof/>
          <w:color w:val="auto"/>
        </w:rPr>
        <w:t xml:space="preserve">ПРИЛОЖЕНИЕ II </w:t>
      </w:r>
    </w:p>
    <w:p>
      <w:pPr>
        <w:spacing w:before="0" w:after="200" w:line="276" w:lineRule="auto"/>
        <w:jc w:val="center"/>
        <w:rPr>
          <w:rStyle w:val="Marker1"/>
          <w:rFonts w:eastAsia="Arial Unicode MS"/>
          <w:b/>
          <w:noProof/>
          <w:color w:val="auto"/>
        </w:rPr>
      </w:pPr>
      <w:r>
        <w:rPr>
          <w:rStyle w:val="Marker1"/>
          <w:b/>
          <w:noProof/>
          <w:color w:val="auto"/>
        </w:rPr>
        <w:t>Ключови показатели за изпълнението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Размер на отпуснатите безвъзмездни средства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 xml:space="preserve">Размер на заемите по подписани договори  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Индивидуални заеми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Схеми за заеми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Общ размер на мобилизираните инвестиции, разпределени по следния начин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Размер на мобилизираното частно финансиране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Размер на мобилизираното публично финансиране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Брой на получаващите подкрепа проекти, включително географски обхват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 xml:space="preserve">Държава 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 xml:space="preserve">Регион на ниво 2 по NUTS 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Подкрепяни територии, осъществяващи справедлив преход  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Брой на проектите, получаващи финансиране по линия на механизма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Брой на проектите по сектори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Транспорт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Социална инфраструктура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Комунални услуги (вода, отпадъчни води, районни отоплителни системи, енергия, управление на отпадъци)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Пряко подпомагане на прехода (енергия от възобновяеми източници, енергийна ефективност)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Опазване на околната среда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Градска инфраструктура (включително жилищно настаняване)</w:t>
      </w:r>
    </w:p>
    <w:p>
      <w:pPr>
        <w:pStyle w:val="ListParagraph"/>
        <w:numPr>
          <w:ilvl w:val="1"/>
          <w:numId w:val="8"/>
        </w:numPr>
        <w:ind w:left="1276" w:hanging="556"/>
        <w:contextualSpacing w:val="0"/>
        <w:rPr>
          <w:noProof/>
        </w:rPr>
      </w:pPr>
      <w:r>
        <w:rPr>
          <w:noProof/>
        </w:rPr>
        <w:t>Други</w:t>
      </w:r>
    </w:p>
    <w:p>
      <w:pPr>
        <w:pStyle w:val="ListParagraph"/>
        <w:numPr>
          <w:ilvl w:val="0"/>
          <w:numId w:val="8"/>
        </w:numPr>
        <w:contextualSpacing w:val="0"/>
        <w:rPr>
          <w:noProof/>
        </w:rPr>
      </w:pPr>
      <w:r>
        <w:rPr>
          <w:noProof/>
        </w:rPr>
        <w:t>Намаление на емисиите на парникови газове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90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0C"/>
    <w:multiLevelType w:val="hybridMultilevel"/>
    <w:tmpl w:val="4BF66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F97"/>
    <w:multiLevelType w:val="hybridMultilevel"/>
    <w:tmpl w:val="FC1EA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20E5"/>
    <w:multiLevelType w:val="multilevel"/>
    <w:tmpl w:val="EB0003A4"/>
    <w:lvl w:ilvl="0">
      <w:start w:val="2"/>
      <w:numFmt w:val="decimal"/>
      <w:lvlText w:val="%1"/>
      <w:lvlJc w:val="left"/>
      <w:pPr>
        <w:ind w:left="360" w:hanging="360"/>
      </w:pPr>
      <w:rPr>
        <w:color w:val="40404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color w:val="404040"/>
      </w:r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5">
    <w:nsid w:val="53AA5558"/>
    <w:multiLevelType w:val="multilevel"/>
    <w:tmpl w:val="BB4C01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3685BBA"/>
    <w:multiLevelType w:val="hybridMultilevel"/>
    <w:tmpl w:val="35C42B00"/>
    <w:lvl w:ilvl="0" w:tplc="0F069C4A">
      <w:start w:val="1"/>
      <w:numFmt w:val="lowerRoman"/>
      <w:pStyle w:val="Po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30D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96DF110-B8B6-40C8-86C8-89D7162CBBF2"/>
    <w:docVar w:name="LW_COVERPAGE_TYPE" w:val="1"/>
    <w:docVar w:name="LW_CROSSREFERENCE" w:val="{SWD(2020) 92 final}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86?\u1090?\u1085?\u1086?\u1089?\u1085?\u1086? \u1084?\u1077?\u1093?\u1072?\u1085?\u1080?\u1079?\u1084?\u1072? \u1079?\u1072? \u1086?\u1090?\u1087?\u1091?\u1089?\u1082?\u1072?\u1085?\u1077? \u1085?\u1072? \u1079?\u1072?\u1077?\u1084?\u1080? \u1074? \u1087?\u1091?\u1073?\u1083?\u1080?\u1095?\u1085?\u1080?\u1103? \u1089?\u1077?\u1082?\u1090?\u1086?\u1088? \u1074? \u1088?\u1072?\u1084?\u1082?\u1080?\u1090?\u1077? \u1085?\u1072? \u1052?\u1077?\u1093?\u1072?\u1085?\u1080?\u1079?\u1084?\u1072? \u1079?\u1072? \u1089?\u1087?\u1088?\u1072?\u1074?\u1077?\u1076?\u1083?\u1080?\u1074? \u1087?\u1088?\u1077?\u1093?\u1086?\u1076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ret1">
    <w:name w:val="Tiret 1"/>
    <w:basedOn w:val="Normal"/>
    <w:pPr>
      <w:numPr>
        <w:numId w:val="1"/>
      </w:numPr>
    </w:p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paragraph" w:customStyle="1" w:styleId="Bullet0">
    <w:name w:val="Bullet 0"/>
    <w:basedOn w:val="Normal"/>
    <w:pPr>
      <w:numPr>
        <w:numId w:val="2"/>
      </w:numPr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Po">
    <w:name w:val="Po"/>
    <w:basedOn w:val="ListParagraph"/>
    <w:pPr>
      <w:numPr>
        <w:numId w:val="4"/>
      </w:numPr>
      <w:spacing w:before="0" w:after="200" w:line="276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ret1">
    <w:name w:val="Tiret 1"/>
    <w:basedOn w:val="Normal"/>
    <w:pPr>
      <w:numPr>
        <w:numId w:val="1"/>
      </w:numPr>
    </w:p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paragraph" w:customStyle="1" w:styleId="Bullet0">
    <w:name w:val="Bullet 0"/>
    <w:basedOn w:val="Normal"/>
    <w:pPr>
      <w:numPr>
        <w:numId w:val="2"/>
      </w:numPr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Po">
    <w:name w:val="Po"/>
    <w:basedOn w:val="ListParagraph"/>
    <w:pPr>
      <w:numPr>
        <w:numId w:val="4"/>
      </w:numPr>
      <w:spacing w:before="0" w:after="200" w:line="276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4c86685e-d507-4856-8b8c-f67011314117" xsi:nil="true"/>
    <EC_Collab_DocumentLanguage xmlns="4c86685e-d507-4856-8b8c-f67011314117">EN</EC_Collab_DocumentLanguage>
    <EC_ARES_TRANSFERRED_BY xmlns="4c86685e-d507-4856-8b8c-f67011314117" xsi:nil="true"/>
    <EC_Collab_Status xmlns="4c86685e-d507-4856-8b8c-f67011314117">Not Started</EC_Collab_Status>
    <EC_ARES_NUMBER xmlns="4c86685e-d507-4856-8b8c-f67011314117">
      <Url xsi:nil="true"/>
      <Description xsi:nil="true"/>
    </EC_ARES_NUMBER>
    <EC_ARES_DATE_TRANSFERRED xmlns="4c86685e-d507-4856-8b8c-f670113141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95FEF8C80940E449C7E6FC1B80BB470" ma:contentTypeVersion="4" ma:contentTypeDescription="Create a new document in this library." ma:contentTypeScope="" ma:versionID="0be8abeb09d6eed108df9ae0bd2adef3">
  <xsd:schema xmlns:xsd="http://www.w3.org/2001/XMLSchema" xmlns:xs="http://www.w3.org/2001/XMLSchema" xmlns:p="http://schemas.microsoft.com/office/2006/metadata/properties" xmlns:ns3="4c86685e-d507-4856-8b8c-f67011314117" targetNamespace="http://schemas.microsoft.com/office/2006/metadata/properties" ma:root="true" ma:fieldsID="d7c2fc0273016d1c87969e18c16706e6" ns3:_="">
    <xsd:import namespace="4c86685e-d507-4856-8b8c-f67011314117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EC_ARES_NUMBER" minOccurs="0"/>
                <xsd:element ref="ns3:EC_ARES_DATE_TRANSFERRED" minOccurs="0"/>
                <xsd:element ref="ns3:EC_ARES_TRANSFERRED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6685e-d507-4856-8b8c-f67011314117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FB0A0C-67DA-41E8-9B26-44BA5246A30A}">
  <ds:schemaRefs>
    <ds:schemaRef ds:uri="http://schemas.microsoft.com/office/2006/metadata/properties"/>
    <ds:schemaRef ds:uri="http://schemas.microsoft.com/office/infopath/2007/PartnerControls"/>
    <ds:schemaRef ds:uri="4c86685e-d507-4856-8b8c-f67011314117"/>
  </ds:schemaRefs>
</ds:datastoreItem>
</file>

<file path=customXml/itemProps2.xml><?xml version="1.0" encoding="utf-8"?>
<ds:datastoreItem xmlns:ds="http://schemas.openxmlformats.org/officeDocument/2006/customXml" ds:itemID="{64DF439D-D17E-412D-9F55-6D407B0E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6685e-d507-4856-8b8c-f67011314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4B6BD-93EB-4F85-A18F-297474740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C2159-F698-48A4-A4C1-262649EC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1876</Words>
  <Characters>10357</Characters>
  <Application>Microsoft Office Word</Application>
  <DocSecurity>0</DocSecurity>
  <Lines>207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WES PDFC Administrator</cp:lastModifiedBy>
  <cp:revision>20</cp:revision>
  <dcterms:created xsi:type="dcterms:W3CDTF">2020-05-08T14:24:00Z</dcterms:created>
  <dcterms:modified xsi:type="dcterms:W3CDTF">2020-06-04T15:06:00Z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  <property fmtid="{D5CDD505-2E9C-101B-9397-08002B2CF9AE}" pid="12" name="_LW_INVALIDATED__LW_INVALIDATED__LW_INVALIDATED__LW_INVALIDATED__LW_INVALIDATED__LW_INVALIDATED__LW_INVALIDATED__LW_INVALIDATED__LW_INVALIDATED_ContentTypeId">
    <vt:lpwstr>0x010100258AA79CEB83498886A3A0868112325000D95FEF8C80940E449C7E6FC1B80BB470</vt:lpwstr>
  </property>
</Properties>
</file>