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Marker1"/>
          <w:rFonts w:eastAsia="Arial Unicode MS"/>
          <w:noProof/>
        </w:rPr>
      </w:pPr>
      <w:bookmarkStart w:id="0" w:name="LW_BM_COVERPAGE"/>
      <w:r>
        <w:rPr>
          <w:rStyle w:val="Marker1"/>
          <w:rFonts w:eastAsia="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644695F-A4C0-4C54-AB89-8FB3B2C1F175" style="width:450.35pt;height:434.7pt">
            <v:imagedata r:id="rId12" o:title=""/>
          </v:shape>
        </w:pict>
      </w:r>
    </w:p>
    <w:bookmarkEnd w:id="0"/>
    <w:p>
      <w:pPr>
        <w:rPr>
          <w:rStyle w:val="Marker1"/>
          <w:rFonts w:eastAsia="Arial Unicode MS"/>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0" w:after="200" w:line="276" w:lineRule="auto"/>
        <w:jc w:val="center"/>
        <w:rPr>
          <w:rStyle w:val="Marker1"/>
          <w:rFonts w:eastAsia="Arial Unicode MS"/>
          <w:b/>
          <w:noProof/>
          <w:color w:val="auto"/>
        </w:rPr>
      </w:pPr>
      <w:bookmarkStart w:id="1" w:name="_GoBack"/>
      <w:bookmarkEnd w:id="1"/>
      <w:r>
        <w:rPr>
          <w:rStyle w:val="Marker1"/>
          <w:b/>
          <w:noProof/>
          <w:color w:val="auto"/>
        </w:rPr>
        <w:lastRenderedPageBreak/>
        <w:t>ANNEXE I</w:t>
      </w:r>
    </w:p>
    <w:p>
      <w:pPr>
        <w:jc w:val="center"/>
        <w:rPr>
          <w:b/>
          <w:noProof/>
        </w:rPr>
      </w:pPr>
      <w:r>
        <w:rPr>
          <w:b/>
          <w:noProof/>
        </w:rPr>
        <w:t>Instruments financiers dont les remboursements peuvent être utilisés pour la facilité</w:t>
      </w:r>
    </w:p>
    <w:p>
      <w:pPr>
        <w:shd w:val="clear" w:color="auto" w:fill="FFFFFF" w:themeFill="background1"/>
        <w:spacing w:before="0" w:after="200" w:line="276" w:lineRule="auto"/>
        <w:rPr>
          <w:noProof/>
          <w:szCs w:val="24"/>
        </w:rPr>
      </w:pPr>
      <w:r>
        <w:rPr>
          <w:noProof/>
        </w:rPr>
        <w:t>A. Instruments de capitaux propres: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européen pour les technologies (MET98): décision 98/347/CE du Conseil du 19 mai 1998 concernant des mesures d’assistance financière aux petites et moyennes entreprises (PME) innovantes et créatrices d’emploi (JO L 155 du 29.5.1998, p. 43).</w:t>
      </w:r>
    </w:p>
    <w:p>
      <w:pPr>
        <w:pStyle w:val="Bullet0"/>
        <w:numPr>
          <w:ilvl w:val="0"/>
          <w:numId w:val="0"/>
        </w:numPr>
        <w:shd w:val="clear" w:color="auto" w:fill="FFFFFF" w:themeFill="background1"/>
        <w:tabs>
          <w:tab w:val="left" w:pos="850"/>
        </w:tabs>
        <w:ind w:left="850" w:hanging="850"/>
        <w:rPr>
          <w:i/>
          <w:noProof/>
        </w:rPr>
      </w:pPr>
      <w:r>
        <w:rPr>
          <w:rFonts w:ascii="Symbol" w:hAnsi="Symbol"/>
          <w:noProof/>
        </w:rPr>
        <w:t></w:t>
      </w:r>
      <w:r>
        <w:rPr>
          <w:noProof/>
        </w:rPr>
        <w:tab/>
        <w:t>PTT: décision de la Commission portant adoption d’une décision de financement complémentaire relative au financement d’actions de l’activité «Marché intérieur des biens et politiques sectorielles» de la direction générale des entreprises et de l'industrie pour l'année 2007 et portant adoption de la décision d’encadrement relative au financement de l’action préparatoire «Le rôle à jouer par l’Union européenne dans un monde globalisé» et de quatre projets pilotes «Erasmus Jeunes entrepreneurs», «Mesures visant à promouvoir la coopération et les partenariats entre les microentreprises et les PME», «Transfert de technologies» et «Destinations européennes d’excellence» de la direction générale des entreprises et de l’industrie pour l'année 2007 [C(2007)531].</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européen pour les technologies (MET01): décision 2000/819/CE du Conseil du 20 décembre 2000 relative à un programme pluriannuel pour les entreprises et l’esprit d’entreprise, en particulier pour les petites et moyennes entreprises (PME) (2001-2005) (JO L 333 du 29.12.2000, p. 84).</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MIC: décision nº 1639/2006/CE du Parlement européen et du Conseil du 24 octobre 2006 établissant un programme-cadre pour l’innovation et la compétitivité (2007-2013) (JO L 310 du 9.11.2006, p. 15).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pour l’interconnexion en Europe (MIE): règlement (UE) nº 1316/2013 du Parlement européen et du Conseil du 11 décembre 2013 établissant le mécanisme pour l'interconnexion en Europe, modifiant le règlement (UE) nº 913/2010 et abrogeant les règlements (CE) nº 680/2007 et (CE) nº 67/2010 (JO L 348 du 20.12.2013, p. 129) tel que modifié par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p>
      <w:pPr>
        <w:pStyle w:val="Bullet0"/>
        <w:numPr>
          <w:ilvl w:val="0"/>
          <w:numId w:val="0"/>
        </w:numPr>
        <w:shd w:val="clear" w:color="auto" w:fill="FFFFFF" w:themeFill="background1"/>
        <w:tabs>
          <w:tab w:val="left" w:pos="850"/>
        </w:tabs>
        <w:ind w:left="850" w:hanging="850"/>
        <w:rPr>
          <w:noProof/>
          <w:szCs w:val="24"/>
        </w:rPr>
      </w:pPr>
      <w:r>
        <w:rPr>
          <w:rFonts w:ascii="Symbol" w:hAnsi="Symbol"/>
          <w:noProof/>
          <w:szCs w:val="24"/>
        </w:rPr>
        <w:t></w:t>
      </w:r>
      <w:r>
        <w:rPr>
          <w:noProof/>
        </w:rPr>
        <w:tab/>
        <w:t xml:space="preserve">Facilité «capital-risque» pour la croissance du programme COSME (COSME EFG): règlement (UE) nº 1287/2013 du Parlement européen et du Conseil du 11 décembre 2013 établissant un programme pour la compétitivité des entreprises et pour les petites et moyennes entreprises (COSME) (2014 - 2020) et abrogeant la décision nº 1639/2006/CE (JO L 347 du 20.12.2013, p. 33). </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fonds propres InnovFin:</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Règlement (UE) nº 1291/2013 du Parlement européen et du Conseil du 11 décembre 2013 portant établissement du programme-cadre pour la recherche et l'innovation «Horizon 2020» (2014-2020) et abrogeant la décision nº 1982/2006/CE (JO L 347 du 20.12.2013, p. 104).</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Règlement (EU)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Volet «Investissements pour le renforcement des capacités» de l’EaSI: 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p>
      <w:pPr>
        <w:shd w:val="clear" w:color="auto" w:fill="FFFFFF" w:themeFill="background1"/>
        <w:spacing w:before="0" w:after="200" w:line="276" w:lineRule="auto"/>
        <w:rPr>
          <w:noProof/>
          <w:szCs w:val="24"/>
        </w:rPr>
      </w:pPr>
      <w:r>
        <w:rPr>
          <w:noProof/>
        </w:rPr>
        <w:t>B. Instruments de garantie:</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garantie PME 98 (SMEG98): décision 98/347/CE du Conseil du 19 mai 1998 concernant des mesures d’assistance financière aux petites et moyennes entreprises (PME) innovantes et créatrices d’emploi (JO L 155 du 29.5.1998, p. 43).</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garantie PME 01 (SMEG01): décision 2000/819/CE du Conseil du 20 décembre 2000 relative à un programme pluriannuel pour les entreprises et l’esprit d’entreprise, en particulier pour les petites et moyennes entreprises (PME) (2001-2005) (JO L 333 du 29.12.2000, p. 84).</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garantie PME 07 (SMEG07): décision nº 1639/2006/CE du Parlement européen et du Conseil du 24 octobre 2006 établissant un programme-cadre pour l’innovation et la compétitivité (2007-2013) (JO L 310 du 9.11.2006, p. 15).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Instrument européen de microfinancement Progress – Garantie (EPMF-G): décision nº 283/2010/UE du Parlement européen et du Conseil du 25 mars 2010 instituant un instrument européen de microfinancement Progress en faveur de l’emploi et de l’inclusion sociale (JO L 87 du 7.4.2010, p. 1).</w:t>
      </w:r>
    </w:p>
    <w:p>
      <w:pPr>
        <w:pStyle w:val="Bullet0"/>
        <w:numPr>
          <w:ilvl w:val="0"/>
          <w:numId w:val="0"/>
        </w:numPr>
        <w:shd w:val="clear" w:color="auto" w:fill="FFFFFF" w:themeFill="background1"/>
        <w:tabs>
          <w:tab w:val="left" w:pos="850"/>
        </w:tabs>
        <w:ind w:left="850" w:hanging="850"/>
        <w:rPr>
          <w:b/>
          <w:bCs/>
          <w:noProof/>
        </w:rPr>
      </w:pPr>
      <w:r>
        <w:rPr>
          <w:rFonts w:ascii="Symbol" w:hAnsi="Symbol"/>
          <w:bCs/>
          <w:noProof/>
        </w:rPr>
        <w:t></w:t>
      </w:r>
      <w:r>
        <w:rPr>
          <w:noProof/>
        </w:rPr>
        <w:tab/>
        <w:t>MIC:</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 xml:space="preserve">Décision nº 1982/2006/CE du Parlement européen et du Conseil du 18 décembre 2006 relative au septième programme-cadre de la Communauté européenne pour des actions de recherche, de développement technologique et de démonstration (2007-2013) Déclarations de la Commission (JO L 412 du 30.12.2006, p. 1). </w:t>
      </w:r>
    </w:p>
    <w:p>
      <w:pPr>
        <w:pStyle w:val="Tiret1"/>
        <w:numPr>
          <w:ilvl w:val="0"/>
          <w:numId w:val="0"/>
        </w:numPr>
        <w:shd w:val="clear" w:color="auto" w:fill="FFFFFF" w:themeFill="background1"/>
        <w:tabs>
          <w:tab w:val="left" w:pos="1417"/>
        </w:tabs>
        <w:ind w:left="1417" w:hanging="567"/>
        <w:rPr>
          <w:iCs/>
          <w:noProof/>
        </w:rPr>
      </w:pPr>
      <w:r>
        <w:rPr>
          <w:noProof/>
        </w:rPr>
        <w:t>–</w:t>
      </w:r>
      <w:r>
        <w:rPr>
          <w:noProof/>
        </w:rPr>
        <w:tab/>
        <w:t xml:space="preserve">Décision 2006/971/CE du Conseil du 19 décembre 2006 relative au programme spécifique «Coopération» mettant en œuvre le septième programme-cadre de la Communauté européenne pour des activités de recherche, de développement technologique et de démonstration (2007-2013) (JO L 400 du 30.12.2006, p. 86). </w:t>
      </w:r>
    </w:p>
    <w:p>
      <w:pPr>
        <w:pStyle w:val="Tiret1"/>
        <w:numPr>
          <w:ilvl w:val="0"/>
          <w:numId w:val="0"/>
        </w:numPr>
        <w:shd w:val="clear" w:color="auto" w:fill="FFFFFF" w:themeFill="background1"/>
        <w:tabs>
          <w:tab w:val="left" w:pos="1417"/>
        </w:tabs>
        <w:ind w:left="1417" w:hanging="567"/>
        <w:rPr>
          <w:iCs/>
          <w:noProof/>
        </w:rPr>
      </w:pPr>
      <w:r>
        <w:rPr>
          <w:noProof/>
        </w:rPr>
        <w:t>–</w:t>
      </w:r>
      <w:r>
        <w:rPr>
          <w:noProof/>
        </w:rPr>
        <w:tab/>
        <w:t xml:space="preserve">Décision 2006/974/CE du Conseil du 19 décembre 2006 relative au programme spécifique Capacités mettant en œuvre le septième programme-cadre de la Communauté européenne pour des activités de recherche, de développement technologique et de démonstration (2007-2013) (JO L 400 du 30.12.2006, p. 299). </w:t>
      </w:r>
    </w:p>
    <w:p>
      <w:pPr>
        <w:pStyle w:val="Bullet0"/>
        <w:numPr>
          <w:ilvl w:val="0"/>
          <w:numId w:val="0"/>
        </w:numPr>
        <w:shd w:val="clear" w:color="auto" w:fill="FFFFFF" w:themeFill="background1"/>
        <w:tabs>
          <w:tab w:val="left" w:pos="850"/>
        </w:tabs>
        <w:ind w:left="850" w:hanging="850"/>
        <w:rPr>
          <w:b/>
          <w:noProof/>
        </w:rPr>
      </w:pPr>
      <w:r>
        <w:rPr>
          <w:rFonts w:ascii="Symbol" w:hAnsi="Symbol"/>
          <w:noProof/>
        </w:rPr>
        <w:t></w:t>
      </w:r>
      <w:r>
        <w:rPr>
          <w:noProof/>
        </w:rPr>
        <w:tab/>
        <w:t>EaSI-Garantie: 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Facilité «garantie de prêts» du programme COSME (COSME LGF): règlement (UE) nº 1287/2013 du Parlement européen et du Conseil du 11 décembre 2013 établissant un programme pour la compétitivité des entreprises et pour les petites et moyennes entreprises (COSME) (2014 - 2020) et abrogeant la décision nº 1639/2006/CE (JO L 347 du 20.12.2013, p. 33).</w:t>
      </w:r>
    </w:p>
    <w:p>
      <w:pPr>
        <w:pStyle w:val="Bullet0"/>
        <w:numPr>
          <w:ilvl w:val="0"/>
          <w:numId w:val="0"/>
        </w:numPr>
        <w:shd w:val="clear" w:color="auto" w:fill="FFFFFF" w:themeFill="background1"/>
        <w:tabs>
          <w:tab w:val="left" w:pos="850"/>
        </w:tabs>
        <w:ind w:left="850" w:hanging="850"/>
        <w:rPr>
          <w:iCs/>
          <w:noProof/>
        </w:rPr>
      </w:pPr>
      <w:r>
        <w:rPr>
          <w:rFonts w:ascii="Symbol" w:hAnsi="Symbol"/>
          <w:iCs/>
          <w:noProof/>
        </w:rPr>
        <w:t></w:t>
      </w:r>
      <w:r>
        <w:rPr>
          <w:noProof/>
        </w:rPr>
        <w:tab/>
        <w:t>InnovFin Debt:</w:t>
      </w:r>
    </w:p>
    <w:p>
      <w:pPr>
        <w:pStyle w:val="Tiret1"/>
        <w:numPr>
          <w:ilvl w:val="0"/>
          <w:numId w:val="0"/>
        </w:numPr>
        <w:shd w:val="clear" w:color="auto" w:fill="FFFFFF" w:themeFill="background1"/>
        <w:tabs>
          <w:tab w:val="left" w:pos="1417"/>
        </w:tabs>
        <w:ind w:left="1417" w:hanging="567"/>
        <w:rPr>
          <w:iCs/>
          <w:noProof/>
        </w:rPr>
      </w:pPr>
      <w:r>
        <w:rPr>
          <w:noProof/>
        </w:rPr>
        <w:t>–</w:t>
      </w:r>
      <w:r>
        <w:rPr>
          <w:noProof/>
        </w:rPr>
        <w:tab/>
        <w:t>Règlement (EU)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pStyle w:val="Tiret1"/>
        <w:numPr>
          <w:ilvl w:val="0"/>
          <w:numId w:val="0"/>
        </w:numPr>
        <w:shd w:val="clear" w:color="auto" w:fill="FFFFFF" w:themeFill="background1"/>
        <w:tabs>
          <w:tab w:val="left" w:pos="1417"/>
        </w:tabs>
        <w:ind w:left="1417" w:hanging="567"/>
        <w:rPr>
          <w:iCs/>
          <w:noProof/>
        </w:rPr>
      </w:pPr>
      <w:r>
        <w:rPr>
          <w:noProof/>
        </w:rPr>
        <w:t>–</w:t>
      </w:r>
      <w:r>
        <w:rPr>
          <w:noProof/>
        </w:rPr>
        <w:tab/>
        <w:t>Règlement (UE) nº 1291/2013 du Parlement européen et du Conseil du 11 décembre 2013 portant établissement du programme-cadre pour la recherche et l'innovation «Horizon 2020» (2014-2020) et abrogeant la décision nº 1982/2006/CE (JO L 347 du 20.12.2013, p. 104).</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garantie en faveur des secteurs culturels et créatifs – (CCS GF). règlement (UE) nº 1295/2013 du Parlement européen et du Conseil du 11 décembre 2013 établissant le programme «Europe créative» (2014 à 2020) et abrogeant les décisions nº 1718/2006/CE, nº 1855/2006/CE et nº 1041/2009/CE (JO L 347 du 20.12.2013, p. 221).</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garantie de prêts aux étudiants (SLGF): règlement (UE) nº 1288/2013 du Parlement européen et du Conseil du 11 décembre 2013 établissant «Erasmus +»: le programme de l’Union pour l’éducation, la formation, la jeunesse et le sport et abrogeant les décisions nº 1719/2006/CE, nº 1720/2006/CE et nº 1298/2008/CE (JO L 347 du 20.12.2013, p. 50).</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Instrument de financement privé pour l’efficacité énergétique (PF4EE): règlement (UE) nº 1293/2013 du Parlement européen et du Conseil du 11 décembre 2013 relatif à l'établissement d'un programme pour l'environnement et l'action pour le climat (LIFE) et abrogeant le règlement (CE) nº 614/2007 (JO L 347 du 20.12.2013, p. 185).</w:t>
      </w:r>
    </w:p>
    <w:p>
      <w:pPr>
        <w:shd w:val="clear" w:color="auto" w:fill="FFFFFF" w:themeFill="background1"/>
        <w:spacing w:before="0" w:after="200" w:line="276" w:lineRule="auto"/>
        <w:rPr>
          <w:noProof/>
          <w:szCs w:val="24"/>
        </w:rPr>
      </w:pPr>
      <w:r>
        <w:rPr>
          <w:noProof/>
        </w:rPr>
        <w:t>C. Instruments de partage des risques: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InnovFin:</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Règlement (EU)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Règlement (UE) nº 1291/2013 du Parlement européen et du Conseil du 11 décembre 2013 portant établissement du programme-cadre pour la recherche et l'innovation «Horizon 2020» (2014-2020) et abrogeant la décision nº 1982/2006/CE (JO L 347 du 20.12.2013, p. 104).</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Instrument de prêt du mécanisme pour l’interconnexion en Europe (CEF DI): règlement (UE) nº 1316/2013 du Parlement européen et du Conseil du 11 décembre 2013 établissant le mécanisme pour l’interconnexion en Europe, modifiant le règlement (UE) nº 913/2010 et abrogeant les règlements (CE) nº 680/2007 et (CE) nº 67/2010 (JO L 348 du 20.12.2013, p. 129).</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Mécanisme de financement du capital naturel (NCFF): règlement (UE) nº 1293/2013 du Parlement européen et du Conseil du 11 décembre 2013 relatif à l'établissement d'un programme pour l'environnement et l'action pour le climat (LIFE) et abrogeant le règlement (CE) nº 614/2007 (JO L 347 du 20.12.2013, p. 185).</w:t>
      </w:r>
    </w:p>
    <w:p>
      <w:pPr>
        <w:shd w:val="clear" w:color="auto" w:fill="FFFFFF" w:themeFill="background1"/>
        <w:spacing w:before="0" w:after="200" w:line="276" w:lineRule="auto"/>
        <w:rPr>
          <w:noProof/>
          <w:szCs w:val="24"/>
        </w:rPr>
      </w:pPr>
      <w:r>
        <w:rPr>
          <w:noProof/>
        </w:rPr>
        <w:t>D. Véhicules d’investissement spécialisés: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Instrument européen de microfinancement Progress — Fonds commun de placement — fonds d’investissements spécialisés (EPMF FCP-FIS):</w:t>
      </w:r>
      <w:r>
        <w:rPr>
          <w:b/>
          <w:noProof/>
        </w:rPr>
        <w:t xml:space="preserve"> </w:t>
      </w:r>
      <w:r>
        <w:rPr>
          <w:noProof/>
        </w:rPr>
        <w:t xml:space="preserve">décision nº 283/2010/UE du Parlement européen et du Conseil du 25 mars 2010 instituant un instrument européen de microfinancement Progress en faveur de l’emploi et de l’inclusion sociale (JO L 87 du 7.4.2010, p. 1). </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noProof/>
        </w:rPr>
        <w:tab/>
        <w:t>Marguerite:</w:t>
      </w:r>
    </w:p>
    <w:p>
      <w:pPr>
        <w:pStyle w:val="Tiret1"/>
        <w:numPr>
          <w:ilvl w:val="0"/>
          <w:numId w:val="0"/>
        </w:numPr>
        <w:shd w:val="clear" w:color="auto" w:fill="FFFFFF" w:themeFill="background1"/>
        <w:tabs>
          <w:tab w:val="left" w:pos="1417"/>
        </w:tabs>
        <w:ind w:left="1417" w:hanging="567"/>
        <w:rPr>
          <w:noProof/>
        </w:rPr>
      </w:pPr>
      <w:r>
        <w:rPr>
          <w:noProof/>
        </w:rPr>
        <w:t>–</w:t>
      </w:r>
      <w:r>
        <w:rPr>
          <w:noProof/>
        </w:rPr>
        <w:tab/>
        <w:t>Règlement (CE) nº 680/2007 du Parlement européen et du Conseil du 20 juin 2007 déterminant les règles générales pour l’octroi d’un concours financier communautaire dans le domaine des réseaux transeuropéens de transport et d’énergie (JO L 162 du 22.6.2007, p. 1).</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bdr w:val="none" w:sz="0" w:space="0" w:color="auto" w:frame="1"/>
        </w:rPr>
        <w:t>Décision de la Commission du 25.2.2010 sur la participation de l’Union européenne au Fonds européen 2020 pour l'énergie, le changement climatique et les infrastructures (Fonds Marguerite) [C(2010)941].</w:t>
      </w:r>
    </w:p>
    <w:p>
      <w:pPr>
        <w:pStyle w:val="Bullet0"/>
        <w:numPr>
          <w:ilvl w:val="0"/>
          <w:numId w:val="0"/>
        </w:numPr>
        <w:shd w:val="clear" w:color="auto" w:fill="FFFFFF" w:themeFill="background1"/>
        <w:tabs>
          <w:tab w:val="left" w:pos="850"/>
        </w:tabs>
        <w:ind w:left="850" w:hanging="850"/>
        <w:rPr>
          <w:iCs/>
          <w:noProof/>
        </w:rPr>
      </w:pPr>
      <w:r>
        <w:rPr>
          <w:rFonts w:ascii="Symbol" w:hAnsi="Symbol"/>
          <w:noProof/>
        </w:rPr>
        <w:t></w:t>
      </w:r>
      <w:r>
        <w:rPr>
          <w:noProof/>
        </w:rPr>
        <w:tab/>
      </w:r>
      <w:r>
        <w:rPr>
          <w:rStyle w:val="st"/>
          <w:noProof/>
        </w:rPr>
        <w:t xml:space="preserve">Fonds </w:t>
      </w:r>
      <w:r>
        <w:rPr>
          <w:rStyle w:val="Emphasis"/>
          <w:i w:val="0"/>
          <w:noProof/>
        </w:rPr>
        <w:t>européen</w:t>
      </w:r>
      <w:r>
        <w:rPr>
          <w:rStyle w:val="st"/>
          <w:noProof/>
        </w:rPr>
        <w:t xml:space="preserve"> pour l’efficacité énergétique(</w:t>
      </w:r>
      <w:r>
        <w:rPr>
          <w:noProof/>
        </w:rPr>
        <w:t>FEEE): règlement (UE) nº 1233/2010 du Parlement européen et du Conseil du 15 décembre 2010 modifiant le règlement (CE) nº 663/2009 établissant un programme d’aide à la relance économique par l’octroi d’une assistance financière communautaire à des projets dans le domaine de l’énergie (JO L 346 du 30.12.2010, p. 5).</w:t>
      </w:r>
    </w:p>
    <w:p>
      <w:pPr>
        <w:spacing w:before="0" w:after="160" w:line="259" w:lineRule="auto"/>
        <w:jc w:val="left"/>
        <w:rPr>
          <w:rStyle w:val="Marker1"/>
          <w:rFonts w:eastAsia="Arial Unicode MS"/>
          <w:noProof/>
          <w:color w:val="auto"/>
        </w:rPr>
      </w:pPr>
      <w:r>
        <w:rPr>
          <w:noProof/>
        </w:rPr>
        <w:br w:type="page"/>
      </w:r>
    </w:p>
    <w:p>
      <w:pPr>
        <w:spacing w:before="0" w:after="200" w:line="276" w:lineRule="auto"/>
        <w:jc w:val="center"/>
        <w:rPr>
          <w:rStyle w:val="Marker1"/>
          <w:rFonts w:eastAsia="Arial Unicode MS"/>
          <w:b/>
          <w:noProof/>
          <w:color w:val="auto"/>
        </w:rPr>
      </w:pPr>
      <w:r>
        <w:rPr>
          <w:rStyle w:val="Marker1"/>
          <w:b/>
          <w:noProof/>
          <w:color w:val="auto"/>
        </w:rPr>
        <w:t xml:space="preserve">ANNEXE II </w:t>
      </w:r>
    </w:p>
    <w:p>
      <w:pPr>
        <w:spacing w:before="0" w:after="200" w:line="276" w:lineRule="auto"/>
        <w:jc w:val="center"/>
        <w:rPr>
          <w:rStyle w:val="Marker1"/>
          <w:rFonts w:eastAsia="Arial Unicode MS"/>
          <w:b/>
          <w:noProof/>
          <w:color w:val="auto"/>
        </w:rPr>
      </w:pPr>
      <w:r>
        <w:rPr>
          <w:rStyle w:val="Marker1"/>
          <w:b/>
          <w:noProof/>
          <w:color w:val="auto"/>
        </w:rPr>
        <w:t>Indicateurs de performance clés</w:t>
      </w:r>
    </w:p>
    <w:p>
      <w:pPr>
        <w:pStyle w:val="ListParagraph"/>
        <w:numPr>
          <w:ilvl w:val="0"/>
          <w:numId w:val="8"/>
        </w:numPr>
        <w:contextualSpacing w:val="0"/>
        <w:rPr>
          <w:noProof/>
        </w:rPr>
      </w:pPr>
      <w:r>
        <w:rPr>
          <w:noProof/>
        </w:rPr>
        <w:t>Volume de subventions octroyées</w:t>
      </w:r>
    </w:p>
    <w:p>
      <w:pPr>
        <w:pStyle w:val="ListParagraph"/>
        <w:numPr>
          <w:ilvl w:val="0"/>
          <w:numId w:val="8"/>
        </w:numPr>
        <w:contextualSpacing w:val="0"/>
        <w:rPr>
          <w:noProof/>
        </w:rPr>
      </w:pPr>
      <w:r>
        <w:rPr>
          <w:noProof/>
        </w:rPr>
        <w:t xml:space="preserve">Volume des prêts signés  </w:t>
      </w:r>
    </w:p>
    <w:p>
      <w:pPr>
        <w:pStyle w:val="ListParagraph"/>
        <w:numPr>
          <w:ilvl w:val="1"/>
          <w:numId w:val="8"/>
        </w:numPr>
        <w:ind w:left="1276" w:hanging="556"/>
        <w:contextualSpacing w:val="0"/>
        <w:rPr>
          <w:noProof/>
        </w:rPr>
      </w:pPr>
      <w:r>
        <w:rPr>
          <w:noProof/>
        </w:rPr>
        <w:t>Prêts individuels</w:t>
      </w:r>
    </w:p>
    <w:p>
      <w:pPr>
        <w:pStyle w:val="ListParagraph"/>
        <w:numPr>
          <w:ilvl w:val="1"/>
          <w:numId w:val="8"/>
        </w:numPr>
        <w:ind w:left="1276" w:hanging="556"/>
        <w:contextualSpacing w:val="0"/>
        <w:rPr>
          <w:noProof/>
        </w:rPr>
      </w:pPr>
      <w:r>
        <w:rPr>
          <w:noProof/>
        </w:rPr>
        <w:t>Régimes de prêts</w:t>
      </w:r>
    </w:p>
    <w:p>
      <w:pPr>
        <w:pStyle w:val="ListParagraph"/>
        <w:numPr>
          <w:ilvl w:val="0"/>
          <w:numId w:val="8"/>
        </w:numPr>
        <w:contextualSpacing w:val="0"/>
        <w:rPr>
          <w:noProof/>
        </w:rPr>
      </w:pPr>
      <w:r>
        <w:rPr>
          <w:noProof/>
        </w:rPr>
        <w:t>Total des investissements mobilisés, réparti comme suit:</w:t>
      </w:r>
    </w:p>
    <w:p>
      <w:pPr>
        <w:pStyle w:val="ListParagraph"/>
        <w:numPr>
          <w:ilvl w:val="1"/>
          <w:numId w:val="8"/>
        </w:numPr>
        <w:ind w:left="1276" w:hanging="556"/>
        <w:contextualSpacing w:val="0"/>
        <w:rPr>
          <w:noProof/>
        </w:rPr>
      </w:pPr>
      <w:r>
        <w:rPr>
          <w:noProof/>
        </w:rPr>
        <w:t>Montant de financements privés mobilisés</w:t>
      </w:r>
    </w:p>
    <w:p>
      <w:pPr>
        <w:pStyle w:val="ListParagraph"/>
        <w:numPr>
          <w:ilvl w:val="1"/>
          <w:numId w:val="8"/>
        </w:numPr>
        <w:ind w:left="1276" w:hanging="556"/>
        <w:contextualSpacing w:val="0"/>
        <w:rPr>
          <w:noProof/>
        </w:rPr>
      </w:pPr>
      <w:r>
        <w:rPr>
          <w:noProof/>
        </w:rPr>
        <w:t>Montant de financements publics mobilisés</w:t>
      </w:r>
    </w:p>
    <w:p>
      <w:pPr>
        <w:pStyle w:val="ListParagraph"/>
        <w:numPr>
          <w:ilvl w:val="0"/>
          <w:numId w:val="8"/>
        </w:numPr>
        <w:contextualSpacing w:val="0"/>
        <w:rPr>
          <w:noProof/>
        </w:rPr>
      </w:pPr>
      <w:r>
        <w:rPr>
          <w:noProof/>
        </w:rPr>
        <w:t>Nombre de projets bénéficiant d’un soutien, y compris la couverture géographique</w:t>
      </w:r>
    </w:p>
    <w:p>
      <w:pPr>
        <w:pStyle w:val="ListParagraph"/>
        <w:numPr>
          <w:ilvl w:val="1"/>
          <w:numId w:val="8"/>
        </w:numPr>
        <w:ind w:left="1276" w:hanging="556"/>
        <w:contextualSpacing w:val="0"/>
        <w:rPr>
          <w:noProof/>
        </w:rPr>
      </w:pPr>
      <w:r>
        <w:rPr>
          <w:noProof/>
        </w:rPr>
        <w:t xml:space="preserve">Pays </w:t>
      </w:r>
    </w:p>
    <w:p>
      <w:pPr>
        <w:pStyle w:val="ListParagraph"/>
        <w:numPr>
          <w:ilvl w:val="1"/>
          <w:numId w:val="8"/>
        </w:numPr>
        <w:ind w:left="1276" w:hanging="556"/>
        <w:contextualSpacing w:val="0"/>
        <w:rPr>
          <w:noProof/>
        </w:rPr>
      </w:pPr>
      <w:r>
        <w:rPr>
          <w:noProof/>
        </w:rPr>
        <w:t xml:space="preserve">Région NUTS 2 </w:t>
      </w:r>
    </w:p>
    <w:p>
      <w:pPr>
        <w:pStyle w:val="ListParagraph"/>
        <w:numPr>
          <w:ilvl w:val="1"/>
          <w:numId w:val="8"/>
        </w:numPr>
        <w:ind w:left="1276" w:hanging="556"/>
        <w:contextualSpacing w:val="0"/>
        <w:rPr>
          <w:noProof/>
        </w:rPr>
      </w:pPr>
      <w:r>
        <w:rPr>
          <w:noProof/>
        </w:rPr>
        <w:t>Territoire en transition juste bénéficiant d’un soutien  </w:t>
      </w:r>
    </w:p>
    <w:p>
      <w:pPr>
        <w:pStyle w:val="ListParagraph"/>
        <w:numPr>
          <w:ilvl w:val="0"/>
          <w:numId w:val="8"/>
        </w:numPr>
        <w:contextualSpacing w:val="0"/>
        <w:rPr>
          <w:noProof/>
        </w:rPr>
      </w:pPr>
      <w:r>
        <w:rPr>
          <w:noProof/>
        </w:rPr>
        <w:t>Nombre de projets bénéficiant d’un financement dans le cadre de la facilité</w:t>
      </w:r>
    </w:p>
    <w:p>
      <w:pPr>
        <w:pStyle w:val="ListParagraph"/>
        <w:numPr>
          <w:ilvl w:val="0"/>
          <w:numId w:val="8"/>
        </w:numPr>
        <w:contextualSpacing w:val="0"/>
        <w:rPr>
          <w:noProof/>
        </w:rPr>
      </w:pPr>
      <w:r>
        <w:rPr>
          <w:noProof/>
        </w:rPr>
        <w:t>Nombre de projets par secteur</w:t>
      </w:r>
    </w:p>
    <w:p>
      <w:pPr>
        <w:pStyle w:val="ListParagraph"/>
        <w:numPr>
          <w:ilvl w:val="1"/>
          <w:numId w:val="8"/>
        </w:numPr>
        <w:ind w:left="1276" w:hanging="556"/>
        <w:contextualSpacing w:val="0"/>
        <w:rPr>
          <w:noProof/>
        </w:rPr>
      </w:pPr>
      <w:r>
        <w:rPr>
          <w:noProof/>
        </w:rPr>
        <w:t>Transports</w:t>
      </w:r>
    </w:p>
    <w:p>
      <w:pPr>
        <w:pStyle w:val="ListParagraph"/>
        <w:numPr>
          <w:ilvl w:val="1"/>
          <w:numId w:val="8"/>
        </w:numPr>
        <w:ind w:left="1276" w:hanging="556"/>
        <w:contextualSpacing w:val="0"/>
        <w:rPr>
          <w:noProof/>
        </w:rPr>
      </w:pPr>
      <w:r>
        <w:rPr>
          <w:noProof/>
        </w:rPr>
        <w:t>Infrastructures sociales</w:t>
      </w:r>
    </w:p>
    <w:p>
      <w:pPr>
        <w:pStyle w:val="ListParagraph"/>
        <w:numPr>
          <w:ilvl w:val="1"/>
          <w:numId w:val="8"/>
        </w:numPr>
        <w:ind w:left="1276" w:hanging="556"/>
        <w:contextualSpacing w:val="0"/>
        <w:rPr>
          <w:noProof/>
        </w:rPr>
      </w:pPr>
      <w:r>
        <w:rPr>
          <w:noProof/>
        </w:rPr>
        <w:t>Services publics de distribution (eau, eaux usées, chauffage urbain, énergie, gestion des déchets)</w:t>
      </w:r>
    </w:p>
    <w:p>
      <w:pPr>
        <w:pStyle w:val="ListParagraph"/>
        <w:numPr>
          <w:ilvl w:val="1"/>
          <w:numId w:val="8"/>
        </w:numPr>
        <w:ind w:left="1276" w:hanging="556"/>
        <w:contextualSpacing w:val="0"/>
        <w:rPr>
          <w:noProof/>
        </w:rPr>
      </w:pPr>
      <w:r>
        <w:rPr>
          <w:noProof/>
        </w:rPr>
        <w:t>Soutien direct à la transition (énergies renouvelables, efficacité énergétique)</w:t>
      </w:r>
    </w:p>
    <w:p>
      <w:pPr>
        <w:pStyle w:val="ListParagraph"/>
        <w:numPr>
          <w:ilvl w:val="1"/>
          <w:numId w:val="8"/>
        </w:numPr>
        <w:ind w:left="1276" w:hanging="556"/>
        <w:contextualSpacing w:val="0"/>
        <w:rPr>
          <w:noProof/>
        </w:rPr>
      </w:pPr>
      <w:r>
        <w:rPr>
          <w:noProof/>
        </w:rPr>
        <w:t>Protection de l'environnement</w:t>
      </w:r>
    </w:p>
    <w:p>
      <w:pPr>
        <w:pStyle w:val="ListParagraph"/>
        <w:numPr>
          <w:ilvl w:val="1"/>
          <w:numId w:val="8"/>
        </w:numPr>
        <w:ind w:left="1276" w:hanging="556"/>
        <w:contextualSpacing w:val="0"/>
        <w:rPr>
          <w:noProof/>
        </w:rPr>
      </w:pPr>
      <w:r>
        <w:rPr>
          <w:noProof/>
        </w:rPr>
        <w:t>Infrastructures urbaines (y compris le logement)</w:t>
      </w:r>
    </w:p>
    <w:p>
      <w:pPr>
        <w:pStyle w:val="ListParagraph"/>
        <w:numPr>
          <w:ilvl w:val="1"/>
          <w:numId w:val="8"/>
        </w:numPr>
        <w:ind w:left="1276" w:hanging="556"/>
        <w:contextualSpacing w:val="0"/>
        <w:rPr>
          <w:noProof/>
        </w:rPr>
      </w:pPr>
      <w:r>
        <w:rPr>
          <w:noProof/>
        </w:rPr>
        <w:t>Autres</w:t>
      </w:r>
    </w:p>
    <w:p>
      <w:pPr>
        <w:pStyle w:val="ListParagraph"/>
        <w:numPr>
          <w:ilvl w:val="0"/>
          <w:numId w:val="8"/>
        </w:numPr>
        <w:contextualSpacing w:val="0"/>
        <w:rPr>
          <w:noProof/>
        </w:rPr>
      </w:pPr>
      <w:r>
        <w:rPr>
          <w:noProof/>
        </w:rPr>
        <w:t>Réduction des émissions de gaz à effet de serre</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590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10C"/>
    <w:multiLevelType w:val="hybridMultilevel"/>
    <w:tmpl w:val="4BF66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965F97"/>
    <w:multiLevelType w:val="hybridMultilevel"/>
    <w:tmpl w:val="FC1EA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9220E5"/>
    <w:multiLevelType w:val="multilevel"/>
    <w:tmpl w:val="EB0003A4"/>
    <w:lvl w:ilvl="0">
      <w:start w:val="2"/>
      <w:numFmt w:val="decimal"/>
      <w:lvlText w:val="%1"/>
      <w:lvlJc w:val="left"/>
      <w:pPr>
        <w:ind w:left="360" w:hanging="360"/>
      </w:pPr>
      <w:rPr>
        <w:color w:val="404040"/>
      </w:rPr>
    </w:lvl>
    <w:lvl w:ilvl="1">
      <w:start w:val="1"/>
      <w:numFmt w:val="decimal"/>
      <w:lvlText w:val="%1.%2"/>
      <w:lvlJc w:val="left"/>
      <w:pPr>
        <w:ind w:left="720" w:hanging="360"/>
      </w:pPr>
      <w:rPr>
        <w:color w:val="404040"/>
      </w:rPr>
    </w:lvl>
    <w:lvl w:ilvl="2">
      <w:start w:val="1"/>
      <w:numFmt w:val="decimal"/>
      <w:lvlText w:val="%1.%2.%3"/>
      <w:lvlJc w:val="left"/>
      <w:pPr>
        <w:ind w:left="1440" w:hanging="720"/>
      </w:pPr>
      <w:rPr>
        <w:color w:val="404040"/>
      </w:rPr>
    </w:lvl>
    <w:lvl w:ilvl="3">
      <w:start w:val="1"/>
      <w:numFmt w:val="decimal"/>
      <w:lvlText w:val="%1.%2.%3.%4"/>
      <w:lvlJc w:val="left"/>
      <w:pPr>
        <w:ind w:left="1800" w:hanging="720"/>
      </w:pPr>
      <w:rPr>
        <w:color w:val="404040"/>
      </w:rPr>
    </w:lvl>
    <w:lvl w:ilvl="4">
      <w:start w:val="1"/>
      <w:numFmt w:val="decimal"/>
      <w:lvlText w:val="%1.%2.%3.%4.%5"/>
      <w:lvlJc w:val="left"/>
      <w:pPr>
        <w:ind w:left="2520" w:hanging="1080"/>
      </w:pPr>
      <w:rPr>
        <w:color w:val="404040"/>
      </w:rPr>
    </w:lvl>
    <w:lvl w:ilvl="5">
      <w:start w:val="1"/>
      <w:numFmt w:val="decimal"/>
      <w:lvlText w:val="%1.%2.%3.%4.%5.%6"/>
      <w:lvlJc w:val="left"/>
      <w:pPr>
        <w:ind w:left="2880" w:hanging="1080"/>
      </w:pPr>
      <w:rPr>
        <w:color w:val="404040"/>
      </w:rPr>
    </w:lvl>
    <w:lvl w:ilvl="6">
      <w:start w:val="1"/>
      <w:numFmt w:val="decimal"/>
      <w:lvlText w:val="%1.%2.%3.%4.%5.%6.%7"/>
      <w:lvlJc w:val="left"/>
      <w:pPr>
        <w:ind w:left="3240" w:hanging="1080"/>
      </w:pPr>
      <w:rPr>
        <w:color w:val="404040"/>
      </w:rPr>
    </w:lvl>
    <w:lvl w:ilvl="7">
      <w:start w:val="1"/>
      <w:numFmt w:val="decimal"/>
      <w:lvlText w:val="%1.%2.%3.%4.%5.%6.%7.%8"/>
      <w:lvlJc w:val="left"/>
      <w:pPr>
        <w:ind w:left="3960" w:hanging="1440"/>
      </w:pPr>
      <w:rPr>
        <w:color w:val="404040"/>
      </w:rPr>
    </w:lvl>
    <w:lvl w:ilvl="8">
      <w:start w:val="1"/>
      <w:numFmt w:val="decimal"/>
      <w:lvlText w:val="%1.%2.%3.%4.%5.%6.%7.%8.%9"/>
      <w:lvlJc w:val="left"/>
      <w:pPr>
        <w:ind w:left="4320" w:hanging="1440"/>
      </w:pPr>
      <w:rPr>
        <w:color w:val="404040"/>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53AA5558"/>
    <w:multiLevelType w:val="multilevel"/>
    <w:tmpl w:val="BB4C01F0"/>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3685BBA"/>
    <w:multiLevelType w:val="hybridMultilevel"/>
    <w:tmpl w:val="35C42B00"/>
    <w:lvl w:ilvl="0" w:tplc="0F069C4A">
      <w:start w:val="1"/>
      <w:numFmt w:val="lowerRoman"/>
      <w:pStyle w:val="Po"/>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F30D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
    <w:docVar w:name="LW_ANNEX_NBR_FIRST" w:val="1"/>
    <w:docVar w:name="LW_ANNEX_NBR_LAST" w:val="2"/>
    <w:docVar w:name="LW_ANNEX_UNIQUE" w:val="0"/>
    <w:docVar w:name="LW_CORRIGENDUM" w:val="&lt;UNUSED&gt;"/>
    <w:docVar w:name="LW_COVERPAGE_EXISTS" w:val="True"/>
    <w:docVar w:name="LW_COVERPAGE_GUID" w:val="4644695F-A4C0-4C54-AB89-8FB3B2C1F175"/>
    <w:docVar w:name="LW_COVERPAGE_TYPE" w:val="1"/>
    <w:docVar w:name="LW_CROSSREFERENCE" w:val="{SWD(2020) 92 final}"/>
    <w:docVar w:name="LW_DocType" w:val="NORMAL"/>
    <w:docVar w:name="LW_EMISSION" w:val="28.5.2020"/>
    <w:docVar w:name="LW_EMISSION_ISODATE" w:val="2020-05-28"/>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_x000d__x000d__x000d__x000d__x000d__x000b_relatif à la facilité de prêt au secteur public dans le cadre du mécanisme pour une transition juste_x000d__x000b__x000d__x000d__x000d__x000d__x000d__x000b_"/>
    <w:docVar w:name="LW_PART_NBR" w:val="&lt;UNUSED&gt;"/>
    <w:docVar w:name="LW_PART_NBR_TOTAL" w:val="&lt;UNUSED&gt;"/>
    <w:docVar w:name="LW_REF.INST.NEW" w:val="COM"/>
    <w:docVar w:name="LW_REF.INST.NEW_ADOPTED" w:val="final"/>
    <w:docVar w:name="LW_REF.INST.NEW_TEXT" w:val="(2020)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1"/>
      </w:numPr>
    </w:pPr>
  </w:style>
  <w:style w:type="character" w:customStyle="1" w:styleId="Marker1">
    <w:name w:val="Marker1"/>
    <w:basedOn w:val="DefaultParagraphFont"/>
    <w:rPr>
      <w:color w:val="008000"/>
      <w:shd w:val="clear" w:color="auto" w:fill="auto"/>
    </w:rPr>
  </w:style>
  <w:style w:type="paragraph" w:customStyle="1" w:styleId="Bullet0">
    <w:name w:val="Bullet 0"/>
    <w:basedOn w:val="Normal"/>
    <w:pPr>
      <w:numPr>
        <w:numId w:val="2"/>
      </w:numPr>
    </w:pPr>
  </w:style>
  <w:style w:type="paragraph" w:customStyle="1" w:styleId="Annexetitre">
    <w:name w:val="Annexe titre"/>
    <w:basedOn w:val="Normal"/>
    <w:next w:val="Normal"/>
    <w:pPr>
      <w:jc w:val="center"/>
    </w:pPr>
    <w:rPr>
      <w:b/>
      <w:u w:val="single"/>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o">
    <w:name w:val="Po"/>
    <w:basedOn w:val="ListParagraph"/>
    <w:pPr>
      <w:numPr>
        <w:numId w:val="4"/>
      </w:numPr>
      <w:spacing w:before="0" w:after="200" w:line="276" w:lineRule="auto"/>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1"/>
      </w:numPr>
    </w:pPr>
  </w:style>
  <w:style w:type="character" w:customStyle="1" w:styleId="Marker1">
    <w:name w:val="Marker1"/>
    <w:basedOn w:val="DefaultParagraphFont"/>
    <w:rPr>
      <w:color w:val="008000"/>
      <w:shd w:val="clear" w:color="auto" w:fill="auto"/>
    </w:rPr>
  </w:style>
  <w:style w:type="paragraph" w:customStyle="1" w:styleId="Bullet0">
    <w:name w:val="Bullet 0"/>
    <w:basedOn w:val="Normal"/>
    <w:pPr>
      <w:numPr>
        <w:numId w:val="2"/>
      </w:numPr>
    </w:pPr>
  </w:style>
  <w:style w:type="paragraph" w:customStyle="1" w:styleId="Annexetitre">
    <w:name w:val="Annexe titre"/>
    <w:basedOn w:val="Normal"/>
    <w:next w:val="Normal"/>
    <w:pPr>
      <w:jc w:val="center"/>
    </w:pPr>
    <w:rPr>
      <w:b/>
      <w:u w:val="single"/>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o">
    <w:name w:val="Po"/>
    <w:basedOn w:val="ListParagraph"/>
    <w:pPr>
      <w:numPr>
        <w:numId w:val="4"/>
      </w:numPr>
      <w:spacing w:before="0" w:after="200" w:line="276" w:lineRule="auto"/>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4c86685e-d507-4856-8b8c-f67011314117" xsi:nil="true"/>
    <EC_Collab_DocumentLanguage xmlns="4c86685e-d507-4856-8b8c-f67011314117">EN</EC_Collab_DocumentLanguage>
    <EC_ARES_TRANSFERRED_BY xmlns="4c86685e-d507-4856-8b8c-f67011314117" xsi:nil="true"/>
    <EC_Collab_Status xmlns="4c86685e-d507-4856-8b8c-f67011314117">Not Started</EC_Collab_Status>
    <EC_ARES_NUMBER xmlns="4c86685e-d507-4856-8b8c-f67011314117">
      <Url xsi:nil="true"/>
      <Description xsi:nil="true"/>
    </EC_ARES_NUMBER>
    <EC_ARES_DATE_TRANSFERRED xmlns="4c86685e-d507-4856-8b8c-f67011314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95FEF8C80940E449C7E6FC1B80BB470" ma:contentTypeVersion="4" ma:contentTypeDescription="Create a new document in this library." ma:contentTypeScope="" ma:versionID="0be8abeb09d6eed108df9ae0bd2adef3">
  <xsd:schema xmlns:xsd="http://www.w3.org/2001/XMLSchema" xmlns:xs="http://www.w3.org/2001/XMLSchema" xmlns:p="http://schemas.microsoft.com/office/2006/metadata/properties" xmlns:ns3="4c86685e-d507-4856-8b8c-f67011314117" targetNamespace="http://schemas.microsoft.com/office/2006/metadata/properties" ma:root="true" ma:fieldsID="d7c2fc0273016d1c87969e18c16706e6" ns3:_="">
    <xsd:import namespace="4c86685e-d507-4856-8b8c-f6701131411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6685e-d507-4856-8b8c-f6701131411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FB0A0C-67DA-41E8-9B26-44BA5246A3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c86685e-d507-4856-8b8c-f6701131411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DF439D-D17E-412D-9F55-6D407B0E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6685e-d507-4856-8b8c-f67011314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4B6BD-93EB-4F85-A18F-2974747406CA}">
  <ds:schemaRefs>
    <ds:schemaRef ds:uri="http://schemas.microsoft.com/sharepoint/v3/contenttype/forms"/>
  </ds:schemaRefs>
</ds:datastoreItem>
</file>

<file path=customXml/itemProps4.xml><?xml version="1.0" encoding="utf-8"?>
<ds:datastoreItem xmlns:ds="http://schemas.openxmlformats.org/officeDocument/2006/customXml" ds:itemID="{5542DA2F-4A75-47AB-BED1-F1F0B9E7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1800</Words>
  <Characters>10426</Characters>
  <Application>Microsoft Office Word</Application>
  <DocSecurity>0</DocSecurity>
  <Lines>200</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Martine (REGIO)</dc:creator>
  <cp:keywords/>
  <dc:description/>
  <cp:lastModifiedBy>WES PDFC Administrator</cp:lastModifiedBy>
  <cp:revision>11</cp:revision>
  <dcterms:created xsi:type="dcterms:W3CDTF">2020-05-29T09:42:00Z</dcterms:created>
  <dcterms:modified xsi:type="dcterms:W3CDTF">2020-06-04T15:06:00Z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y fmtid="{D5CDD505-2E9C-101B-9397-08002B2CF9AE}" pid="12" name="_LW_INVALIDATED__LW_INVALIDATED__LW_INVALIDATED__LW_INVALIDATED__LW_INVALIDATED_ContentTypeId">
    <vt:lpwstr>0x010100258AA79CEB83498886A3A0868112325000D95FEF8C80940E449C7E6FC1B80BB470</vt:lpwstr>
  </property>
</Properties>
</file>