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3423360"/>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24F2D39-77C7-4515-A511-A73D47B88178" style="width:450.4pt;height:348.3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Pagedecouverture"/>
        <w:jc w:val="center"/>
        <w:rPr>
          <w:noProof/>
        </w:rPr>
      </w:pPr>
      <w:bookmarkStart w:id="2" w:name="_GoBack"/>
      <w:bookmarkEnd w:id="2"/>
      <w:r>
        <w:rPr>
          <w:b/>
          <w:noProof/>
          <w:szCs w:val="24"/>
        </w:rPr>
        <w:lastRenderedPageBreak/>
        <w:t>Обобщение на годишните доклади за изпълнението на оперативните програми, съфинансирани от Фонда за европейско подпомагане на най-нуждаещите се лица през 2018 г.</w:t>
      </w:r>
    </w:p>
    <w:p>
      <w:pPr>
        <w:rPr>
          <w:rFonts w:ascii="Times New Roman" w:hAnsi="Times New Roman"/>
          <w:noProof/>
          <w:szCs w:val="24"/>
        </w:rPr>
      </w:pPr>
    </w:p>
    <w:p>
      <w:pPr>
        <w:pStyle w:val="DGEMPLHeading1"/>
        <w:pageBreakBefore w:val="0"/>
        <w:ind w:left="260" w:hanging="147"/>
        <w:rPr>
          <w:rFonts w:ascii="Times New Roman" w:hAnsi="Times New Roman"/>
          <w:noProof/>
          <w:szCs w:val="24"/>
        </w:rPr>
      </w:pPr>
      <w:r>
        <w:rPr>
          <w:rFonts w:ascii="Times New Roman" w:hAnsi="Times New Roman"/>
          <w:noProof/>
          <w:szCs w:val="24"/>
        </w:rPr>
        <w:t>. ВЪВЕДЕНИЕ</w:t>
      </w:r>
      <w:bookmarkEnd w:id="0"/>
    </w:p>
    <w:p>
      <w:pPr>
        <w:pStyle w:val="DGEMPLStandard"/>
        <w:rPr>
          <w:rFonts w:ascii="Times New Roman" w:hAnsi="Times New Roman"/>
          <w:noProof/>
          <w:sz w:val="24"/>
          <w:szCs w:val="24"/>
        </w:rPr>
      </w:pPr>
      <w:r>
        <w:rPr>
          <w:rFonts w:ascii="Times New Roman" w:hAnsi="Times New Roman"/>
          <w:b/>
          <w:bCs/>
          <w:noProof/>
          <w:sz w:val="24"/>
          <w:szCs w:val="24"/>
        </w:rPr>
        <w:t>Фондът за европейско подпомагане на най-нуждаещите се лица (FEAD) е насочен към най-тежките форми на бедност в ЕС, като например хранителния недоимък, детската бедност и бездомността.</w:t>
      </w:r>
      <w:r>
        <w:rPr>
          <w:rFonts w:ascii="Times New Roman" w:hAnsi="Times New Roman"/>
          <w:bCs/>
          <w:noProof/>
          <w:sz w:val="24"/>
          <w:szCs w:val="24"/>
        </w:rPr>
        <w:t xml:space="preserve"> </w:t>
      </w:r>
      <w:r>
        <w:rPr>
          <w:rFonts w:ascii="Times New Roman" w:hAnsi="Times New Roman"/>
          <w:noProof/>
          <w:sz w:val="24"/>
          <w:szCs w:val="24"/>
        </w:rPr>
        <w:t>За периода 2014—2020 г. по линия на FEAD</w:t>
      </w:r>
      <w:r>
        <w:rPr>
          <w:rStyle w:val="FootnoteReference"/>
          <w:rFonts w:ascii="Times New Roman" w:hAnsi="Times New Roman"/>
          <w:bCs/>
          <w:noProof/>
          <w:sz w:val="16"/>
        </w:rPr>
        <w:footnoteReference w:id="1"/>
      </w:r>
      <w:r>
        <w:rPr>
          <w:rFonts w:ascii="Times New Roman" w:hAnsi="Times New Roman"/>
          <w:noProof/>
          <w:sz w:val="24"/>
          <w:szCs w:val="24"/>
        </w:rPr>
        <w:t xml:space="preserve"> е налична помощ на обща стойност от 3,8 милиарда евро (по текущи цени) ЕС предоставя до 85 % от финансирането, което се допълва от собствените ресурси на държавите членки. По този начин общата стойност на фонда достига около 4,5 милиарда евро. </w:t>
      </w:r>
    </w:p>
    <w:p>
      <w:pPr>
        <w:pStyle w:val="DGEMPLStandard"/>
        <w:rPr>
          <w:rFonts w:ascii="Times New Roman" w:hAnsi="Times New Roman"/>
          <w:noProof/>
          <w:sz w:val="24"/>
          <w:szCs w:val="24"/>
        </w:rPr>
      </w:pPr>
      <w:r>
        <w:rPr>
          <w:rFonts w:ascii="Times New Roman" w:hAnsi="Times New Roman"/>
          <w:noProof/>
          <w:sz w:val="24"/>
          <w:szCs w:val="24"/>
        </w:rPr>
        <w:t xml:space="preserve">Държавите членки могат да използват фонда по два начина: i) за оперативна програма за храни и/или основно материално подпомагане (ОП I); и/или ii) за оперативна програма за социално приобщаване (ОП II). Предоставянето на храни и/или основно материално подпомагане трябва да бъде допълнено от съпътстващи мерки, като например насочване към социални служби. </w:t>
      </w:r>
    </w:p>
    <w:p>
      <w:pPr>
        <w:pStyle w:val="DGEMPLStandard"/>
        <w:rPr>
          <w:rFonts w:ascii="Times New Roman" w:hAnsi="Times New Roman"/>
          <w:noProof/>
          <w:sz w:val="24"/>
          <w:szCs w:val="24"/>
        </w:rPr>
      </w:pPr>
      <w:r>
        <w:rPr>
          <w:rFonts w:ascii="Times New Roman" w:hAnsi="Times New Roman"/>
          <w:noProof/>
          <w:sz w:val="24"/>
          <w:szCs w:val="24"/>
        </w:rPr>
        <w:t>В съответствие с член 13, параграф 9 от Регламента относно Фонда за европейско подпомагане на най-нуждаещите се лица (Регламент (ЕС) № 223/2014 г.) настоящото обобщение се основава на информацията, която се съдържа в докладите за изпълнението за 2018 г., както са били приети от Комисията</w:t>
      </w:r>
      <w:r>
        <w:rPr>
          <w:rStyle w:val="FootnoteReference"/>
          <w:rFonts w:ascii="Times New Roman" w:hAnsi="Times New Roman"/>
          <w:noProof/>
        </w:rPr>
        <w:footnoteReference w:id="2"/>
      </w:r>
      <w:r>
        <w:rPr>
          <w:rFonts w:ascii="Times New Roman" w:hAnsi="Times New Roman"/>
          <w:noProof/>
          <w:sz w:val="24"/>
          <w:szCs w:val="24"/>
        </w:rPr>
        <w:t>. Всички 27 държави членки предоставиха доклад за изпълнението. Обединеното кралство не предостави доклад, тъй като досега не е прилагало FEAD. Както и в предходни години, в настоящия обобщаващ доклад се включват развитията и финансовата информация след 2018 г., когато има такива, по-специално по отношение на следващата многогодишна финансова рамка (МФР) за периода 2021—2027 г. и инициативите на Комисията за периода 2019—2024 г.</w:t>
      </w:r>
      <w:bookmarkStart w:id="3" w:name="_Toc23423361"/>
    </w:p>
    <w:p>
      <w:pPr>
        <w:pStyle w:val="DGEMPLStandard"/>
        <w:rPr>
          <w:rFonts w:ascii="Times New Roman" w:hAnsi="Times New Roman"/>
          <w:noProof/>
          <w:sz w:val="24"/>
          <w:szCs w:val="24"/>
        </w:rPr>
      </w:pPr>
    </w:p>
    <w:p>
      <w:pPr>
        <w:pStyle w:val="DGEMPLHeading1"/>
        <w:pageBreakBefore w:val="0"/>
        <w:tabs>
          <w:tab w:val="clear" w:pos="474"/>
        </w:tabs>
        <w:ind w:left="260" w:hanging="147"/>
        <w:rPr>
          <w:rFonts w:ascii="Times New Roman" w:hAnsi="Times New Roman"/>
          <w:noProof/>
          <w:szCs w:val="24"/>
        </w:rPr>
      </w:pPr>
      <w:r>
        <w:rPr>
          <w:rFonts w:ascii="Times New Roman" w:hAnsi="Times New Roman"/>
          <w:noProof/>
          <w:szCs w:val="24"/>
        </w:rPr>
        <w:t>. ПОСЛЕДНИ РАЗВИТИЯ НА РАВНИЩЕ ЕС</w:t>
      </w:r>
      <w:bookmarkEnd w:id="3"/>
    </w:p>
    <w:p>
      <w:pPr>
        <w:pStyle w:val="DGEMPLHeading5"/>
        <w:rPr>
          <w:rFonts w:ascii="Times New Roman" w:hAnsi="Times New Roman"/>
          <w:noProof/>
          <w:sz w:val="24"/>
          <w:szCs w:val="24"/>
        </w:rPr>
      </w:pPr>
      <w:r>
        <w:rPr>
          <w:rFonts w:ascii="Times New Roman" w:hAnsi="Times New Roman"/>
          <w:noProof/>
          <w:sz w:val="24"/>
          <w:szCs w:val="24"/>
        </w:rPr>
        <w:t>Многогодишната финансова рамка за периода 2021—2027 г. и инициативите на Комисията за периода 2019—2024 г. за справяне с бедността</w:t>
      </w:r>
    </w:p>
    <w:p>
      <w:pPr>
        <w:pStyle w:val="DGEMPLStandard"/>
        <w:rPr>
          <w:rFonts w:ascii="Times New Roman" w:hAnsi="Times New Roman"/>
          <w:noProof/>
          <w:sz w:val="24"/>
          <w:szCs w:val="24"/>
        </w:rPr>
      </w:pPr>
      <w:r>
        <w:rPr>
          <w:rFonts w:ascii="Times New Roman" w:hAnsi="Times New Roman"/>
          <w:b/>
          <w:bCs/>
          <w:noProof/>
          <w:sz w:val="24"/>
          <w:szCs w:val="24"/>
        </w:rPr>
        <w:t>Делът на хората в риск от бедност или социално изключване намаля за шеста поредна година, като през 2018 г. спадна до 21,9 %.</w:t>
      </w:r>
      <w:r>
        <w:rPr>
          <w:rFonts w:ascii="Times New Roman" w:hAnsi="Times New Roman"/>
          <w:noProof/>
          <w:sz w:val="24"/>
          <w:szCs w:val="24"/>
        </w:rPr>
        <w:t xml:space="preserve"> Делът на хората, изправени пред тежки материални лишения, е намалял от 6,6 % през 2017 г. до 5,9 % през 2018 г. С оглед на населението това представлява 29,7 милиона души. Въпреки това 110 милиона души продължават да са изложени на риск от бедност или социално изключване. ЕС не успя да постигне целта си за 2020 г. да намали броя на лицата в риск от бедност или социално изключване с поне 20 милиона души, като досега успя да намали броя им само със 7 милиона. Децата — по-специално тези на нискоквалифицирани родители — както и хората с увреждания са изправени пред значително по-голям риск от бедност. </w:t>
      </w:r>
      <w:r>
        <w:rPr>
          <w:rFonts w:ascii="Times New Roman" w:hAnsi="Times New Roman"/>
          <w:noProof/>
          <w:sz w:val="24"/>
          <w:szCs w:val="24"/>
        </w:rPr>
        <w:lastRenderedPageBreak/>
        <w:t>Нарастващата тенденция за изключване от жилищно настаняване и бездомност не е обърната поради продължаващия натиск върху жилищния пазар. От това следва, че подкрепата на FEAD е от съществено значение за групите в най-неравностойно положение в обществото.</w:t>
      </w:r>
    </w:p>
    <w:p>
      <w:pPr>
        <w:pStyle w:val="DGEMPLStandard"/>
        <w:rPr>
          <w:rFonts w:ascii="Times New Roman" w:hAnsi="Times New Roman"/>
          <w:noProof/>
          <w:sz w:val="24"/>
          <w:szCs w:val="24"/>
        </w:rPr>
      </w:pPr>
      <w:r>
        <w:rPr>
          <w:rFonts w:ascii="Times New Roman" w:hAnsi="Times New Roman"/>
          <w:b/>
          <w:noProof/>
          <w:sz w:val="24"/>
          <w:szCs w:val="24"/>
        </w:rPr>
        <w:t xml:space="preserve">За МФР за периода 2021—2027 г. Комисията предложи FEAD да се слее с Европейския социален фонд+ (ЕСФ+). </w:t>
      </w:r>
      <w:r>
        <w:rPr>
          <w:rFonts w:ascii="Times New Roman" w:hAnsi="Times New Roman"/>
          <w:noProof/>
          <w:sz w:val="24"/>
          <w:szCs w:val="24"/>
        </w:rPr>
        <w:t xml:space="preserve">Предложението за ЕСФ+ има за цел да се подобри социалното приобщаване, като се увеличи делът на националните средства, предназначени за ЕСФ+ (до най-малко 25 % в сравнение с 20 % в настоящия ЕСФ), както и да се облекчи проблемът с материалните лишения чрез определяне на цел на равнището на ЕС от 4 % и минимален принос от 2 % на държава членка. Комисията счита, че това ще позволи финансирането във връзка с материалните лишения да се запази на стабилно равнище спрямо сегашната МФР. В момента предложението се намира в напреднал етап на преговори между съзаконодателите. През април 2019 г. Съветът постигна договореност относно частичен мандат за преговори по отношение на тристранните разговори. През същия месец Европейският парламент прие доклад с изменения, потвърдени с гласуване на новия ЕП. Междувременно започнаха тристранни разговори относно ЕСФ+. </w:t>
      </w:r>
    </w:p>
    <w:p>
      <w:pPr>
        <w:pStyle w:val="DGEMPLStandard"/>
        <w:rPr>
          <w:rFonts w:ascii="Times New Roman" w:hAnsi="Times New Roman"/>
          <w:noProof/>
          <w:sz w:val="24"/>
          <w:szCs w:val="24"/>
        </w:rPr>
      </w:pPr>
      <w:r>
        <w:rPr>
          <w:rFonts w:ascii="Times New Roman" w:hAnsi="Times New Roman"/>
          <w:b/>
          <w:noProof/>
          <w:sz w:val="24"/>
          <w:szCs w:val="24"/>
        </w:rPr>
        <w:t xml:space="preserve">Комисията също така подготвя инициатива в областта на политиката относно „гаранция за децата“. </w:t>
      </w:r>
      <w:r>
        <w:rPr>
          <w:rFonts w:ascii="Times New Roman" w:hAnsi="Times New Roman"/>
          <w:noProof/>
          <w:sz w:val="24"/>
          <w:szCs w:val="24"/>
        </w:rPr>
        <w:t>Съгласно единадесетия принцип на Европейския стълб на социалните права децата имат право на достъпно ранно образование и грижи с добро качество, както и на защита от бедност. Този принцип също така гласи, че децата от семейства в неравностойно положение имат право на специални мерки за насърчаване на равните възможности. Следователно инициативата представлява конкретен резултат от плана за действие, с който се изпълнява Европейският стълб на социалните права.</w:t>
      </w:r>
    </w:p>
    <w:p>
      <w:pPr>
        <w:pStyle w:val="DGEMPLStandard"/>
        <w:rPr>
          <w:rFonts w:ascii="Times New Roman" w:hAnsi="Times New Roman"/>
          <w:noProof/>
          <w:sz w:val="24"/>
          <w:szCs w:val="24"/>
        </w:rPr>
      </w:pPr>
      <w:r>
        <w:rPr>
          <w:rFonts w:ascii="Times New Roman" w:hAnsi="Times New Roman"/>
          <w:b/>
          <w:noProof/>
          <w:sz w:val="24"/>
          <w:szCs w:val="24"/>
        </w:rPr>
        <w:t xml:space="preserve">С цел реакция на пандемията от коронавирус бяха изготвени и приети две инвестиционни инициативи в отговор на коронавируса. </w:t>
      </w:r>
      <w:r>
        <w:rPr>
          <w:rFonts w:ascii="Times New Roman" w:hAnsi="Times New Roman"/>
          <w:noProof/>
          <w:sz w:val="24"/>
          <w:szCs w:val="24"/>
        </w:rPr>
        <w:t>Втората специална инвестиционна инициатива в отговор на коронавируса</w:t>
      </w:r>
      <w:r>
        <w:rPr>
          <w:rStyle w:val="FootnoteReference"/>
          <w:rFonts w:ascii="Times New Roman" w:hAnsi="Times New Roman"/>
          <w:noProof/>
          <w:sz w:val="16"/>
          <w:szCs w:val="16"/>
        </w:rPr>
        <w:footnoteReference w:id="3"/>
      </w:r>
      <w:r>
        <w:rPr>
          <w:rFonts w:ascii="Times New Roman" w:hAnsi="Times New Roman"/>
          <w:noProof/>
          <w:sz w:val="24"/>
          <w:szCs w:val="24"/>
        </w:rPr>
        <w:t>, приета през април 2020 г. (CRII+), осигурява изключителна гъвкавост при използването на европейските структурни и инвестиционни фондове. Освен това с нея се въвеждат специфични мерки за предоставяне на подкрепа на най-нуждаещите се чрез промяна на правилата на Фонда за европейско подпомагане на най-нуждаещите се лица (FEAD) и за осигуряване на възможност за управляващите органи, партньорските организации и другите участници да реагират бързо на възникващите предизвикателства. Ще е възможно например да се предоставя подпомагане с хранителни продукти и основно материално подпомагане чрез ваучери, както и да се осигуряват лични предпазни средства, като по този начин ще се намали рискът от заразяване. За финансовата 2020—2021 година мерките ще могат да се финансират при ставка от 100 %.</w:t>
      </w:r>
    </w:p>
    <w:p>
      <w:pPr>
        <w:pStyle w:val="DGEMPLStandard"/>
        <w:rPr>
          <w:rFonts w:ascii="Times New Roman" w:hAnsi="Times New Roman"/>
          <w:noProof/>
          <w:sz w:val="24"/>
          <w:szCs w:val="24"/>
        </w:rPr>
      </w:pPr>
      <w:r>
        <w:rPr>
          <w:rFonts w:ascii="Times New Roman" w:hAnsi="Times New Roman"/>
          <w:b/>
          <w:noProof/>
          <w:sz w:val="24"/>
          <w:szCs w:val="24"/>
        </w:rPr>
        <w:t>Освен това Комисията предложи изменена Многогодишна финансова рамка (МФР) в контекста на възстановяването от въздействието на пандемията от COVID-19</w:t>
      </w:r>
      <w:r>
        <w:rPr>
          <w:rFonts w:ascii="Times New Roman" w:hAnsi="Times New Roman"/>
          <w:noProof/>
          <w:sz w:val="24"/>
          <w:szCs w:val="24"/>
        </w:rPr>
        <w:t>. Съгласно предложението на държавите членки ще бъде дадена възможност да реинвестират във FEAD с цел да се гарантира непрекъсната и засилена подкрепа за най-нуждаещите се лица.</w:t>
      </w:r>
    </w:p>
    <w:p>
      <w:pPr>
        <w:pStyle w:val="DGEMPLStandard"/>
        <w:rPr>
          <w:rFonts w:ascii="Times New Roman" w:hAnsi="Times New Roman"/>
          <w:noProof/>
          <w:sz w:val="24"/>
          <w:szCs w:val="24"/>
        </w:rPr>
      </w:pPr>
    </w:p>
    <w:p>
      <w:pPr>
        <w:pStyle w:val="DGEMPLHeading5"/>
        <w:rPr>
          <w:rFonts w:ascii="Times New Roman" w:hAnsi="Times New Roman"/>
          <w:noProof/>
          <w:sz w:val="24"/>
          <w:szCs w:val="24"/>
        </w:rPr>
      </w:pPr>
      <w:r>
        <w:rPr>
          <w:rFonts w:ascii="Times New Roman" w:hAnsi="Times New Roman"/>
          <w:noProof/>
          <w:sz w:val="24"/>
          <w:szCs w:val="24"/>
        </w:rPr>
        <w:t xml:space="preserve">3. КООРДИНАЦИЯ НА FEAD НА РАВНИЩЕ ЕС </w:t>
      </w:r>
    </w:p>
    <w:p>
      <w:pPr>
        <w:pStyle w:val="DGEMPLStandard"/>
        <w:rPr>
          <w:rFonts w:ascii="Times New Roman" w:hAnsi="Times New Roman"/>
          <w:noProof/>
          <w:sz w:val="24"/>
          <w:szCs w:val="24"/>
        </w:rPr>
      </w:pPr>
      <w:r>
        <w:rPr>
          <w:rFonts w:ascii="Times New Roman" w:hAnsi="Times New Roman"/>
          <w:b/>
          <w:noProof/>
          <w:sz w:val="24"/>
          <w:szCs w:val="24"/>
        </w:rPr>
        <w:t>За управляващите органи експертната група по FEAD продължава да бъде основният форум за обмен на информация относно изпълнението на фонда.</w:t>
      </w:r>
      <w:r>
        <w:rPr>
          <w:rFonts w:ascii="Times New Roman" w:hAnsi="Times New Roman"/>
          <w:noProof/>
          <w:sz w:val="24"/>
          <w:szCs w:val="24"/>
        </w:rPr>
        <w:t xml:space="preserve"> Експертната група проведе две срещи — през 2018 г. и 2019 г. — за да обсъди аспекти във връзка с изпълнението на програмата по линия на FEAD, по-специално съпътстващи мерки, дарения на храна, одити и координация с други структурни фондове. Комисията представи на държавите членки констатациите и препоръките както от средносрочната оценка на FEAD, така и от специалния доклад на Европейската сметна палата относно FEAD. Тя също така редовно предоставяше актуална информация относно преговорите във връзка с ЕСФ+, като поставяше акцент върху мерките, насочени към справяне с материалните лишения и социалното приобщаване на най-нуждаещите се.</w:t>
      </w:r>
    </w:p>
    <w:p>
      <w:pPr>
        <w:pStyle w:val="DGEMPLStandard"/>
        <w:rPr>
          <w:rFonts w:ascii="Times New Roman" w:hAnsi="Times New Roman"/>
          <w:noProof/>
          <w:sz w:val="24"/>
          <w:szCs w:val="24"/>
        </w:rPr>
      </w:pPr>
      <w:r>
        <w:rPr>
          <w:rFonts w:ascii="Times New Roman" w:hAnsi="Times New Roman"/>
          <w:b/>
          <w:noProof/>
          <w:sz w:val="24"/>
          <w:szCs w:val="24"/>
        </w:rPr>
        <w:t>Що се отнася до отношенията със заинтересованите страни, Комисията беше домакин на 18 срещи на мрежата на FEAD в периода между 2016 и края на 2019 г.</w:t>
      </w:r>
      <w:r>
        <w:rPr>
          <w:rFonts w:ascii="Times New Roman" w:hAnsi="Times New Roman"/>
          <w:noProof/>
          <w:sz w:val="24"/>
          <w:szCs w:val="24"/>
        </w:rPr>
        <w:t xml:space="preserve"> На всяка среща участниците имаха възможност да представят проучвания на отделни случаи и да споделят предизвикателства и решения по отношение на конкретен аспект от изпълнението на FEAD, например целеви дейности, насочени към достигане до най-нуждаещите се — като например деца, бездомни лица и възрастни хора. Една от срещите през 2019 г. беше с акцент върху наблюдението и оценката на фонда, като бяха подчертани значителните усилия от страна на управляващите органи и партньорските организации. В съответствие с Регламента Комисията също така беше домакин на годишни срещи на равнище ЕС през 2018 и 2019 г., ръководени от представители на партньорските организации. На тях беше поставен акцент върху прехода към нов етап на изграждане на капацитет. През следващите 18 месеца срещите на мрежата на FEAD ще бъдат заменени от дейности за взаимно обучение. Те следва да помогнат на „Общността на FEAD“ да обсъжда по-ефективно оставащите предизвикателства във връзка с изпълнението и възможностите на предстоящия ЕСФ+.</w:t>
      </w:r>
    </w:p>
    <w:p>
      <w:pPr>
        <w:pStyle w:val="DGEMPLStandard"/>
        <w:rPr>
          <w:rFonts w:ascii="Times New Roman" w:hAnsi="Times New Roman"/>
          <w:noProof/>
          <w:sz w:val="24"/>
          <w:szCs w:val="24"/>
        </w:rPr>
      </w:pPr>
    </w:p>
    <w:p>
      <w:pPr>
        <w:pStyle w:val="DGEMPLHeading1"/>
        <w:pageBreakBefore w:val="0"/>
        <w:numPr>
          <w:ilvl w:val="0"/>
          <w:numId w:val="0"/>
        </w:numPr>
        <w:ind w:left="114"/>
        <w:rPr>
          <w:rFonts w:ascii="Times New Roman" w:hAnsi="Times New Roman"/>
          <w:noProof/>
          <w:szCs w:val="24"/>
        </w:rPr>
      </w:pPr>
      <w:bookmarkStart w:id="4" w:name="_Toc23423362"/>
      <w:r>
        <w:rPr>
          <w:rFonts w:ascii="Times New Roman" w:hAnsi="Times New Roman"/>
          <w:noProof/>
          <w:szCs w:val="24"/>
        </w:rPr>
        <w:t>4. НАПРЕДЪК ПРИ ИЗПЪЛНЕНИЕТО НА ОПЕРАТИВНИТЕ ПРОГРАМИ</w:t>
      </w:r>
      <w:bookmarkEnd w:id="4"/>
    </w:p>
    <w:p>
      <w:pPr>
        <w:pStyle w:val="DGEMPLHeading2"/>
        <w:numPr>
          <w:ilvl w:val="0"/>
          <w:numId w:val="0"/>
        </w:numPr>
        <w:rPr>
          <w:rFonts w:ascii="Times New Roman" w:hAnsi="Times New Roman"/>
          <w:noProof/>
          <w:sz w:val="24"/>
          <w:szCs w:val="24"/>
        </w:rPr>
      </w:pPr>
      <w:bookmarkStart w:id="5" w:name="_Toc23423363"/>
      <w:r>
        <w:rPr>
          <w:rFonts w:ascii="Times New Roman" w:hAnsi="Times New Roman"/>
          <w:noProof/>
          <w:sz w:val="24"/>
          <w:szCs w:val="24"/>
        </w:rPr>
        <w:t>4.1.Финансово изпълнение</w:t>
      </w:r>
      <w:bookmarkEnd w:id="5"/>
    </w:p>
    <w:p>
      <w:pPr>
        <w:pStyle w:val="DGEMPLStandard"/>
        <w:rPr>
          <w:rFonts w:ascii="Times New Roman" w:hAnsi="Times New Roman"/>
          <w:noProof/>
          <w:sz w:val="24"/>
          <w:szCs w:val="24"/>
        </w:rPr>
      </w:pPr>
      <w:r>
        <w:rPr>
          <w:rFonts w:ascii="Times New Roman" w:hAnsi="Times New Roman"/>
          <w:b/>
          <w:bCs/>
          <w:noProof/>
          <w:sz w:val="24"/>
          <w:szCs w:val="24"/>
        </w:rPr>
        <w:t>През 2018 г. финансовото изпълнение на програмите по линия на FEAD беше ускорено.</w:t>
      </w:r>
      <w:r>
        <w:rPr>
          <w:rFonts w:ascii="Times New Roman" w:hAnsi="Times New Roman"/>
          <w:noProof/>
          <w:sz w:val="24"/>
          <w:szCs w:val="24"/>
        </w:rPr>
        <w:t xml:space="preserve"> Общите допустими публични разходи, предназначени за подпомагане на инициативите в рамките на FEAD, нарастваха постоянно — от 564,7 милиона евро през 2016 г. до 637,1 милиона евро през 2017 г. и до 762,2 милиона евро през 2018 г. В края на 2018 г. заделените съвкупни средства (за периода 2014—2018 г.) възлизаха на близо 2,732 милиарда евро, което представлява 61 % от общите ресурси на програмите (в които се включват фондове на ЕС и национално съфинансиране). Плащанията към бенефициерите също се увеличиха значително през 2018 г. (497,9 милиона евро) в сравнение с предходни години (409,9 милиона евро през 2017 г. и 436 милиона евро през 2016 г.). Вж. таблица I от приложението</w:t>
      </w:r>
      <w:r>
        <w:rPr>
          <w:rStyle w:val="FootnoteReference"/>
          <w:rFonts w:ascii="Times New Roman" w:hAnsi="Times New Roman"/>
          <w:noProof/>
          <w:sz w:val="16"/>
        </w:rPr>
        <w:footnoteReference w:id="4"/>
      </w:r>
      <w:r>
        <w:rPr>
          <w:rFonts w:ascii="Times New Roman" w:hAnsi="Times New Roman"/>
          <w:noProof/>
          <w:sz w:val="24"/>
          <w:szCs w:val="24"/>
        </w:rPr>
        <w:t xml:space="preserve"> за подробна финансова разбивка по показатели и по държави членки.</w:t>
      </w:r>
    </w:p>
    <w:p>
      <w:pPr>
        <w:pStyle w:val="DGEMPLStandard"/>
        <w:rPr>
          <w:rFonts w:ascii="Times New Roman" w:hAnsi="Times New Roman"/>
          <w:noProof/>
          <w:sz w:val="24"/>
          <w:szCs w:val="24"/>
        </w:rPr>
      </w:pPr>
      <w:r>
        <w:rPr>
          <w:rFonts w:ascii="Times New Roman" w:hAnsi="Times New Roman"/>
          <w:noProof/>
          <w:sz w:val="24"/>
          <w:szCs w:val="24"/>
        </w:rPr>
        <w:t xml:space="preserve">В заявленията за плащане, подадени от държавите членки към Комисията през 2018 г., допустимите публични разходи бяха в размер на 345,3 милиона евро. Това представлява спад спрямо предходните години (478,2 милиона евро през 2017 г. и 353,4 милиона евро през 2016 г.), дължащ се отчасти на гъвкавостта, с която държавите членки разполагат при подаването на исканията си за плащане. Общо допустимите публични разходи, декларирани пред Комисията за периода 2014—2018 г., възлизат на 1 223 300 000 EUR. </w:t>
      </w:r>
    </w:p>
    <w:p>
      <w:pPr>
        <w:pStyle w:val="DGEMPLStandard"/>
        <w:rPr>
          <w:rFonts w:ascii="Times New Roman" w:hAnsi="Times New Roman"/>
          <w:noProof/>
          <w:sz w:val="24"/>
          <w:szCs w:val="24"/>
        </w:rPr>
      </w:pPr>
      <w:r>
        <w:rPr>
          <w:rFonts w:ascii="Times New Roman" w:hAnsi="Times New Roman"/>
          <w:noProof/>
          <w:sz w:val="24"/>
          <w:szCs w:val="24"/>
        </w:rPr>
        <w:t>Към 31 декември 2019 г. Комисията е извършила междинни плащания в общ размер от 1,5 милиарда евро (955 милиона евро в края на 2018 г.) — представляващи повече от 38 % от общия размер на разпределените средства за периода 2014—2020 г.</w:t>
      </w:r>
    </w:p>
    <w:p>
      <w:pPr>
        <w:pStyle w:val="DGEMPLStandard"/>
        <w:rPr>
          <w:rFonts w:ascii="Times New Roman" w:hAnsi="Times New Roman"/>
          <w:noProof/>
          <w:sz w:val="24"/>
          <w:szCs w:val="24"/>
        </w:rPr>
      </w:pPr>
      <w:r>
        <w:rPr>
          <w:rFonts w:ascii="Times New Roman" w:hAnsi="Times New Roman"/>
          <w:noProof/>
          <w:sz w:val="24"/>
          <w:szCs w:val="24"/>
        </w:rPr>
        <w:t xml:space="preserve">Финансовото изпълнение на FEAD като цяло е според предвиденото и съответства на напредъка на програмата на място (вж. следващия раздел). От показателите е видно, че изпълнението като цяло се е ускорило въпреки застоя по отношение на обобщените заявления за плащане. Освен това досега са направени много малко автоматични отменяния (само по програмата на Обединеното кралство — която не беше изпълнена). </w:t>
      </w:r>
    </w:p>
    <w:p>
      <w:pPr>
        <w:pStyle w:val="DGEMPLStandard"/>
        <w:rPr>
          <w:rFonts w:ascii="Times New Roman" w:hAnsi="Times New Roman"/>
          <w:noProof/>
          <w:sz w:val="24"/>
          <w:szCs w:val="24"/>
        </w:rPr>
      </w:pPr>
    </w:p>
    <w:p>
      <w:pPr>
        <w:pStyle w:val="DGEMPLHeading2"/>
        <w:numPr>
          <w:ilvl w:val="0"/>
          <w:numId w:val="0"/>
        </w:numPr>
        <w:rPr>
          <w:rFonts w:ascii="Times New Roman" w:hAnsi="Times New Roman"/>
          <w:noProof/>
          <w:sz w:val="24"/>
          <w:szCs w:val="24"/>
        </w:rPr>
      </w:pPr>
      <w:bookmarkStart w:id="6" w:name="_Toc23423364"/>
      <w:r>
        <w:rPr>
          <w:rFonts w:ascii="Times New Roman" w:hAnsi="Times New Roman"/>
          <w:noProof/>
          <w:sz w:val="24"/>
          <w:szCs w:val="24"/>
        </w:rPr>
        <w:t>4.2 Изпълнение</w:t>
      </w:r>
      <w:bookmarkEnd w:id="6"/>
      <w:r>
        <w:rPr>
          <w:rFonts w:ascii="Times New Roman" w:hAnsi="Times New Roman"/>
          <w:noProof/>
          <w:sz w:val="24"/>
          <w:szCs w:val="24"/>
        </w:rPr>
        <w:t xml:space="preserve"> на място</w:t>
      </w:r>
    </w:p>
    <w:p>
      <w:pPr>
        <w:pStyle w:val="DGEMPLHeading5"/>
        <w:rPr>
          <w:rFonts w:ascii="Times New Roman" w:hAnsi="Times New Roman"/>
          <w:noProof/>
          <w:sz w:val="24"/>
          <w:szCs w:val="24"/>
        </w:rPr>
      </w:pPr>
      <w:r>
        <w:rPr>
          <w:rFonts w:ascii="Times New Roman" w:hAnsi="Times New Roman"/>
          <w:noProof/>
          <w:sz w:val="24"/>
          <w:szCs w:val="24"/>
        </w:rPr>
        <w:t>Обхват на FEAD и профил на крайните получатели</w:t>
      </w:r>
    </w:p>
    <w:p>
      <w:pPr>
        <w:pStyle w:val="DGEMPLStandard"/>
        <w:rPr>
          <w:rFonts w:ascii="Times New Roman" w:hAnsi="Times New Roman"/>
          <w:noProof/>
          <w:sz w:val="24"/>
          <w:szCs w:val="24"/>
        </w:rPr>
      </w:pPr>
      <w:r>
        <w:rPr>
          <w:rFonts w:ascii="Times New Roman" w:hAnsi="Times New Roman"/>
          <w:b/>
          <w:bCs/>
          <w:noProof/>
          <w:sz w:val="24"/>
          <w:szCs w:val="24"/>
        </w:rPr>
        <w:t xml:space="preserve">Подпомагането по линия на FEAD продължи през 2018 г. в 26 държави членки, като беше надграден постигнатият през предходните години напредък. </w:t>
      </w:r>
      <w:r>
        <w:rPr>
          <w:rFonts w:ascii="Times New Roman" w:hAnsi="Times New Roman"/>
          <w:noProof/>
          <w:sz w:val="24"/>
          <w:szCs w:val="24"/>
        </w:rPr>
        <w:t>Повечето държави членки (22 от 26) предоставиха подпомагане с хранителни продукти и/или основно материално подпомагане и предложиха съпътстващи мерки (ОП I — вж. таблица 1), като Кипър, Унгария и Литва разпределиха основно материално подпомагане за първи път през 2018 г.</w:t>
      </w:r>
      <w:r>
        <w:rPr>
          <w:rStyle w:val="FootnoteReference"/>
          <w:rFonts w:ascii="Times New Roman" w:hAnsi="Times New Roman"/>
          <w:noProof/>
          <w:sz w:val="16"/>
        </w:rPr>
        <w:footnoteReference w:id="5"/>
      </w:r>
      <w:r>
        <w:rPr>
          <w:rFonts w:ascii="Times New Roman" w:hAnsi="Times New Roman"/>
          <w:noProof/>
          <w:sz w:val="24"/>
          <w:szCs w:val="24"/>
        </w:rPr>
        <w:t xml:space="preserve">. Четири държави членки продължиха да изпълняват програми за социално приобщаване (ОП II — вж. таблица 1). Румъния не предостави подпомагане през 2018 г. поради забавяния при преоформянето на оперативната си програма вследствие на институционални промени, като към тях се добавят проблеми във връзка с възлагането на обществени поръчки. </w:t>
      </w:r>
    </w:p>
    <w:p>
      <w:pPr>
        <w:pStyle w:val="DGEMPLLabeltables"/>
        <w:rPr>
          <w:rFonts w:ascii="Times New Roman" w:hAnsi="Times New Roman"/>
          <w:noProof/>
          <w:sz w:val="22"/>
          <w:szCs w:val="22"/>
        </w:rPr>
      </w:pPr>
      <w:bookmarkStart w:id="7" w:name="_Toc27562197"/>
      <w:r>
        <w:rPr>
          <w:rFonts w:ascii="Times New Roman" w:hAnsi="Times New Roman"/>
          <w:noProof/>
          <w:sz w:val="22"/>
          <w:szCs w:val="22"/>
        </w:rPr>
        <w:t>Вид на подпомагането, предоставено през 2018 г.</w:t>
      </w:r>
      <w:bookmarkEnd w:id="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96"/>
        <w:gridCol w:w="2385"/>
        <w:gridCol w:w="5961"/>
      </w:tblGrid>
      <w:tr>
        <w:tc>
          <w:tcPr>
            <w:tcW w:w="851" w:type="dxa"/>
            <w:tcBorders>
              <w:right w:val="single" w:sz="4" w:space="0" w:color="auto"/>
            </w:tcBorders>
            <w:shd w:val="clear" w:color="auto" w:fill="002395"/>
          </w:tcPr>
          <w:p>
            <w:pPr>
              <w:pStyle w:val="DGEMPLtableleftbold"/>
              <w:rPr>
                <w:rFonts w:ascii="Times New Roman" w:hAnsi="Times New Roman"/>
                <w:noProof/>
                <w:sz w:val="24"/>
                <w:szCs w:val="24"/>
              </w:rPr>
            </w:pPr>
            <w:r>
              <w:rPr>
                <w:rFonts w:ascii="Times New Roman" w:hAnsi="Times New Roman"/>
                <w:noProof/>
                <w:sz w:val="24"/>
                <w:szCs w:val="24"/>
              </w:rPr>
              <w:t>ОП</w:t>
            </w:r>
          </w:p>
        </w:tc>
        <w:tc>
          <w:tcPr>
            <w:tcW w:w="2268" w:type="dxa"/>
            <w:tcBorders>
              <w:left w:val="single" w:sz="4" w:space="0" w:color="auto"/>
              <w:right w:val="single" w:sz="4" w:space="0" w:color="auto"/>
            </w:tcBorders>
            <w:shd w:val="clear" w:color="auto" w:fill="002395"/>
          </w:tcPr>
          <w:p>
            <w:pPr>
              <w:pStyle w:val="DGEMPLtableleftbold"/>
              <w:rPr>
                <w:rFonts w:ascii="Times New Roman" w:hAnsi="Times New Roman"/>
                <w:noProof/>
                <w:sz w:val="24"/>
                <w:szCs w:val="24"/>
              </w:rPr>
            </w:pPr>
            <w:r>
              <w:rPr>
                <w:rFonts w:ascii="Times New Roman" w:hAnsi="Times New Roman"/>
                <w:noProof/>
                <w:sz w:val="24"/>
                <w:szCs w:val="24"/>
              </w:rPr>
              <w:t>Вид подпомагане</w:t>
            </w:r>
          </w:p>
        </w:tc>
        <w:tc>
          <w:tcPr>
            <w:tcW w:w="5668" w:type="dxa"/>
            <w:tcBorders>
              <w:left w:val="single" w:sz="4" w:space="0" w:color="auto"/>
            </w:tcBorders>
            <w:shd w:val="clear" w:color="auto" w:fill="002395"/>
          </w:tcPr>
          <w:p>
            <w:pPr>
              <w:pStyle w:val="DGEMPLtableleftbold"/>
              <w:rPr>
                <w:rFonts w:ascii="Times New Roman" w:hAnsi="Times New Roman"/>
                <w:noProof/>
                <w:sz w:val="24"/>
                <w:szCs w:val="24"/>
              </w:rPr>
            </w:pPr>
            <w:r>
              <w:rPr>
                <w:rFonts w:ascii="Times New Roman" w:hAnsi="Times New Roman"/>
                <w:noProof/>
                <w:sz w:val="24"/>
                <w:szCs w:val="24"/>
              </w:rPr>
              <w:t>Държава членка</w:t>
            </w:r>
          </w:p>
        </w:tc>
      </w:tr>
      <w:tr>
        <w:tc>
          <w:tcPr>
            <w:tcW w:w="851" w:type="dxa"/>
            <w:vMerge w:val="restart"/>
            <w:tcBorders>
              <w:righ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ОП I</w:t>
            </w: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Хранителни продукти</w:t>
            </w:r>
          </w:p>
        </w:tc>
        <w:tc>
          <w:tcPr>
            <w:tcW w:w="5668" w:type="dxa"/>
            <w:tcBorders>
              <w:left w:val="single" w:sz="4" w:space="0" w:color="auto"/>
            </w:tcBorders>
            <w:shd w:val="clear" w:color="auto" w:fill="F2F2F2"/>
          </w:tcPr>
          <w:p>
            <w:pPr>
              <w:pStyle w:val="DGEMPLtableleft"/>
              <w:rPr>
                <w:rFonts w:ascii="Times New Roman" w:hAnsi="Times New Roman"/>
                <w:noProof/>
                <w:spacing w:val="-4"/>
                <w:sz w:val="24"/>
                <w:szCs w:val="24"/>
              </w:rPr>
            </w:pPr>
            <w:r>
              <w:rPr>
                <w:rFonts w:ascii="Times New Roman" w:hAnsi="Times New Roman"/>
                <w:noProof/>
                <w:spacing w:val="-4"/>
                <w:sz w:val="24"/>
                <w:szCs w:val="24"/>
              </w:rPr>
              <w:t>Белгия, България, Естония, Испания, Италия, Малта, Полша, Португалия, Словения, Финландия, Франция (11)</w:t>
            </w:r>
          </w:p>
        </w:tc>
      </w:tr>
      <w:tr>
        <w:tc>
          <w:tcPr>
            <w:tcW w:w="851" w:type="dxa"/>
            <w:vMerge/>
            <w:tcBorders>
              <w:right w:val="single" w:sz="4" w:space="0" w:color="auto"/>
            </w:tcBorders>
            <w:shd w:val="clear" w:color="auto" w:fill="F2F2F2"/>
          </w:tcPr>
          <w:p>
            <w:pPr>
              <w:pStyle w:val="DGEMPLtableleft"/>
              <w:rPr>
                <w:rFonts w:ascii="Times New Roman" w:hAnsi="Times New Roman"/>
                <w:noProof/>
                <w:sz w:val="24"/>
                <w:szCs w:val="24"/>
              </w:rPr>
            </w:pP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Основно материално подпомагане</w:t>
            </w:r>
          </w:p>
        </w:tc>
        <w:tc>
          <w:tcPr>
            <w:tcW w:w="5668" w:type="dxa"/>
            <w:tcBorders>
              <w:lef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Австрия (1)</w:t>
            </w:r>
          </w:p>
        </w:tc>
      </w:tr>
      <w:tr>
        <w:tc>
          <w:tcPr>
            <w:tcW w:w="851" w:type="dxa"/>
            <w:vMerge/>
            <w:tcBorders>
              <w:right w:val="single" w:sz="4" w:space="0" w:color="auto"/>
            </w:tcBorders>
            <w:shd w:val="clear" w:color="auto" w:fill="F2F2F2"/>
          </w:tcPr>
          <w:p>
            <w:pPr>
              <w:pStyle w:val="DGEMPLtableleft"/>
              <w:rPr>
                <w:rFonts w:ascii="Times New Roman" w:hAnsi="Times New Roman"/>
                <w:noProof/>
                <w:sz w:val="24"/>
                <w:szCs w:val="24"/>
                <w:lang w:val="en-GB"/>
              </w:rPr>
            </w:pP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И двете</w:t>
            </w:r>
          </w:p>
        </w:tc>
        <w:tc>
          <w:tcPr>
            <w:tcW w:w="5668" w:type="dxa"/>
            <w:tcBorders>
              <w:lef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Гърция, Ирландия, Кипър, Латвия, Литва, Люксембург, Словакия, Унгария, Хърватия, Чехия (10)</w:t>
            </w:r>
          </w:p>
        </w:tc>
      </w:tr>
      <w:tr>
        <w:tc>
          <w:tcPr>
            <w:tcW w:w="851" w:type="dxa"/>
            <w:tcBorders>
              <w:righ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ОП II</w:t>
            </w:r>
          </w:p>
        </w:tc>
        <w:tc>
          <w:tcPr>
            <w:tcW w:w="2268" w:type="dxa"/>
            <w:tcBorders>
              <w:left w:val="single" w:sz="4" w:space="0" w:color="auto"/>
              <w:righ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Социално приобщаване</w:t>
            </w:r>
          </w:p>
        </w:tc>
        <w:tc>
          <w:tcPr>
            <w:tcW w:w="5668" w:type="dxa"/>
            <w:tcBorders>
              <w:left w:val="single" w:sz="4" w:space="0" w:color="auto"/>
            </w:tcBorders>
            <w:shd w:val="clear" w:color="auto" w:fill="F2F2F2"/>
          </w:tcPr>
          <w:p>
            <w:pPr>
              <w:pStyle w:val="DGEMPLtableleft"/>
              <w:rPr>
                <w:rFonts w:ascii="Times New Roman" w:hAnsi="Times New Roman"/>
                <w:noProof/>
                <w:sz w:val="24"/>
                <w:szCs w:val="24"/>
              </w:rPr>
            </w:pPr>
            <w:r>
              <w:rPr>
                <w:rFonts w:ascii="Times New Roman" w:hAnsi="Times New Roman"/>
                <w:noProof/>
                <w:sz w:val="24"/>
                <w:szCs w:val="24"/>
              </w:rPr>
              <w:t>Германия, Дания, Нидерландия, Швеция (4)</w:t>
            </w:r>
          </w:p>
        </w:tc>
      </w:tr>
    </w:tbl>
    <w:p>
      <w:pPr>
        <w:pStyle w:val="DGEMPLSource"/>
        <w:spacing w:before="0"/>
        <w:rPr>
          <w:rFonts w:ascii="Times New Roman" w:hAnsi="Times New Roman"/>
          <w:noProof/>
          <w:sz w:val="22"/>
          <w:szCs w:val="22"/>
        </w:rPr>
      </w:pPr>
      <w:r>
        <w:rPr>
          <w:rFonts w:ascii="Times New Roman" w:hAnsi="Times New Roman"/>
          <w:noProof/>
          <w:sz w:val="22"/>
          <w:szCs w:val="22"/>
        </w:rPr>
        <w:t>Източник: SFC2014</w:t>
      </w:r>
    </w:p>
    <w:p>
      <w:pPr>
        <w:pStyle w:val="DGEMPLStandard"/>
        <w:rPr>
          <w:rFonts w:ascii="Times New Roman" w:hAnsi="Times New Roman"/>
          <w:noProof/>
          <w:sz w:val="24"/>
          <w:szCs w:val="24"/>
        </w:rPr>
      </w:pPr>
      <w:r>
        <w:rPr>
          <w:rFonts w:ascii="Times New Roman" w:hAnsi="Times New Roman"/>
          <w:b/>
          <w:noProof/>
          <w:sz w:val="24"/>
          <w:szCs w:val="24"/>
        </w:rPr>
        <w:t xml:space="preserve">През 2018 г. приблизително 12,6 милиона души са се възползвали от подпомагане с хранителни продукти по линия на FEAD, 1 милион са получили материално подпомагане, а 39 000 са се възползвали от подпомагане за социално приобщаване. </w:t>
      </w:r>
      <w:r>
        <w:rPr>
          <w:rFonts w:ascii="Times New Roman" w:hAnsi="Times New Roman"/>
          <w:noProof/>
          <w:sz w:val="24"/>
          <w:szCs w:val="24"/>
        </w:rPr>
        <w:t>Според консервативна оценка, основаваща се на годишната средна стойност, докладвана в междинната оценка на FEAD за периода 2014—2017 г., почти 13 милиона души са се възползвали от подпомагане по линия на FEAD</w:t>
      </w:r>
      <w:r>
        <w:rPr>
          <w:rStyle w:val="FootnoteReference"/>
          <w:rFonts w:ascii="Times New Roman" w:hAnsi="Times New Roman"/>
          <w:noProof/>
          <w:sz w:val="16"/>
          <w:szCs w:val="16"/>
        </w:rPr>
        <w:footnoteReference w:id="6"/>
      </w:r>
      <w:r>
        <w:rPr>
          <w:rFonts w:ascii="Times New Roman" w:hAnsi="Times New Roman"/>
          <w:noProof/>
          <w:sz w:val="24"/>
          <w:szCs w:val="24"/>
        </w:rPr>
        <w:t>. Най-значителните увеличения по отношение на достигането до повече хора бяха установени в Унгария (със 185 000 души повече, отколкото през 2017 г.), Ирландия (с 92 011 повече), Белгия (с 82 619 повече) и Португалия (с 41 276 повече, въпреки че броят им все още е малък). Обратно, 17 държави членки предоставиха подпомагане на по-малко хора, по-специално Хърватия (с 214 068 по-малко души в сравнение с 2017 г.), България</w:t>
      </w:r>
      <w:r>
        <w:rPr>
          <w:rStyle w:val="FootnoteReference"/>
          <w:rFonts w:ascii="Times New Roman" w:hAnsi="Times New Roman"/>
          <w:noProof/>
          <w:sz w:val="16"/>
        </w:rPr>
        <w:footnoteReference w:id="7"/>
      </w:r>
      <w:r>
        <w:rPr>
          <w:rFonts w:ascii="Times New Roman" w:hAnsi="Times New Roman"/>
          <w:noProof/>
          <w:sz w:val="24"/>
          <w:szCs w:val="24"/>
        </w:rPr>
        <w:t>, Испания, Франция (въпреки че броят продължава да бъде голям) и Чехия. Румъния продължава да е изправена пред проблеми, свързани с изпълнението (повече информация се съдържа по-долу).</w:t>
      </w:r>
    </w:p>
    <w:p>
      <w:pPr>
        <w:pStyle w:val="DGEMPLLabelfigures"/>
        <w:keepNext/>
        <w:rPr>
          <w:rFonts w:ascii="Times New Roman" w:hAnsi="Times New Roman"/>
          <w:noProof/>
          <w:sz w:val="22"/>
          <w:szCs w:val="24"/>
        </w:rPr>
      </w:pPr>
      <w:bookmarkStart w:id="8" w:name="_Toc27562191"/>
      <w:r>
        <w:rPr>
          <w:rFonts w:ascii="Times New Roman" w:hAnsi="Times New Roman"/>
          <w:noProof/>
          <w:sz w:val="22"/>
          <w:szCs w:val="24"/>
        </w:rPr>
        <w:t>Брой лица, получаващи подпомагане с хранителни продукти и/или основно материално подпомагане</w:t>
      </w:r>
      <w:bookmarkEnd w:id="8"/>
    </w:p>
    <w:p>
      <w:pPr>
        <w:pStyle w:val="DGEMPLStandard"/>
        <w:keepNext/>
        <w:rPr>
          <w:rFonts w:ascii="Times New Roman" w:hAnsi="Times New Roman"/>
          <w:noProof/>
          <w:sz w:val="24"/>
          <w:szCs w:val="24"/>
        </w:rPr>
      </w:pPr>
      <w:r>
        <w:rPr>
          <w:noProof/>
          <w:lang w:val="en-GB" w:eastAsia="en-GB"/>
        </w:rPr>
        <w:drawing>
          <wp:inline distT="0" distB="0" distL="0" distR="0">
            <wp:extent cx="5731510" cy="2292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292350"/>
                    </a:xfrm>
                    <a:prstGeom prst="rect">
                      <a:avLst/>
                    </a:prstGeom>
                  </pic:spPr>
                </pic:pic>
              </a:graphicData>
            </a:graphic>
          </wp:inline>
        </w:drawing>
      </w:r>
    </w:p>
    <w:p>
      <w:pPr>
        <w:pStyle w:val="DGEMPLLabelfigures"/>
        <w:keepNext/>
        <w:rPr>
          <w:rFonts w:ascii="Times New Roman" w:hAnsi="Times New Roman"/>
          <w:noProof/>
          <w:spacing w:val="-4"/>
          <w:sz w:val="22"/>
          <w:szCs w:val="24"/>
        </w:rPr>
      </w:pPr>
      <w:bookmarkStart w:id="9" w:name="_Toc27562192"/>
      <w:r>
        <w:rPr>
          <w:rFonts w:ascii="Times New Roman" w:hAnsi="Times New Roman"/>
          <w:noProof/>
          <w:spacing w:val="-4"/>
          <w:sz w:val="22"/>
          <w:szCs w:val="24"/>
        </w:rPr>
        <w:t>Общ брой на лицата, получаващи подпомагане за социално приобщаване</w:t>
      </w:r>
      <w:bookmarkEnd w:id="9"/>
    </w:p>
    <w:p>
      <w:pPr>
        <w:pStyle w:val="DGEMPLStandard"/>
        <w:keepNext/>
        <w:rPr>
          <w:rFonts w:ascii="Times New Roman" w:hAnsi="Times New Roman"/>
          <w:b/>
          <w:bCs/>
          <w:noProof/>
          <w:sz w:val="24"/>
          <w:szCs w:val="24"/>
        </w:rPr>
      </w:pPr>
      <w:r>
        <w:rPr>
          <w:noProof/>
          <w:lang w:val="en-GB" w:eastAsia="en-GB"/>
        </w:rPr>
        <w:drawing>
          <wp:inline distT="0" distB="0" distL="0" distR="0">
            <wp:extent cx="5731510" cy="2254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254885"/>
                    </a:xfrm>
                    <a:prstGeom prst="rect">
                      <a:avLst/>
                    </a:prstGeom>
                  </pic:spPr>
                </pic:pic>
              </a:graphicData>
            </a:graphic>
          </wp:inline>
        </w:drawing>
      </w:r>
    </w:p>
    <w:p>
      <w:pPr>
        <w:pStyle w:val="DGEMPLSource"/>
        <w:keepNext/>
        <w:rPr>
          <w:rFonts w:ascii="Times New Roman" w:hAnsi="Times New Roman"/>
          <w:noProof/>
          <w:sz w:val="22"/>
          <w:szCs w:val="22"/>
        </w:rPr>
      </w:pPr>
      <w:r>
        <w:rPr>
          <w:rFonts w:ascii="Times New Roman" w:hAnsi="Times New Roman"/>
          <w:noProof/>
          <w:sz w:val="22"/>
          <w:szCs w:val="22"/>
        </w:rPr>
        <w:t>Източник: SFC2014</w:t>
      </w:r>
    </w:p>
    <w:p>
      <w:pPr>
        <w:pStyle w:val="DGEMPLStandard"/>
        <w:rPr>
          <w:rFonts w:ascii="Times New Roman" w:hAnsi="Times New Roman"/>
          <w:noProof/>
          <w:sz w:val="24"/>
          <w:szCs w:val="24"/>
        </w:rPr>
      </w:pPr>
      <w:r>
        <w:rPr>
          <w:rFonts w:ascii="Times New Roman" w:hAnsi="Times New Roman"/>
          <w:b/>
          <w:bCs/>
          <w:noProof/>
          <w:sz w:val="24"/>
          <w:szCs w:val="24"/>
        </w:rPr>
        <w:t xml:space="preserve">Цялостният профил на крайните получатели на подпомагане по линия на FEAD се е запазил до голяма степен непроменен. </w:t>
      </w:r>
      <w:r>
        <w:rPr>
          <w:rFonts w:ascii="Times New Roman" w:hAnsi="Times New Roman"/>
          <w:noProof/>
          <w:sz w:val="24"/>
          <w:szCs w:val="24"/>
        </w:rPr>
        <w:t xml:space="preserve">Както и през предходните години, най-голямата група — малко под половината (48 %) от всички подпомогнати — бяха жени. </w:t>
      </w:r>
      <w:r>
        <w:rPr>
          <w:rFonts w:ascii="Times New Roman" w:hAnsi="Times New Roman"/>
          <w:bCs/>
          <w:noProof/>
          <w:sz w:val="24"/>
          <w:szCs w:val="24"/>
        </w:rPr>
        <w:t xml:space="preserve">Почти 30 % от наличното подпомагане беше за деца, следвани от мигранти, лица с произход от друга държава или лица от малцинствени общности (10 %) и бездомни лица (7 %). </w:t>
      </w:r>
      <w:r>
        <w:rPr>
          <w:rFonts w:ascii="Times New Roman" w:hAnsi="Times New Roman"/>
          <w:noProof/>
          <w:sz w:val="24"/>
          <w:szCs w:val="24"/>
        </w:rPr>
        <w:t>През 2018 г. 8 % от крайните получатели на подпомагане по линия на FEAD бяха лица на възраст от 65 и повече години, а 5 % бяха хора с увреждания. Тези данни представляват приблизителни оценки от партньорските организации и към тях следва да се подхожда с повишено внимание.</w:t>
      </w:r>
    </w:p>
    <w:p>
      <w:pPr>
        <w:pStyle w:val="DGEMPLStandard"/>
        <w:rPr>
          <w:rFonts w:ascii="Times New Roman" w:hAnsi="Times New Roman"/>
          <w:noProof/>
          <w:sz w:val="24"/>
          <w:szCs w:val="24"/>
        </w:rPr>
      </w:pPr>
      <w:r>
        <w:rPr>
          <w:rFonts w:ascii="Times New Roman" w:hAnsi="Times New Roman"/>
          <w:b/>
          <w:noProof/>
          <w:sz w:val="24"/>
          <w:szCs w:val="24"/>
        </w:rPr>
        <w:t xml:space="preserve">29 % от получилите подпомагане с хранителни продукти, основно материално подпомагане или подпомагане за социално приобщаване през 2018 г. бяха деца. </w:t>
      </w:r>
      <w:r>
        <w:rPr>
          <w:rFonts w:ascii="Times New Roman" w:hAnsi="Times New Roman"/>
          <w:noProof/>
          <w:sz w:val="24"/>
          <w:szCs w:val="24"/>
        </w:rPr>
        <w:t>Този дял се запази стабилен в сравнение с предходните години. В няколко държави членки децата получиха най-голям дял от подпомагането с хранителни продукти — по-специално в Кипър, Малта, Унгария, Хърватия и Чехия — където той варираше между 44 % и 92 % от общия брой на крайните получатели. По подобен начин в Кипър, Ирландия, Унгария и Австрия делът на децата като крайни получатели на основно материално подпомагане беше голям и варираше между 93 и 100 %. В програмите в тези държави е включено специфично подпомагане за децата. Децата в други държави членки (например Белгия, Испания и Франция) представляват голям дял от получателите на подпомагане с хранителни продукти, тъй като програмите на тези държави достигат до семейства с деца в уязвимо положение.</w:t>
      </w:r>
    </w:p>
    <w:p>
      <w:pPr>
        <w:pStyle w:val="DGEMPLStandard"/>
        <w:rPr>
          <w:rFonts w:ascii="Times New Roman" w:hAnsi="Times New Roman"/>
          <w:noProof/>
          <w:sz w:val="24"/>
          <w:szCs w:val="24"/>
        </w:rPr>
      </w:pPr>
    </w:p>
    <w:p>
      <w:pPr>
        <w:pStyle w:val="DGEMPLLabelboxes"/>
        <w:rPr>
          <w:rFonts w:ascii="Times New Roman" w:hAnsi="Times New Roman"/>
          <w:noProof/>
          <w:sz w:val="22"/>
          <w:szCs w:val="22"/>
        </w:rPr>
      </w:pPr>
      <w:r>
        <w:rPr>
          <w:rFonts w:ascii="Times New Roman" w:hAnsi="Times New Roman"/>
          <w:noProof/>
          <w:sz w:val="22"/>
          <w:szCs w:val="22"/>
        </w:rPr>
        <w:t>Национални примери за достигане до децата</w:t>
      </w:r>
    </w:p>
    <w:tbl>
      <w:tblPr>
        <w:tblStyle w:val="TableGrid"/>
        <w:tblW w:w="0" w:type="auto"/>
        <w:tblLook w:val="04A0" w:firstRow="1" w:lastRow="0" w:firstColumn="1" w:lastColumn="0" w:noHBand="0" w:noVBand="1"/>
      </w:tblPr>
      <w:tblGrid>
        <w:gridCol w:w="9180"/>
      </w:tblGrid>
      <w:tr>
        <w:trPr>
          <w:trHeight w:val="1124"/>
        </w:trPr>
        <w:tc>
          <w:tcPr>
            <w:tcW w:w="9180" w:type="dxa"/>
          </w:tcPr>
          <w:p>
            <w:pPr>
              <w:pStyle w:val="DGEMPLStandard"/>
              <w:rPr>
                <w:rFonts w:ascii="Times New Roman" w:hAnsi="Times New Roman"/>
                <w:noProof/>
                <w:sz w:val="24"/>
                <w:szCs w:val="24"/>
              </w:rPr>
            </w:pPr>
            <w:r>
              <w:rPr>
                <w:rFonts w:ascii="Times New Roman" w:hAnsi="Times New Roman"/>
                <w:noProof/>
                <w:sz w:val="24"/>
                <w:szCs w:val="24"/>
              </w:rPr>
              <w:t>Чехия: В Чехия се предоставя субсидирано хранене в училище за деца в неравностойно положение. Счита се, че висококачественото приготвяне и доставяне на храна за ученическите столове и бюфети за деца в предучилищна и начална училищна възраст насърчава по-голямото присъствие на учениците в класните стаи. Броят на училищата, които участват в подобни схеми, непрекъснато се увеличава. Що се отнася до материалното подпомагане, стоките, разпространявани в Чехия, включват пет вида храна за кърмачета и преходни млека за различни възрастови групи, както и детски храни.</w:t>
            </w:r>
          </w:p>
          <w:p>
            <w:pPr>
              <w:pStyle w:val="DGEMPLStandard"/>
              <w:rPr>
                <w:rFonts w:ascii="Times New Roman" w:hAnsi="Times New Roman"/>
                <w:noProof/>
                <w:sz w:val="24"/>
                <w:szCs w:val="24"/>
              </w:rPr>
            </w:pPr>
            <w:r>
              <w:rPr>
                <w:rFonts w:ascii="Times New Roman" w:hAnsi="Times New Roman"/>
                <w:noProof/>
                <w:sz w:val="24"/>
                <w:szCs w:val="24"/>
              </w:rPr>
              <w:t>Кипър: Децата представляват голяма част от крайните получатели както на хранителни продукти (92 %), така и на материално подпомагане (100 %). Учениците получават безплатни ястия, приготвени в училищните столове.</w:t>
            </w:r>
          </w:p>
          <w:p>
            <w:pPr>
              <w:pStyle w:val="DGEMPLStandard"/>
              <w:rPr>
                <w:rFonts w:ascii="Times New Roman" w:hAnsi="Times New Roman"/>
                <w:noProof/>
                <w:sz w:val="24"/>
                <w:szCs w:val="24"/>
              </w:rPr>
            </w:pPr>
            <w:r>
              <w:rPr>
                <w:rFonts w:ascii="Times New Roman" w:hAnsi="Times New Roman"/>
                <w:noProof/>
                <w:sz w:val="24"/>
                <w:szCs w:val="24"/>
              </w:rPr>
              <w:t>Хърватия: По линия на училищна програма се предоставя подпомагане на деца, които живеят в бедност или които са изложени на риск от бедност. Тези деца получават ястия в училище, както и ученически раници и други учебни материали.</w:t>
            </w:r>
          </w:p>
          <w:p>
            <w:pPr>
              <w:pStyle w:val="DGEMPLStandard"/>
              <w:rPr>
                <w:rFonts w:ascii="Times New Roman" w:hAnsi="Times New Roman"/>
                <w:noProof/>
                <w:sz w:val="24"/>
                <w:szCs w:val="24"/>
              </w:rPr>
            </w:pPr>
            <w:r>
              <w:rPr>
                <w:rFonts w:ascii="Times New Roman" w:hAnsi="Times New Roman"/>
                <w:noProof/>
                <w:sz w:val="24"/>
                <w:szCs w:val="24"/>
              </w:rPr>
              <w:t>Малта: През 2018 г. стартира схема (като съпътстваща мярка) за разпределяне на плодове, зеленчуци и мляко на учениците с оглед да се спомогне за създаването на култура на консумация на качествена и устойчива храна сред тях. Деца от уязвими семейства и семейства с много ниски доходи също получават подпомагане за своите училищни нужди, като например предоставяне на униформи, канцеларски материали, извънкласни дейности, както и във връзка с други основни нужди.</w:t>
            </w:r>
          </w:p>
          <w:p>
            <w:pPr>
              <w:pStyle w:val="DGEMPLStandard"/>
              <w:rPr>
                <w:rFonts w:ascii="Times New Roman" w:hAnsi="Times New Roman"/>
                <w:noProof/>
                <w:sz w:val="24"/>
                <w:szCs w:val="24"/>
              </w:rPr>
            </w:pPr>
            <w:r>
              <w:rPr>
                <w:rFonts w:ascii="Times New Roman" w:hAnsi="Times New Roman"/>
                <w:noProof/>
                <w:sz w:val="24"/>
                <w:szCs w:val="24"/>
              </w:rPr>
              <w:t>Унгария: Децата представляват голяма част от крайните получатели. Децата от бедни семейства получават подпомагане под формата на пакети с храна и основно материално подпомагане.</w:t>
            </w:r>
          </w:p>
          <w:p>
            <w:pPr>
              <w:pStyle w:val="DGEMPLStandard"/>
              <w:rPr>
                <w:rFonts w:ascii="Times New Roman" w:hAnsi="Times New Roman"/>
                <w:noProof/>
                <w:sz w:val="24"/>
                <w:szCs w:val="24"/>
              </w:rPr>
            </w:pPr>
            <w:r>
              <w:rPr>
                <w:rFonts w:ascii="Times New Roman" w:hAnsi="Times New Roman"/>
                <w:noProof/>
                <w:sz w:val="24"/>
                <w:szCs w:val="24"/>
              </w:rPr>
              <w:t>Ирландия: Децата от семейства, които използват хранителни банки, също се възползват от тези схеми. Комплектите със стоки от първа необходимост за дома (в които са включени комплекти със стоки от първа необходимост за бебета), които се предоставят на бежански семейства, преместващи се в нови домове, също са от полза и за децата. През 2018 г. 40 000 ученици и 1000 деца на кандидати за международна закрила, живеещи в жилища, осигурени от държавата, получиха училищни комплекти.</w:t>
            </w:r>
          </w:p>
          <w:p>
            <w:pPr>
              <w:pStyle w:val="DGEMPLStandard"/>
              <w:rPr>
                <w:rFonts w:ascii="Times New Roman" w:hAnsi="Times New Roman"/>
                <w:noProof/>
                <w:spacing w:val="-6"/>
                <w:sz w:val="24"/>
                <w:szCs w:val="24"/>
              </w:rPr>
            </w:pPr>
            <w:r>
              <w:rPr>
                <w:rFonts w:ascii="Times New Roman" w:hAnsi="Times New Roman"/>
                <w:noProof/>
                <w:spacing w:val="-6"/>
                <w:sz w:val="24"/>
                <w:szCs w:val="24"/>
              </w:rPr>
              <w:t xml:space="preserve">Австрия: Подкрепата под формата на ученически раници и други учебни материали е насочена пряко към децата в училищна възраст, чиито семейства имат минимални доходи. </w:t>
            </w:r>
          </w:p>
          <w:p>
            <w:pPr>
              <w:pStyle w:val="CommentText"/>
              <w:rPr>
                <w:noProof/>
                <w:sz w:val="24"/>
                <w:szCs w:val="24"/>
              </w:rPr>
            </w:pPr>
            <w:r>
              <w:rPr>
                <w:noProof/>
                <w:sz w:val="24"/>
                <w:szCs w:val="24"/>
              </w:rPr>
              <w:t>Испания: За да се отговори на специфичните нужди на децата и да се насърчат тяхното здраве, растеж и развитие, на семействата в неравностойно положение се предоставят специфични хранителни продукти (например детски храни в бурканчета, храни на зърнена основа за кърмачета и преходно мляко на прах).</w:t>
            </w:r>
          </w:p>
        </w:tc>
      </w:tr>
    </w:tbl>
    <w:p>
      <w:pPr>
        <w:pStyle w:val="DGEMPLStandard"/>
        <w:rPr>
          <w:rFonts w:ascii="Times New Roman" w:hAnsi="Times New Roman"/>
          <w:noProof/>
          <w:sz w:val="24"/>
          <w:szCs w:val="24"/>
        </w:rPr>
      </w:pPr>
      <w:r>
        <w:rPr>
          <w:rFonts w:ascii="Times New Roman" w:hAnsi="Times New Roman"/>
          <w:b/>
          <w:bCs/>
          <w:noProof/>
          <w:sz w:val="24"/>
          <w:szCs w:val="24"/>
        </w:rPr>
        <w:t>Около 10 % от крайните получатели са мигранти, лица с произход от друга държава или лица от малцинствени общности.</w:t>
      </w:r>
      <w:r>
        <w:rPr>
          <w:rFonts w:ascii="Times New Roman" w:hAnsi="Times New Roman"/>
          <w:noProof/>
          <w:sz w:val="24"/>
          <w:szCs w:val="24"/>
        </w:rPr>
        <w:t xml:space="preserve"> Трябва да се имат предвид обаче, че информацията за мигрантите, които получават подпомагане, невинаги се докладва поради съображения за защита на данните (Гърция, Словакия и Франция). Сред тези групи най-целевите (посочени в 45 % от оперативните програми, насочени към мигранти) са били тези на бежанците и търсещите убежище лица. </w:t>
      </w:r>
    </w:p>
    <w:p>
      <w:pPr>
        <w:pStyle w:val="DGEMPLStandard"/>
        <w:rPr>
          <w:rFonts w:ascii="Times New Roman" w:hAnsi="Times New Roman"/>
          <w:noProof/>
          <w:sz w:val="24"/>
          <w:szCs w:val="24"/>
        </w:rPr>
      </w:pPr>
      <w:r>
        <w:rPr>
          <w:rFonts w:ascii="Times New Roman" w:hAnsi="Times New Roman"/>
          <w:b/>
          <w:bCs/>
          <w:noProof/>
          <w:sz w:val="24"/>
          <w:szCs w:val="24"/>
        </w:rPr>
        <w:t>Приблизително 7 % от крайните получатели на подпомагане по линия на FEAD са бездомни лица</w:t>
      </w:r>
      <w:r>
        <w:rPr>
          <w:rFonts w:ascii="Times New Roman" w:hAnsi="Times New Roman"/>
          <w:noProof/>
          <w:sz w:val="24"/>
          <w:szCs w:val="24"/>
        </w:rPr>
        <w:t>, като делът през 2018 г. е по-висок в сравнение с този от 2017 г. Особено трудно обаче е да се оцени броят на бездомните лица, тъй като те не са регистрирани и често не са склонни да предоставят каквато и да е лична информация. Освен това основната причина за увеличението на дела на бездомните лица е фактът, че Франция е отчела данни за 2018 г., докато не го е направила през предходната година. В Ирландия, Франция и Чехия повече от 10 % от бездомните лица получават подпомагане с хранителни продукти. С изключение на Испания, делът на бездомните лица, които получават подпомагане, намаля през 2018 г. в сравнение с 2017 г., особено в Италия.</w:t>
      </w:r>
    </w:p>
    <w:p>
      <w:pPr>
        <w:pStyle w:val="DGEMPLHeading5"/>
        <w:rPr>
          <w:rFonts w:ascii="Times New Roman" w:hAnsi="Times New Roman"/>
          <w:noProof/>
          <w:sz w:val="24"/>
          <w:szCs w:val="24"/>
        </w:rPr>
      </w:pPr>
      <w:r>
        <w:rPr>
          <w:rFonts w:ascii="Times New Roman" w:hAnsi="Times New Roman"/>
          <w:noProof/>
          <w:sz w:val="24"/>
          <w:szCs w:val="24"/>
        </w:rPr>
        <w:t>ОП I — Подпомагане с хранителни продукти</w:t>
      </w:r>
    </w:p>
    <w:p>
      <w:pPr>
        <w:pStyle w:val="DGEMPLStandard"/>
        <w:rPr>
          <w:rFonts w:ascii="Times New Roman" w:hAnsi="Times New Roman"/>
          <w:b/>
          <w:noProof/>
          <w:sz w:val="24"/>
          <w:szCs w:val="24"/>
        </w:rPr>
      </w:pPr>
      <w:r>
        <w:rPr>
          <w:rFonts w:ascii="Times New Roman" w:hAnsi="Times New Roman"/>
          <w:b/>
          <w:noProof/>
          <w:sz w:val="24"/>
          <w:szCs w:val="24"/>
        </w:rPr>
        <w:t xml:space="preserve">Подпомагането с хранителни продукти като цяло се запази на стабилно равнище в сравнение с предходната година. </w:t>
      </w:r>
      <w:r>
        <w:rPr>
          <w:rFonts w:ascii="Times New Roman" w:hAnsi="Times New Roman"/>
          <w:noProof/>
          <w:sz w:val="24"/>
          <w:szCs w:val="24"/>
        </w:rPr>
        <w:t>Повечето от участващите в програмата 21 държави членки или увеличиха, или поддържаха количеството разпределени хранителни продукти. Като цяло през 2018 г. бяха разпределени малко по-малко хранителни продукти, отколкото през 2017 г., тъй като предоставянето на хранене или пакети с храни намаля в някои от по-големите държави членки.</w:t>
      </w:r>
      <w:r>
        <w:rPr>
          <w:rFonts w:ascii="Times New Roman" w:hAnsi="Times New Roman"/>
          <w:b/>
          <w:noProof/>
          <w:sz w:val="24"/>
          <w:szCs w:val="24"/>
        </w:rPr>
        <w:t xml:space="preserve"> </w:t>
      </w:r>
      <w:r>
        <w:rPr>
          <w:rFonts w:ascii="Times New Roman" w:hAnsi="Times New Roman"/>
          <w:noProof/>
          <w:sz w:val="24"/>
          <w:szCs w:val="24"/>
        </w:rPr>
        <w:t>Пет държави членки (България, Испания, Италия, Полша и Франция) предоставиха 82 % от общото количество хранителни продукти, разпределени през 2018 г. Три държави членки увеличиха значително количеството разпределени хранителни продукти (Ирландия, Португалия и Унгария). Десет държави членки разпределиха по-малко хранителни продукти в сравнение с 2017 г., като Белгия, Гърция, Ирландия, Словения и Хърватия разпределиха значително по-малко.</w:t>
      </w:r>
      <w:r>
        <w:rPr>
          <w:rFonts w:ascii="Times New Roman" w:hAnsi="Times New Roman"/>
          <w:b/>
          <w:noProof/>
          <w:sz w:val="24"/>
          <w:szCs w:val="24"/>
        </w:rPr>
        <w:t xml:space="preserve"> </w:t>
      </w:r>
      <w:bookmarkStart w:id="10" w:name="_Toc27562193"/>
    </w:p>
    <w:p>
      <w:pPr>
        <w:rPr>
          <w:rFonts w:ascii="Times New Roman" w:eastAsia="Times New Roman" w:hAnsi="Times New Roman" w:cs="Times New Roman"/>
          <w:b/>
          <w:noProof/>
          <w:sz w:val="24"/>
          <w:szCs w:val="24"/>
          <w:lang w:eastAsia="de-DE"/>
        </w:rPr>
      </w:pPr>
      <w:r>
        <w:rPr>
          <w:rFonts w:ascii="Times New Roman" w:hAnsi="Times New Roman"/>
          <w:b/>
          <w:noProof/>
          <w:sz w:val="24"/>
          <w:szCs w:val="24"/>
        </w:rPr>
        <w:br w:type="page"/>
      </w:r>
    </w:p>
    <w:p>
      <w:pPr>
        <w:pStyle w:val="DGEMPLStandard"/>
        <w:rPr>
          <w:rFonts w:ascii="Times New Roman" w:hAnsi="Times New Roman"/>
          <w:i/>
          <w:noProof/>
          <w:sz w:val="22"/>
          <w:szCs w:val="22"/>
        </w:rPr>
      </w:pPr>
      <w:r>
        <w:rPr>
          <w:rFonts w:ascii="Times New Roman" w:hAnsi="Times New Roman"/>
          <w:i/>
          <w:noProof/>
          <w:sz w:val="24"/>
          <w:szCs w:val="24"/>
        </w:rPr>
        <w:t>Фигура 3:</w:t>
      </w:r>
      <w:r>
        <w:rPr>
          <w:rFonts w:ascii="Times New Roman" w:hAnsi="Times New Roman"/>
          <w:b/>
          <w:i/>
          <w:noProof/>
          <w:sz w:val="24"/>
          <w:szCs w:val="24"/>
        </w:rPr>
        <w:t xml:space="preserve"> </w:t>
      </w:r>
      <w:r>
        <w:rPr>
          <w:rFonts w:ascii="Times New Roman" w:hAnsi="Times New Roman"/>
          <w:i/>
          <w:noProof/>
          <w:sz w:val="22"/>
          <w:szCs w:val="22"/>
        </w:rPr>
        <w:t>Подпомагане с хранителни продукти, предоставено през периода 2014—2018 г. (хиляди тона) по държава членка</w:t>
      </w:r>
      <w:bookmarkEnd w:id="10"/>
    </w:p>
    <w:p>
      <w:pPr>
        <w:pStyle w:val="DGEMPLStandard"/>
        <w:keepNext/>
        <w:rPr>
          <w:rFonts w:ascii="Times New Roman" w:hAnsi="Times New Roman"/>
          <w:noProof/>
          <w:sz w:val="24"/>
          <w:szCs w:val="24"/>
        </w:rPr>
      </w:pPr>
      <w:r>
        <w:rPr>
          <w:noProof/>
          <w:lang w:val="en-GB" w:eastAsia="en-GB"/>
        </w:rPr>
        <w:drawing>
          <wp:inline distT="0" distB="0" distL="0" distR="0">
            <wp:extent cx="5581403" cy="347090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81403" cy="3470908"/>
                    </a:xfrm>
                    <a:prstGeom prst="rect">
                      <a:avLst/>
                    </a:prstGeom>
                  </pic:spPr>
                </pic:pic>
              </a:graphicData>
            </a:graphic>
          </wp:inline>
        </w:drawing>
      </w:r>
    </w:p>
    <w:p>
      <w:pPr>
        <w:pStyle w:val="DGEMPLSource"/>
        <w:keepNext/>
        <w:rPr>
          <w:rFonts w:ascii="Times New Roman" w:hAnsi="Times New Roman"/>
          <w:noProof/>
          <w:sz w:val="22"/>
          <w:szCs w:val="22"/>
        </w:rPr>
      </w:pPr>
      <w:r>
        <w:rPr>
          <w:rFonts w:ascii="Times New Roman" w:hAnsi="Times New Roman"/>
          <w:noProof/>
          <w:sz w:val="22"/>
          <w:szCs w:val="22"/>
        </w:rPr>
        <w:t>Източник: SFC2014</w:t>
      </w:r>
    </w:p>
    <w:p>
      <w:pPr>
        <w:pStyle w:val="DGEMPLStandard"/>
        <w:rPr>
          <w:rFonts w:ascii="Times New Roman" w:hAnsi="Times New Roman"/>
          <w:noProof/>
          <w:sz w:val="24"/>
          <w:szCs w:val="24"/>
        </w:rPr>
      </w:pPr>
      <w:r>
        <w:rPr>
          <w:rFonts w:ascii="Times New Roman" w:hAnsi="Times New Roman"/>
          <w:b/>
          <w:noProof/>
          <w:sz w:val="24"/>
          <w:szCs w:val="24"/>
        </w:rPr>
        <w:t>Повече от половината (55 %) от подпомагането с хранителни продукти включваше млечни продукти и брашно, хляб, картофи и други съдържащи скорбяла продукти.</w:t>
      </w:r>
      <w:r>
        <w:rPr>
          <w:rFonts w:ascii="Times New Roman" w:hAnsi="Times New Roman"/>
          <w:noProof/>
          <w:sz w:val="24"/>
          <w:szCs w:val="24"/>
        </w:rPr>
        <w:t xml:space="preserve"> Делът на млечните продукти е особено висок в Белгия и Франция. В Италия, Латвия, Словакия и Финландия беше висок делът на брашното, хляба, картофите и другите съдържащи скорбяла продукти. Количеството разпределени плодове и зеленчуци нарасна устойчиво от 9 % през 2014 г. до 17 % през 2018 г.</w:t>
      </w:r>
      <w:r>
        <w:rPr>
          <w:rStyle w:val="FootnoteReference"/>
          <w:rFonts w:ascii="Times New Roman" w:hAnsi="Times New Roman"/>
          <w:noProof/>
          <w:sz w:val="16"/>
          <w:szCs w:val="16"/>
        </w:rPr>
        <w:footnoteReference w:id="8"/>
      </w:r>
      <w:r>
        <w:rPr>
          <w:rFonts w:ascii="Times New Roman" w:hAnsi="Times New Roman"/>
          <w:noProof/>
          <w:sz w:val="24"/>
          <w:szCs w:val="24"/>
        </w:rPr>
        <w:t>. Количеството на мазнините и на маслата варираше, като средната стойност беше 6 %. Делът на готовите храни е доста висок в Ирландия и Унгария, но от друга страна сравнително нисък в рамките на ЕС — около 11 % . В Ирландия готовата храна е включена в категориите храни, поискани от партньорските организации. Това е вследствие на искания от страна на ползвателите и следователно с цел намаляване на хранителните отпадъци.</w:t>
      </w:r>
      <w:r>
        <w:rPr>
          <w:rFonts w:ascii="Times New Roman" w:hAnsi="Times New Roman"/>
          <w:b/>
          <w:noProof/>
          <w:sz w:val="24"/>
          <w:szCs w:val="24"/>
        </w:rPr>
        <w:t xml:space="preserve"> </w:t>
      </w:r>
      <w:r>
        <w:rPr>
          <w:rFonts w:ascii="Times New Roman" w:hAnsi="Times New Roman"/>
          <w:noProof/>
          <w:sz w:val="24"/>
          <w:szCs w:val="24"/>
        </w:rPr>
        <w:t>Разходите за разпределена храна на човек варират значително в различните държави членки и през различните години. Това се дължи главно на количеството и вида на разпределяните хранителни продукти (например висок процент на пресни продукти), както и на степента на подпомагането.</w:t>
      </w:r>
    </w:p>
    <w:p>
      <w:pPr>
        <w:pStyle w:val="DGEMPLStandard"/>
        <w:rPr>
          <w:rFonts w:ascii="Times New Roman" w:hAnsi="Times New Roman"/>
          <w:noProof/>
          <w:sz w:val="24"/>
          <w:szCs w:val="24"/>
        </w:rPr>
      </w:pPr>
      <w:r>
        <w:rPr>
          <w:rFonts w:ascii="Times New Roman" w:hAnsi="Times New Roman"/>
          <w:b/>
          <w:bCs/>
          <w:noProof/>
          <w:sz w:val="24"/>
          <w:szCs w:val="24"/>
        </w:rPr>
        <w:t>Всички 21 държави членки, които разпределят хранителни продукти — с изключение на Кипър — ги предоставиха под формата на стандартизирани пакети с храна.</w:t>
      </w:r>
      <w:r>
        <w:rPr>
          <w:rFonts w:ascii="Times New Roman" w:hAnsi="Times New Roman"/>
          <w:noProof/>
          <w:sz w:val="24"/>
          <w:szCs w:val="24"/>
        </w:rPr>
        <w:t xml:space="preserve"> Четиринадесет държави членки също така предоставиха ястия: Белгия, България, Гърция, Ирландия, Испания, Италия, Кипър, Латвия, Полша, Словакия, Унгария, Финландия, Хърватия и Чехия. Някои държави членки предоставиха и готови ястия на ученици (Италия, Кипър, Хърватия и Чехия) или на бездомни лица (Италия, Латвия, Полша, Словакия, Унгария и Финландия). Хранителната банка в Естония работеше в тясно сътрудничество с местните органи и си сътрудничеше с общините, за да може да е възможно по-близо до домовете на хората. Благодарение на добрата комуникация между партньорите през целевия период бяха разпределени 95 % от всички пакети, представляващи подпомагане с хранителни продукти. Както и в предходни години, разпределението на хранителни продукти от страна на партньорски организации в България, Испания, Кипър и Унгария беше изцяло финансирано от FEAD, докато в останалите държави членки партньорските организации допълваха подпомагането с хранителни продукти по линия на FEAD, дарени или финансирани чрез други източници.</w:t>
      </w:r>
    </w:p>
    <w:p>
      <w:pPr>
        <w:pStyle w:val="DGEMPLHeading5"/>
        <w:rPr>
          <w:rFonts w:ascii="Times New Roman" w:hAnsi="Times New Roman"/>
          <w:noProof/>
          <w:sz w:val="24"/>
          <w:szCs w:val="24"/>
        </w:rPr>
      </w:pPr>
      <w:r>
        <w:rPr>
          <w:rFonts w:ascii="Times New Roman" w:hAnsi="Times New Roman"/>
          <w:noProof/>
          <w:sz w:val="24"/>
          <w:szCs w:val="24"/>
        </w:rPr>
        <w:t>ОП I — Основно материално подпомагане</w:t>
      </w:r>
    </w:p>
    <w:p>
      <w:pPr>
        <w:pStyle w:val="DGEMPLStandard"/>
        <w:rPr>
          <w:rFonts w:ascii="Times New Roman" w:hAnsi="Times New Roman"/>
          <w:noProof/>
          <w:sz w:val="24"/>
          <w:szCs w:val="24"/>
        </w:rPr>
      </w:pPr>
      <w:r>
        <w:rPr>
          <w:rFonts w:ascii="Times New Roman" w:hAnsi="Times New Roman"/>
          <w:b/>
          <w:bCs/>
          <w:noProof/>
          <w:sz w:val="24"/>
          <w:szCs w:val="24"/>
        </w:rPr>
        <w:t>Броят на получателите на основно материално подпомагане също нарасна значително.</w:t>
      </w:r>
      <w:r>
        <w:rPr>
          <w:rFonts w:ascii="Times New Roman" w:hAnsi="Times New Roman"/>
          <w:noProof/>
          <w:sz w:val="24"/>
          <w:szCs w:val="24"/>
        </w:rPr>
        <w:t xml:space="preserve"> През 2018 г. държавите членки разпределиха 13,2 милиона евро за основно материално подпомагане — с 29 % повече в сравнение с 2017 г., когато средствата вече се бяха увеличили с 25 % в сравнение с 2016 г. Това значително увеличение до голяма степен се дължи на факта, че три държави членки за първи път разпределиха основно материално подпомагане през 2018 г. — Кипър, Литва и Унгария. Както и през предходната година, осем държави членки продължиха да разпределят основно материално подпомагане (Австрия, Гърция, Ирландия, Латвия, Люксембург, Словакия, Хърватия и Чехия). По-голямата част от стоките бяха разпределени в три държави членки: Австрия, Гърция и Чехия (вж. фигура 4). Бездомните лица бяха целева група в Гърция, Словакия, Хърватия и Чехия и за тях бяха осигурени продукти за хигиенни цели и други консумативи. В Хърватия те също така получиха кухненски пособия и облекло и обувки, а в Гърция и Хърватия получиха спални чували/одеяла.</w:t>
      </w:r>
    </w:p>
    <w:p>
      <w:pPr>
        <w:pStyle w:val="DGEMPLStandard"/>
        <w:rPr>
          <w:rFonts w:ascii="Times New Roman" w:hAnsi="Times New Roman"/>
          <w:noProof/>
          <w:sz w:val="24"/>
          <w:szCs w:val="24"/>
        </w:rPr>
      </w:pPr>
      <w:r>
        <w:rPr>
          <w:rFonts w:ascii="Times New Roman" w:hAnsi="Times New Roman"/>
          <w:b/>
          <w:bCs/>
          <w:noProof/>
          <w:sz w:val="24"/>
          <w:szCs w:val="24"/>
        </w:rPr>
        <w:t>Училищните пособия и продуктите за лична грижа за семейства с деца продължават да бъдат най-важните артикули от основното материално подпомагане.</w:t>
      </w:r>
      <w:r>
        <w:rPr>
          <w:rFonts w:ascii="Times New Roman" w:hAnsi="Times New Roman"/>
          <w:noProof/>
          <w:sz w:val="24"/>
          <w:szCs w:val="24"/>
        </w:rPr>
        <w:t xml:space="preserve"> През 2018 г. разпределените артикули сред семейства с деца включваха канцеларски и училищни материали (Австрия, Гърция, Ирландия, Латвия и Хърватия), ученически раници (Австрия, Гърция, Латвия и Хърватия), пакети за грижа за бебета (Ирландия, Унгария и Хърватия), пелени и бебешки кърпички (Гърция), както и спортна екипировка и облекло (Хърватия). В Гърция, Ирландия, Латвия, Люксембург, Словакия и Унгария също така бяха разпределени артикули като препарати за пране, перилни прахове (за цветен текстил), почистващи препарати за ръчно миене на съдове, пелени, кремове и сапуни за бебета и малки деца, влажни кърпички и пелени. </w:t>
      </w:r>
    </w:p>
    <w:p>
      <w:pPr>
        <w:rPr>
          <w:rFonts w:ascii="Times New Roman" w:eastAsia="Times New Roman" w:hAnsi="Times New Roman" w:cs="Times New Roman"/>
          <w:noProof/>
          <w:sz w:val="24"/>
          <w:szCs w:val="24"/>
          <w:lang w:eastAsia="de-DE"/>
        </w:rPr>
      </w:pPr>
      <w:r>
        <w:rPr>
          <w:rFonts w:ascii="Times New Roman" w:hAnsi="Times New Roman"/>
          <w:noProof/>
          <w:sz w:val="24"/>
          <w:szCs w:val="24"/>
        </w:rPr>
        <w:br w:type="page"/>
      </w:r>
    </w:p>
    <w:p>
      <w:pPr>
        <w:pStyle w:val="DGEMPLLabelfigures"/>
        <w:numPr>
          <w:ilvl w:val="0"/>
          <w:numId w:val="0"/>
        </w:numPr>
        <w:rPr>
          <w:rFonts w:ascii="Times New Roman" w:hAnsi="Times New Roman"/>
          <w:noProof/>
          <w:sz w:val="22"/>
          <w:szCs w:val="22"/>
        </w:rPr>
      </w:pPr>
      <w:r>
        <w:rPr>
          <w:rFonts w:ascii="Times New Roman" w:hAnsi="Times New Roman"/>
          <w:noProof/>
          <w:sz w:val="22"/>
          <w:szCs w:val="22"/>
        </w:rPr>
        <w:t xml:space="preserve">Фигура 4. </w:t>
      </w:r>
      <w:bookmarkStart w:id="11" w:name="_Toc27562194"/>
      <w:r>
        <w:rPr>
          <w:rFonts w:ascii="Times New Roman" w:hAnsi="Times New Roman"/>
          <w:noProof/>
          <w:sz w:val="22"/>
          <w:szCs w:val="22"/>
        </w:rPr>
        <w:t>Обща парична стойност на стоките за периода 2014—2018 г.</w:t>
      </w:r>
      <w:bookmarkEnd w:id="11"/>
      <w:r>
        <w:rPr>
          <w:rFonts w:ascii="Times New Roman" w:hAnsi="Times New Roman"/>
          <w:noProof/>
          <w:sz w:val="22"/>
          <w:szCs w:val="22"/>
        </w:rPr>
        <w:t xml:space="preserve"> и по държава членка</w:t>
      </w:r>
    </w:p>
    <w:p>
      <w:pPr>
        <w:pStyle w:val="DGEMPLStandard"/>
        <w:rPr>
          <w:noProof/>
        </w:rPr>
      </w:pPr>
      <w:r>
        <w:rPr>
          <w:noProof/>
          <w:lang w:val="en-GB" w:eastAsia="en-GB"/>
        </w:rPr>
        <w:drawing>
          <wp:inline distT="0" distB="0" distL="0" distR="0">
            <wp:extent cx="5343896" cy="241919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63710" cy="2428166"/>
                    </a:xfrm>
                    <a:prstGeom prst="rect">
                      <a:avLst/>
                    </a:prstGeom>
                  </pic:spPr>
                </pic:pic>
              </a:graphicData>
            </a:graphic>
          </wp:inline>
        </w:drawing>
      </w:r>
      <w:r>
        <w:rPr>
          <w:noProof/>
          <w:lang w:val="en-GB" w:eastAsia="en-GB"/>
        </w:rPr>
        <w:drawing>
          <wp:inline distT="0" distB="0" distL="0" distR="0">
            <wp:extent cx="5343525" cy="231521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78844" cy="2330513"/>
                    </a:xfrm>
                    <a:prstGeom prst="rect">
                      <a:avLst/>
                    </a:prstGeom>
                  </pic:spPr>
                </pic:pic>
              </a:graphicData>
            </a:graphic>
          </wp:inline>
        </w:drawing>
      </w:r>
    </w:p>
    <w:p>
      <w:pPr>
        <w:pStyle w:val="DGEMPLLabelfigures"/>
        <w:numPr>
          <w:ilvl w:val="0"/>
          <w:numId w:val="0"/>
        </w:numPr>
        <w:rPr>
          <w:rFonts w:ascii="Times New Roman" w:hAnsi="Times New Roman"/>
          <w:noProof/>
          <w:sz w:val="24"/>
          <w:szCs w:val="24"/>
        </w:rPr>
      </w:pPr>
      <w:r>
        <w:rPr>
          <w:rFonts w:ascii="Times New Roman" w:hAnsi="Times New Roman"/>
          <w:noProof/>
          <w:sz w:val="22"/>
          <w:szCs w:val="22"/>
        </w:rPr>
        <w:t>Източник: SFC2014</w:t>
      </w:r>
    </w:p>
    <w:p>
      <w:pPr>
        <w:pStyle w:val="DGEMPLHeading5"/>
        <w:rPr>
          <w:rFonts w:ascii="Times New Roman" w:hAnsi="Times New Roman"/>
          <w:noProof/>
          <w:sz w:val="24"/>
          <w:szCs w:val="24"/>
        </w:rPr>
      </w:pPr>
      <w:r>
        <w:rPr>
          <w:rFonts w:ascii="Times New Roman" w:hAnsi="Times New Roman"/>
          <w:noProof/>
          <w:sz w:val="24"/>
          <w:szCs w:val="24"/>
        </w:rPr>
        <w:t>ОП I — Съпътстващи мерки</w:t>
      </w:r>
    </w:p>
    <w:p>
      <w:pPr>
        <w:pStyle w:val="DGEMPLStandard"/>
        <w:rPr>
          <w:rFonts w:ascii="Times New Roman" w:hAnsi="Times New Roman"/>
          <w:noProof/>
          <w:color w:val="7B7B7B" w:themeColor="accent3" w:themeShade="BF"/>
          <w:sz w:val="24"/>
          <w:szCs w:val="24"/>
        </w:rPr>
      </w:pPr>
      <w:r>
        <w:rPr>
          <w:rFonts w:ascii="Times New Roman" w:hAnsi="Times New Roman"/>
          <w:b/>
          <w:bCs/>
          <w:noProof/>
          <w:sz w:val="24"/>
          <w:szCs w:val="24"/>
        </w:rPr>
        <w:t>Всички държави членки, които изпълниха програми по ОП I през 2018 г., също така въведоха съпътстващи мерки.</w:t>
      </w:r>
      <w:r>
        <w:rPr>
          <w:rFonts w:ascii="Times New Roman" w:hAnsi="Times New Roman"/>
          <w:noProof/>
          <w:sz w:val="24"/>
          <w:szCs w:val="24"/>
        </w:rPr>
        <w:t xml:space="preserve"> </w:t>
      </w:r>
      <w:r>
        <w:rPr>
          <w:rFonts w:ascii="Times New Roman" w:hAnsi="Times New Roman"/>
          <w:bCs/>
          <w:noProof/>
          <w:sz w:val="24"/>
          <w:szCs w:val="24"/>
        </w:rPr>
        <w:t xml:space="preserve">Успешните мерки включват: </w:t>
      </w:r>
      <w:r>
        <w:rPr>
          <w:rFonts w:ascii="Times New Roman" w:hAnsi="Times New Roman"/>
          <w:noProof/>
          <w:sz w:val="24"/>
          <w:szCs w:val="24"/>
        </w:rPr>
        <w:t>i) комуникационни дейности относно „съвети във връзка с управлението на бюджета на домакинството“, „предотвратяване на хранителни отпадъци“ и „подбор на доставките на храни“ (Португалия); ii) списание на естонски и руски език, озаглавено „Помощ“</w:t>
      </w:r>
      <w:r>
        <w:rPr>
          <w:rStyle w:val="FootnoteReference"/>
          <w:rFonts w:ascii="Times New Roman" w:hAnsi="Times New Roman"/>
          <w:noProof/>
          <w:sz w:val="16"/>
        </w:rPr>
        <w:footnoteReference w:id="9"/>
      </w:r>
      <w:r>
        <w:rPr>
          <w:rFonts w:ascii="Times New Roman" w:hAnsi="Times New Roman"/>
          <w:noProof/>
          <w:sz w:val="24"/>
          <w:szCs w:val="24"/>
        </w:rPr>
        <w:t>, разпространявано сред получателите на подпомагане с хранителни продукти (Естония); iii) разпространение на брошури с рецепти, които включват съставки от пакетите с храна, предоставени по линия на FEAD, и от често даряваната храна (Финландия); iv) проекта „Ние сме заедно“ на Червения кръст, в рамките на който за деца в неравностойно социално положение се осигуряват културни преживявания, помощ за домашните задания, наставничество и друга помощ (Словения); v) проекта „Преодоляване на икономическата уязвимост чрез възможности за доброволчество“, ръководен от Zadar Archdiocese Caritas (Хърватия), който излиза извън рамките на материалното подпомагане и мотивира участниците да предприемат действия за справяне с причините за бедността; както и vi) разпространение на брошура с ученическите раници, в която на учениците се предоставят съвети по различни теми — от училище и работа до психологически проблеми (Австрия).</w:t>
      </w:r>
    </w:p>
    <w:p>
      <w:pPr>
        <w:pStyle w:val="DGEMPLStandard"/>
        <w:rPr>
          <w:rFonts w:ascii="Times New Roman" w:hAnsi="Times New Roman"/>
          <w:noProof/>
          <w:sz w:val="24"/>
          <w:szCs w:val="24"/>
        </w:rPr>
      </w:pPr>
      <w:r>
        <w:rPr>
          <w:rFonts w:ascii="Times New Roman" w:hAnsi="Times New Roman"/>
          <w:b/>
          <w:bCs/>
          <w:noProof/>
          <w:sz w:val="24"/>
          <w:szCs w:val="24"/>
        </w:rPr>
        <w:t>Повечето държави членки изпълниха комбинация от съпътстващи мерки и само някои избраха да се съсредоточат само върху една или две дейности.</w:t>
      </w:r>
      <w:r>
        <w:rPr>
          <w:rFonts w:ascii="Times New Roman" w:hAnsi="Times New Roman"/>
          <w:noProof/>
          <w:sz w:val="24"/>
          <w:szCs w:val="24"/>
        </w:rPr>
        <w:t xml:space="preserve"> Съпътстващите мерки, изпълнени през 2018 г. (вж. фигура 5,) включваха:</w:t>
      </w:r>
    </w:p>
    <w:p>
      <w:pPr>
        <w:pStyle w:val="DGEMPLlistbullet"/>
        <w:spacing w:before="0"/>
        <w:rPr>
          <w:rFonts w:ascii="Times New Roman" w:hAnsi="Times New Roman"/>
          <w:noProof/>
          <w:sz w:val="24"/>
          <w:szCs w:val="24"/>
        </w:rPr>
      </w:pPr>
      <w:r>
        <w:rPr>
          <w:rFonts w:ascii="Times New Roman" w:hAnsi="Times New Roman"/>
          <w:noProof/>
          <w:sz w:val="24"/>
          <w:szCs w:val="24"/>
        </w:rPr>
        <w:t>съвети относно приготвянето на храната и съхранението ѝ (</w:t>
      </w:r>
      <w:bookmarkStart w:id="12" w:name="OLE_LINK1"/>
      <w:r>
        <w:rPr>
          <w:rFonts w:ascii="Times New Roman" w:hAnsi="Times New Roman"/>
          <w:noProof/>
          <w:sz w:val="24"/>
          <w:szCs w:val="24"/>
        </w:rPr>
        <w:t>Белгия, България, Естония, Литва, Люксембург, Полша, Португалия, Словакия, Финландия, Франция</w:t>
      </w:r>
      <w:bookmarkEnd w:id="12"/>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образователни дейности за насърчаване на здравословно хранене/готварски семинари (</w:t>
      </w:r>
      <w:bookmarkStart w:id="13" w:name="OLE_LINK2"/>
      <w:r>
        <w:rPr>
          <w:rFonts w:ascii="Times New Roman" w:hAnsi="Times New Roman"/>
          <w:noProof/>
          <w:sz w:val="24"/>
          <w:szCs w:val="24"/>
        </w:rPr>
        <w:t>Белгия, България, Естония, Испания, Италия, Латвия, Литва, Люксембург, Малта, Полша, Португалия, Словения, Финландия, Франция, Хърватия, Чехия</w:t>
      </w:r>
      <w:bookmarkEnd w:id="13"/>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съвети относно намаляване на хранителните отпадъци (</w:t>
      </w:r>
      <w:bookmarkStart w:id="14" w:name="OLE_LINK3"/>
      <w:r>
        <w:rPr>
          <w:rFonts w:ascii="Times New Roman" w:hAnsi="Times New Roman"/>
          <w:noProof/>
          <w:sz w:val="24"/>
          <w:szCs w:val="24"/>
        </w:rPr>
        <w:t>Белгия, България, Литва, Полша, Португалия</w:t>
      </w:r>
      <w:bookmarkEnd w:id="14"/>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съвети за лична хигиена (</w:t>
      </w:r>
      <w:bookmarkStart w:id="15" w:name="OLE_LINK4"/>
      <w:r>
        <w:rPr>
          <w:rFonts w:ascii="Times New Roman" w:hAnsi="Times New Roman"/>
          <w:noProof/>
          <w:sz w:val="24"/>
          <w:szCs w:val="24"/>
        </w:rPr>
        <w:t>България, Латвия, Литва, Словакия, Унгария</w:t>
      </w:r>
      <w:bookmarkEnd w:id="15"/>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насочване към компетентните служби (например социални/административни) (Австрия, Белгия, България, Естония, Ирландия, Испания, Италия, Латвия, Литва, Люксембург, Малта, Словакия, Финландия, Франция);</w:t>
      </w:r>
    </w:p>
    <w:p>
      <w:pPr>
        <w:pStyle w:val="DGEMPLlistbullet"/>
        <w:spacing w:before="0"/>
        <w:rPr>
          <w:rFonts w:ascii="Times New Roman" w:hAnsi="Times New Roman"/>
          <w:noProof/>
          <w:sz w:val="24"/>
          <w:szCs w:val="24"/>
        </w:rPr>
      </w:pPr>
      <w:r>
        <w:rPr>
          <w:rFonts w:ascii="Times New Roman" w:hAnsi="Times New Roman"/>
          <w:noProof/>
          <w:sz w:val="24"/>
          <w:szCs w:val="24"/>
        </w:rPr>
        <w:t>индивидуално обучение и семинари (Белгия, България, Гърция, Естония, Испания, Латвия, Литва, Люксембург, Малта, Словакия, Словения, Франция, Чехия);</w:t>
      </w:r>
    </w:p>
    <w:p>
      <w:pPr>
        <w:pStyle w:val="DGEMPLlistbullet"/>
        <w:spacing w:before="0"/>
        <w:rPr>
          <w:rFonts w:ascii="Times New Roman" w:hAnsi="Times New Roman"/>
          <w:noProof/>
          <w:sz w:val="24"/>
          <w:szCs w:val="24"/>
        </w:rPr>
      </w:pPr>
      <w:r>
        <w:rPr>
          <w:rFonts w:ascii="Times New Roman" w:hAnsi="Times New Roman"/>
          <w:noProof/>
          <w:sz w:val="24"/>
          <w:szCs w:val="24"/>
        </w:rPr>
        <w:t>психологическа и терапевтична подкрепа (Белгия, България, Гърция, Естония, Италия, Кипър, Латвия, Литва, Словакия, Словения, Унгария, Чехия);</w:t>
      </w:r>
    </w:p>
    <w:p>
      <w:pPr>
        <w:pStyle w:val="DGEMPLlistbullet"/>
        <w:spacing w:before="0"/>
        <w:rPr>
          <w:rFonts w:ascii="Times New Roman" w:hAnsi="Times New Roman"/>
          <w:noProof/>
          <w:sz w:val="24"/>
          <w:szCs w:val="24"/>
        </w:rPr>
      </w:pPr>
      <w:r>
        <w:rPr>
          <w:rFonts w:ascii="Times New Roman" w:hAnsi="Times New Roman"/>
          <w:noProof/>
          <w:sz w:val="24"/>
          <w:szCs w:val="24"/>
        </w:rPr>
        <w:t>съвети относно управлението на бюджета на домакинството (Белгия, България, Гърция, Италия, Латвия, Литва, Малта, Полша, Португалия, Словакия, Финландия, Чехия);</w:t>
      </w:r>
    </w:p>
    <w:p>
      <w:pPr>
        <w:pStyle w:val="DGEMPLlistbullet"/>
        <w:spacing w:before="0"/>
        <w:rPr>
          <w:rFonts w:ascii="Times New Roman" w:hAnsi="Times New Roman"/>
          <w:noProof/>
          <w:sz w:val="24"/>
          <w:szCs w:val="24"/>
        </w:rPr>
      </w:pPr>
      <w:r>
        <w:rPr>
          <w:rFonts w:ascii="Times New Roman" w:hAnsi="Times New Roman"/>
          <w:noProof/>
          <w:sz w:val="24"/>
          <w:szCs w:val="24"/>
        </w:rPr>
        <w:t>социални дейности и дейности за свободното време (</w:t>
      </w:r>
      <w:bookmarkStart w:id="16" w:name="OLE_LINK5"/>
      <w:r>
        <w:rPr>
          <w:rFonts w:ascii="Times New Roman" w:hAnsi="Times New Roman"/>
          <w:noProof/>
          <w:sz w:val="24"/>
          <w:szCs w:val="24"/>
        </w:rPr>
        <w:t>Гърция, Литва, Люксембург, Полша, Словения, Финландия, Франция, Чехия</w:t>
      </w:r>
      <w:bookmarkEnd w:id="16"/>
      <w:r>
        <w:rPr>
          <w:rFonts w:ascii="Times New Roman" w:hAnsi="Times New Roman"/>
          <w:noProof/>
          <w:sz w:val="24"/>
          <w:szCs w:val="24"/>
        </w:rPr>
        <w:t>);</w:t>
      </w:r>
    </w:p>
    <w:p>
      <w:pPr>
        <w:pStyle w:val="DGEMPLlistbullet"/>
        <w:spacing w:before="0"/>
        <w:rPr>
          <w:rFonts w:ascii="Times New Roman" w:hAnsi="Times New Roman"/>
          <w:noProof/>
          <w:sz w:val="24"/>
          <w:szCs w:val="24"/>
        </w:rPr>
      </w:pPr>
      <w:r>
        <w:rPr>
          <w:rFonts w:ascii="Times New Roman" w:hAnsi="Times New Roman"/>
          <w:noProof/>
          <w:sz w:val="24"/>
          <w:szCs w:val="24"/>
        </w:rPr>
        <w:t>образователни дейности и обучения/програми за придобиване на умения (Естония, Италия, Литва, Малта, Словения, Хърватия);</w:t>
      </w:r>
    </w:p>
    <w:p>
      <w:pPr>
        <w:pStyle w:val="DGEMPLlistbullet"/>
        <w:spacing w:before="0"/>
        <w:rPr>
          <w:rFonts w:ascii="Times New Roman" w:hAnsi="Times New Roman"/>
          <w:noProof/>
          <w:sz w:val="24"/>
          <w:szCs w:val="24"/>
        </w:rPr>
      </w:pPr>
      <w:r>
        <w:rPr>
          <w:rFonts w:ascii="Times New Roman" w:hAnsi="Times New Roman"/>
          <w:noProof/>
          <w:sz w:val="24"/>
          <w:szCs w:val="24"/>
        </w:rPr>
        <w:t>предоставяне на правни услуги (Белгия, Естония, Италия, Литва, Словакия, Франция);</w:t>
      </w:r>
    </w:p>
    <w:p>
      <w:pPr>
        <w:pStyle w:val="DGEMPLlistbullet2"/>
        <w:spacing w:before="0" w:after="0"/>
        <w:rPr>
          <w:rFonts w:ascii="Times New Roman" w:hAnsi="Times New Roman"/>
          <w:noProof/>
          <w:sz w:val="24"/>
          <w:szCs w:val="24"/>
        </w:rPr>
      </w:pPr>
      <w:r>
        <w:rPr>
          <w:rFonts w:ascii="Times New Roman" w:hAnsi="Times New Roman"/>
          <w:noProof/>
          <w:sz w:val="24"/>
          <w:szCs w:val="24"/>
        </w:rPr>
        <w:t>други (Белгия, Естония, Ирландия, Италия, Латвия, Малта, Словения, Финландия).</w:t>
      </w:r>
    </w:p>
    <w:p>
      <w:pPr>
        <w:rPr>
          <w:rFonts w:ascii="Verdana" w:eastAsia="Times New Roman" w:hAnsi="Verdana" w:cs="Times New Roman"/>
          <w:noProof/>
          <w:sz w:val="20"/>
          <w:szCs w:val="20"/>
          <w:lang w:eastAsia="de-DE"/>
        </w:rPr>
      </w:pPr>
      <w:r>
        <w:rPr>
          <w:noProof/>
        </w:rPr>
        <w:br w:type="page"/>
      </w:r>
    </w:p>
    <w:p>
      <w:pPr>
        <w:pStyle w:val="DGEMPLLabelfigures"/>
        <w:numPr>
          <w:ilvl w:val="0"/>
          <w:numId w:val="0"/>
        </w:numPr>
        <w:rPr>
          <w:rFonts w:ascii="Times New Roman" w:hAnsi="Times New Roman"/>
          <w:noProof/>
          <w:sz w:val="22"/>
          <w:szCs w:val="22"/>
        </w:rPr>
      </w:pPr>
      <w:r>
        <w:rPr>
          <w:rFonts w:ascii="Times New Roman" w:hAnsi="Times New Roman"/>
          <w:noProof/>
          <w:sz w:val="22"/>
          <w:szCs w:val="22"/>
        </w:rPr>
        <w:t xml:space="preserve">Фигура 5: </w:t>
      </w:r>
      <w:bookmarkStart w:id="17" w:name="_Toc27562196"/>
      <w:r>
        <w:rPr>
          <w:rFonts w:ascii="Times New Roman" w:hAnsi="Times New Roman"/>
          <w:noProof/>
          <w:sz w:val="22"/>
          <w:szCs w:val="22"/>
        </w:rPr>
        <w:t>Видове изпълнени съпътстващи мерки през 2018 г. (</w:t>
      </w:r>
      <w:bookmarkEnd w:id="17"/>
      <w:r>
        <w:rPr>
          <w:rFonts w:ascii="Times New Roman" w:hAnsi="Times New Roman"/>
          <w:noProof/>
          <w:sz w:val="22"/>
          <w:szCs w:val="22"/>
        </w:rPr>
        <w:t>n=22)</w:t>
      </w:r>
    </w:p>
    <w:p>
      <w:pPr>
        <w:pStyle w:val="DGEMPLStandard"/>
        <w:rPr>
          <w:rFonts w:ascii="Times New Roman" w:hAnsi="Times New Roman"/>
          <w:noProof/>
          <w:sz w:val="24"/>
          <w:szCs w:val="24"/>
        </w:rPr>
      </w:pPr>
      <w:r>
        <w:rPr>
          <w:noProof/>
          <w:lang w:val="en-GB" w:eastAsia="en-GB"/>
        </w:rPr>
        <w:drawing>
          <wp:inline distT="0" distB="0" distL="0" distR="0">
            <wp:extent cx="5731510" cy="251587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515870"/>
                    </a:xfrm>
                    <a:prstGeom prst="rect">
                      <a:avLst/>
                    </a:prstGeom>
                  </pic:spPr>
                </pic:pic>
              </a:graphicData>
            </a:graphic>
          </wp:inline>
        </w:drawing>
      </w:r>
    </w:p>
    <w:p>
      <w:pPr>
        <w:pStyle w:val="DGEMPLHeading5"/>
        <w:rPr>
          <w:rFonts w:ascii="Times New Roman" w:hAnsi="Times New Roman"/>
          <w:noProof/>
          <w:sz w:val="24"/>
          <w:szCs w:val="24"/>
        </w:rPr>
      </w:pPr>
      <w:r>
        <w:rPr>
          <w:rFonts w:ascii="Times New Roman" w:hAnsi="Times New Roman"/>
          <w:noProof/>
          <w:sz w:val="24"/>
          <w:szCs w:val="24"/>
        </w:rPr>
        <w:t>ОП II — Социално приобщаване</w:t>
      </w:r>
    </w:p>
    <w:p>
      <w:pPr>
        <w:pStyle w:val="DGEMPLStandard"/>
        <w:rPr>
          <w:rFonts w:ascii="Times New Roman" w:hAnsi="Times New Roman"/>
          <w:bCs/>
          <w:noProof/>
          <w:sz w:val="24"/>
          <w:szCs w:val="24"/>
        </w:rPr>
      </w:pPr>
      <w:r>
        <w:rPr>
          <w:rFonts w:ascii="Times New Roman" w:hAnsi="Times New Roman"/>
          <w:bCs/>
          <w:noProof/>
          <w:sz w:val="24"/>
          <w:szCs w:val="24"/>
        </w:rPr>
        <w:t xml:space="preserve">Както и в предходните години, Германия, Дания, Нидерландия и Швеция изпълниха действия за социално приобщаване. </w:t>
      </w:r>
    </w:p>
    <w:p>
      <w:pPr>
        <w:pStyle w:val="DGEMPLStandard"/>
        <w:rPr>
          <w:rFonts w:ascii="Times New Roman" w:hAnsi="Times New Roman"/>
          <w:noProof/>
          <w:sz w:val="24"/>
          <w:szCs w:val="24"/>
        </w:rPr>
      </w:pPr>
      <w:r>
        <w:rPr>
          <w:rFonts w:ascii="Times New Roman" w:hAnsi="Times New Roman"/>
          <w:b/>
          <w:bCs/>
          <w:noProof/>
          <w:sz w:val="24"/>
          <w:szCs w:val="24"/>
        </w:rPr>
        <w:t>В Германия основната дейност бе да се достигне до новопристигналите възрастни и бездомни лица и да се подобри достъпът им до мерки за консултиране и подкрепа.</w:t>
      </w:r>
      <w:r>
        <w:rPr>
          <w:rFonts w:ascii="Times New Roman" w:hAnsi="Times New Roman"/>
          <w:noProof/>
          <w:sz w:val="24"/>
          <w:szCs w:val="24"/>
        </w:rPr>
        <w:t xml:space="preserve"> Германия вече е надхвърлила различни цели в тази област. Близо 90 % от новопристигналите възрастни и бездомни лица, които участваха в дейностите за социално приобщаване през 2018 г., продължиха да използват социални услуги (спрямо цел от 50 %). Общият брой на бездомните лица и лицата, изложени на риск от бездомничество, които са получили съвети до 2018 г., възлиза на 21 564 — което вече е над специфичната цел на програмата. Добър напредък беше отбелязан и по отношение достигането до новопристигналите деца в ранна възраст (12 237) и техните родители (13 734). Следователно целта за достигане до 19 700 деца и родители до 2020 г. следва да бъде постижима.</w:t>
      </w:r>
    </w:p>
    <w:p>
      <w:pPr>
        <w:pStyle w:val="DGEMPLStandard"/>
        <w:rPr>
          <w:rFonts w:ascii="Times New Roman" w:hAnsi="Times New Roman"/>
          <w:noProof/>
          <w:sz w:val="24"/>
          <w:szCs w:val="24"/>
        </w:rPr>
      </w:pPr>
      <w:r>
        <w:rPr>
          <w:rFonts w:ascii="Times New Roman" w:hAnsi="Times New Roman"/>
          <w:b/>
          <w:bCs/>
          <w:noProof/>
          <w:sz w:val="24"/>
          <w:szCs w:val="24"/>
        </w:rPr>
        <w:t>В Дания благодарение на достъпа до приюти и до социални работници бяха подобрени условията за бездомните лица, както и за бездомните лица от други държави от ЕС с разрешение за пребиваване в Дания.</w:t>
      </w:r>
      <w:r>
        <w:rPr>
          <w:rFonts w:ascii="Times New Roman" w:hAnsi="Times New Roman"/>
          <w:noProof/>
          <w:sz w:val="24"/>
          <w:szCs w:val="24"/>
        </w:rPr>
        <w:t xml:space="preserve"> Посредством дейностите за достигане на тези лица беше осигурено временно настаняване, те имаха възможност да участват в социални събития и събития за изграждане на връзки, както и успяха да придобият професионален опит в частно предприятие. Дейностите бяха адаптирани с оглед особено уязвимото положение на бездомните мигранти, които са изправени пред езикови бариери и други предизвикателства. Общо 1412 лица са се възползвали от тези дейности за периода 2014—2018 г., което вече надхвърля поставената цел (1400) за програмния период 2014—2020 г.</w:t>
      </w:r>
    </w:p>
    <w:p>
      <w:pPr>
        <w:pStyle w:val="DGEMPLStandard"/>
        <w:rPr>
          <w:rFonts w:ascii="Times New Roman" w:hAnsi="Times New Roman"/>
          <w:noProof/>
          <w:sz w:val="24"/>
          <w:szCs w:val="24"/>
        </w:rPr>
      </w:pPr>
      <w:r>
        <w:rPr>
          <w:rFonts w:ascii="Times New Roman" w:hAnsi="Times New Roman"/>
          <w:b/>
          <w:bCs/>
          <w:noProof/>
          <w:sz w:val="24"/>
          <w:szCs w:val="24"/>
        </w:rPr>
        <w:t>В Нидерландия проектът „Възрастни хора в квартала“ продължи през 2018 г. и включваше 776 участници.</w:t>
      </w:r>
      <w:r>
        <w:rPr>
          <w:rFonts w:ascii="Times New Roman" w:hAnsi="Times New Roman"/>
          <w:b/>
          <w:noProof/>
          <w:sz w:val="24"/>
          <w:szCs w:val="24"/>
        </w:rPr>
        <w:t xml:space="preserve"> Участниците бяха по-малко в сравнение с 2017 г., но доста над равнището от 2016 г. </w:t>
      </w:r>
      <w:r>
        <w:rPr>
          <w:rFonts w:ascii="Times New Roman" w:hAnsi="Times New Roman"/>
          <w:noProof/>
          <w:sz w:val="24"/>
          <w:szCs w:val="24"/>
        </w:rPr>
        <w:t xml:space="preserve">Целта на проекта е да се намали социалното изключване сред възрастните хора в неравностойно положение. Всички обхванати лица бяха на възраст над 65 години. Общият брой на участниците за периода 2014—2018 г. е 2274 — което представлява 45 % от целта (5000). Един от важните резултати беше, че след 2 години участие в програмата около 84 % от възрастните хора все още продължаваха да са част от нея, 45 % заявиха, че са разширили своята социална мрежа, а 35 % — че са подобрили своите цифрови и финансови умения. През 2018 г. значително внимание беше отделено на достигането до хората в напреднала възраст с мигрантски произход, например от турски или марокански произход, до които е трудно да се достигне и поради това е вероятно те да бъдат изолирани. 29 % от участниците в проекта не са родени в Нидерландия. </w:t>
      </w:r>
    </w:p>
    <w:p>
      <w:pPr>
        <w:pStyle w:val="DGEMPLStandard"/>
        <w:rPr>
          <w:rFonts w:ascii="Times New Roman" w:hAnsi="Times New Roman"/>
          <w:noProof/>
          <w:sz w:val="24"/>
          <w:szCs w:val="24"/>
        </w:rPr>
      </w:pPr>
      <w:r>
        <w:rPr>
          <w:rFonts w:ascii="Times New Roman" w:hAnsi="Times New Roman"/>
          <w:b/>
          <w:bCs/>
          <w:noProof/>
          <w:sz w:val="24"/>
          <w:szCs w:val="24"/>
        </w:rPr>
        <w:t xml:space="preserve">Мерките за социално приобщаване в Швеция са с акцент върху насърчаване на здравето и предоставяне на основна информация относно шведското общество, насочена към хората в неравностойно положение, идващи от други държави от ЕС или ЕИП. </w:t>
      </w:r>
      <w:r>
        <w:rPr>
          <w:rFonts w:ascii="Times New Roman" w:hAnsi="Times New Roman"/>
          <w:noProof/>
          <w:sz w:val="24"/>
          <w:szCs w:val="24"/>
        </w:rPr>
        <w:t>Основните целеви групи са бездомни лица (или лица, изложени на риск от бездомничество), мигранти, лица с произход от друга държава, малцинствени общности, както и жени. Досега програмата е обхванала 2016 души, включително 414 през 2018 г. Процентът на лицата, които заявяват, че са получили подкрепа или подпомагане, се е повишил устойчиво от 2016 г. насам — от 43% до 84 % през 2018 г. Делът на лицата, които заявяват, че разполагат с подобрени условия за управление на здравето и хигиената, също се е повишил — от 38 % през 2016 г. до 82 % през 2018 г. Целта от 40 % за двата показателя е била надхвърлена в значителна степен.</w:t>
      </w:r>
    </w:p>
    <w:p>
      <w:pPr>
        <w:pStyle w:val="DGEMPLHeading5"/>
        <w:rPr>
          <w:rFonts w:ascii="Times New Roman" w:hAnsi="Times New Roman"/>
          <w:noProof/>
          <w:sz w:val="24"/>
          <w:szCs w:val="24"/>
        </w:rPr>
      </w:pPr>
      <w:r>
        <w:rPr>
          <w:rFonts w:ascii="Times New Roman" w:hAnsi="Times New Roman"/>
          <w:noProof/>
          <w:sz w:val="24"/>
          <w:szCs w:val="24"/>
        </w:rPr>
        <w:t>Пречки пред изпълнението</w:t>
      </w:r>
    </w:p>
    <w:p>
      <w:pPr>
        <w:pStyle w:val="DGEMPLStandard"/>
        <w:rPr>
          <w:rFonts w:ascii="Times New Roman" w:hAnsi="Times New Roman"/>
          <w:noProof/>
          <w:sz w:val="24"/>
          <w:szCs w:val="24"/>
        </w:rPr>
      </w:pPr>
      <w:r>
        <w:rPr>
          <w:rFonts w:ascii="Times New Roman" w:hAnsi="Times New Roman"/>
          <w:b/>
          <w:bCs/>
          <w:noProof/>
          <w:sz w:val="24"/>
          <w:szCs w:val="24"/>
        </w:rPr>
        <w:t>19 държави членки докладваха за пречки пред изпълнението.</w:t>
      </w:r>
      <w:r>
        <w:rPr>
          <w:rFonts w:ascii="Times New Roman" w:hAnsi="Times New Roman"/>
          <w:noProof/>
          <w:sz w:val="24"/>
          <w:szCs w:val="24"/>
        </w:rPr>
        <w:t xml:space="preserve"> Те включваха: i) оставащи логистични предизвикателства, като например разпределяне и съхранение (Гърция, Португалия, Унгария, Финландия); ii) правни въпроси, като например възлагане на обществени поръчки или защита на личните данни (Белгия, България, Гърция, Естония, Италия, Малта, Португалия, Румъния, Унгария); iii) липса на капацитет на партньорските организации (Дания, Полша, Унгария); iv) предизвикателства, свързани с достигането до целевите групи (Естония, Латвия, Полша, Унгария и Швеция); v) предизвикателства, свързани с мониторинга и събирането на данни относно крайните получатели (Италия, Румъния, Унгария); както и vi) проблеми с разпределените стоки, като например тяхното качество, разнообразие и тегло</w:t>
      </w:r>
      <w:r>
        <w:rPr>
          <w:rStyle w:val="FootnoteReference"/>
          <w:rFonts w:ascii="Times New Roman" w:hAnsi="Times New Roman"/>
          <w:noProof/>
        </w:rPr>
        <w:footnoteReference w:id="10"/>
      </w:r>
      <w:r>
        <w:rPr>
          <w:rFonts w:ascii="Times New Roman" w:hAnsi="Times New Roman"/>
          <w:noProof/>
          <w:sz w:val="24"/>
          <w:szCs w:val="24"/>
        </w:rPr>
        <w:t xml:space="preserve"> (Унгария, Франция). В Румъния бяха налице и общи предизвикателства, свързани с изпълнението, по-специално проблеми с възлагането на обществени поръчки и капацитета. Въпреки редовното наблюдение и подкрепа от страна на Комисията, както и активното използване на наличната техническа помощ за подобряване на капацитета на управляващия орган на FEAD, през отчетната година не бе възможно проблемите да бъдат разрешени.</w:t>
      </w:r>
    </w:p>
    <w:p>
      <w:pPr>
        <w:pStyle w:val="DGEMPLStandard"/>
        <w:rPr>
          <w:rFonts w:ascii="Times New Roman" w:hAnsi="Times New Roman"/>
          <w:noProof/>
          <w:sz w:val="24"/>
          <w:szCs w:val="24"/>
        </w:rPr>
      </w:pPr>
      <w:r>
        <w:rPr>
          <w:rFonts w:ascii="Times New Roman" w:hAnsi="Times New Roman"/>
          <w:b/>
          <w:bCs/>
          <w:noProof/>
          <w:sz w:val="24"/>
          <w:szCs w:val="24"/>
        </w:rPr>
        <w:t xml:space="preserve">Гъвкавостта на FEAD и тясното сътрудничество между управляващите органи и партньорските организации помогнаха на държавите да преодолеят редица от тези пречки. </w:t>
      </w:r>
      <w:r>
        <w:rPr>
          <w:rFonts w:ascii="Times New Roman" w:hAnsi="Times New Roman"/>
          <w:noProof/>
          <w:sz w:val="24"/>
          <w:szCs w:val="24"/>
        </w:rPr>
        <w:t>В Италия управляващият орган организира среща с бенефициери на материално подпомагане с цел да предложи допълнителна подкрепа при проблеми с изпълнението. През 2018 г. Франция измени системата си за управление и прие нови процедури, по-специално за вътрешен контрол, логистика и техническа помощ с оглед завършване на одитната среда на програмата.</w:t>
      </w:r>
    </w:p>
    <w:p>
      <w:pPr>
        <w:pStyle w:val="DGEMPLHeading5"/>
        <w:rPr>
          <w:rFonts w:ascii="Times New Roman" w:hAnsi="Times New Roman"/>
          <w:noProof/>
          <w:sz w:val="24"/>
          <w:szCs w:val="24"/>
        </w:rPr>
      </w:pPr>
      <w:r>
        <w:rPr>
          <w:rFonts w:ascii="Times New Roman" w:hAnsi="Times New Roman"/>
          <w:noProof/>
          <w:sz w:val="24"/>
          <w:szCs w:val="24"/>
        </w:rPr>
        <w:t>Хоризонтални принципи</w:t>
      </w:r>
    </w:p>
    <w:p>
      <w:pPr>
        <w:pStyle w:val="DGEMPLStandard"/>
        <w:rPr>
          <w:rFonts w:ascii="Times New Roman" w:hAnsi="Times New Roman"/>
          <w:noProof/>
          <w:sz w:val="24"/>
          <w:szCs w:val="24"/>
        </w:rPr>
      </w:pPr>
      <w:r>
        <w:rPr>
          <w:rFonts w:ascii="Times New Roman" w:hAnsi="Times New Roman"/>
          <w:noProof/>
          <w:sz w:val="24"/>
          <w:szCs w:val="24"/>
        </w:rPr>
        <w:t>В член 5 от Регламента за FEAD се определят хоризонтални принципи, които следва да се прилагат еднакво при проектирането и изпълнението на Фонда. Те включват допълване на финансирането, равенство между половете, борба с дискриминацията, избягване на хранителни отпадъци, балансирано хранене и екологични и климатични аспекти. Държавите членки следва да спазват тези принципи и да докладват за тях в своите годишни доклади за изпълнението.</w:t>
      </w:r>
    </w:p>
    <w:p>
      <w:pPr>
        <w:pStyle w:val="DGEMPLStandard"/>
        <w:rPr>
          <w:rFonts w:ascii="Times New Roman" w:hAnsi="Times New Roman"/>
          <w:noProof/>
          <w:sz w:val="24"/>
          <w:szCs w:val="24"/>
        </w:rPr>
      </w:pPr>
      <w:r>
        <w:rPr>
          <w:rFonts w:ascii="Times New Roman" w:hAnsi="Times New Roman"/>
          <w:b/>
          <w:bCs/>
          <w:noProof/>
          <w:sz w:val="24"/>
          <w:szCs w:val="24"/>
        </w:rPr>
        <w:t>Държавите членки вземат предвид тези общи принципи. Те изпълняват принципа на допълняемост, като използват други инструменти за финансиране.</w:t>
      </w:r>
      <w:r>
        <w:rPr>
          <w:rFonts w:ascii="Times New Roman" w:hAnsi="Times New Roman"/>
          <w:noProof/>
          <w:sz w:val="24"/>
          <w:szCs w:val="24"/>
        </w:rPr>
        <w:t xml:space="preserve"> В Естония Министерството на социалните въпроси също така е междинният орган за ЕСФ, който осигурява единно становище и поток от информация относно услугите, предоставяни от двата фонда. Финландия докладва за полезни взаимодействия между проектите за социално приобщаване, съфинансирани от ЕСФ, които изпълняват ролята на съпътстващи мерки във връзка с разпределението на хранителни продукти по линия на FEAD. </w:t>
      </w:r>
    </w:p>
    <w:p>
      <w:pPr>
        <w:pStyle w:val="DGEMPLStandard"/>
        <w:rPr>
          <w:rFonts w:ascii="Times New Roman" w:hAnsi="Times New Roman"/>
          <w:b/>
          <w:bCs/>
          <w:noProof/>
          <w:sz w:val="24"/>
          <w:szCs w:val="24"/>
        </w:rPr>
      </w:pPr>
      <w:r>
        <w:rPr>
          <w:rFonts w:ascii="Times New Roman" w:hAnsi="Times New Roman"/>
          <w:b/>
          <w:bCs/>
          <w:noProof/>
          <w:sz w:val="24"/>
          <w:szCs w:val="24"/>
        </w:rPr>
        <w:t>Няколко държави членки обясниха как прилагат принципа за равенство между половете.</w:t>
      </w:r>
      <w:r>
        <w:rPr>
          <w:rFonts w:ascii="Times New Roman" w:hAnsi="Times New Roman"/>
          <w:noProof/>
          <w:sz w:val="24"/>
          <w:szCs w:val="24"/>
        </w:rPr>
        <w:t xml:space="preserve"> В Чехия се обхващат самотни майки, които се считат за особено уязвима група. Германия поставя акцент върху консултирането на жени по въпроси, свързани с грижа за децата и здравето, както и върху изготвянето на информационни справки за половете, които да бъдат използвани от партньорските организации. В Швеция два проекта са посветени специално на здравето на жените, а други проекти бяха адаптирани с цел по-добро насочване към жените. В Швеция и Нидерландия 80 % от получателите на подпомагане за социално приобщаване бяха жени.</w:t>
      </w:r>
    </w:p>
    <w:p>
      <w:pPr>
        <w:pStyle w:val="DGEMPLStandard"/>
        <w:rPr>
          <w:rFonts w:ascii="Times New Roman" w:hAnsi="Times New Roman"/>
          <w:noProof/>
          <w:sz w:val="24"/>
          <w:szCs w:val="24"/>
        </w:rPr>
      </w:pPr>
      <w:r>
        <w:rPr>
          <w:rFonts w:ascii="Times New Roman" w:hAnsi="Times New Roman"/>
          <w:b/>
          <w:bCs/>
          <w:noProof/>
          <w:sz w:val="24"/>
          <w:szCs w:val="24"/>
        </w:rPr>
        <w:t>Повечето държави членки изрично посочиха действия за борба с дискриминацията.</w:t>
      </w:r>
      <w:r>
        <w:rPr>
          <w:rFonts w:ascii="Times New Roman" w:hAnsi="Times New Roman"/>
          <w:noProof/>
          <w:sz w:val="24"/>
          <w:szCs w:val="24"/>
        </w:rPr>
        <w:t xml:space="preserve"> Германия и Латвия осигуряват насоки и семинари относно недопускане на дискриминация. В Унгария се вземат предвид специалните потребности на хората с увреждания, например разпределението на храна се извършва на места с безпрепятствен достъп и също така се предоставя помощ за вземането на пакетите с храна. В Люксембург се осигурява достъпност за хората с увреждания. България твърди, че FEAD допринася за равните възможности посредством осигуряването на специфични ястия, които се основават на етническата принадлежност и религията.</w:t>
      </w:r>
    </w:p>
    <w:p>
      <w:pPr>
        <w:pStyle w:val="DGEMPLStandard"/>
        <w:rPr>
          <w:rFonts w:ascii="Times New Roman" w:hAnsi="Times New Roman"/>
          <w:noProof/>
          <w:sz w:val="24"/>
          <w:szCs w:val="24"/>
        </w:rPr>
      </w:pPr>
      <w:r>
        <w:rPr>
          <w:rFonts w:ascii="Times New Roman" w:hAnsi="Times New Roman"/>
          <w:b/>
          <w:bCs/>
          <w:noProof/>
          <w:sz w:val="24"/>
          <w:szCs w:val="24"/>
        </w:rPr>
        <w:t xml:space="preserve">В повечето национални програми по линия на FEAD се отдава приоритет на мерките за справяне с хранителните отпадъци. </w:t>
      </w:r>
      <w:r>
        <w:rPr>
          <w:rFonts w:ascii="Times New Roman" w:hAnsi="Times New Roman"/>
          <w:noProof/>
          <w:sz w:val="24"/>
          <w:szCs w:val="24"/>
        </w:rPr>
        <w:t>В Ирландия хранителните отпадъци се намаляват, като събрана от супермаркети храна се комбинира с разпределената храна по линия на FEAD. В Малта и Испания пакетите с храни са адаптирани спрямо нуждите на лицата, които ги получават, с цел да се избегнат отпадъците. В Словения се отдава приоритет на ефективността на системата за разпределение на храните, за да се гарантира, че хората получават храна бързо и доста преди датата на изтичане на срока на годност. В Белгия като част от мерките по FEAD се разпределя прясна супа, приготвена с непродадени храни. Белгия също така насърчава даренията на храна чрез освобождаване от ДДС и посредством Харта между сектора на подпомагането с хранителни продукти и веригите за търговия на дребно. Във Франция законът за „борба с отпадъците“ от 2016 г. се прилага широко от партньорските организации, което доведе до значително намаляване на хранителните отпадъци. През 2016 г. в техните тръжни процедури за избор на доставчици беше добавен критерият за отчитане на въглеродния отпечатък при транспортирането на хранителни продукти. В Хърватия в документацията по поканата, свързана с хранителния недоимък, основните материални лишения и техническата помощ, се уточнява как да се предотвратяват хранителните отпадъци, как да се гарантира безопасността на продуктите и как да се защитават общественото здраве и околната среда. В Литва всички нераздадени пакети с храна се предоставят на столове, които приготвят и предоставят храна на бездомни лица.</w:t>
      </w:r>
    </w:p>
    <w:p>
      <w:pPr>
        <w:pStyle w:val="DGEMPLStandard"/>
        <w:rPr>
          <w:rFonts w:ascii="Times New Roman" w:hAnsi="Times New Roman"/>
          <w:noProof/>
          <w:sz w:val="24"/>
          <w:szCs w:val="24"/>
        </w:rPr>
      </w:pPr>
      <w:r>
        <w:rPr>
          <w:rFonts w:ascii="Times New Roman" w:hAnsi="Times New Roman"/>
          <w:b/>
          <w:noProof/>
          <w:sz w:val="24"/>
          <w:szCs w:val="24"/>
        </w:rPr>
        <w:t>Редица държави членки посочиха, че разпределят разнообразна и балансирана храна.</w:t>
      </w:r>
      <w:r>
        <w:rPr>
          <w:rFonts w:ascii="Times New Roman" w:hAnsi="Times New Roman"/>
          <w:noProof/>
          <w:sz w:val="24"/>
          <w:szCs w:val="24"/>
        </w:rPr>
        <w:t xml:space="preserve"> Във Франция ястията се адаптират спрямо възрастта и условията на живот на лицата, които ги получават. Пакетите с храна в Португалия имат за цел да се задоволят поне 50 % от енергийните и хранителни нужди на дадено лице, а ежедневните порции включват всяка от седемте групи храни. В Словакия Органът за общественото здраве е извършил оценка на състава на пакетите с храни с оглед да се гарантира правилният хранителен баланс. В Естония беше проведена консултация с Националния институт за здравно развитие относно пакетите с храни и той препоръча да бъдат изключени най-често срещаните алергени (например ядки и храни, съдържащи ядки). В България бяха взети предвид инструкциите на Министерството на здравеопазването, както и обратната информация от получателите. В Латвия бяха организирани дейности за насърчаване на здравето, например относно здравословно хранене и здравословен начин на живот, въпроси във връзка с грижите за децата, предотвратяване на зависимости, умения за оказване на първа помощ, ответни действия при извънредни ситуации и профилактика за заболяванията.</w:t>
      </w:r>
      <w:r>
        <w:rPr>
          <w:rFonts w:ascii="Times New Roman" w:hAnsi="Times New Roman"/>
          <w:noProof/>
          <w:color w:val="FF0000"/>
          <w:sz w:val="24"/>
          <w:szCs w:val="24"/>
        </w:rPr>
        <w:t xml:space="preserve"> </w:t>
      </w:r>
    </w:p>
    <w:p>
      <w:pPr>
        <w:pStyle w:val="DGEMPLStandard"/>
        <w:rPr>
          <w:rFonts w:ascii="Times New Roman" w:hAnsi="Times New Roman"/>
          <w:noProof/>
          <w:sz w:val="24"/>
          <w:szCs w:val="24"/>
        </w:rPr>
      </w:pPr>
      <w:r>
        <w:rPr>
          <w:rFonts w:ascii="Times New Roman" w:hAnsi="Times New Roman"/>
          <w:b/>
          <w:bCs/>
          <w:noProof/>
          <w:sz w:val="24"/>
          <w:szCs w:val="24"/>
        </w:rPr>
        <w:t xml:space="preserve">Редица държави членки вземат предвид климатичните и екологичните аспекти. </w:t>
      </w:r>
      <w:r>
        <w:rPr>
          <w:rFonts w:ascii="Times New Roman" w:hAnsi="Times New Roman"/>
          <w:noProof/>
          <w:sz w:val="24"/>
          <w:szCs w:val="24"/>
        </w:rPr>
        <w:t xml:space="preserve">Австрия докладва, че по екологични причини са избрани висококачествени трайни продукти. В Чехия в рамките на FEAD се поръчват само екологично чисти продукти, които насърчават рециклирането. Партньорските организации избират продукти от кошница със стоки според нуждите на своите ползватели. Това свежда до минимум риска от предоставяне на нежелани продукти и се избягва генерирането на отпадъци. </w:t>
      </w:r>
    </w:p>
    <w:p>
      <w:pPr>
        <w:pStyle w:val="DGEMPLStandard"/>
        <w:rPr>
          <w:rFonts w:ascii="Times New Roman" w:hAnsi="Times New Roman"/>
          <w:b/>
          <w:noProof/>
          <w:sz w:val="24"/>
          <w:szCs w:val="24"/>
        </w:rPr>
      </w:pPr>
    </w:p>
    <w:p>
      <w:pPr>
        <w:pStyle w:val="DGEMPLStandard"/>
        <w:rPr>
          <w:rFonts w:ascii="Times New Roman" w:hAnsi="Times New Roman"/>
          <w:noProof/>
          <w:sz w:val="24"/>
          <w:szCs w:val="24"/>
        </w:rPr>
      </w:pPr>
      <w:r>
        <w:rPr>
          <w:rFonts w:ascii="Times New Roman" w:hAnsi="Times New Roman"/>
          <w:b/>
          <w:noProof/>
          <w:sz w:val="24"/>
          <w:szCs w:val="24"/>
        </w:rPr>
        <w:t>Оценки</w:t>
      </w:r>
    </w:p>
    <w:p>
      <w:pPr>
        <w:pStyle w:val="DGEMPLStandard"/>
        <w:rPr>
          <w:rFonts w:ascii="Times New Roman" w:hAnsi="Times New Roman"/>
          <w:noProof/>
          <w:sz w:val="24"/>
          <w:szCs w:val="24"/>
        </w:rPr>
      </w:pPr>
      <w:r>
        <w:rPr>
          <w:rFonts w:ascii="Times New Roman" w:hAnsi="Times New Roman"/>
          <w:b/>
          <w:bCs/>
          <w:noProof/>
          <w:sz w:val="24"/>
          <w:szCs w:val="24"/>
        </w:rPr>
        <w:t xml:space="preserve">Според задълбочени оценки въздействието на дейностите по линия на FEAD в отделните държави членки като цяло е положително. </w:t>
      </w:r>
      <w:r>
        <w:rPr>
          <w:rFonts w:ascii="Times New Roman" w:hAnsi="Times New Roman"/>
          <w:noProof/>
          <w:sz w:val="24"/>
          <w:szCs w:val="24"/>
        </w:rPr>
        <w:t>Например в доклада на Люксембург се стига до заключението, че подкрепата от FEAD позволява на държавата да задели ресурси от бюджета си за други обществени нужди. В Португалия от национално проучване стана ясно, че подпомагането с хранителни продукти е позволило на 72 % от лицата, обхванати от ОП, да управляват по-добре бюджета на домакинството си. В оценката на Франция бяха изразени съмнения относно връзката между програмата по линия на FEAD и намаляването на бедността предвид сложния и многоизмерен характер на бедността. Въпреки това, тъй като подпомагането с хранителни продукти представлява първият контакт с лица, изправени пред трудности, и предоставя възможност за персонализирана подкрепа, положителното му въздействие следва да може се наблюдава с течение на времето.</w:t>
      </w:r>
    </w:p>
    <w:p>
      <w:pPr>
        <w:pStyle w:val="DGEMPLStandard"/>
        <w:rPr>
          <w:rFonts w:ascii="Times New Roman" w:hAnsi="Times New Roman"/>
          <w:noProof/>
          <w:sz w:val="24"/>
          <w:szCs w:val="24"/>
        </w:rPr>
      </w:pPr>
      <w:r>
        <w:rPr>
          <w:rFonts w:ascii="Times New Roman" w:hAnsi="Times New Roman"/>
          <w:b/>
          <w:bCs/>
          <w:noProof/>
          <w:sz w:val="24"/>
          <w:szCs w:val="24"/>
        </w:rPr>
        <w:t>Някои държави членки използваха специфични критерии за оценка и/или оцениха специфични въпроси.</w:t>
      </w:r>
      <w:r>
        <w:rPr>
          <w:rFonts w:ascii="Times New Roman" w:hAnsi="Times New Roman"/>
          <w:noProof/>
          <w:sz w:val="24"/>
          <w:szCs w:val="24"/>
        </w:rPr>
        <w:t xml:space="preserve"> Белгия проведе пазарно проучване, за да провери кои здравословни продукти могат да се купуват и разпределят с минимално въздействие върху околната среда. Гърция проучи приноса на програмата за борбата с продоволствената несигурност, т.е. дали с нея е постигнат хранителен прием в съответствие с научните препоръки и дали качеството на живот на получателите се е подобрило.</w:t>
      </w:r>
      <w:r>
        <w:rPr>
          <w:rFonts w:ascii="Times New Roman" w:hAnsi="Times New Roman"/>
          <w:strike/>
          <w:noProof/>
          <w:sz w:val="24"/>
          <w:szCs w:val="24"/>
        </w:rPr>
        <w:t xml:space="preserve"> </w:t>
      </w:r>
    </w:p>
    <w:p>
      <w:pPr>
        <w:pStyle w:val="DGEMPLLabelboxes"/>
        <w:rPr>
          <w:rFonts w:ascii="Times New Roman" w:hAnsi="Times New Roman"/>
          <w:noProof/>
          <w:sz w:val="22"/>
          <w:szCs w:val="22"/>
        </w:rPr>
      </w:pPr>
      <w:r>
        <w:rPr>
          <w:rFonts w:ascii="Times New Roman" w:hAnsi="Times New Roman"/>
          <w:noProof/>
          <w:sz w:val="22"/>
          <w:szCs w:val="22"/>
        </w:rPr>
        <w:t>Дейности по оценка в Ирландия и Испания</w:t>
      </w:r>
    </w:p>
    <w:tbl>
      <w:tblPr>
        <w:tblStyle w:val="TableGrid"/>
        <w:tblW w:w="0" w:type="auto"/>
        <w:tblLook w:val="04A0" w:firstRow="1" w:lastRow="0" w:firstColumn="1" w:lastColumn="0" w:noHBand="0" w:noVBand="1"/>
      </w:tblPr>
      <w:tblGrid>
        <w:gridCol w:w="9180"/>
      </w:tblGrid>
      <w:tr>
        <w:trPr>
          <w:trHeight w:val="132"/>
        </w:trPr>
        <w:tc>
          <w:tcPr>
            <w:tcW w:w="9180" w:type="dxa"/>
          </w:tcPr>
          <w:p>
            <w:pPr>
              <w:pStyle w:val="DGEMPLStandard"/>
              <w:rPr>
                <w:rFonts w:ascii="Times New Roman" w:hAnsi="Times New Roman"/>
                <w:noProof/>
                <w:sz w:val="24"/>
                <w:szCs w:val="24"/>
              </w:rPr>
            </w:pPr>
            <w:r>
              <w:rPr>
                <w:rFonts w:ascii="Times New Roman" w:hAnsi="Times New Roman"/>
                <w:noProof/>
                <w:sz w:val="24"/>
                <w:szCs w:val="24"/>
              </w:rPr>
              <w:t xml:space="preserve">В Ирландия управляващият орган на FEAD редовно провежда проучвания сред заинтересованите страни. Основните констатации са, че подпомагането оказва положително въздействие върху лицата в неравностойно положение — помага им да продължат живота си и увеличава социалните им контакти, както и че освобождава парични средства за други действия от основно значение. Високото качество на училищните комплекти беше похвалено, а децата, които се възползваха от тях, бяха много доволни, че имат материали, които са с подобно качество като тези на техните приятели. Друго ключово предимство е, че хранителните банки са успели да увеличат доставките си и да осигурят редовността им. Освен това „FoodCloud Hubs“ — основната партньорска организация — успя да съчетае храни, събрани от супермаркети, с финансирани по линия на FEAD храни. Това оказва положително въздействие върху околната среда, тъй като колкото по-малко хранителни отпадъци се изпращат за депониране, толкова по-ниски са въглеродните емисии. </w:t>
            </w:r>
          </w:p>
          <w:p>
            <w:pPr>
              <w:pStyle w:val="DGEMPLStandard"/>
              <w:rPr>
                <w:rFonts w:ascii="Times New Roman" w:hAnsi="Times New Roman"/>
                <w:noProof/>
                <w:sz w:val="24"/>
                <w:szCs w:val="24"/>
              </w:rPr>
            </w:pPr>
            <w:r>
              <w:rPr>
                <w:rFonts w:ascii="Times New Roman" w:hAnsi="Times New Roman"/>
                <w:noProof/>
                <w:sz w:val="24"/>
                <w:szCs w:val="24"/>
              </w:rPr>
              <w:t>В Испания Червеният кръст и Федерацията на хранителните банки извършиха цялостна оценка на FEAD през 2018 г.</w:t>
            </w:r>
            <w:r>
              <w:rPr>
                <w:rStyle w:val="FootnoteReference"/>
                <w:rFonts w:ascii="Times New Roman" w:hAnsi="Times New Roman"/>
                <w:noProof/>
                <w:sz w:val="16"/>
                <w:szCs w:val="16"/>
              </w:rPr>
              <w:footnoteReference w:id="11"/>
            </w:r>
            <w:r>
              <w:rPr>
                <w:rFonts w:ascii="Times New Roman" w:hAnsi="Times New Roman"/>
                <w:noProof/>
                <w:sz w:val="24"/>
                <w:szCs w:val="24"/>
              </w:rPr>
              <w:t>. В техния доклад се стига до заключението, че подпомагането по линия на FEAD се оценява високо от бенефициерите — 96 % от тях биха го препоръчали на други, а 76 % споделят, че разпределената храна „ги спасява от много трудности“. Въпреки това в него също така се потвърждава, че въпреки че спомага за облекчаване на екстремните форми на бедност и че подпомага изхранването на семействата, програмата не е достатъчна, за да може семействата и лицата да се избавят от несигурното си положение.</w:t>
            </w:r>
          </w:p>
        </w:tc>
      </w:tr>
    </w:tbl>
    <w:p>
      <w:pPr>
        <w:pStyle w:val="DGEMPLStandard"/>
        <w:rPr>
          <w:noProof/>
        </w:rPr>
      </w:pPr>
    </w:p>
    <w:p>
      <w:pPr>
        <w:pStyle w:val="DGEMPLHeading1"/>
        <w:pageBreakBefore w:val="0"/>
        <w:numPr>
          <w:ilvl w:val="0"/>
          <w:numId w:val="14"/>
        </w:numPr>
        <w:rPr>
          <w:rFonts w:ascii="Times New Roman" w:hAnsi="Times New Roman"/>
          <w:noProof/>
          <w:szCs w:val="24"/>
        </w:rPr>
      </w:pPr>
      <w:bookmarkStart w:id="18" w:name="_Toc23423365"/>
      <w:r>
        <w:rPr>
          <w:rFonts w:ascii="Times New Roman" w:hAnsi="Times New Roman"/>
          <w:noProof/>
          <w:szCs w:val="24"/>
        </w:rPr>
        <w:t>ЗАКЛЮЧЕНИЯ</w:t>
      </w:r>
      <w:bookmarkEnd w:id="18"/>
    </w:p>
    <w:p>
      <w:pPr>
        <w:pStyle w:val="DGEMPLStandard"/>
        <w:rPr>
          <w:rFonts w:ascii="Times New Roman" w:hAnsi="Times New Roman"/>
          <w:noProof/>
          <w:sz w:val="24"/>
          <w:szCs w:val="24"/>
        </w:rPr>
      </w:pPr>
      <w:r>
        <w:rPr>
          <w:rFonts w:ascii="Times New Roman" w:hAnsi="Times New Roman"/>
          <w:b/>
          <w:bCs/>
          <w:noProof/>
          <w:sz w:val="24"/>
          <w:szCs w:val="24"/>
        </w:rPr>
        <w:t>Финансовите ангажименти по програмата по линия на FEAD се увеличиха значително, като през 2018 г. достигнаха 762,2 милиона евро.</w:t>
      </w:r>
      <w:r>
        <w:rPr>
          <w:rFonts w:ascii="Times New Roman" w:hAnsi="Times New Roman"/>
          <w:noProof/>
          <w:sz w:val="24"/>
          <w:szCs w:val="24"/>
        </w:rPr>
        <w:t xml:space="preserve"> Съвкупните поети задължения за разходи за периода 2014—2018 г. достигнаха близо 2,732 милиарда евро, което представлява 61 % от общите ресурси на програмите (ЕС и национално съфинансиране). Това показва, че изпълнението на бюджета на FEAD върви по план. Плащанията също се увеличиха съществено, като междинните плащания на Комисията до 31 декември 2019 г. надхвърлят 38 % от общия размер на отпуснатите средства за периода 2014—2020 г. (25 % до края на 2018 г.).</w:t>
      </w:r>
    </w:p>
    <w:p>
      <w:pPr>
        <w:pStyle w:val="DGEMPLStandard"/>
        <w:rPr>
          <w:rFonts w:ascii="Times New Roman" w:hAnsi="Times New Roman"/>
          <w:noProof/>
          <w:sz w:val="24"/>
          <w:szCs w:val="24"/>
        </w:rPr>
      </w:pPr>
      <w:r>
        <w:rPr>
          <w:rFonts w:ascii="Times New Roman" w:hAnsi="Times New Roman"/>
          <w:b/>
          <w:bCs/>
          <w:noProof/>
          <w:sz w:val="24"/>
          <w:szCs w:val="24"/>
        </w:rPr>
        <w:t xml:space="preserve">Повечето държави членки затвърдиха постигнатите си резултати по отношение на разпределянето и отбелязаха добър напредък при постигане на целите си. </w:t>
      </w:r>
      <w:r>
        <w:rPr>
          <w:rFonts w:ascii="Times New Roman" w:hAnsi="Times New Roman"/>
          <w:noProof/>
          <w:sz w:val="24"/>
          <w:szCs w:val="24"/>
        </w:rPr>
        <w:t xml:space="preserve">През 2018 г. 26 държави членки успешно предоставиха подпомагане по линия на FEAD. Подпомагането с хранителни продукти като цяло се запази на стабилно равнище в сравнение с предходната година. Предоставянето на основно материално подпомагане продължи да се увеличава, като през 2018 г. разпределеното подпомагане беше с 29 % повече в сравнение с 2017 г. Кипър, Литва и Унгария през 2018 г. за първи път разпределиха основно материално подпомагане. Въпреки това продължават да съществуват някои проблеми по отношение на изпълнението, а именно забавяния, както и предизвикателства във връзка с логистиката, правните аспекти, достигането до целевите групи, наблюдението и оценката, както и липсата на капацитет на партньорските организации. Повечето държави членки успяха да преодолеят тези трудности благодарение на доверието и сътрудничеството от страна на заинтересованите страни, въпреки че понякога бяха необходими изменения на програмата. Въпреки внимателното наблюдение на Комисията обаче Румъния не предостави подпомагане през 2018 г. поради институционални промени и постоянни проблеми с възлагането на обществени поръчки. </w:t>
      </w:r>
    </w:p>
    <w:p>
      <w:pPr>
        <w:pStyle w:val="DGEMPLStandard"/>
        <w:rPr>
          <w:rFonts w:ascii="Times New Roman" w:hAnsi="Times New Roman"/>
          <w:b/>
          <w:bCs/>
          <w:noProof/>
          <w:sz w:val="24"/>
          <w:szCs w:val="24"/>
        </w:rPr>
      </w:pPr>
      <w:r>
        <w:rPr>
          <w:rFonts w:ascii="Times New Roman" w:hAnsi="Times New Roman"/>
          <w:b/>
          <w:bCs/>
          <w:noProof/>
          <w:sz w:val="24"/>
          <w:szCs w:val="24"/>
        </w:rPr>
        <w:t xml:space="preserve">Според оценките почти 13 милиона души са се възползвали от подкрепата по линия на FEAD през 2018 г. </w:t>
      </w:r>
      <w:r>
        <w:rPr>
          <w:rFonts w:ascii="Times New Roman" w:hAnsi="Times New Roman"/>
          <w:bCs/>
          <w:noProof/>
          <w:sz w:val="24"/>
          <w:szCs w:val="24"/>
        </w:rPr>
        <w:t xml:space="preserve">Подкрепата по линия на FEAD се доказа като устойчива през годините. </w:t>
      </w:r>
      <w:r>
        <w:rPr>
          <w:rFonts w:ascii="Times New Roman" w:hAnsi="Times New Roman"/>
          <w:noProof/>
          <w:sz w:val="24"/>
          <w:szCs w:val="24"/>
        </w:rPr>
        <w:t xml:space="preserve">Подпомагането с хранителни продукти продължава да бъде най-често срещаният вид подпомагане. От общия брой на крайните получатели над 12,5 милиона (92 %) са получили подпомагане с хранителни продукти, а около 998 000 (7 %) са получили основно материално подпомагане през 2018 г., докато почти 39 000 са участвали в програми за социално приобщаване (FEAD ОП II). </w:t>
      </w:r>
      <w:r>
        <w:rPr>
          <w:rFonts w:ascii="Times New Roman" w:hAnsi="Times New Roman"/>
          <w:bCs/>
          <w:noProof/>
          <w:sz w:val="24"/>
          <w:szCs w:val="24"/>
        </w:rPr>
        <w:t>Както и в предходните години, децата продължават да бъдат най-голямата единична група получатели (29 % от всички крайни получатели). Специфичните целеви групи включваха бездомни лица (7 %) и хора с увреждания (5 %). Приблизително 10 % от всички подпомогнати бяха мигранти, лица с произход от друга държава или лица от малцинствени общности, а 8 % бяха лица на възраст 65 години или по-възрастни.</w:t>
      </w:r>
    </w:p>
    <w:p>
      <w:pPr>
        <w:pStyle w:val="DGEMPLStandard"/>
        <w:rPr>
          <w:rFonts w:ascii="Times New Roman" w:hAnsi="Times New Roman"/>
          <w:b/>
          <w:bCs/>
          <w:noProof/>
          <w:sz w:val="24"/>
          <w:szCs w:val="24"/>
        </w:rPr>
      </w:pPr>
      <w:r>
        <w:rPr>
          <w:rFonts w:ascii="Times New Roman" w:hAnsi="Times New Roman"/>
          <w:b/>
          <w:bCs/>
          <w:noProof/>
          <w:sz w:val="24"/>
          <w:szCs w:val="24"/>
        </w:rPr>
        <w:t>Както и в предходните години, от докладите става ясно, че гъвкавостта на FEAD е била от основно значение за неговото ефективно и ефикасно изпълнение.</w:t>
      </w:r>
      <w:r>
        <w:rPr>
          <w:rFonts w:ascii="Times New Roman" w:hAnsi="Times New Roman"/>
          <w:noProof/>
          <w:sz w:val="24"/>
          <w:szCs w:val="24"/>
        </w:rPr>
        <w:t xml:space="preserve"> Ролята на партньорските организации по отношение на познаването на целевите групи и достигането до тях беше особено важна. FEAD обаче също така помогна на партньорските организации да станат по-ефективни, включително по отношение на сроковете за доставка и институционалното сътрудничество.</w:t>
      </w:r>
      <w:r>
        <w:rPr>
          <w:rFonts w:ascii="Times New Roman" w:hAnsi="Times New Roman"/>
          <w:bCs/>
          <w:noProof/>
          <w:sz w:val="24"/>
          <w:szCs w:val="24"/>
        </w:rPr>
        <w:t xml:space="preserve"> </w:t>
      </w:r>
      <w:r>
        <w:rPr>
          <w:rFonts w:ascii="Times New Roman" w:hAnsi="Times New Roman"/>
          <w:noProof/>
          <w:sz w:val="24"/>
          <w:szCs w:val="24"/>
        </w:rPr>
        <w:t xml:space="preserve">Освен това държавите членки и партньорските организации бяха в състояние да вземат решения относно това как и кога да достигнат до целевите групи и това се оказа от съществено значение за установяване на взаимоотношения на взаимно доверие с крайните получатели. </w:t>
      </w:r>
    </w:p>
    <w:p>
      <w:pPr>
        <w:pStyle w:val="DGEMPLStandard"/>
        <w:rPr>
          <w:rFonts w:ascii="Times New Roman" w:hAnsi="Times New Roman"/>
          <w:noProof/>
          <w:sz w:val="24"/>
          <w:szCs w:val="24"/>
        </w:rPr>
      </w:pPr>
      <w:r>
        <w:rPr>
          <w:rFonts w:ascii="Times New Roman" w:hAnsi="Times New Roman"/>
          <w:b/>
          <w:bCs/>
          <w:noProof/>
          <w:sz w:val="24"/>
          <w:szCs w:val="24"/>
        </w:rPr>
        <w:t xml:space="preserve">Съпътстващите мерки са добре установени и по-разнообразни. </w:t>
      </w:r>
      <w:r>
        <w:rPr>
          <w:rFonts w:ascii="Times New Roman" w:hAnsi="Times New Roman"/>
          <w:noProof/>
          <w:sz w:val="24"/>
          <w:szCs w:val="24"/>
        </w:rPr>
        <w:t>Според докладите на държавите всички държави членки, участващи в ОП I, които са изпълнявали FEAD през 2018 г., са въвели съпътстващи мерки. Образователните дейности за насърчаване на здравословното хранене/готварски семинари бяха най-често срещаният вид съпътстваща мярка, последвани от индивидуално обучение и семинари, както и от психологическа и терапевтична подкрепа. Насочването към компетентни служби продължи да бъде решителната първа стъпка за излизане от бедността. В по-общ план се появи разнообразен набор от добри практики.</w:t>
      </w:r>
    </w:p>
    <w:p>
      <w:pPr>
        <w:pStyle w:val="DGEMPLStandard"/>
        <w:rPr>
          <w:rFonts w:ascii="Times New Roman" w:hAnsi="Times New Roman"/>
          <w:noProof/>
          <w:sz w:val="24"/>
          <w:szCs w:val="24"/>
        </w:rPr>
      </w:pPr>
      <w:r>
        <w:rPr>
          <w:rFonts w:ascii="Times New Roman" w:hAnsi="Times New Roman"/>
          <w:b/>
          <w:bCs/>
          <w:noProof/>
          <w:sz w:val="24"/>
          <w:szCs w:val="24"/>
        </w:rPr>
        <w:t>Като цяло държавите членки докладват, че спазват хоризонталните принципи.</w:t>
      </w:r>
      <w:r>
        <w:rPr>
          <w:rFonts w:ascii="Times New Roman" w:hAnsi="Times New Roman"/>
          <w:noProof/>
          <w:sz w:val="24"/>
          <w:szCs w:val="24"/>
        </w:rPr>
        <w:t xml:space="preserve"> Всички гарантираха, че достъпът до подпомагане е бил равен както за мъжете, така и за жените, и повечето подчертаха, че не е имало дискриминация въз основа на пол, расов или етнически произход, религия или убеждения, увреждане, възраст или сексуална ориентация. Някои държави членки положиха усилия да гарантират, че съдържанието на хранителните пакети по линия на FEAD съответства на исканията на партньорските организации и крайните получатели с цел да се избегнат хранителните отпадъци.</w:t>
      </w:r>
      <w:r>
        <w:rPr>
          <w:rFonts w:ascii="Times New Roman" w:hAnsi="Times New Roman"/>
          <w:bCs/>
          <w:noProof/>
          <w:sz w:val="24"/>
          <w:szCs w:val="24"/>
        </w:rPr>
        <w:t xml:space="preserve"> </w:t>
      </w:r>
      <w:r>
        <w:rPr>
          <w:rFonts w:ascii="Times New Roman" w:hAnsi="Times New Roman"/>
          <w:noProof/>
          <w:sz w:val="24"/>
          <w:szCs w:val="24"/>
        </w:rPr>
        <w:t>Държавите членки положиха усилия да осигурят основно здравословни храни и обърнаха специално внимание на съхранението и своевременната доставка, както и на използването на рециклирани материали. Тези аспекти също така допринесоха за опазване на климата и на околната среда.</w:t>
      </w:r>
    </w:p>
    <w:p>
      <w:pPr>
        <w:pStyle w:val="DGEMPLStandard"/>
        <w:rPr>
          <w:rFonts w:ascii="Times New Roman" w:hAnsi="Times New Roman"/>
          <w:noProof/>
          <w:sz w:val="24"/>
          <w:szCs w:val="24"/>
        </w:rPr>
      </w:pPr>
      <w:r>
        <w:rPr>
          <w:rFonts w:ascii="Times New Roman" w:hAnsi="Times New Roman"/>
          <w:b/>
          <w:bCs/>
          <w:noProof/>
          <w:sz w:val="24"/>
          <w:szCs w:val="24"/>
        </w:rPr>
        <w:t>Тъй като FEAD навлиза в последните си етапи на изпълнение, вниманието се насочва към успешното интегриране на подпомагането за най-нуждаещите се лица в програмата по линия на ЕСФ+.</w:t>
      </w:r>
      <w:r>
        <w:rPr>
          <w:rFonts w:ascii="Times New Roman" w:hAnsi="Times New Roman"/>
          <w:noProof/>
          <w:sz w:val="24"/>
          <w:szCs w:val="24"/>
        </w:rPr>
        <w:t xml:space="preserve"> С предложението за ЕСФ+ от 2018 г. Комисията постави основата за успешно продължаване на подпомагането на най-нуждаещите се лица. Текущите преговори между съзаконодателите показват, че намерението за създаване на полезни взаимодействия, опростяване и устойчиво интегриране на подпомагането в по-широк подход за социално приобщаване е високо ценено. Понастоящем успешното приключване на преговорите е от съществено значение, така че диалогът относно изготвянето на програми по ЕСФ+ да може да навлезе в последния си етап и програмите да могат да бъдат представени своевременно. Програмата по линия на ЕСФ+ ще бъде от основно значение за подпомагане на икономическото и социалното възстановяване след пандемията от коронавирус, както и за насърчаване на справедлив преход към неутрална по отношение на климата икономика в съответствие с амбициите на Европейския зелен пакт</w:t>
      </w:r>
      <w:r>
        <w:rPr>
          <w:rStyle w:val="FootnoteReference"/>
          <w:rFonts w:ascii="Times New Roman" w:hAnsi="Times New Roman"/>
          <w:noProof/>
          <w:sz w:val="16"/>
          <w:szCs w:val="16"/>
        </w:rPr>
        <w:footnoteReference w:id="12"/>
      </w:r>
      <w:r>
        <w:rPr>
          <w:rFonts w:ascii="Times New Roman" w:hAnsi="Times New Roman"/>
          <w:noProof/>
          <w:sz w:val="24"/>
          <w:szCs w:val="24"/>
        </w:rPr>
        <w:t xml:space="preserve"> и в комбинация с Фонда за справедлив преход</w:t>
      </w:r>
      <w:r>
        <w:rPr>
          <w:rStyle w:val="FootnoteReference"/>
          <w:rFonts w:ascii="Times New Roman" w:hAnsi="Times New Roman"/>
          <w:noProof/>
          <w:sz w:val="16"/>
          <w:szCs w:val="16"/>
        </w:rPr>
        <w:footnoteReference w:id="13"/>
      </w:r>
      <w:r>
        <w:rPr>
          <w:rFonts w:ascii="Times New Roman" w:hAnsi="Times New Roman"/>
          <w:noProof/>
          <w:sz w:val="24"/>
          <w:szCs w:val="24"/>
        </w:rPr>
        <w:t>. Тази програма също така ще бъде от ключово значение за изпълнението на Европейския стълб на социалните права</w:t>
      </w:r>
      <w:r>
        <w:rPr>
          <w:rStyle w:val="FootnoteReference"/>
          <w:rFonts w:ascii="Times New Roman" w:hAnsi="Times New Roman"/>
          <w:noProof/>
          <w:sz w:val="16"/>
          <w:szCs w:val="16"/>
        </w:rPr>
        <w:footnoteReference w:id="14"/>
      </w:r>
      <w:r>
        <w:rPr>
          <w:rFonts w:ascii="Times New Roman" w:hAnsi="Times New Roman"/>
          <w:noProof/>
          <w:sz w:val="24"/>
          <w:szCs w:val="24"/>
        </w:rPr>
        <w:t>.</w:t>
      </w: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7F59B" w16cid:durableId="21DC104E"/>
  <w16cid:commentId w16cid:paraId="4A654799" w16cid:durableId="21DC3D65"/>
  <w16cid:commentId w16cid:paraId="27960E8E" w16cid:durableId="21DC104F"/>
  <w16cid:commentId w16cid:paraId="7571EC80" w16cid:durableId="21DC3D7D"/>
  <w16cid:commentId w16cid:paraId="42B92FDB" w16cid:durableId="21DC1051"/>
  <w16cid:commentId w16cid:paraId="08D977CF" w16cid:durableId="21DC1052"/>
  <w16cid:commentId w16cid:paraId="556DCF55" w16cid:durableId="21DC1053"/>
  <w16cid:commentId w16cid:paraId="079BE6D5" w16cid:durableId="21DC1054"/>
  <w16cid:commentId w16cid:paraId="405BBDD4" w16cid:durableId="21DC4321"/>
  <w16cid:commentId w16cid:paraId="70B7C37F" w16cid:durableId="21DC1055"/>
  <w16cid:commentId w16cid:paraId="413AC541" w16cid:durableId="21DC10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33157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Регламент (ЕС) № 223/2014 на Европейския парламент и на Съвета от 11 март 2014 г. относно Фонда за европейско подпомагане на най-нуждаещите се лица (ОВ L 72, 12.3.2014 г., стр. 1). Регламентът беше изменен през август 2018 г. чрез изменение на Финансовия регламент: </w:t>
      </w:r>
      <w:hyperlink r:id="rId1" w:history="1">
        <w:r>
          <w:rPr>
            <w:rStyle w:val="Hyperlink"/>
            <w:rFonts w:ascii="Times New Roman" w:hAnsi="Times New Roman"/>
            <w:sz w:val="18"/>
            <w:szCs w:val="18"/>
          </w:rPr>
          <w:t>https://eur-lex.europa.eu/legal-content/BG/TXT/?qid=1537946431022&amp;uri=CELEX:02014R0223-20180802</w:t>
        </w:r>
      </w:hyperlink>
      <w:r>
        <w:rPr>
          <w:rFonts w:ascii="Times New Roman" w:hAnsi="Times New Roman"/>
          <w:sz w:val="18"/>
          <w:szCs w:val="18"/>
        </w:rPr>
        <w:t xml:space="preserve"> </w:t>
      </w:r>
    </w:p>
  </w:footnote>
  <w:footnote w:id="2">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Закъснението във времето по отношение на цялостното обобщено докладване се дължеше на това, че докладите за изпълнението бяха подадени от държавите членки в средата на 2019 г. и след това преминаха през процедура по одобрение от Комисията.</w:t>
      </w:r>
    </w:p>
  </w:footnote>
  <w:footnote w:id="3">
    <w:p>
      <w:pPr>
        <w:pStyle w:val="FootnoteText"/>
      </w:pPr>
      <w:r>
        <w:rPr>
          <w:rStyle w:val="FootnoteReference"/>
        </w:rPr>
        <w:footnoteRef/>
      </w:r>
      <w:r>
        <w:t xml:space="preserve"> https://ec.europa.eu/commission/presscorner/detail/bg/qanda_20_574</w:t>
      </w:r>
    </w:p>
  </w:footnote>
  <w:footnote w:id="4">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Няколко държави членки са актуализирали някои стойности за общите показатели за вложените ресурси във FEAD за 2015 г., 2016 г. и 2017 г. Поради това е възможно стойностите, докладвани в този раздел, да се различават от публикуваните през предходните години. </w:t>
      </w:r>
    </w:p>
  </w:footnote>
  <w:footnote w:id="5">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Италия започна да разпределя основно материално подпомагане през 2018 г. съгласно мярка 4, но не вписа нищо в системата за мониторинг</w:t>
      </w:r>
    </w:p>
  </w:footnote>
  <w:footnote w:id="6">
    <w:p>
      <w:pPr>
        <w:pStyle w:val="FootnoteText"/>
        <w:rPr>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При оперативните програми, по които както подпомагането с хранителни продукти, така и основното материално подпомагане се предоставят на едни и същи лица, явното припокриване на данните от годишния доклад за изпълнение е извадено при отчитането на обобщени числа</w:t>
      </w:r>
    </w:p>
  </w:footnote>
  <w:footnote w:id="7">
    <w:p>
      <w:pPr>
        <w:pStyle w:val="FootnoteText"/>
        <w:rPr>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В своя доклад за изпълнението за 2018 г. българските органи преразгледаха показателите за крайните продукти за настоящата и за предходните години. Поради това е възможно стойностите, публикувани в този раздел, да се различават от докладваните през предходните години.</w:t>
      </w:r>
    </w:p>
  </w:footnote>
  <w:footnote w:id="8">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Също и поради увеличаване на разпределянето на хранителни продукти в Португалия, сред които голям дял имат плодовете и зеленчуците.</w:t>
      </w:r>
    </w:p>
  </w:footnote>
  <w:footnote w:id="9">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Броят на списанието от 2018 г. беше посветен на здравословното хранене, като в него имаше съвети от диетолог, който препоръча здравословни рецепти във връзка с храната, предоставена в пакетите. Списанието също така включва и данните за контакт на 38 организации, които могат да осигурят допълнителна подкрепа.</w:t>
      </w:r>
    </w:p>
  </w:footnote>
  <w:footnote w:id="10">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Бяха докладвани също така други по-изолирани проблеми, като например: неразпределена храна (Гърция), унищожени или повредени стоки (Гърция), грешно изчисляване от страна на управляващия орган на един показател, който трябва да бъде коригиран (Кипър), неосигуряване на достатъчно храна за целевата група (Хърватия), административна тежест и ограничени финансови ресурси (Естония), слаб интерес от страна на партньорските организации (Словакия), мерки, които към момента не се считат за подходящи и водят до забавяне на изпълнението (Румъния), социални нагласи към целевата група (Швеция).</w:t>
      </w:r>
    </w:p>
  </w:footnote>
  <w:footnote w:id="11">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Испански Червен кръст (2018 г.): Оценка на въздействието на FEAD в Испания.</w:t>
      </w:r>
    </w:p>
  </w:footnote>
  <w:footnote w:id="12">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2" w:history="1">
        <w:r>
          <w:rPr>
            <w:rStyle w:val="Hyperlink"/>
            <w:sz w:val="18"/>
            <w:szCs w:val="18"/>
          </w:rPr>
          <w:t>https://ec.europa.eu/info/sites/info/files/european-green-deal-communication_en.pdf</w:t>
        </w:r>
      </w:hyperlink>
    </w:p>
  </w:footnote>
  <w:footnote w:id="13">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3" w:history="1">
        <w:r>
          <w:rPr>
            <w:rStyle w:val="Hyperlink"/>
            <w:sz w:val="18"/>
            <w:szCs w:val="18"/>
          </w:rPr>
          <w:t>https://ec.europa.eu/regional_policy/bg/newsroom/news/2020/01/14-01-2020-financing-the-green-transition-the-european-green-deal-investment-plan-and-just-transition-mechanism</w:t>
        </w:r>
      </w:hyperlink>
    </w:p>
  </w:footnote>
  <w:footnote w:id="14">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4" w:history="1">
        <w:r>
          <w:rPr>
            <w:rStyle w:val="Hyperlink"/>
            <w:sz w:val="18"/>
            <w:szCs w:val="18"/>
          </w:rPr>
          <w:t>https://ec.europa.eu/social/main.jsp?langId=bg&amp;catId=1226&amp;furtherNews=yes&amp;newsId=9524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B5B"/>
    <w:multiLevelType w:val="multilevel"/>
    <w:tmpl w:val="5C1CF3F4"/>
    <w:lvl w:ilvl="0">
      <w:start w:val="1"/>
      <w:numFmt w:val="decimal"/>
      <w:pStyle w:val="DGEMPLHeading1"/>
      <w:lvlText w:val="%1"/>
      <w:lvlJc w:val="left"/>
      <w:pPr>
        <w:tabs>
          <w:tab w:val="num" w:pos="474"/>
        </w:tabs>
        <w:ind w:left="262" w:hanging="148"/>
      </w:pPr>
      <w:rPr>
        <w:rFonts w:hint="default"/>
      </w:rPr>
    </w:lvl>
    <w:lvl w:ilvl="1">
      <w:start w:val="1"/>
      <w:numFmt w:val="decimal"/>
      <w:pStyle w:val="DGEMPLHeading2"/>
      <w:lvlText w:val="%1.%2"/>
      <w:lvlJc w:val="left"/>
      <w:pPr>
        <w:tabs>
          <w:tab w:val="num" w:pos="360"/>
        </w:tabs>
        <w:ind w:left="0" w:firstLine="0"/>
      </w:pPr>
      <w:rPr>
        <w:rFonts w:hint="default"/>
      </w:rPr>
    </w:lvl>
    <w:lvl w:ilvl="2">
      <w:start w:val="1"/>
      <w:numFmt w:val="decimal"/>
      <w:pStyle w:val="DGEMPLHeading3"/>
      <w:lvlText w:val="%1.%2.%3"/>
      <w:lvlJc w:val="left"/>
      <w:pPr>
        <w:tabs>
          <w:tab w:val="num" w:pos="720"/>
        </w:tabs>
        <w:ind w:left="0" w:firstLine="0"/>
      </w:pPr>
      <w:rPr>
        <w:rFonts w:hint="default"/>
      </w:rPr>
    </w:lvl>
    <w:lvl w:ilvl="3">
      <w:start w:val="1"/>
      <w:numFmt w:val="decimal"/>
      <w:pStyle w:val="DGEMPLHeading4"/>
      <w:lvlText w:val="%1.%2.%3.%4"/>
      <w:lvlJc w:val="left"/>
      <w:pPr>
        <w:tabs>
          <w:tab w:val="num" w:pos="1080"/>
        </w:tabs>
        <w:ind w:left="0" w:firstLine="0"/>
      </w:pPr>
      <w:rPr>
        <w:rFonts w:hint="default"/>
      </w:rPr>
    </w:lvl>
    <w:lvl w:ilvl="4">
      <w:start w:val="1"/>
      <w:numFmt w:val="decimal"/>
      <w:lvlText w:val="%1.%2.%3.%4.%5"/>
      <w:lvlJc w:val="left"/>
      <w:pPr>
        <w:tabs>
          <w:tab w:val="num" w:pos="838"/>
        </w:tabs>
        <w:ind w:left="838" w:hanging="1008"/>
      </w:pPr>
      <w:rPr>
        <w:rFonts w:hint="default"/>
      </w:rPr>
    </w:lvl>
    <w:lvl w:ilvl="5">
      <w:start w:val="1"/>
      <w:numFmt w:val="decimal"/>
      <w:lvlText w:val="%1.%2.%3.%4.%5.%6"/>
      <w:lvlJc w:val="left"/>
      <w:pPr>
        <w:tabs>
          <w:tab w:val="num" w:pos="982"/>
        </w:tabs>
        <w:ind w:left="982" w:hanging="1152"/>
      </w:pPr>
      <w:rPr>
        <w:rFonts w:hint="default"/>
      </w:rPr>
    </w:lvl>
    <w:lvl w:ilvl="6">
      <w:start w:val="1"/>
      <w:numFmt w:val="decimal"/>
      <w:lvlText w:val="%1.%2.%3.%4.%5.%6.%7"/>
      <w:lvlJc w:val="left"/>
      <w:pPr>
        <w:tabs>
          <w:tab w:val="num" w:pos="1126"/>
        </w:tabs>
        <w:ind w:left="1126" w:hanging="1296"/>
      </w:pPr>
      <w:rPr>
        <w:rFonts w:hint="default"/>
      </w:rPr>
    </w:lvl>
    <w:lvl w:ilvl="7">
      <w:start w:val="1"/>
      <w:numFmt w:val="decimal"/>
      <w:lvlText w:val="%1.%2.%3.%4.%5.%6.%7.%8"/>
      <w:lvlJc w:val="left"/>
      <w:pPr>
        <w:tabs>
          <w:tab w:val="num" w:pos="1270"/>
        </w:tabs>
        <w:ind w:left="1270" w:hanging="1440"/>
      </w:pPr>
      <w:rPr>
        <w:rFonts w:hint="default"/>
      </w:rPr>
    </w:lvl>
    <w:lvl w:ilvl="8">
      <w:start w:val="1"/>
      <w:numFmt w:val="decimal"/>
      <w:lvlText w:val="%1.%2.%3.%4.%5.%6.%7.%8.%9"/>
      <w:lvlJc w:val="left"/>
      <w:pPr>
        <w:tabs>
          <w:tab w:val="num" w:pos="1414"/>
        </w:tabs>
        <w:ind w:left="1414" w:hanging="1584"/>
      </w:pPr>
      <w:rPr>
        <w:rFonts w:hint="default"/>
      </w:rPr>
    </w:lvl>
  </w:abstractNum>
  <w:abstractNum w:abstractNumId="1">
    <w:nsid w:val="027A2DB0"/>
    <w:multiLevelType w:val="hybridMultilevel"/>
    <w:tmpl w:val="50461538"/>
    <w:lvl w:ilvl="0" w:tplc="71E26E64">
      <w:start w:val="1"/>
      <w:numFmt w:val="decimal"/>
      <w:pStyle w:val="DGEMPLLabelboxes"/>
      <w:lvlText w:val="Box %1."/>
      <w:lvlJc w:val="left"/>
      <w:pPr>
        <w:tabs>
          <w:tab w:val="num" w:pos="1077"/>
        </w:tabs>
        <w:ind w:left="0" w:firstLine="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A12DA3"/>
    <w:multiLevelType w:val="hybridMultilevel"/>
    <w:tmpl w:val="CC2A0130"/>
    <w:lvl w:ilvl="0" w:tplc="FABA5134">
      <w:start w:val="1"/>
      <w:numFmt w:val="bullet"/>
      <w:pStyle w:val="DGEMPLlistbullet"/>
      <w:lvlText w:val=""/>
      <w:lvlJc w:val="left"/>
      <w:pPr>
        <w:ind w:left="1004" w:hanging="360"/>
      </w:pPr>
      <w:rPr>
        <w:rFonts w:ascii="Symbol" w:hAnsi="Symbol" w:hint="default"/>
        <w:color w:val="000080"/>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
    <w:nsid w:val="221C3F40"/>
    <w:multiLevelType w:val="hybridMultilevel"/>
    <w:tmpl w:val="D5CC7F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603817"/>
    <w:multiLevelType w:val="hybridMultilevel"/>
    <w:tmpl w:val="48AC516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0547BD"/>
    <w:multiLevelType w:val="hybridMultilevel"/>
    <w:tmpl w:val="50BCBF26"/>
    <w:lvl w:ilvl="0" w:tplc="AE9AE516">
      <w:start w:val="1"/>
      <w:numFmt w:val="decimal"/>
      <w:pStyle w:val="DGEMPLLabelfigures"/>
      <w:lvlText w:val="Figure %1."/>
      <w:lvlJc w:val="left"/>
      <w:pPr>
        <w:tabs>
          <w:tab w:val="num" w:pos="2155"/>
        </w:tabs>
        <w:ind w:left="1418" w:firstLine="0"/>
      </w:pPr>
      <w:rPr>
        <w:rFonts w:hint="default"/>
      </w:rPr>
    </w:lvl>
    <w:lvl w:ilvl="1" w:tplc="04070019" w:tentative="1">
      <w:start w:val="1"/>
      <w:numFmt w:val="lowerLetter"/>
      <w:lvlText w:val="%2."/>
      <w:lvlJc w:val="left"/>
      <w:pPr>
        <w:ind w:left="10230" w:hanging="360"/>
      </w:pPr>
    </w:lvl>
    <w:lvl w:ilvl="2" w:tplc="0407001B" w:tentative="1">
      <w:start w:val="1"/>
      <w:numFmt w:val="lowerRoman"/>
      <w:lvlText w:val="%3."/>
      <w:lvlJc w:val="right"/>
      <w:pPr>
        <w:ind w:left="10950" w:hanging="180"/>
      </w:pPr>
    </w:lvl>
    <w:lvl w:ilvl="3" w:tplc="0407000F" w:tentative="1">
      <w:start w:val="1"/>
      <w:numFmt w:val="decimal"/>
      <w:lvlText w:val="%4."/>
      <w:lvlJc w:val="left"/>
      <w:pPr>
        <w:ind w:left="11670" w:hanging="360"/>
      </w:pPr>
    </w:lvl>
    <w:lvl w:ilvl="4" w:tplc="04070019" w:tentative="1">
      <w:start w:val="1"/>
      <w:numFmt w:val="lowerLetter"/>
      <w:lvlText w:val="%5."/>
      <w:lvlJc w:val="left"/>
      <w:pPr>
        <w:ind w:left="12390" w:hanging="360"/>
      </w:pPr>
    </w:lvl>
    <w:lvl w:ilvl="5" w:tplc="0407001B" w:tentative="1">
      <w:start w:val="1"/>
      <w:numFmt w:val="lowerRoman"/>
      <w:lvlText w:val="%6."/>
      <w:lvlJc w:val="right"/>
      <w:pPr>
        <w:ind w:left="13110" w:hanging="180"/>
      </w:pPr>
    </w:lvl>
    <w:lvl w:ilvl="6" w:tplc="0407000F" w:tentative="1">
      <w:start w:val="1"/>
      <w:numFmt w:val="decimal"/>
      <w:lvlText w:val="%7."/>
      <w:lvlJc w:val="left"/>
      <w:pPr>
        <w:ind w:left="13830" w:hanging="360"/>
      </w:pPr>
    </w:lvl>
    <w:lvl w:ilvl="7" w:tplc="04070019" w:tentative="1">
      <w:start w:val="1"/>
      <w:numFmt w:val="lowerLetter"/>
      <w:lvlText w:val="%8."/>
      <w:lvlJc w:val="left"/>
      <w:pPr>
        <w:ind w:left="14550" w:hanging="360"/>
      </w:pPr>
    </w:lvl>
    <w:lvl w:ilvl="8" w:tplc="0407001B" w:tentative="1">
      <w:start w:val="1"/>
      <w:numFmt w:val="lowerRoman"/>
      <w:lvlText w:val="%9."/>
      <w:lvlJc w:val="right"/>
      <w:pPr>
        <w:ind w:left="15270" w:hanging="180"/>
      </w:pPr>
    </w:lvl>
  </w:abstractNum>
  <w:abstractNum w:abstractNumId="6">
    <w:nsid w:val="43A72027"/>
    <w:multiLevelType w:val="hybridMultilevel"/>
    <w:tmpl w:val="5CC2E63C"/>
    <w:lvl w:ilvl="0" w:tplc="17DC92D4">
      <w:start w:val="1"/>
      <w:numFmt w:val="decimal"/>
      <w:pStyle w:val="DGEMPLLabeltables"/>
      <w:lvlText w:val="Table %1."/>
      <w:lvlJc w:val="left"/>
      <w:pPr>
        <w:tabs>
          <w:tab w:val="num" w:pos="1077"/>
        </w:tabs>
        <w:ind w:left="709" w:firstLine="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9D611C"/>
    <w:multiLevelType w:val="hybridMultilevel"/>
    <w:tmpl w:val="43F8E584"/>
    <w:lvl w:ilvl="0" w:tplc="CAF242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BB5B43"/>
    <w:multiLevelType w:val="hybridMultilevel"/>
    <w:tmpl w:val="4142E2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8"/>
  </w:num>
  <w:num w:numId="7">
    <w:abstractNumId w:val="9"/>
  </w:num>
  <w:num w:numId="8">
    <w:abstractNumId w:val="7"/>
  </w:num>
  <w:num w:numId="9">
    <w:abstractNumId w:val="0"/>
    <w:lvlOverride w:ilvl="0">
      <w:startOverride w:val="4"/>
    </w:lvlOverride>
    <w:lvlOverride w:ilvl="1">
      <w:startOverride w:val="1"/>
    </w:lvlOverride>
  </w:num>
  <w:num w:numId="10">
    <w:abstractNumId w:val="4"/>
  </w:num>
  <w:num w:numId="11">
    <w:abstractNumId w:val="0"/>
    <w:lvlOverride w:ilvl="0">
      <w:startOverride w:val="4"/>
    </w:lvlOverride>
    <w:lvlOverride w:ilvl="1">
      <w:startOverride w:val="1"/>
    </w:lvlOverride>
  </w:num>
  <w:num w:numId="12">
    <w:abstractNumId w:val="0"/>
    <w:lvlOverride w:ilvl="0">
      <w:startOverride w:val="4"/>
    </w:lvlOverride>
    <w:lvlOverride w:ilvl="1">
      <w:startOverride w:val="2"/>
    </w:lvlOverride>
  </w:num>
  <w:num w:numId="13">
    <w:abstractNumId w:val="0"/>
    <w:lvlOverride w:ilvl="0">
      <w:startOverride w:val="4"/>
    </w:lvlOverride>
    <w:lvlOverride w:ilvl="1">
      <w:startOverride w:val="2"/>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B24F2D39-77C7-4515-A511-A73D47B88178"/>
    <w:docVar w:name="LW_COVERPAGE_TYPE" w:val="1"/>
    <w:docVar w:name="LW_CROSSREFERENCE" w:val="&lt;UNUSED&gt;"/>
    <w:docVar w:name="LW_DATE.ADOPT.CP_ISODATE" w:val="&lt;EMPTY&gt;"/>
    <w:docVar w:name="LW_DocType" w:val="NORMAL"/>
    <w:docVar w:name="LW_EMISSION" w:val="8.6.2020"/>
    <w:docVar w:name="LW_EMISSION_ISODATE" w:val="2020-06-08"/>
    <w:docVar w:name="LW_EMISSION_LOCATION" w:val="BRX"/>
    <w:docVar w:name="LW_EMISSION_PREFIX" w:val="Брюксел, "/>
    <w:docVar w:name="LW_EMISSION_SUFFIX" w:val=" \u1075?."/>
    <w:docVar w:name="LW_ID_DOCTYPE_NONLW" w:val="CP-005"/>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4?\u1073?\u1086?\u1073?\u1097?\u1077?\u1085?\u1080?\u1077? \u1085?\u1072? \u1075?\u1086?\u1076?\u1080?\u1096?\u1085?\u1080?\u1090?\u1077? \u1076?\u1086?\u1082?\u1083?\u1072?\u1076?\u1080? \u1079?\u1072? \u1080?\u1079?\u1087?\u1098?\u1083?\u1085?\u1077?\u1085?\u1080?\u1077?\u1090?\u1086? \u1085?\u1072? \u1086?\u1087?\u1077?\u1088?\u1072?\u1090?\u1080?\u1074?\u1085?\u1080?\u1090?\u1077? \u1087?\u1088?\u1086?\u1075?\u1088?\u1072?\u1084?\u1080?, \u1089?\u1098?\u1092?\u1080?\u1085?\u1072?\u1085?\u1089?\u1080?\u1088?\u1072?\u1085?\u1080? \u1086?\u1090? \u1060?\u1086?\u1085?\u1076?\u1072? \u1079?\u1072? \u1077?\u1074?\u1088?\u1086?\u1087?\u1077?\u1081?\u1089?\u1082?\u1086? \u1087?\u1086?\u1076?\u1087?\u1086?\u1084?\u1072?\u1075?\u1072?\u1085?\u1077? \u1085?\u1072? \u1085?\u1072?\u1081?-\u1085?\u1091?\u1078?\u1076?\u1072?\u1077?\u1097?\u1080?\u1090?\u1077? \u1089?\u1077? \u1083?\u1080?\u1094?\u1072? \u1087?\u1088?\u1077?\u1079? 2018 \u1075?.&lt;/FMT&gt;_x000b_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GEMPLlistbullet">
    <w:name w:val="DGEMPL_list_bullet"/>
    <w:pPr>
      <w:numPr>
        <w:numId w:val="5"/>
      </w:numPr>
      <w:tabs>
        <w:tab w:val="left" w:pos="567"/>
      </w:tabs>
      <w:spacing w:before="60" w:after="0" w:line="240" w:lineRule="auto"/>
      <w:ind w:left="568" w:hanging="284"/>
      <w:jc w:val="both"/>
    </w:pPr>
    <w:rPr>
      <w:rFonts w:ascii="Verdana" w:eastAsia="Times New Roman" w:hAnsi="Verdana" w:cs="Times New Roman"/>
      <w:sz w:val="20"/>
      <w:szCs w:val="20"/>
      <w:lang w:eastAsia="de-DE"/>
    </w:rPr>
  </w:style>
  <w:style w:type="paragraph" w:customStyle="1" w:styleId="DGEMPLlistbullet2">
    <w:name w:val="DGEMPL_list_bullet_2"/>
    <w:basedOn w:val="DGEMPLlistbullet"/>
    <w:next w:val="DGEMPLStandard"/>
    <w:pPr>
      <w:spacing w:after="140"/>
      <w:contextualSpacing/>
    </w:pPr>
  </w:style>
  <w:style w:type="paragraph" w:customStyle="1" w:styleId="DGEMPLStandard">
    <w:name w:val="DGEMPL_Standard"/>
    <w:pPr>
      <w:spacing w:before="120" w:after="120" w:line="240" w:lineRule="auto"/>
      <w:jc w:val="both"/>
    </w:pPr>
    <w:rPr>
      <w:rFonts w:ascii="Verdana" w:eastAsia="Times New Roman" w:hAnsi="Verdana" w:cs="Times New Roman"/>
      <w:sz w:val="20"/>
      <w:szCs w:val="20"/>
      <w:lang w:eastAsia="de-DE"/>
    </w:rPr>
  </w:style>
  <w:style w:type="paragraph" w:customStyle="1" w:styleId="DGEMPLSource">
    <w:name w:val="DGEMPL_Source"/>
    <w:next w:val="DGEMPLStandard"/>
    <w:pPr>
      <w:suppressAutoHyphens/>
      <w:spacing w:before="120" w:after="120" w:line="240" w:lineRule="auto"/>
    </w:pPr>
    <w:rPr>
      <w:rFonts w:ascii="Verdana" w:eastAsia="Times New Roman" w:hAnsi="Verdana" w:cs="Times New Roman"/>
      <w:sz w:val="16"/>
      <w:szCs w:val="20"/>
      <w:lang w:eastAsia="de-DE"/>
    </w:rPr>
  </w:style>
  <w:style w:type="paragraph" w:customStyle="1" w:styleId="DGEMPLtableleft">
    <w:name w:val="DGEMPL_table_left"/>
    <w:pPr>
      <w:suppressAutoHyphens/>
      <w:spacing w:after="0" w:line="240" w:lineRule="auto"/>
    </w:pPr>
    <w:rPr>
      <w:rFonts w:ascii="Verdana" w:eastAsia="Times New Roman" w:hAnsi="Verdana" w:cs="Times New Roman"/>
      <w:sz w:val="18"/>
      <w:szCs w:val="20"/>
      <w:lang w:eastAsia="de-DE"/>
    </w:rPr>
  </w:style>
  <w:style w:type="paragraph" w:customStyle="1" w:styleId="DGEMPLtableleftbold">
    <w:name w:val="DGEMPL_table_left_bold"/>
    <w:basedOn w:val="DGEMPLtableleft"/>
    <w:rPr>
      <w:b/>
      <w:color w:val="FFFFFF" w:themeColor="background1"/>
    </w:rPr>
  </w:style>
  <w:style w:type="paragraph" w:styleId="FootnoteText">
    <w:name w:val="footnote text"/>
    <w:link w:val="FootnoteTextChar"/>
    <w:uiPriority w:val="99"/>
    <w:pPr>
      <w:tabs>
        <w:tab w:val="left" w:pos="170"/>
      </w:tabs>
      <w:spacing w:after="0" w:line="240" w:lineRule="auto"/>
    </w:pPr>
    <w:rPr>
      <w:rFonts w:ascii="Verdana" w:eastAsia="Times New Roman" w:hAnsi="Verdana" w:cs="Times New Roman"/>
      <w:sz w:val="16"/>
      <w:szCs w:val="20"/>
      <w:lang w:eastAsia="de-DE"/>
    </w:rPr>
  </w:style>
  <w:style w:type="character" w:customStyle="1" w:styleId="FootnoteTextChar">
    <w:name w:val="Footnote Text Char"/>
    <w:basedOn w:val="DefaultParagraphFont"/>
    <w:link w:val="FootnoteText"/>
    <w:uiPriority w:val="99"/>
    <w:rPr>
      <w:rFonts w:ascii="Verdana" w:eastAsia="Times New Roman" w:hAnsi="Verdana" w:cs="Times New Roman"/>
      <w:sz w:val="16"/>
      <w:szCs w:val="20"/>
      <w:lang w:eastAsia="de-DE"/>
    </w:rPr>
  </w:style>
  <w:style w:type="character" w:styleId="FootnoteReference">
    <w:name w:val="footnote reference"/>
    <w:basedOn w:val="DefaultParagraphFont"/>
    <w:uiPriority w:val="99"/>
    <w:rPr>
      <w:position w:val="6"/>
      <w:sz w:val="12"/>
      <w:szCs w:val="12"/>
      <w:lang w:val="bg-BG"/>
    </w:rPr>
  </w:style>
  <w:style w:type="paragraph" w:customStyle="1" w:styleId="DGEMPLHeading1">
    <w:name w:val="DGEMPL_Heading 1"/>
    <w:next w:val="DGEMPLStandard"/>
    <w:pPr>
      <w:keepNext/>
      <w:keepLines/>
      <w:pageBreakBefore/>
      <w:numPr>
        <w:numId w:val="4"/>
      </w:numPr>
      <w:tabs>
        <w:tab w:val="left" w:pos="851"/>
      </w:tabs>
      <w:spacing w:before="120" w:after="120" w:line="240" w:lineRule="auto"/>
      <w:outlineLvl w:val="0"/>
    </w:pPr>
    <w:rPr>
      <w:rFonts w:ascii="Verdana" w:eastAsia="Times New Roman" w:hAnsi="Verdana" w:cs="Times New Roman"/>
      <w:b/>
      <w:sz w:val="24"/>
      <w:szCs w:val="20"/>
      <w:lang w:eastAsia="de-DE"/>
    </w:rPr>
  </w:style>
  <w:style w:type="paragraph" w:customStyle="1" w:styleId="DGEMPLHeading2">
    <w:name w:val="DGEMPL_Heading 2"/>
    <w:next w:val="DGEMPLStandard"/>
    <w:pPr>
      <w:keepNext/>
      <w:keepLines/>
      <w:numPr>
        <w:ilvl w:val="1"/>
        <w:numId w:val="4"/>
      </w:numPr>
      <w:tabs>
        <w:tab w:val="clear" w:pos="360"/>
        <w:tab w:val="left" w:pos="851"/>
      </w:tabs>
      <w:spacing w:before="120" w:after="120" w:line="240" w:lineRule="auto"/>
      <w:ind w:left="851" w:hanging="851"/>
      <w:outlineLvl w:val="1"/>
    </w:pPr>
    <w:rPr>
      <w:rFonts w:ascii="Verdana" w:eastAsia="Times New Roman" w:hAnsi="Verdana" w:cs="Times New Roman"/>
      <w:b/>
      <w:szCs w:val="20"/>
      <w:lang w:eastAsia="de-DE"/>
    </w:rPr>
  </w:style>
  <w:style w:type="paragraph" w:customStyle="1" w:styleId="DGEMPLHeading3">
    <w:name w:val="DGEMPL_Heading 3"/>
    <w:next w:val="DGEMPLStandard"/>
    <w:pPr>
      <w:keepNext/>
      <w:keepLines/>
      <w:numPr>
        <w:ilvl w:val="2"/>
        <w:numId w:val="4"/>
      </w:numPr>
      <w:tabs>
        <w:tab w:val="clear" w:pos="720"/>
        <w:tab w:val="left" w:pos="851"/>
      </w:tabs>
      <w:spacing w:before="120" w:after="120" w:line="240" w:lineRule="auto"/>
      <w:ind w:left="851" w:hanging="851"/>
      <w:outlineLvl w:val="2"/>
    </w:pPr>
    <w:rPr>
      <w:rFonts w:ascii="Verdana" w:eastAsia="Times New Roman" w:hAnsi="Verdana" w:cs="Times New Roman"/>
      <w:b/>
      <w:sz w:val="20"/>
      <w:szCs w:val="20"/>
      <w:lang w:eastAsia="de-DE"/>
    </w:rPr>
  </w:style>
  <w:style w:type="paragraph" w:customStyle="1" w:styleId="DGEMPLHeading4">
    <w:name w:val="DGEMPL_Heading 4"/>
    <w:next w:val="DGEMPLStandard"/>
    <w:pPr>
      <w:keepNext/>
      <w:keepLines/>
      <w:numPr>
        <w:ilvl w:val="3"/>
        <w:numId w:val="4"/>
      </w:numPr>
      <w:tabs>
        <w:tab w:val="clear" w:pos="1080"/>
        <w:tab w:val="left" w:pos="851"/>
      </w:tabs>
      <w:spacing w:before="120" w:after="120" w:line="240" w:lineRule="auto"/>
      <w:ind w:left="851" w:hanging="851"/>
      <w:outlineLvl w:val="3"/>
    </w:pPr>
    <w:rPr>
      <w:rFonts w:ascii="Verdana" w:eastAsia="Times New Roman" w:hAnsi="Verdana" w:cs="Times New Roman"/>
      <w:b/>
      <w:sz w:val="18"/>
      <w:szCs w:val="20"/>
      <w:lang w:eastAsia="de-DE"/>
    </w:rPr>
  </w:style>
  <w:style w:type="paragraph" w:customStyle="1" w:styleId="DGEMPLHeading5">
    <w:name w:val="DGEMPL_Heading 5"/>
    <w:next w:val="DGEMPLStandard"/>
    <w:pPr>
      <w:keepNext/>
      <w:keepLines/>
      <w:spacing w:before="200" w:after="100" w:line="240" w:lineRule="auto"/>
      <w:outlineLvl w:val="4"/>
    </w:pPr>
    <w:rPr>
      <w:rFonts w:ascii="Verdana" w:eastAsia="Times New Roman" w:hAnsi="Verdana" w:cs="Times New Roman"/>
      <w:b/>
      <w:sz w:val="20"/>
      <w:szCs w:val="20"/>
      <w:lang w:eastAsia="de-D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EMPLLabeltables">
    <w:name w:val="DGEMPL_Label_tables"/>
    <w:next w:val="DGEMPLStandard"/>
    <w:qFormat/>
    <w:pPr>
      <w:numPr>
        <w:numId w:val="1"/>
      </w:numPr>
      <w:tabs>
        <w:tab w:val="clear" w:pos="1077"/>
        <w:tab w:val="left" w:pos="1134"/>
      </w:tabs>
      <w:spacing w:before="120" w:after="120" w:line="240" w:lineRule="auto"/>
      <w:ind w:left="1134" w:hanging="1134"/>
    </w:pPr>
    <w:rPr>
      <w:rFonts w:ascii="Verdana" w:eastAsia="Times New Roman" w:hAnsi="Verdana" w:cs="Times New Roman"/>
      <w:i/>
      <w:sz w:val="20"/>
      <w:szCs w:val="20"/>
      <w:lang w:eastAsia="de-DE"/>
    </w:rPr>
  </w:style>
  <w:style w:type="paragraph" w:customStyle="1" w:styleId="DGEMPLLabelfigures">
    <w:name w:val="DGEMPL_Label_figures"/>
    <w:basedOn w:val="DGEMPLLabeltables"/>
    <w:next w:val="DGEMPLStandard"/>
    <w:qFormat/>
    <w:pPr>
      <w:numPr>
        <w:numId w:val="2"/>
      </w:numPr>
      <w:tabs>
        <w:tab w:val="num" w:pos="1304"/>
      </w:tabs>
      <w:ind w:left="567"/>
    </w:pPr>
  </w:style>
  <w:style w:type="paragraph" w:customStyle="1" w:styleId="DGEMPLLabelboxes">
    <w:name w:val="DGEMPL_Label_boxes"/>
    <w:basedOn w:val="DGEMPLStandard"/>
    <w:next w:val="DGEMPLStandard"/>
    <w:qFormat/>
    <w:pPr>
      <w:numPr>
        <w:numId w:val="3"/>
      </w:numPr>
      <w:tabs>
        <w:tab w:val="clear" w:pos="1077"/>
        <w:tab w:val="left" w:pos="1134"/>
      </w:tabs>
      <w:ind w:left="1134" w:hanging="1134"/>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lang w:val="bg-BG"/>
    </w:rPr>
  </w:style>
  <w:style w:type="character" w:customStyle="1" w:styleId="FooterCoverPageChar">
    <w:name w:val="Footer Cover Page Char"/>
    <w:basedOn w:val="PagedecouvertureChar"/>
    <w:link w:val="FooterCoverPage"/>
    <w:rPr>
      <w:rFonts w:ascii="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Pr>
      <w:rFonts w:ascii="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Pr>
      <w:rFonts w:ascii="Times New Roman" w:hAnsi="Times New Roman" w:cs="Times New Roman"/>
      <w:b/>
      <w:sz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bg-BG"/>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rPr>
      <w:rFonts w:asciiTheme="minorHAnsi" w:hAnsiTheme="minorHAnsi"/>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GEMPLlistbullet">
    <w:name w:val="DGEMPL_list_bullet"/>
    <w:pPr>
      <w:numPr>
        <w:numId w:val="5"/>
      </w:numPr>
      <w:tabs>
        <w:tab w:val="left" w:pos="567"/>
      </w:tabs>
      <w:spacing w:before="60" w:after="0" w:line="240" w:lineRule="auto"/>
      <w:ind w:left="568" w:hanging="284"/>
      <w:jc w:val="both"/>
    </w:pPr>
    <w:rPr>
      <w:rFonts w:ascii="Verdana" w:eastAsia="Times New Roman" w:hAnsi="Verdana" w:cs="Times New Roman"/>
      <w:sz w:val="20"/>
      <w:szCs w:val="20"/>
      <w:lang w:eastAsia="de-DE"/>
    </w:rPr>
  </w:style>
  <w:style w:type="paragraph" w:customStyle="1" w:styleId="DGEMPLlistbullet2">
    <w:name w:val="DGEMPL_list_bullet_2"/>
    <w:basedOn w:val="DGEMPLlistbullet"/>
    <w:next w:val="DGEMPLStandard"/>
    <w:pPr>
      <w:spacing w:after="140"/>
      <w:contextualSpacing/>
    </w:pPr>
  </w:style>
  <w:style w:type="paragraph" w:customStyle="1" w:styleId="DGEMPLStandard">
    <w:name w:val="DGEMPL_Standard"/>
    <w:pPr>
      <w:spacing w:before="120" w:after="120" w:line="240" w:lineRule="auto"/>
      <w:jc w:val="both"/>
    </w:pPr>
    <w:rPr>
      <w:rFonts w:ascii="Verdana" w:eastAsia="Times New Roman" w:hAnsi="Verdana" w:cs="Times New Roman"/>
      <w:sz w:val="20"/>
      <w:szCs w:val="20"/>
      <w:lang w:eastAsia="de-DE"/>
    </w:rPr>
  </w:style>
  <w:style w:type="paragraph" w:customStyle="1" w:styleId="DGEMPLSource">
    <w:name w:val="DGEMPL_Source"/>
    <w:next w:val="DGEMPLStandard"/>
    <w:pPr>
      <w:suppressAutoHyphens/>
      <w:spacing w:before="120" w:after="120" w:line="240" w:lineRule="auto"/>
    </w:pPr>
    <w:rPr>
      <w:rFonts w:ascii="Verdana" w:eastAsia="Times New Roman" w:hAnsi="Verdana" w:cs="Times New Roman"/>
      <w:sz w:val="16"/>
      <w:szCs w:val="20"/>
      <w:lang w:eastAsia="de-DE"/>
    </w:rPr>
  </w:style>
  <w:style w:type="paragraph" w:customStyle="1" w:styleId="DGEMPLtableleft">
    <w:name w:val="DGEMPL_table_left"/>
    <w:pPr>
      <w:suppressAutoHyphens/>
      <w:spacing w:after="0" w:line="240" w:lineRule="auto"/>
    </w:pPr>
    <w:rPr>
      <w:rFonts w:ascii="Verdana" w:eastAsia="Times New Roman" w:hAnsi="Verdana" w:cs="Times New Roman"/>
      <w:sz w:val="18"/>
      <w:szCs w:val="20"/>
      <w:lang w:eastAsia="de-DE"/>
    </w:rPr>
  </w:style>
  <w:style w:type="paragraph" w:customStyle="1" w:styleId="DGEMPLtableleftbold">
    <w:name w:val="DGEMPL_table_left_bold"/>
    <w:basedOn w:val="DGEMPLtableleft"/>
    <w:rPr>
      <w:b/>
      <w:color w:val="FFFFFF" w:themeColor="background1"/>
    </w:rPr>
  </w:style>
  <w:style w:type="paragraph" w:styleId="FootnoteText">
    <w:name w:val="footnote text"/>
    <w:link w:val="FootnoteTextChar"/>
    <w:uiPriority w:val="99"/>
    <w:pPr>
      <w:tabs>
        <w:tab w:val="left" w:pos="170"/>
      </w:tabs>
      <w:spacing w:after="0" w:line="240" w:lineRule="auto"/>
    </w:pPr>
    <w:rPr>
      <w:rFonts w:ascii="Verdana" w:eastAsia="Times New Roman" w:hAnsi="Verdana" w:cs="Times New Roman"/>
      <w:sz w:val="16"/>
      <w:szCs w:val="20"/>
      <w:lang w:eastAsia="de-DE"/>
    </w:rPr>
  </w:style>
  <w:style w:type="character" w:customStyle="1" w:styleId="FootnoteTextChar">
    <w:name w:val="Footnote Text Char"/>
    <w:basedOn w:val="DefaultParagraphFont"/>
    <w:link w:val="FootnoteText"/>
    <w:uiPriority w:val="99"/>
    <w:rPr>
      <w:rFonts w:ascii="Verdana" w:eastAsia="Times New Roman" w:hAnsi="Verdana" w:cs="Times New Roman"/>
      <w:sz w:val="16"/>
      <w:szCs w:val="20"/>
      <w:lang w:eastAsia="de-DE"/>
    </w:rPr>
  </w:style>
  <w:style w:type="character" w:styleId="FootnoteReference">
    <w:name w:val="footnote reference"/>
    <w:basedOn w:val="DefaultParagraphFont"/>
    <w:uiPriority w:val="99"/>
    <w:rPr>
      <w:position w:val="6"/>
      <w:sz w:val="12"/>
      <w:szCs w:val="12"/>
      <w:lang w:val="bg-BG"/>
    </w:rPr>
  </w:style>
  <w:style w:type="paragraph" w:customStyle="1" w:styleId="DGEMPLHeading1">
    <w:name w:val="DGEMPL_Heading 1"/>
    <w:next w:val="DGEMPLStandard"/>
    <w:pPr>
      <w:keepNext/>
      <w:keepLines/>
      <w:pageBreakBefore/>
      <w:numPr>
        <w:numId w:val="4"/>
      </w:numPr>
      <w:tabs>
        <w:tab w:val="left" w:pos="851"/>
      </w:tabs>
      <w:spacing w:before="120" w:after="120" w:line="240" w:lineRule="auto"/>
      <w:outlineLvl w:val="0"/>
    </w:pPr>
    <w:rPr>
      <w:rFonts w:ascii="Verdana" w:eastAsia="Times New Roman" w:hAnsi="Verdana" w:cs="Times New Roman"/>
      <w:b/>
      <w:sz w:val="24"/>
      <w:szCs w:val="20"/>
      <w:lang w:eastAsia="de-DE"/>
    </w:rPr>
  </w:style>
  <w:style w:type="paragraph" w:customStyle="1" w:styleId="DGEMPLHeading2">
    <w:name w:val="DGEMPL_Heading 2"/>
    <w:next w:val="DGEMPLStandard"/>
    <w:pPr>
      <w:keepNext/>
      <w:keepLines/>
      <w:numPr>
        <w:ilvl w:val="1"/>
        <w:numId w:val="4"/>
      </w:numPr>
      <w:tabs>
        <w:tab w:val="clear" w:pos="360"/>
        <w:tab w:val="left" w:pos="851"/>
      </w:tabs>
      <w:spacing w:before="120" w:after="120" w:line="240" w:lineRule="auto"/>
      <w:ind w:left="851" w:hanging="851"/>
      <w:outlineLvl w:val="1"/>
    </w:pPr>
    <w:rPr>
      <w:rFonts w:ascii="Verdana" w:eastAsia="Times New Roman" w:hAnsi="Verdana" w:cs="Times New Roman"/>
      <w:b/>
      <w:szCs w:val="20"/>
      <w:lang w:eastAsia="de-DE"/>
    </w:rPr>
  </w:style>
  <w:style w:type="paragraph" w:customStyle="1" w:styleId="DGEMPLHeading3">
    <w:name w:val="DGEMPL_Heading 3"/>
    <w:next w:val="DGEMPLStandard"/>
    <w:pPr>
      <w:keepNext/>
      <w:keepLines/>
      <w:numPr>
        <w:ilvl w:val="2"/>
        <w:numId w:val="4"/>
      </w:numPr>
      <w:tabs>
        <w:tab w:val="clear" w:pos="720"/>
        <w:tab w:val="left" w:pos="851"/>
      </w:tabs>
      <w:spacing w:before="120" w:after="120" w:line="240" w:lineRule="auto"/>
      <w:ind w:left="851" w:hanging="851"/>
      <w:outlineLvl w:val="2"/>
    </w:pPr>
    <w:rPr>
      <w:rFonts w:ascii="Verdana" w:eastAsia="Times New Roman" w:hAnsi="Verdana" w:cs="Times New Roman"/>
      <w:b/>
      <w:sz w:val="20"/>
      <w:szCs w:val="20"/>
      <w:lang w:eastAsia="de-DE"/>
    </w:rPr>
  </w:style>
  <w:style w:type="paragraph" w:customStyle="1" w:styleId="DGEMPLHeading4">
    <w:name w:val="DGEMPL_Heading 4"/>
    <w:next w:val="DGEMPLStandard"/>
    <w:pPr>
      <w:keepNext/>
      <w:keepLines/>
      <w:numPr>
        <w:ilvl w:val="3"/>
        <w:numId w:val="4"/>
      </w:numPr>
      <w:tabs>
        <w:tab w:val="clear" w:pos="1080"/>
        <w:tab w:val="left" w:pos="851"/>
      </w:tabs>
      <w:spacing w:before="120" w:after="120" w:line="240" w:lineRule="auto"/>
      <w:ind w:left="851" w:hanging="851"/>
      <w:outlineLvl w:val="3"/>
    </w:pPr>
    <w:rPr>
      <w:rFonts w:ascii="Verdana" w:eastAsia="Times New Roman" w:hAnsi="Verdana" w:cs="Times New Roman"/>
      <w:b/>
      <w:sz w:val="18"/>
      <w:szCs w:val="20"/>
      <w:lang w:eastAsia="de-DE"/>
    </w:rPr>
  </w:style>
  <w:style w:type="paragraph" w:customStyle="1" w:styleId="DGEMPLHeading5">
    <w:name w:val="DGEMPL_Heading 5"/>
    <w:next w:val="DGEMPLStandard"/>
    <w:pPr>
      <w:keepNext/>
      <w:keepLines/>
      <w:spacing w:before="200" w:after="100" w:line="240" w:lineRule="auto"/>
      <w:outlineLvl w:val="4"/>
    </w:pPr>
    <w:rPr>
      <w:rFonts w:ascii="Verdana" w:eastAsia="Times New Roman" w:hAnsi="Verdana" w:cs="Times New Roman"/>
      <w:b/>
      <w:sz w:val="20"/>
      <w:szCs w:val="20"/>
      <w:lang w:eastAsia="de-D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EMPLLabeltables">
    <w:name w:val="DGEMPL_Label_tables"/>
    <w:next w:val="DGEMPLStandard"/>
    <w:qFormat/>
    <w:pPr>
      <w:numPr>
        <w:numId w:val="1"/>
      </w:numPr>
      <w:tabs>
        <w:tab w:val="clear" w:pos="1077"/>
        <w:tab w:val="left" w:pos="1134"/>
      </w:tabs>
      <w:spacing w:before="120" w:after="120" w:line="240" w:lineRule="auto"/>
      <w:ind w:left="1134" w:hanging="1134"/>
    </w:pPr>
    <w:rPr>
      <w:rFonts w:ascii="Verdana" w:eastAsia="Times New Roman" w:hAnsi="Verdana" w:cs="Times New Roman"/>
      <w:i/>
      <w:sz w:val="20"/>
      <w:szCs w:val="20"/>
      <w:lang w:eastAsia="de-DE"/>
    </w:rPr>
  </w:style>
  <w:style w:type="paragraph" w:customStyle="1" w:styleId="DGEMPLLabelfigures">
    <w:name w:val="DGEMPL_Label_figures"/>
    <w:basedOn w:val="DGEMPLLabeltables"/>
    <w:next w:val="DGEMPLStandard"/>
    <w:qFormat/>
    <w:pPr>
      <w:numPr>
        <w:numId w:val="2"/>
      </w:numPr>
      <w:tabs>
        <w:tab w:val="num" w:pos="1304"/>
      </w:tabs>
      <w:ind w:left="567"/>
    </w:pPr>
  </w:style>
  <w:style w:type="paragraph" w:customStyle="1" w:styleId="DGEMPLLabelboxes">
    <w:name w:val="DGEMPL_Label_boxes"/>
    <w:basedOn w:val="DGEMPLStandard"/>
    <w:next w:val="DGEMPLStandard"/>
    <w:qFormat/>
    <w:pPr>
      <w:numPr>
        <w:numId w:val="3"/>
      </w:numPr>
      <w:tabs>
        <w:tab w:val="clear" w:pos="1077"/>
        <w:tab w:val="left" w:pos="1134"/>
      </w:tabs>
      <w:ind w:left="1134" w:hanging="1134"/>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lang w:val="bg-BG"/>
    </w:rPr>
  </w:style>
  <w:style w:type="character" w:customStyle="1" w:styleId="FooterCoverPageChar">
    <w:name w:val="Footer Cover Page Char"/>
    <w:basedOn w:val="PagedecouvertureChar"/>
    <w:link w:val="FooterCoverPage"/>
    <w:rPr>
      <w:rFonts w:ascii="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Pr>
      <w:rFonts w:ascii="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Pr>
      <w:rFonts w:ascii="Times New Roman" w:hAnsi="Times New Roman" w:cs="Times New Roman"/>
      <w:b/>
      <w:sz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bg-BG"/>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rPr>
      <w:rFonts w:asciiTheme="minorHAnsi" w:hAnsiTheme="minorHAnsi"/>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4626">
      <w:bodyDiv w:val="1"/>
      <w:marLeft w:val="0"/>
      <w:marRight w:val="0"/>
      <w:marTop w:val="0"/>
      <w:marBottom w:val="0"/>
      <w:divBdr>
        <w:top w:val="none" w:sz="0" w:space="0" w:color="auto"/>
        <w:left w:val="none" w:sz="0" w:space="0" w:color="auto"/>
        <w:bottom w:val="none" w:sz="0" w:space="0" w:color="auto"/>
        <w:right w:val="none" w:sz="0" w:space="0" w:color="auto"/>
      </w:divBdr>
    </w:div>
    <w:div w:id="494539922">
      <w:bodyDiv w:val="1"/>
      <w:marLeft w:val="0"/>
      <w:marRight w:val="0"/>
      <w:marTop w:val="0"/>
      <w:marBottom w:val="0"/>
      <w:divBdr>
        <w:top w:val="none" w:sz="0" w:space="0" w:color="auto"/>
        <w:left w:val="none" w:sz="0" w:space="0" w:color="auto"/>
        <w:bottom w:val="none" w:sz="0" w:space="0" w:color="auto"/>
        <w:right w:val="none" w:sz="0" w:space="0" w:color="auto"/>
      </w:divBdr>
    </w:div>
    <w:div w:id="16314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oter" Target="footer6.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bg/newsroom/news/2020/01/14-01-2020-financing-the-green-transition-the-european-green-deal-investment-plan-and-just-transition-mechanism" TargetMode="External"/><Relationship Id="rId2" Type="http://schemas.openxmlformats.org/officeDocument/2006/relationships/hyperlink" Target="https://ec.europa.eu/info/sites/info/files/european-green-deal-communication_en.pdf" TargetMode="External"/><Relationship Id="rId1" Type="http://schemas.openxmlformats.org/officeDocument/2006/relationships/hyperlink" Target="https://eur-lex.europa.eu/legal-content/BG/TXT/?qid=1537946431022&amp;uri=CELEX:02014R0223-20180802" TargetMode="External"/><Relationship Id="rId4" Type="http://schemas.openxmlformats.org/officeDocument/2006/relationships/hyperlink" Target="https://ec.europa.eu/social/main.jsp?langId=bg&amp;catId=1226&amp;furtherNews=yes&amp;newsId=9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EA5030786147892F03EC235C4691" ma:contentTypeVersion="12" ma:contentTypeDescription="Create a new document." ma:contentTypeScope="" ma:versionID="dc761bd344897079f7bc8a96b35c50c2">
  <xsd:schema xmlns:xsd="http://www.w3.org/2001/XMLSchema" xmlns:xs="http://www.w3.org/2001/XMLSchema" xmlns:p="http://schemas.microsoft.com/office/2006/metadata/properties" xmlns:ns2="72a07078-56ca-4514-94c0-037d64cae5a5" xmlns:ns3="e42ac312-4269-454f-a8d2-84d86590d9c4" targetNamespace="http://schemas.microsoft.com/office/2006/metadata/properties" ma:root="true" ma:fieldsID="373871f0608006fdb53623ed36f297d9" ns2:_="" ns3:_="">
    <xsd:import namespace="72a07078-56ca-4514-94c0-037d64cae5a5"/>
    <xsd:import namespace="e42ac312-4269-454f-a8d2-84d86590d9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07078-56ca-4514-94c0-037d64ca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ac312-4269-454f-a8d2-84d86590d9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C6DA7A-E43E-459D-8A23-087242AC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07078-56ca-4514-94c0-037d64cae5a5"/>
    <ds:schemaRef ds:uri="e42ac312-4269-454f-a8d2-84d86590d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88E9D-2CDB-48AB-9A42-64A8ADCFF135}">
  <ds:schemaRefs>
    <ds:schemaRef ds:uri="http://schemas.microsoft.com/sharepoint/v3/contenttype/forms"/>
  </ds:schemaRefs>
</ds:datastoreItem>
</file>

<file path=customXml/itemProps3.xml><?xml version="1.0" encoding="utf-8"?>
<ds:datastoreItem xmlns:ds="http://schemas.openxmlformats.org/officeDocument/2006/customXml" ds:itemID="{A98B4D1D-F0C1-4860-A7CD-C7E6F84F0671}">
  <ds:schemaRefs>
    <ds:schemaRef ds:uri="http://purl.org/dc/dcmitype/"/>
    <ds:schemaRef ds:uri="http://schemas.microsoft.com/office/infopath/2007/PartnerControls"/>
    <ds:schemaRef ds:uri="http://purl.org/dc/elements/1.1/"/>
    <ds:schemaRef ds:uri="72a07078-56ca-4514-94c0-037d64cae5a5"/>
    <ds:schemaRef ds:uri="http://schemas.microsoft.com/office/2006/metadata/properties"/>
    <ds:schemaRef ds:uri="e42ac312-4269-454f-a8d2-84d86590d9c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72CCBA4-75D1-4E97-8BF5-889AB027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6837</Words>
  <Characters>39313</Characters>
  <Application>Microsoft Office Word</Application>
  <DocSecurity>0</DocSecurity>
  <Lines>677</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2020-05-27T16:16:00Z</dcterms:created>
  <dcterms:modified xsi:type="dcterms:W3CDTF">2020-06-08T08:09:00Z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ContentTypeId">
    <vt:lpwstr>0x0101007A07EA5030786147892F03EC235C4691</vt:lpwstr>
  </property>
</Properties>
</file>