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61B7144-6525-4063-8236-1A488C1667D3" style="width:450.25pt;height:380.4pt">
            <v:imagedata r:id="rId9" o:title=""/>
          </v:shape>
        </w:pict>
      </w:r>
    </w:p>
    <w:bookmarkEnd w:id="0"/>
    <w:p>
      <w:p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pPr>
      <w:bookmarkStart w:id="1" w:name="_GoBack"/>
      <w:bookmarkEnd w:id="1"/>
      <w:r>
        <w:lastRenderedPageBreak/>
        <w:t>Indicateurs communs de ressources (PO I et PO II) pour la période 2014-2020</w:t>
      </w:r>
      <w:r>
        <w:rPr>
          <w:rStyle w:val="FootnoteReference"/>
        </w:rPr>
        <w:footnoteReference w:id="1"/>
      </w:r>
      <w:r>
        <w:t xml:space="preserve"> </w:t>
      </w:r>
    </w:p>
    <w:tbl>
      <w:tblPr>
        <w:tblW w:w="15188" w:type="dxa"/>
        <w:jc w:val="center"/>
        <w:tblCellMar>
          <w:left w:w="70" w:type="dxa"/>
          <w:right w:w="70" w:type="dxa"/>
        </w:tblCellMar>
        <w:tblLook w:val="04A0" w:firstRow="1" w:lastRow="0" w:firstColumn="1" w:lastColumn="0" w:noHBand="0" w:noVBand="1"/>
      </w:tblPr>
      <w:tblGrid>
        <w:gridCol w:w="841"/>
        <w:gridCol w:w="1253"/>
        <w:gridCol w:w="1386"/>
        <w:gridCol w:w="1253"/>
        <w:gridCol w:w="1386"/>
        <w:gridCol w:w="1384"/>
        <w:gridCol w:w="1701"/>
        <w:gridCol w:w="1276"/>
        <w:gridCol w:w="1843"/>
        <w:gridCol w:w="1479"/>
        <w:gridCol w:w="1386"/>
      </w:tblGrid>
      <w:tr>
        <w:trPr>
          <w:trHeight w:val="227"/>
          <w:tblHeader/>
          <w:jc w:val="center"/>
        </w:trPr>
        <w:tc>
          <w:tcPr>
            <w:tcW w:w="841" w:type="dxa"/>
            <w:vMerge w:val="restart"/>
            <w:tcBorders>
              <w:top w:val="single" w:sz="8" w:space="0" w:color="A6A6A6"/>
              <w:left w:val="single" w:sz="8" w:space="0" w:color="A6A6A6"/>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2639"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w:t>
            </w:r>
          </w:p>
        </w:tc>
        <w:tc>
          <w:tcPr>
            <w:tcW w:w="2639"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2</w:t>
            </w:r>
          </w:p>
        </w:tc>
        <w:tc>
          <w:tcPr>
            <w:tcW w:w="3085"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2a</w:t>
            </w:r>
          </w:p>
        </w:tc>
        <w:tc>
          <w:tcPr>
            <w:tcW w:w="3119"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2b</w:t>
            </w:r>
          </w:p>
        </w:tc>
        <w:tc>
          <w:tcPr>
            <w:tcW w:w="2865"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3</w:t>
            </w:r>
          </w:p>
        </w:tc>
      </w:tr>
      <w:tr>
        <w:trPr>
          <w:trHeight w:val="1077"/>
          <w:tblHeader/>
          <w:jc w:val="center"/>
        </w:trPr>
        <w:tc>
          <w:tcPr>
            <w:tcW w:w="841" w:type="dxa"/>
            <w:vMerge/>
            <w:tcBorders>
              <w:top w:val="single" w:sz="8" w:space="0" w:color="A6A6A6"/>
              <w:left w:val="single" w:sz="8" w:space="0" w:color="A6A6A6"/>
              <w:bottom w:val="single" w:sz="8" w:space="0" w:color="A6A6A6"/>
              <w:right w:val="single" w:sz="8" w:space="0" w:color="A6A6A6"/>
            </w:tcBorders>
            <w:vAlign w:val="center"/>
            <w:hideMark/>
          </w:tcPr>
          <w:p>
            <w:pPr>
              <w:spacing w:after="0" w:line="240" w:lineRule="auto"/>
              <w:jc w:val="center"/>
              <w:rPr>
                <w:rFonts w:ascii="Times New Roman"/>
                <w:b/>
                <w:bCs/>
                <w:color w:val="000000"/>
                <w:sz w:val="16"/>
                <w:szCs w:val="16"/>
              </w:rPr>
            </w:pPr>
          </w:p>
        </w:tc>
        <w:tc>
          <w:tcPr>
            <w:tcW w:w="2639"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Montant total des dépenses publiques éligibles approuvé dans les documents fixant les conditions du soutien aux opérations (en EUR)</w:t>
            </w:r>
          </w:p>
        </w:tc>
        <w:tc>
          <w:tcPr>
            <w:tcW w:w="2639"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Montant total des dépenses publiques éligibles engagées par les bénéficiaires et effectuées au cours de l’exécution des opérations (en EUR)</w:t>
            </w:r>
          </w:p>
        </w:tc>
        <w:tc>
          <w:tcPr>
            <w:tcW w:w="3085"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Montant total des dépenses publiques éligibles engagées par les bénéficiaires et effectuées au cours de l’exécution des opérations de distribution de l’aide alimentaire, le cas échéant (en EUR)</w:t>
            </w:r>
          </w:p>
        </w:tc>
        <w:tc>
          <w:tcPr>
            <w:tcW w:w="3119"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Montant total des dépenses publiques éligibles supportées par les bénéficiaires et versées au cours de l’exécution des opérations pour la fourniture d’une assistance matérielle de base, le cas échéant (en EUR)</w:t>
            </w:r>
          </w:p>
        </w:tc>
        <w:tc>
          <w:tcPr>
            <w:tcW w:w="2865"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Montant total des dépenses publiques éligibles déclarées à la Commission (en EUR)</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 xml:space="preserve">2018 </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 xml:space="preserve">2018 </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 xml:space="preserve">2018 </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 xml:space="preserve">2018 </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Cumulé</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AT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3 088 902,00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11 996 936,00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3 266 157</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11 778 408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3 246 160,93</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11 034 678,76</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2 730 806,89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8 363 437,36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13 681 679,96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64 831 366,42</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11 463 452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53 028 238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11 035 269,85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51 116 166,30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8 378 048,63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44 661 222,10</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BG</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14 275 286,59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114 162 079,85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28 509 630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76 252 082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27 103 214,40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72 946 734,65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18 289 389,46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54 444 227,85</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CY</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675 698,00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3 248 570,00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975 519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1 334 999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295 283,35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584 414,75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680 235,47</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680 235,47</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672 850,82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890 460,32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CZ</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6 454 755,85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21 471 853,29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5 770 270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11 161 374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3 808 699,75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6 654 561,07</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1 961 599,88</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3 779 073,82</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3 731 145,48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7 241 764,47</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1 197 024,00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5 529 154,00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1 197 024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5 523 600</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1 197 024,00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5 523 600,00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866 310,00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4 517 140,43</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25 988 166,11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95 654 039,01</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34 815 109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59 562 654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29 413 865,24</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50 846 141,66</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5 401 243,85</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8 716 512,53</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36 867 818,79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58 562 974,06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ES</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100 752 032,48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425 654 015,79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89 316 571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390 392 524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85 487 074,62</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371 802 405,25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46 177 639,16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298 320 479,68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FI</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3 861 000,00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18 564 000,00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3 764 999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11 058 888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3 636 853,58</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10 556 259,53</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3 772 275,93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11 058 887,68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FR</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84 980 186,61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407 761 302,26</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81 240 469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338 890 709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80 963 893,93</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338 264 426,85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47 650 006,06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130 553 688,44</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HR</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13 771 944,04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28 619 760,31</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8 184 204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15 786 959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6 835 776,01</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12 574 768,94</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1 044 392,86</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2 325 173,14</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9 069 121,06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12 505 793,88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HU</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115 461 946,72</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23 929 502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27 582 097</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21 778 803,74</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25 425 004,48</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1 950 088,68</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1 950 088,68</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22 633 550,46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25 558 573,48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5 117 151,43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8 564 513,35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5 089 231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8 427 163</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3 935 000,00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7 187 842,90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1 154 230,66</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1 239 320,17</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2 984 111,56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6 065 592,36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45 990 000,00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254 300 000,00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48 293 854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203 068 693</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48 293 853,95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203 068 692,89</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24 496 847,37</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123 053 436,64</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6 000 000,00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66 857 522,24</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8 313 753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39 565 368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7 558 387,03</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38 810 002,16</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755 365,91</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755 365,91</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8 602 357,35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33 414 564,73</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LU</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513 800,00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2 766 745,00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494 229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2 217 368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381 947,24</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1 439 499,52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112 281,40</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478 806,93</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762 818,42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LV</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7 027 253,00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33 785 129,00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5 598 708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19 085 482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4 485 968,00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15 145 327,47</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815 094,00</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2 649 741,52</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5 407 220,00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17 590 052,45</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MT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4 640 777,00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636 538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2 236 351</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558 162,48</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2 092 800,52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586 858,78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1 716 230,22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91 050 037,71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342 000 684,07</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93 006 446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271 340 072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93 006 445,91</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271 340 072,12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59 094 413,95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220 664 547,28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11 951 177,09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113 412 866,59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17 925 083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40 123 040</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16 764 377,66</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38 401 202,35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13 778 680,94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34 685 174,76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RO</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285 554 835,89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465 653 226,30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1 463 069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171 989 502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170 526 432,36</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1 463 069,33</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1 463 069,33</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76 622 690,32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SI</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3 731 600,00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18 212 028,64</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3 622 935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11 940 038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3 492 828,47</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11 495 157,31</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3 063 137,10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9 718 850,42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SK</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14 866 066,68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40 745 143,85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10 546 558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21 547 183</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9 960 631,27</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19 792 140,32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284 612,10</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908 339,10</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9 916 330,66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20 811 575,91</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DE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18 454 621,97</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53 714 548,12</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6 965 516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33 785 914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13 612 441,48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16 246 970,30</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DK</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745 962,34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1 704 226,89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685 581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1 595 179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634 067,99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1 448 592,36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NL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4 640 778,05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888 871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1 982 661</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399 515,00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1 067 025,79</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2 517 071,00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8 026 184,00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1 918 931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4 145 889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1 865 890,00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2 705 755,02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762 246 252,75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2 731 979 396,75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497 882 207,30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1 835 402 431,30</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459 993 360,48</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1 725 593 653,40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18 868 375,07</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35 980 405,36</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345 280 834,92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1 223 252 526,73</w:t>
            </w:r>
          </w:p>
        </w:tc>
      </w:tr>
    </w:tbl>
    <w:p>
      <w:pPr>
        <w:pStyle w:val="Heading1"/>
      </w:pPr>
      <w:r>
        <w:lastRenderedPageBreak/>
        <w:t>Indicateurs communs de réalisation relatifs à la distribution de l’aide alimentaire (PO I) sur la période 2014-2020</w:t>
      </w:r>
      <w:r>
        <w:rPr>
          <w:rStyle w:val="FootnoteReference"/>
        </w:rPr>
        <w:footnoteReference w:id="2"/>
      </w:r>
    </w:p>
    <w:tbl>
      <w:tblPr>
        <w:tblW w:w="1262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901"/>
        <w:gridCol w:w="941"/>
        <w:gridCol w:w="1003"/>
        <w:gridCol w:w="941"/>
        <w:gridCol w:w="1034"/>
        <w:gridCol w:w="941"/>
        <w:gridCol w:w="1043"/>
        <w:gridCol w:w="941"/>
        <w:gridCol w:w="1003"/>
        <w:gridCol w:w="941"/>
        <w:gridCol w:w="1084"/>
        <w:gridCol w:w="852"/>
        <w:gridCol w:w="1003"/>
      </w:tblGrid>
      <w:tr>
        <w:trPr>
          <w:trHeight w:val="227"/>
          <w:tblHeader/>
        </w:trPr>
        <w:tc>
          <w:tcPr>
            <w:tcW w:w="901" w:type="dxa"/>
            <w:vMerge w:val="restart"/>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1944"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4</w:t>
            </w:r>
          </w:p>
        </w:tc>
        <w:tc>
          <w:tcPr>
            <w:tcW w:w="1975"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5</w:t>
            </w:r>
          </w:p>
        </w:tc>
        <w:tc>
          <w:tcPr>
            <w:tcW w:w="1984"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6</w:t>
            </w:r>
          </w:p>
        </w:tc>
        <w:tc>
          <w:tcPr>
            <w:tcW w:w="1944"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7</w:t>
            </w:r>
          </w:p>
        </w:tc>
        <w:tc>
          <w:tcPr>
            <w:tcW w:w="2025"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8</w:t>
            </w:r>
          </w:p>
        </w:tc>
        <w:tc>
          <w:tcPr>
            <w:tcW w:w="1855"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9</w:t>
            </w:r>
          </w:p>
        </w:tc>
      </w:tr>
      <w:tr>
        <w:trPr>
          <w:trHeight w:val="737"/>
          <w:tblHeader/>
        </w:trPr>
        <w:tc>
          <w:tcPr>
            <w:tcW w:w="901" w:type="dxa"/>
            <w:vMerge/>
            <w:vAlign w:val="center"/>
            <w:hideMark/>
          </w:tcPr>
          <w:p>
            <w:pPr>
              <w:spacing w:after="0" w:line="240" w:lineRule="auto"/>
              <w:jc w:val="center"/>
              <w:rPr>
                <w:rFonts w:ascii="Times New Roman"/>
                <w:b/>
                <w:bCs/>
                <w:color w:val="000000"/>
                <w:sz w:val="16"/>
                <w:szCs w:val="16"/>
              </w:rPr>
            </w:pPr>
          </w:p>
        </w:tc>
        <w:tc>
          <w:tcPr>
            <w:tcW w:w="1944"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de fruits et légumes (en tonnes) </w:t>
            </w:r>
          </w:p>
          <w:p>
            <w:pPr>
              <w:spacing w:after="0" w:line="240" w:lineRule="auto"/>
              <w:jc w:val="center"/>
              <w:rPr>
                <w:rFonts w:ascii="Times New Roman"/>
                <w:b/>
                <w:bCs/>
                <w:color w:val="000000"/>
                <w:sz w:val="16"/>
                <w:szCs w:val="16"/>
              </w:rPr>
            </w:pPr>
          </w:p>
        </w:tc>
        <w:tc>
          <w:tcPr>
            <w:tcW w:w="1975"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de viandes, œufs, poissons et fruits de mer (en tonnes) </w:t>
            </w:r>
          </w:p>
          <w:p>
            <w:pPr>
              <w:spacing w:after="0" w:line="240" w:lineRule="auto"/>
              <w:jc w:val="center"/>
              <w:rPr>
                <w:rFonts w:ascii="Times New Roman"/>
                <w:b/>
                <w:bCs/>
                <w:color w:val="000000"/>
                <w:sz w:val="16"/>
                <w:szCs w:val="16"/>
              </w:rPr>
            </w:pPr>
          </w:p>
        </w:tc>
        <w:tc>
          <w:tcPr>
            <w:tcW w:w="1984"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de farine, pain, pommes de terre, riz et autres produits riches en amidon (en tonnes) </w:t>
            </w:r>
          </w:p>
          <w:p>
            <w:pPr>
              <w:spacing w:after="0" w:line="240" w:lineRule="auto"/>
              <w:jc w:val="center"/>
              <w:rPr>
                <w:rFonts w:ascii="Times New Roman"/>
                <w:b/>
                <w:bCs/>
                <w:color w:val="000000"/>
                <w:sz w:val="16"/>
                <w:szCs w:val="16"/>
              </w:rPr>
            </w:pPr>
          </w:p>
        </w:tc>
        <w:tc>
          <w:tcPr>
            <w:tcW w:w="1944"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de sucre (en tonnes) </w:t>
            </w:r>
          </w:p>
          <w:p>
            <w:pPr>
              <w:spacing w:after="0" w:line="240" w:lineRule="auto"/>
              <w:jc w:val="center"/>
              <w:rPr>
                <w:rFonts w:ascii="Times New Roman"/>
                <w:b/>
                <w:bCs/>
                <w:color w:val="000000"/>
                <w:sz w:val="16"/>
                <w:szCs w:val="16"/>
              </w:rPr>
            </w:pPr>
          </w:p>
        </w:tc>
        <w:tc>
          <w:tcPr>
            <w:tcW w:w="2025"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de produits laitiers (en tonnes) </w:t>
            </w:r>
          </w:p>
          <w:p>
            <w:pPr>
              <w:spacing w:after="0" w:line="240" w:lineRule="auto"/>
              <w:jc w:val="center"/>
              <w:rPr>
                <w:rFonts w:ascii="Times New Roman"/>
                <w:b/>
                <w:bCs/>
                <w:color w:val="000000"/>
                <w:sz w:val="16"/>
                <w:szCs w:val="16"/>
              </w:rPr>
            </w:pPr>
          </w:p>
        </w:tc>
        <w:tc>
          <w:tcPr>
            <w:tcW w:w="1855"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de graisses, huiles (en tonnes) </w:t>
            </w:r>
          </w:p>
          <w:p>
            <w:pPr>
              <w:spacing w:after="0" w:line="240" w:lineRule="auto"/>
              <w:jc w:val="center"/>
              <w:rPr>
                <w:rFonts w:ascii="Times New Roman"/>
                <w:b/>
                <w:bCs/>
                <w:color w:val="000000"/>
                <w:sz w:val="16"/>
                <w:szCs w:val="16"/>
              </w:rPr>
            </w:pPr>
          </w:p>
        </w:tc>
      </w:tr>
      <w:tr>
        <w:trPr>
          <w:trHeight w:val="227"/>
        </w:trPr>
        <w:tc>
          <w:tcPr>
            <w:tcW w:w="90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94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00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94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03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94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04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94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00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94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08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852"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00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AT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BE</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1 296,46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6 534,02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69,51</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1 547,50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1 904,58</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9 651,68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79,06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567,37</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3 606,83</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14 647,04</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351,44</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1 469,09</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BG</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6 714,95</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12 633,72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2 750,25</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5 482,23</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8 953,91</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25 280,44</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1 179,23</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4 046,54</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778,98</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1 460,96</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1 232,63</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1 493,97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CY</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16,06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32,07</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8,45</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16,88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26,76</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53,45</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8,45</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16,88</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CZ</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159,07</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347,88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132,59</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347,22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262,88</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638,96</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82,95</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212,78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196,30</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376,60</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79,40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201,39</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EE</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55,00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148,00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139,00</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717,00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150,00</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860,00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90,00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375,00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278,00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EL</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1 797,47</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7 914,42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1 439,32</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4 456,59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2 797,94</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5 065,85</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670,05</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1 906,42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862,66</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2 380,08</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617,88</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1 591,78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ES</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18 552,48</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68 659,94</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4 694,87</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18 352,63</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11 713,78</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68 184,82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37 390,99</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148 355,78</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4 442,27</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17 724,64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FI</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207,02</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663,47</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1 295,03</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4 323,68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132,81</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444,66</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FR</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7 350,80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36 299,31</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4 714,31</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20 081,77</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10 094,12</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50 262,29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1 989,11</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12 281,08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39 871,07</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204 279,98</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2 536,32</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15 283,31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HR</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366,10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2 056,49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141,45</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575,79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689,87</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2 866,95</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107,51</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568,70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188,06</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1 134,47</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93,22</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498,88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HU</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639,06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755,02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273,97</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304,93</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1 942,53</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2 483,69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619,43</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718,29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322,37</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509,38</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562,62</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661,48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IE</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330,00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625,19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52,00</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75,80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413,00</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715,77</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199,00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351,50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6,51</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1 360,19</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18 998,42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631,18</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2 751,10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20 842,94</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92 963,09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539,76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4 351,49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8 501,64</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65 178,70</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2 499,21</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11 207,45</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272,76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850,09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363,89</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1 291,78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2 559,62</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14 859,69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709,62</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3 379,72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434,85</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1 310,56</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680,80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3 091,17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LU</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415,00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1 041,00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137,00</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840,00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279,00</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789,00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58,00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221,00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560,00</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1 695,00</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63,00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283,00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LV</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21,42</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48,34</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289,93</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867,62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1 241,65</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4 750,53</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164,36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545,60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133,14</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532,36</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161,61</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655,06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MT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56,96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212,90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15,22</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57,06</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60,32</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225,72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39,35</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147,05</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PL</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15 725,56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49 129,98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10 109,13</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39 863,81</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12 853,25</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61 804,78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5 654,37</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26 280,41</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12 011,52</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52 650,55</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5 142,53</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20 071,82</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5 326,68</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8 039,80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2 011,94</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3 927,80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1 431,64</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5 226,53</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981,00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3 495,62</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9 255,46</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151,66</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1 540,86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RO</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22 210,00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80 692,00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22 247,00</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30 164,00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SI</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1 156,48</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6 146,81</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1 747,52</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6 866,89</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498,40</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1 378,06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SK</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546,27</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1 384,08</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537,17</w:t>
            </w:r>
          </w:p>
        </w:tc>
        <w:tc>
          <w:tcPr>
            <w:tcW w:w="10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1 361,02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2 549,27</w:t>
            </w:r>
          </w:p>
        </w:tc>
        <w:tc>
          <w:tcPr>
            <w:tcW w:w="104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6 459,09</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364,18</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922,72</w:t>
            </w:r>
          </w:p>
        </w:tc>
        <w:tc>
          <w:tcPr>
            <w:tcW w:w="941"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145,67</w:t>
            </w:r>
          </w:p>
        </w:tc>
        <w:tc>
          <w:tcPr>
            <w:tcW w:w="108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369,09</w:t>
            </w:r>
          </w:p>
        </w:tc>
        <w:tc>
          <w:tcPr>
            <w:tcW w:w="85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364,18</w:t>
            </w:r>
          </w:p>
        </w:tc>
        <w:tc>
          <w:tcPr>
            <w:tcW w:w="10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922,72</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941"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61 002,29</w:t>
            </w:r>
          </w:p>
        </w:tc>
        <w:tc>
          <w:tcPr>
            <w:tcW w:w="100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215 710,67</w:t>
            </w:r>
          </w:p>
        </w:tc>
        <w:tc>
          <w:tcPr>
            <w:tcW w:w="941"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28 718,20</w:t>
            </w:r>
          </w:p>
        </w:tc>
        <w:tc>
          <w:tcPr>
            <w:tcW w:w="1034"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125 792,00</w:t>
            </w:r>
          </w:p>
        </w:tc>
        <w:tc>
          <w:tcPr>
            <w:tcW w:w="941"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83 218,57</w:t>
            </w:r>
          </w:p>
        </w:tc>
        <w:tc>
          <w:tcPr>
            <w:tcW w:w="104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444 304,82</w:t>
            </w:r>
          </w:p>
        </w:tc>
        <w:tc>
          <w:tcPr>
            <w:tcW w:w="941"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12 506,63</w:t>
            </w:r>
          </w:p>
        </w:tc>
        <w:tc>
          <w:tcPr>
            <w:tcW w:w="100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79 956,62</w:t>
            </w:r>
          </w:p>
        </w:tc>
        <w:tc>
          <w:tcPr>
            <w:tcW w:w="941"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110 427,83</w:t>
            </w:r>
          </w:p>
        </w:tc>
        <w:tc>
          <w:tcPr>
            <w:tcW w:w="1084"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511 618,00</w:t>
            </w:r>
          </w:p>
        </w:tc>
        <w:tc>
          <w:tcPr>
            <w:tcW w:w="852"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19 477,17</w:t>
            </w:r>
          </w:p>
        </w:tc>
        <w:tc>
          <w:tcPr>
            <w:tcW w:w="100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108 516,68</w:t>
            </w:r>
          </w:p>
        </w:tc>
      </w:tr>
    </w:tbl>
    <w:p/>
    <w:p>
      <w:r>
        <w:br w:type="page"/>
      </w:r>
    </w:p>
    <w:tbl>
      <w:tblPr>
        <w:tblW w:w="1289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754"/>
        <w:gridCol w:w="915"/>
        <w:gridCol w:w="1104"/>
        <w:gridCol w:w="1103"/>
        <w:gridCol w:w="1240"/>
        <w:gridCol w:w="1678"/>
        <w:gridCol w:w="1701"/>
        <w:gridCol w:w="1134"/>
        <w:gridCol w:w="1134"/>
        <w:gridCol w:w="993"/>
        <w:gridCol w:w="1134"/>
      </w:tblGrid>
      <w:tr>
        <w:trPr>
          <w:trHeight w:val="227"/>
          <w:tblHeader/>
        </w:trPr>
        <w:tc>
          <w:tcPr>
            <w:tcW w:w="754" w:type="dxa"/>
            <w:vMerge w:val="restart"/>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2019"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10</w:t>
            </w:r>
          </w:p>
        </w:tc>
        <w:tc>
          <w:tcPr>
            <w:tcW w:w="2343"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11</w:t>
            </w:r>
          </w:p>
        </w:tc>
        <w:tc>
          <w:tcPr>
            <w:tcW w:w="1678" w:type="dxa"/>
          </w:tcPr>
          <w:p>
            <w:pPr>
              <w:spacing w:after="0" w:line="240" w:lineRule="auto"/>
              <w:jc w:val="center"/>
              <w:rPr>
                <w:rFonts w:ascii="Times New Roman"/>
                <w:b/>
                <w:bCs/>
                <w:color w:val="000000"/>
                <w:sz w:val="16"/>
                <w:szCs w:val="16"/>
              </w:rPr>
            </w:pPr>
            <w:r>
              <w:rPr>
                <w:rFonts w:ascii="Times New Roman"/>
                <w:b/>
                <w:bCs/>
                <w:sz w:val="16"/>
                <w:szCs w:val="16"/>
              </w:rPr>
              <w:t>Indicateur nº 11a</w:t>
            </w:r>
          </w:p>
        </w:tc>
        <w:tc>
          <w:tcPr>
            <w:tcW w:w="1701" w:type="dxa"/>
          </w:tcPr>
          <w:p>
            <w:pPr>
              <w:spacing w:after="0" w:line="240" w:lineRule="auto"/>
              <w:jc w:val="center"/>
              <w:rPr>
                <w:rFonts w:ascii="Times New Roman"/>
                <w:b/>
                <w:bCs/>
                <w:color w:val="000000"/>
                <w:sz w:val="16"/>
                <w:szCs w:val="16"/>
              </w:rPr>
            </w:pPr>
            <w:r>
              <w:rPr>
                <w:rFonts w:ascii="Times New Roman"/>
                <w:b/>
                <w:bCs/>
                <w:sz w:val="16"/>
                <w:szCs w:val="16"/>
              </w:rPr>
              <w:t>Indicateur nº 11b</w:t>
            </w:r>
          </w:p>
        </w:tc>
        <w:tc>
          <w:tcPr>
            <w:tcW w:w="2268"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12</w:t>
            </w:r>
          </w:p>
        </w:tc>
        <w:tc>
          <w:tcPr>
            <w:tcW w:w="2127"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13</w:t>
            </w:r>
          </w:p>
        </w:tc>
      </w:tr>
      <w:tr>
        <w:trPr>
          <w:trHeight w:val="1320"/>
          <w:tblHeader/>
        </w:trPr>
        <w:tc>
          <w:tcPr>
            <w:tcW w:w="754" w:type="dxa"/>
            <w:vMerge/>
            <w:vAlign w:val="center"/>
            <w:hideMark/>
          </w:tcPr>
          <w:p>
            <w:pPr>
              <w:spacing w:after="0" w:line="240" w:lineRule="auto"/>
              <w:jc w:val="center"/>
              <w:rPr>
                <w:rFonts w:ascii="Times New Roman"/>
                <w:b/>
                <w:bCs/>
                <w:color w:val="000000"/>
                <w:sz w:val="16"/>
                <w:szCs w:val="16"/>
              </w:rPr>
            </w:pPr>
          </w:p>
        </w:tc>
        <w:tc>
          <w:tcPr>
            <w:tcW w:w="2019"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Volume d’aliments prêts à l’emploi, autres denrées alimentaires (ne relevant pas des catégories susmentionnées)</w:t>
            </w:r>
          </w:p>
          <w:p>
            <w:pPr>
              <w:spacing w:after="0" w:line="240" w:lineRule="auto"/>
              <w:jc w:val="center"/>
              <w:rPr>
                <w:rFonts w:ascii="Times New Roman"/>
                <w:b/>
                <w:bCs/>
                <w:color w:val="000000"/>
                <w:sz w:val="16"/>
                <w:szCs w:val="16"/>
              </w:rPr>
            </w:pPr>
            <w:r>
              <w:rPr>
                <w:rFonts w:ascii="Times New Roman"/>
                <w:b/>
                <w:bCs/>
                <w:sz w:val="16"/>
                <w:szCs w:val="16"/>
              </w:rPr>
              <w:t xml:space="preserve">(en tonnes) </w:t>
            </w:r>
          </w:p>
          <w:p>
            <w:pPr>
              <w:spacing w:after="0" w:line="240" w:lineRule="auto"/>
              <w:jc w:val="center"/>
              <w:rPr>
                <w:rFonts w:ascii="Times New Roman"/>
                <w:b/>
                <w:bCs/>
                <w:color w:val="000000"/>
                <w:sz w:val="16"/>
                <w:szCs w:val="16"/>
              </w:rPr>
            </w:pPr>
          </w:p>
        </w:tc>
        <w:tc>
          <w:tcPr>
            <w:tcW w:w="2343"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 xml:space="preserve">Quantité totale de l’aide alimentaire distribuée (en tonnes) </w:t>
            </w:r>
          </w:p>
          <w:p>
            <w:pPr>
              <w:spacing w:after="0" w:line="240" w:lineRule="auto"/>
              <w:jc w:val="center"/>
              <w:rPr>
                <w:rFonts w:ascii="Times New Roman"/>
                <w:b/>
                <w:bCs/>
                <w:color w:val="000000"/>
                <w:sz w:val="16"/>
                <w:szCs w:val="16"/>
              </w:rPr>
            </w:pPr>
          </w:p>
        </w:tc>
        <w:tc>
          <w:tcPr>
            <w:tcW w:w="1678" w:type="dxa"/>
          </w:tcPr>
          <w:p>
            <w:pPr>
              <w:spacing w:after="0" w:line="240" w:lineRule="auto"/>
              <w:jc w:val="center"/>
              <w:rPr>
                <w:rFonts w:ascii="Times New Roman"/>
                <w:b/>
                <w:bCs/>
                <w:color w:val="000000"/>
                <w:sz w:val="16"/>
                <w:szCs w:val="16"/>
              </w:rPr>
            </w:pPr>
            <w:r>
              <w:rPr>
                <w:rFonts w:ascii="Times New Roman"/>
                <w:b/>
                <w:bCs/>
                <w:sz w:val="16"/>
                <w:szCs w:val="16"/>
              </w:rPr>
              <w:t>Pourcentage des denrées alimentaires pour lesquelles seuls le transport, la distribution et le stockage ont été payés par le PO</w:t>
            </w:r>
          </w:p>
        </w:tc>
        <w:tc>
          <w:tcPr>
            <w:tcW w:w="1701" w:type="dxa"/>
          </w:tcPr>
          <w:p>
            <w:pPr>
              <w:spacing w:after="0" w:line="240" w:lineRule="auto"/>
              <w:jc w:val="center"/>
              <w:rPr>
                <w:rFonts w:ascii="Times New Roman"/>
                <w:b/>
                <w:bCs/>
                <w:color w:val="000000"/>
                <w:sz w:val="16"/>
                <w:szCs w:val="16"/>
              </w:rPr>
            </w:pPr>
            <w:r>
              <w:rPr>
                <w:rFonts w:ascii="Times New Roman"/>
                <w:b/>
                <w:bCs/>
                <w:sz w:val="16"/>
                <w:szCs w:val="16"/>
              </w:rPr>
              <w:t>Pourcentage des denrées alimentaires cofinancées par le FEAD, par rapport au volume total de nourriture distribué par les organisations partenaires</w:t>
            </w:r>
            <w:r>
              <w:rPr>
                <w:rStyle w:val="FootnoteReference"/>
                <w:rFonts w:ascii="Times New Roman"/>
                <w:b/>
                <w:bCs/>
                <w:sz w:val="16"/>
                <w:szCs w:val="16"/>
              </w:rPr>
              <w:footnoteReference w:id="3"/>
            </w:r>
          </w:p>
        </w:tc>
        <w:tc>
          <w:tcPr>
            <w:tcW w:w="2268"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Nombre total de repas distribués et financés totalement ou partiellement par le PO</w:t>
            </w:r>
            <w:r>
              <w:rPr>
                <w:rStyle w:val="FootnoteReference"/>
                <w:rFonts w:ascii="Times New Roman"/>
                <w:b/>
                <w:bCs/>
                <w:sz w:val="16"/>
                <w:szCs w:val="16"/>
              </w:rPr>
              <w:footnoteReference w:id="4"/>
            </w:r>
          </w:p>
        </w:tc>
        <w:tc>
          <w:tcPr>
            <w:tcW w:w="2127"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Nombre total de colis alimentaires distribués et financés totalement ou partiellement par le PO</w:t>
            </w:r>
            <w:r>
              <w:rPr>
                <w:rStyle w:val="FootnoteReference"/>
                <w:rFonts w:ascii="Times New Roman"/>
                <w:b/>
                <w:bCs/>
                <w:sz w:val="16"/>
                <w:szCs w:val="16"/>
              </w:rPr>
              <w:footnoteReference w:id="5"/>
            </w:r>
          </w:p>
        </w:tc>
      </w:tr>
      <w:tr>
        <w:trPr>
          <w:trHeight w:val="227"/>
        </w:trPr>
        <w:tc>
          <w:tcPr>
            <w:tcW w:w="75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915"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10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10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240"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678"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01"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13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13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99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134"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AT</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BE</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952,77</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4 431,22</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8 260,65</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38 847,92</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50,00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776,690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5 573 258</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1 953 248</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8 518 569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BG</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226,86</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561,67</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21 836,81</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50 959,53</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100,00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11 499 324</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21 539 166</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600 003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865 003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CY</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59,72</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119,28</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100,00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281 701</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562 642</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CZ</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186,07</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529,71</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1 099,26</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2 654,54</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55,00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735 897</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1 025 040</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420 628</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820 715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EE</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89,00</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317,00</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523,00</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2 695,00</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40,00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36 041</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174 819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EL</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1 455,01</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3 827,65</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9 640,33</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27 142,79</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78,00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2 573 773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5 745 500</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623 385</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183 533 585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ES</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15 040,69</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85 499,75</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91 835,08</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406 777,56</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100,00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30 684 658</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137 967 010</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3 754 578</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19 530 673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FI</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268,36</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830,30</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1 903,22</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6 262,11</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45,00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47 396</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170 590</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327 856</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986 355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FR</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6 515,99</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28 102,55</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73 071,72</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366 590,29</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34,00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54 249 743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337 615 114</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HR</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117,90</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1 331,54</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1 704,11</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9 032,82</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81,45</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4 098 158</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5 394 705</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129 851</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429 672</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HU</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2 465,45</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2 631,29</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6 825,43</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8 064,08</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100,00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1 024 560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1 953 044</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562 613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661 468</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IE</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327,00</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524,25</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1 321,00</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2 299,02</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63,00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1 446 783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3 287 766</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279 867</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637 339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IT</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6 433,38</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24 770,08</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40 808,30</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220 220,33</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68,92</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18 801 412</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70 899 668</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11 595 378</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164 205 101</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LT</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914,21</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2 753,69</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5 935,75</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27 536,70</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52,32</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1 078 851</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5 558 175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LU</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284,00</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1 920,00</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1 796,00</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6 789,00</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52,00</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21,00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30 095</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76 253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LV</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2 012,11</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7 399,51</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81,82</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330 060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844 335</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322 427</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1 310 773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MT</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10,23</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38,23</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182,08</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680,96</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32,00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11 149</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37 122</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PL</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1 592,00</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2 481,16</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63 088,36</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252 282,51</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67,65</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1 769 096</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5 881 043</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6 720 013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26 624 544</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PT</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484,96</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493,43</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12 902,50</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29 464,88</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73,65</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278 491</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1 155 639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RO</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11 085,00</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166 398,00</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15 096 901</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SI</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570,22</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1 412,00</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3 972,62</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15 803,76</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70,55</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820 703</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3 533 024</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SK</w:t>
            </w:r>
          </w:p>
        </w:tc>
        <w:tc>
          <w:tcPr>
            <w:tcW w:w="915"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171,20</w:t>
            </w:r>
          </w:p>
        </w:tc>
        <w:tc>
          <w:tcPr>
            <w:tcW w:w="110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379,63</w:t>
            </w:r>
          </w:p>
        </w:tc>
        <w:tc>
          <w:tcPr>
            <w:tcW w:w="110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4 677,94</w:t>
            </w:r>
          </w:p>
        </w:tc>
        <w:tc>
          <w:tcPr>
            <w:tcW w:w="1240"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11 798,35</w:t>
            </w:r>
          </w:p>
        </w:tc>
        <w:tc>
          <w:tcPr>
            <w:tcW w:w="1678"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100,00</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41 997</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54 856</w:t>
            </w:r>
          </w:p>
        </w:tc>
        <w:tc>
          <w:tcPr>
            <w:tcW w:w="99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364 181</w:t>
            </w:r>
          </w:p>
        </w:tc>
        <w:tc>
          <w:tcPr>
            <w:tcW w:w="1134"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922 728</w:t>
            </w:r>
          </w:p>
        </w:tc>
      </w:tr>
      <w:tr>
        <w:trPr>
          <w:trHeight w:val="315"/>
        </w:trPr>
        <w:tc>
          <w:tcPr>
            <w:tcW w:w="754"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915"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38 105,30</w:t>
            </w:r>
          </w:p>
        </w:tc>
        <w:tc>
          <w:tcPr>
            <w:tcW w:w="1104"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173 920,15</w:t>
            </w:r>
          </w:p>
        </w:tc>
        <w:tc>
          <w:tcPr>
            <w:tcW w:w="110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353 455,99</w:t>
            </w:r>
          </w:p>
        </w:tc>
        <w:tc>
          <w:tcPr>
            <w:tcW w:w="1240"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1 659 818,94</w:t>
            </w:r>
          </w:p>
        </w:tc>
        <w:tc>
          <w:tcPr>
            <w:tcW w:w="1678" w:type="dxa"/>
            <w:vAlign w:val="bottom"/>
          </w:tcPr>
          <w:p>
            <w:pPr>
              <w:spacing w:after="0" w:line="240" w:lineRule="auto"/>
              <w:jc w:val="right"/>
              <w:rPr>
                <w:rFonts w:ascii="Times New Roman"/>
                <w:b/>
                <w:bCs/>
                <w:color w:val="000000"/>
                <w:sz w:val="16"/>
                <w:szCs w:val="16"/>
              </w:rPr>
            </w:pPr>
          </w:p>
        </w:tc>
        <w:tc>
          <w:tcPr>
            <w:tcW w:w="1701" w:type="dxa"/>
            <w:vAlign w:val="bottom"/>
          </w:tcPr>
          <w:p>
            <w:pPr>
              <w:spacing w:after="0" w:line="240" w:lineRule="auto"/>
              <w:jc w:val="right"/>
              <w:rPr>
                <w:rFonts w:ascii="Times New Roman"/>
                <w:b/>
                <w:bCs/>
                <w:color w:val="000000"/>
                <w:sz w:val="16"/>
                <w:szCs w:val="16"/>
              </w:rPr>
            </w:pPr>
            <w:r>
              <w:rPr>
                <w:rFonts w:ascii="Times New Roman"/>
                <w:b/>
                <w:bCs/>
                <w:sz w:val="16"/>
                <w:szCs w:val="16"/>
              </w:rPr>
              <w:t>72,12</w:t>
            </w:r>
            <w:r>
              <w:rPr>
                <w:rStyle w:val="FootnoteReference"/>
                <w:rFonts w:ascii="Times New Roman"/>
                <w:b/>
                <w:bCs/>
                <w:sz w:val="16"/>
                <w:szCs w:val="16"/>
              </w:rPr>
              <w:footnoteReference w:id="6"/>
            </w:r>
          </w:p>
        </w:tc>
        <w:tc>
          <w:tcPr>
            <w:tcW w:w="1134"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74 111 505</w:t>
            </w:r>
          </w:p>
        </w:tc>
        <w:tc>
          <w:tcPr>
            <w:tcW w:w="1134"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260 898 623</w:t>
            </w:r>
          </w:p>
        </w:tc>
        <w:tc>
          <w:tcPr>
            <w:tcW w:w="99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84 159 101</w:t>
            </w:r>
          </w:p>
        </w:tc>
        <w:tc>
          <w:tcPr>
            <w:tcW w:w="1134"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772 293 572</w:t>
            </w:r>
          </w:p>
        </w:tc>
      </w:tr>
    </w:tbl>
    <w:p>
      <w:pPr>
        <w:pStyle w:val="Heading1"/>
      </w:pPr>
      <w:r>
        <w:t>Indicateurs communs des résultats de la distribution d’aide alimentaire (PO I) sur la période 2014-2020</w:t>
      </w:r>
      <w:r>
        <w:rPr>
          <w:rStyle w:val="FootnoteReference"/>
        </w:rPr>
        <w:footnoteReference w:id="7"/>
      </w:r>
    </w:p>
    <w:tbl>
      <w:tblPr>
        <w:tblW w:w="1385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901"/>
        <w:gridCol w:w="1757"/>
        <w:gridCol w:w="1757"/>
        <w:gridCol w:w="1814"/>
        <w:gridCol w:w="1621"/>
        <w:gridCol w:w="2551"/>
        <w:gridCol w:w="1701"/>
        <w:gridCol w:w="1757"/>
      </w:tblGrid>
      <w:tr>
        <w:trPr>
          <w:trHeight w:val="315"/>
          <w:tblHeader/>
        </w:trPr>
        <w:tc>
          <w:tcPr>
            <w:tcW w:w="901" w:type="dxa"/>
            <w:vMerge w:val="restart"/>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14a</w:t>
            </w:r>
          </w:p>
        </w:tc>
        <w:tc>
          <w:tcPr>
            <w:tcW w:w="1814"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14b</w:t>
            </w:r>
          </w:p>
        </w:tc>
        <w:tc>
          <w:tcPr>
            <w:tcW w:w="1621"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14c</w:t>
            </w:r>
          </w:p>
        </w:tc>
        <w:tc>
          <w:tcPr>
            <w:tcW w:w="2551"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14d</w:t>
            </w:r>
          </w:p>
        </w:tc>
        <w:tc>
          <w:tcPr>
            <w:tcW w:w="1701"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14f</w:t>
            </w:r>
          </w:p>
        </w:tc>
      </w:tr>
      <w:tr>
        <w:trPr>
          <w:trHeight w:val="913"/>
          <w:tblHeader/>
        </w:trPr>
        <w:tc>
          <w:tcPr>
            <w:tcW w:w="901" w:type="dxa"/>
            <w:vMerge/>
            <w:vAlign w:val="center"/>
            <w:hideMark/>
          </w:tcPr>
          <w:p>
            <w:pPr>
              <w:spacing w:after="0" w:line="240" w:lineRule="auto"/>
              <w:jc w:val="center"/>
              <w:rPr>
                <w:rFonts w:ascii="Times New Roman"/>
                <w:b/>
                <w:bCs/>
                <w:color w:val="000000"/>
                <w:sz w:val="16"/>
                <w:szCs w:val="16"/>
              </w:rPr>
            </w:pP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total de personnes bénéficiant d’une aide alimentaire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d’enfants âgés de 15 ans ou moins</w:t>
            </w:r>
          </w:p>
        </w:tc>
        <w:tc>
          <w:tcPr>
            <w:tcW w:w="1814"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personnes âgées de 65 ans ou plus</w:t>
            </w:r>
          </w:p>
        </w:tc>
        <w:tc>
          <w:tcPr>
            <w:tcW w:w="1621"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femmes</w:t>
            </w:r>
          </w:p>
        </w:tc>
        <w:tc>
          <w:tcPr>
            <w:tcW w:w="2551"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migrants, participants d’origine étrangère, personnes appartenant à des minorités (y compris des communautés marginalisées telles que les Roms)</w:t>
            </w:r>
          </w:p>
        </w:tc>
        <w:tc>
          <w:tcPr>
            <w:tcW w:w="1701"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personnes handicapées</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sans-abri</w:t>
            </w:r>
          </w:p>
        </w:tc>
      </w:tr>
      <w:tr>
        <w:trPr>
          <w:trHeight w:val="227"/>
        </w:trPr>
        <w:tc>
          <w:tcPr>
            <w:tcW w:w="90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814"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621"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2551"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01"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AT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BE</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393 824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132 867</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36 368</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168 206</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118 448</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12 658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19 929</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BG</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539 983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138 078</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128 497</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300 670</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48 403</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133 469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191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CY</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1 766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1 619</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883</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689</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CZ</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100 608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44 664</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10 026</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40 668</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38 299</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9 612</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16 117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EE</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22 920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6 355</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2 223</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11 991</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4 492</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3 438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1 000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EL</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452 840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102 979</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27 107</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225 953</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ES</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1 287 964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397 913</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89 623</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677 181</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327 086</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24 550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21 411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FI</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281 330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33 465</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81 726</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120 375</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29 967</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6 213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2 222</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FR</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4 340 340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1 505 296</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194 985</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2 291 810</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673 077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HR</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42 421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30 591</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12 262</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21 095</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1 774</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415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HU</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184 290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114 616</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11 924</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37 737</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61 649</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56 449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14 466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IE</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151 863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58 141</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12 539</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43 399</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22 303</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6 697</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24 497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2 678 264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501 596</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225 324</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1 037 555</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616 693</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39 838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112 533</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197 196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51 373</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14 866</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100 858</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2 082</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21 997</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334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LU</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13 016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3 854</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255</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6 768</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9 800</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401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LV</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69 643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13 457</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13 954</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36 532</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949</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11 429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924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MT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10 430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6 527</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2 426</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7 453</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811</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70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PL</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1 384 844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386 095</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135 162</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706 671</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6 534</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246 152</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23 327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79 037</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21 067</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4 752</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41 959</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7 821</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942</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RO</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SI</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158 012</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30 633</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23 101</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83 156</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13 818</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5 988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2 576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SK</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191 810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58 735</w:t>
            </w:r>
          </w:p>
        </w:tc>
        <w:tc>
          <w:tcPr>
            <w:tcW w:w="1814" w:type="dxa"/>
            <w:vAlign w:val="bottom"/>
          </w:tcPr>
          <w:p>
            <w:pPr>
              <w:spacing w:after="0" w:line="240" w:lineRule="auto"/>
              <w:jc w:val="right"/>
              <w:rPr>
                <w:rFonts w:ascii="Times New Roman"/>
                <w:color w:val="000000"/>
                <w:sz w:val="16"/>
                <w:szCs w:val="16"/>
              </w:rPr>
            </w:pPr>
            <w:r>
              <w:rPr>
                <w:rFonts w:ascii="Times New Roman"/>
                <w:sz w:val="16"/>
                <w:szCs w:val="16"/>
              </w:rPr>
              <w:t>4 247</w:t>
            </w:r>
          </w:p>
        </w:tc>
        <w:tc>
          <w:tcPr>
            <w:tcW w:w="1621" w:type="dxa"/>
            <w:vAlign w:val="bottom"/>
          </w:tcPr>
          <w:p>
            <w:pPr>
              <w:spacing w:after="0" w:line="240" w:lineRule="auto"/>
              <w:jc w:val="right"/>
              <w:rPr>
                <w:rFonts w:ascii="Times New Roman"/>
                <w:color w:val="000000"/>
                <w:sz w:val="16"/>
                <w:szCs w:val="16"/>
              </w:rPr>
            </w:pPr>
            <w:r>
              <w:rPr>
                <w:rFonts w:ascii="Times New Roman"/>
                <w:sz w:val="16"/>
                <w:szCs w:val="16"/>
              </w:rPr>
              <w:t>95 486</w:t>
            </w:r>
          </w:p>
        </w:tc>
        <w:tc>
          <w:tcPr>
            <w:tcW w:w="2551"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01" w:type="dxa"/>
            <w:vAlign w:val="bottom"/>
          </w:tcPr>
          <w:p>
            <w:pPr>
              <w:spacing w:after="0" w:line="240" w:lineRule="auto"/>
              <w:jc w:val="right"/>
              <w:rPr>
                <w:rFonts w:ascii="Times New Roman"/>
                <w:color w:val="000000"/>
                <w:sz w:val="16"/>
                <w:szCs w:val="16"/>
              </w:rPr>
            </w:pPr>
            <w:r>
              <w:rPr>
                <w:rFonts w:ascii="Times New Roman"/>
                <w:sz w:val="16"/>
                <w:szCs w:val="16"/>
              </w:rPr>
              <w:t>8 086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3 523</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12 582 401</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3 639 921</w:t>
            </w:r>
          </w:p>
        </w:tc>
        <w:tc>
          <w:tcPr>
            <w:tcW w:w="1814" w:type="dxa"/>
            <w:vAlign w:val="bottom"/>
          </w:tcPr>
          <w:p>
            <w:pPr>
              <w:spacing w:after="0" w:line="240" w:lineRule="auto"/>
              <w:jc w:val="right"/>
              <w:rPr>
                <w:rFonts w:ascii="Times New Roman"/>
                <w:b/>
                <w:bCs/>
                <w:color w:val="000000"/>
                <w:sz w:val="16"/>
                <w:szCs w:val="16"/>
              </w:rPr>
            </w:pPr>
            <w:r>
              <w:rPr>
                <w:rFonts w:ascii="Times New Roman"/>
                <w:b/>
                <w:bCs/>
                <w:sz w:val="16"/>
                <w:szCs w:val="16"/>
              </w:rPr>
              <w:t>1 031 367</w:t>
            </w:r>
          </w:p>
        </w:tc>
        <w:tc>
          <w:tcPr>
            <w:tcW w:w="1621" w:type="dxa"/>
            <w:vAlign w:val="bottom"/>
          </w:tcPr>
          <w:p>
            <w:pPr>
              <w:spacing w:after="0" w:line="240" w:lineRule="auto"/>
              <w:jc w:val="right"/>
              <w:rPr>
                <w:rFonts w:ascii="Times New Roman"/>
                <w:b/>
                <w:bCs/>
                <w:color w:val="000000"/>
                <w:sz w:val="16"/>
                <w:szCs w:val="16"/>
              </w:rPr>
            </w:pPr>
            <w:r>
              <w:rPr>
                <w:rFonts w:ascii="Times New Roman"/>
                <w:b/>
                <w:bCs/>
                <w:sz w:val="16"/>
                <w:szCs w:val="16"/>
              </w:rPr>
              <w:t>6 056 406</w:t>
            </w:r>
          </w:p>
        </w:tc>
        <w:tc>
          <w:tcPr>
            <w:tcW w:w="2551" w:type="dxa"/>
            <w:vAlign w:val="bottom"/>
          </w:tcPr>
          <w:p>
            <w:pPr>
              <w:spacing w:after="0" w:line="240" w:lineRule="auto"/>
              <w:jc w:val="right"/>
              <w:rPr>
                <w:rFonts w:ascii="Times New Roman"/>
                <w:b/>
                <w:bCs/>
                <w:color w:val="000000"/>
                <w:sz w:val="16"/>
                <w:szCs w:val="16"/>
              </w:rPr>
            </w:pPr>
            <w:r>
              <w:rPr>
                <w:rFonts w:ascii="Times New Roman"/>
                <w:b/>
                <w:bCs/>
                <w:sz w:val="16"/>
                <w:szCs w:val="16"/>
              </w:rPr>
              <w:t>1 311 618</w:t>
            </w:r>
          </w:p>
        </w:tc>
        <w:tc>
          <w:tcPr>
            <w:tcW w:w="1701" w:type="dxa"/>
            <w:vAlign w:val="bottom"/>
          </w:tcPr>
          <w:p>
            <w:pPr>
              <w:spacing w:after="0" w:line="240" w:lineRule="auto"/>
              <w:jc w:val="right"/>
              <w:rPr>
                <w:rFonts w:ascii="Times New Roman"/>
                <w:b/>
                <w:bCs/>
                <w:color w:val="000000"/>
                <w:sz w:val="16"/>
                <w:szCs w:val="16"/>
              </w:rPr>
            </w:pPr>
            <w:r>
              <w:rPr>
                <w:rFonts w:ascii="Times New Roman"/>
                <w:b/>
                <w:bCs/>
                <w:sz w:val="16"/>
                <w:szCs w:val="16"/>
              </w:rPr>
              <w:t>588 404</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916 208</w:t>
            </w:r>
          </w:p>
        </w:tc>
      </w:tr>
    </w:tbl>
    <w:p>
      <w:pPr>
        <w:pStyle w:val="Heading1"/>
      </w:pPr>
      <w:r>
        <w:t xml:space="preserve">Indicateurs communs de réalisation relatifs à la distribution de l’assistance matérielle de base (PO I) sur la période 2014-2020 </w:t>
      </w:r>
    </w:p>
    <w:tbl>
      <w:tblPr>
        <w:tblW w:w="1370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901"/>
        <w:gridCol w:w="1577"/>
        <w:gridCol w:w="1623"/>
        <w:gridCol w:w="1487"/>
        <w:gridCol w:w="1713"/>
        <w:gridCol w:w="1488"/>
        <w:gridCol w:w="1712"/>
        <w:gridCol w:w="1487"/>
        <w:gridCol w:w="1713"/>
      </w:tblGrid>
      <w:tr>
        <w:trPr>
          <w:trHeight w:val="315"/>
          <w:tblHeader/>
        </w:trPr>
        <w:tc>
          <w:tcPr>
            <w:tcW w:w="901" w:type="dxa"/>
            <w:vMerge w:val="restart"/>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15</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15a</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15b</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Indicateur nº 15c</w:t>
            </w:r>
          </w:p>
        </w:tc>
      </w:tr>
      <w:tr>
        <w:trPr>
          <w:trHeight w:val="680"/>
          <w:tblHeader/>
        </w:trPr>
        <w:tc>
          <w:tcPr>
            <w:tcW w:w="901" w:type="dxa"/>
            <w:vMerge/>
            <w:vAlign w:val="center"/>
            <w:hideMark/>
          </w:tcPr>
          <w:p>
            <w:pPr>
              <w:spacing w:after="0" w:line="240" w:lineRule="auto"/>
              <w:jc w:val="center"/>
              <w:rPr>
                <w:rFonts w:ascii="Times New Roman"/>
                <w:b/>
                <w:bCs/>
                <w:color w:val="000000"/>
                <w:sz w:val="16"/>
                <w:szCs w:val="16"/>
              </w:rPr>
            </w:pPr>
          </w:p>
        </w:tc>
        <w:tc>
          <w:tcPr>
            <w:tcW w:w="3200"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Valeur monétaire totale des biens distribués</w:t>
            </w:r>
          </w:p>
        </w:tc>
        <w:tc>
          <w:tcPr>
            <w:tcW w:w="3200"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Valeur monétaire totale des biens destinés aux enfants</w:t>
            </w:r>
          </w:p>
        </w:tc>
        <w:tc>
          <w:tcPr>
            <w:tcW w:w="3200"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Valeur monétaire totale des produits destinés aux sans-abri</w:t>
            </w:r>
          </w:p>
        </w:tc>
        <w:tc>
          <w:tcPr>
            <w:tcW w:w="3200" w:type="dxa"/>
            <w:gridSpan w:val="2"/>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valeur monétaire totale des biens destinés à d’autres groupes cibles</w:t>
            </w:r>
          </w:p>
        </w:tc>
      </w:tr>
      <w:tr>
        <w:trPr>
          <w:trHeight w:val="227"/>
        </w:trPr>
        <w:tc>
          <w:tcPr>
            <w:tcW w:w="901"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1577"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62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487"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71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488"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712"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c>
          <w:tcPr>
            <w:tcW w:w="1487"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2018</w:t>
            </w:r>
          </w:p>
        </w:tc>
        <w:tc>
          <w:tcPr>
            <w:tcW w:w="1713"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Cumulé</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AT</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2 625 567</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9 973 338</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2 625 567</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9 973 338</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BE</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BG</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CY</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679 910</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679 910</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679 910</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679 910</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CZ</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757 821</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2 980 409</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270,721</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1 223 619</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81 882</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420 117</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405 218</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1 336 674</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EE</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EL</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2 923 408</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9 250 050</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531,966</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1 285 289</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19 365</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69 051</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2 393 896</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7 917 531</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ES</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FI</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FR</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HR</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720 712</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1 589 043</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246 131</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548 354</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2 495</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39 259</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472 086</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1 001 430</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HU</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1 884 295</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1 884 295</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1 884 295</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1 884 295</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IE</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1 160 693</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1 255 280</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1 155 431</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1 240 520</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6 462</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15 959</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IT</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LT</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1 344 033</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1 344 033</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LU</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112 281</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478 807</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112 281</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478 807</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LV</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712 513</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2 325 552</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712 513</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2 325 552</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MT</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PL</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PT</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RO</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SI</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SK</w:t>
            </w:r>
          </w:p>
        </w:tc>
        <w:tc>
          <w:tcPr>
            <w:tcW w:w="157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282 600</w:t>
            </w:r>
          </w:p>
        </w:tc>
        <w:tc>
          <w:tcPr>
            <w:tcW w:w="162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892 950</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259 752</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828 336</w:t>
            </w:r>
          </w:p>
        </w:tc>
        <w:tc>
          <w:tcPr>
            <w:tcW w:w="1488"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7 878</w:t>
            </w:r>
          </w:p>
        </w:tc>
        <w:tc>
          <w:tcPr>
            <w:tcW w:w="1712"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18 306</w:t>
            </w:r>
          </w:p>
        </w:tc>
        <w:tc>
          <w:tcPr>
            <w:tcW w:w="1487"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14 970</w:t>
            </w:r>
          </w:p>
        </w:tc>
        <w:tc>
          <w:tcPr>
            <w:tcW w:w="1713" w:type="dxa"/>
            <w:shd w:val="clear" w:color="auto" w:fill="auto"/>
            <w:noWrap/>
            <w:vAlign w:val="bottom"/>
            <w:hideMark/>
          </w:tcPr>
          <w:p>
            <w:pPr>
              <w:spacing w:after="0" w:line="240" w:lineRule="auto"/>
              <w:jc w:val="right"/>
              <w:rPr>
                <w:rFonts w:ascii="Times New Roman"/>
                <w:color w:val="000000"/>
                <w:sz w:val="16"/>
                <w:szCs w:val="16"/>
              </w:rPr>
            </w:pPr>
            <w:r>
              <w:rPr>
                <w:rFonts w:ascii="Times New Roman"/>
                <w:sz w:val="16"/>
                <w:szCs w:val="16"/>
              </w:rPr>
              <w:t>46 308</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1577"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13 203 834</w:t>
            </w:r>
          </w:p>
        </w:tc>
        <w:tc>
          <w:tcPr>
            <w:tcW w:w="162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32 653 668</w:t>
            </w:r>
          </w:p>
        </w:tc>
        <w:tc>
          <w:tcPr>
            <w:tcW w:w="1487"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8 366 286</w:t>
            </w:r>
          </w:p>
        </w:tc>
        <w:tc>
          <w:tcPr>
            <w:tcW w:w="171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19 989 214</w:t>
            </w:r>
          </w:p>
        </w:tc>
        <w:tc>
          <w:tcPr>
            <w:tcW w:w="1488"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111 620</w:t>
            </w:r>
          </w:p>
        </w:tc>
        <w:tc>
          <w:tcPr>
            <w:tcW w:w="1712"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546 733</w:t>
            </w:r>
          </w:p>
        </w:tc>
        <w:tc>
          <w:tcPr>
            <w:tcW w:w="1487"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3 404 913</w:t>
            </w:r>
          </w:p>
        </w:tc>
        <w:tc>
          <w:tcPr>
            <w:tcW w:w="1713" w:type="dxa"/>
            <w:shd w:val="clear" w:color="auto" w:fill="auto"/>
            <w:noWrap/>
            <w:vAlign w:val="bottom"/>
            <w:hideMark/>
          </w:tcPr>
          <w:p>
            <w:pPr>
              <w:spacing w:after="0" w:line="240" w:lineRule="auto"/>
              <w:jc w:val="right"/>
              <w:rPr>
                <w:rFonts w:ascii="Times New Roman"/>
                <w:b/>
                <w:bCs/>
                <w:color w:val="000000"/>
                <w:sz w:val="16"/>
                <w:szCs w:val="16"/>
              </w:rPr>
            </w:pPr>
            <w:r>
              <w:rPr>
                <w:rFonts w:ascii="Times New Roman"/>
                <w:b/>
                <w:bCs/>
                <w:sz w:val="16"/>
                <w:szCs w:val="16"/>
              </w:rPr>
              <w:t>10 796 710</w:t>
            </w:r>
          </w:p>
        </w:tc>
      </w:tr>
    </w:tbl>
    <w:p/>
    <w:p>
      <w:pPr>
        <w:spacing w:after="80"/>
        <w:rPr>
          <w:sz w:val="8"/>
          <w:szCs w:val="10"/>
        </w:rPr>
      </w:pPr>
    </w:p>
    <w:tbl>
      <w:tblPr>
        <w:tblW w:w="13655" w:type="dxa"/>
        <w:jc w:val="center"/>
        <w:tblCellMar>
          <w:left w:w="70" w:type="dxa"/>
          <w:right w:w="70" w:type="dxa"/>
        </w:tblCellMar>
        <w:tblLook w:val="04A0" w:firstRow="1" w:lastRow="0" w:firstColumn="1" w:lastColumn="0" w:noHBand="0" w:noVBand="1"/>
      </w:tblPr>
      <w:tblGrid>
        <w:gridCol w:w="481"/>
        <w:gridCol w:w="3520"/>
        <w:gridCol w:w="417"/>
        <w:gridCol w:w="417"/>
        <w:gridCol w:w="421"/>
        <w:gridCol w:w="421"/>
        <w:gridCol w:w="417"/>
        <w:gridCol w:w="417"/>
        <w:gridCol w:w="416"/>
        <w:gridCol w:w="416"/>
        <w:gridCol w:w="416"/>
        <w:gridCol w:w="416"/>
        <w:gridCol w:w="429"/>
        <w:gridCol w:w="429"/>
        <w:gridCol w:w="416"/>
        <w:gridCol w:w="416"/>
        <w:gridCol w:w="416"/>
        <w:gridCol w:w="416"/>
        <w:gridCol w:w="416"/>
        <w:gridCol w:w="449"/>
        <w:gridCol w:w="416"/>
        <w:gridCol w:w="416"/>
        <w:gridCol w:w="429"/>
        <w:gridCol w:w="416"/>
        <w:gridCol w:w="416"/>
      </w:tblGrid>
      <w:tr>
        <w:trPr>
          <w:trHeight w:val="397"/>
          <w:jc w:val="center"/>
        </w:trPr>
        <w:tc>
          <w:tcPr>
            <w:tcW w:w="42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Catégories de biens distribués aux enfants</w:t>
            </w:r>
            <w:r>
              <w:rPr>
                <w:rStyle w:val="FootnoteReference"/>
                <w:rFonts w:ascii="Times New Roman"/>
                <w:b/>
                <w:bCs/>
                <w:sz w:val="16"/>
                <w:szCs w:val="16"/>
              </w:rPr>
              <w:footnoteReference w:id="8"/>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AT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BE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BG</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CY</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CZ</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EE</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b/>
                <w:bCs/>
                <w:color w:val="000000"/>
                <w:sz w:val="16"/>
                <w:szCs w:val="16"/>
              </w:rPr>
            </w:pPr>
            <w:r>
              <w:rPr>
                <w:rFonts w:ascii="Times New Roman"/>
                <w:b/>
                <w:bCs/>
                <w:sz w:val="16"/>
                <w:szCs w:val="16"/>
              </w:rPr>
              <w:t>EL</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ES</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FI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FR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HR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HU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IE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IT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LT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LU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LV</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MT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PL</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PT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RO</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SI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SK</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16a</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rPr>
            </w:pPr>
            <w:r>
              <w:rPr>
                <w:rFonts w:ascii="Times New Roman"/>
                <w:i/>
                <w:iCs/>
                <w:sz w:val="16"/>
                <w:szCs w:val="16"/>
              </w:rPr>
              <w:t>Layette</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16b</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rPr>
            </w:pPr>
            <w:r>
              <w:rPr>
                <w:rFonts w:ascii="Times New Roman"/>
                <w:i/>
                <w:iCs/>
                <w:sz w:val="16"/>
                <w:szCs w:val="16"/>
              </w:rPr>
              <w:t>Cartables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rPr>
            </w:pPr>
            <w:r>
              <w:rPr>
                <w:rFonts w:ascii="Times New Roman"/>
                <w:sz w:val="16"/>
                <w:szCs w:val="16"/>
              </w:rPr>
              <w:t>O</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r>
      <w:tr>
        <w:trPr>
          <w:trHeight w:val="56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16c</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rPr>
            </w:pPr>
            <w:r>
              <w:rPr>
                <w:rFonts w:ascii="Times New Roman"/>
                <w:i/>
                <w:iCs/>
                <w:sz w:val="16"/>
                <w:szCs w:val="16"/>
              </w:rPr>
              <w:t>Fournitures de papeterie, livres d’exercices, stylos, matériel de peinture et autre matériel scolaire (non vestimentaire)</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rPr>
            </w:pPr>
            <w:r>
              <w:rPr>
                <w:rFonts w:ascii="Times New Roman"/>
                <w:sz w:val="16"/>
                <w:szCs w:val="16"/>
              </w:rPr>
              <w:t>O</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r>
      <w:tr>
        <w:trPr>
          <w:trHeight w:val="39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16d</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rPr>
            </w:pPr>
            <w:r>
              <w:rPr>
                <w:rFonts w:ascii="Times New Roman"/>
                <w:i/>
                <w:iCs/>
                <w:sz w:val="16"/>
                <w:szCs w:val="16"/>
              </w:rPr>
              <w:t>Équipement de sport (chaussures de sport, justaucorps, maillot de bain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r>
      <w:tr>
        <w:trPr>
          <w:trHeight w:val="39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16e</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rPr>
            </w:pPr>
            <w:r>
              <w:rPr>
                <w:rFonts w:ascii="Times New Roman"/>
                <w:i/>
                <w:iCs/>
                <w:sz w:val="16"/>
                <w:szCs w:val="16"/>
              </w:rPr>
              <w:t>Vêtements (manteaux d’hiver, chaussures, uniformes scolaires,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16f</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rPr>
            </w:pPr>
            <w:r>
              <w:rPr>
                <w:rFonts w:ascii="Times New Roman"/>
                <w:i/>
                <w:iCs/>
                <w:sz w:val="16"/>
                <w:szCs w:val="16"/>
              </w:rPr>
              <w:t>Autres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9"/>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0"/>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1"/>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2"/>
            </w:r>
          </w:p>
        </w:tc>
      </w:tr>
    </w:tbl>
    <w:p>
      <w:pPr>
        <w:spacing w:after="80"/>
        <w:rPr>
          <w:rFonts w:ascii="Times New Roman"/>
          <w:sz w:val="8"/>
          <w:szCs w:val="10"/>
        </w:rPr>
      </w:pPr>
    </w:p>
    <w:tbl>
      <w:tblPr>
        <w:tblW w:w="13633" w:type="dxa"/>
        <w:jc w:val="center"/>
        <w:tblCellMar>
          <w:left w:w="70" w:type="dxa"/>
          <w:right w:w="70" w:type="dxa"/>
        </w:tblCellMar>
        <w:tblLook w:val="04A0" w:firstRow="1" w:lastRow="0" w:firstColumn="1" w:lastColumn="0" w:noHBand="0" w:noVBand="1"/>
      </w:tblPr>
      <w:tblGrid>
        <w:gridCol w:w="478"/>
        <w:gridCol w:w="3513"/>
        <w:gridCol w:w="416"/>
        <w:gridCol w:w="416"/>
        <w:gridCol w:w="419"/>
        <w:gridCol w:w="419"/>
        <w:gridCol w:w="416"/>
        <w:gridCol w:w="416"/>
        <w:gridCol w:w="416"/>
        <w:gridCol w:w="416"/>
        <w:gridCol w:w="416"/>
        <w:gridCol w:w="416"/>
        <w:gridCol w:w="428"/>
        <w:gridCol w:w="428"/>
        <w:gridCol w:w="416"/>
        <w:gridCol w:w="416"/>
        <w:gridCol w:w="416"/>
        <w:gridCol w:w="416"/>
        <w:gridCol w:w="416"/>
        <w:gridCol w:w="448"/>
        <w:gridCol w:w="416"/>
        <w:gridCol w:w="416"/>
        <w:gridCol w:w="428"/>
        <w:gridCol w:w="416"/>
        <w:gridCol w:w="416"/>
      </w:tblGrid>
      <w:tr>
        <w:trPr>
          <w:trHeight w:val="397"/>
          <w:jc w:val="center"/>
        </w:trPr>
        <w:tc>
          <w:tcPr>
            <w:tcW w:w="42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(17)</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Catégories de biens distribués aux sans-abri</w:t>
            </w:r>
            <w:r>
              <w:rPr>
                <w:rStyle w:val="FootnoteReference"/>
                <w:rFonts w:ascii="Times New Roman"/>
                <w:b/>
                <w:bCs/>
                <w:sz w:val="16"/>
                <w:szCs w:val="16"/>
              </w:rPr>
              <w:footnoteReference w:id="13"/>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AT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BE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BG</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CY</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CZ</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EE</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b/>
                <w:bCs/>
                <w:color w:val="000000"/>
                <w:sz w:val="16"/>
                <w:szCs w:val="16"/>
              </w:rPr>
            </w:pPr>
            <w:r>
              <w:rPr>
                <w:rFonts w:ascii="Times New Roman"/>
                <w:b/>
                <w:bCs/>
                <w:sz w:val="16"/>
                <w:szCs w:val="16"/>
              </w:rPr>
              <w:t>EL</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ES</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FI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FR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HR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HU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IE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IT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LT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LU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LV</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MT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PL</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PT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RO</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SI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SK</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17a</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Sacs de couchage/couvertures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O</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r>
      <w:tr>
        <w:trPr>
          <w:trHeight w:val="340"/>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17b</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Matériel de cuisine (poêles, casseroles, couverts,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17c</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Vêtements (manteaux d’hiver, chaussures,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17d</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Linge de maison (serviettes, couvertures et draps de lit)</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r>
      <w:tr>
        <w:trPr>
          <w:trHeight w:val="39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17e</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Articles d’hygiène (trousse de premiers secours, savon, brosse à dents, rasoir jetable,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O</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17f</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Autres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4"/>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r>
    </w:tbl>
    <w:p>
      <w:pPr>
        <w:spacing w:after="80"/>
        <w:rPr>
          <w:rFonts w:ascii="Times New Roman"/>
          <w:sz w:val="8"/>
          <w:szCs w:val="10"/>
        </w:rPr>
      </w:pPr>
    </w:p>
    <w:tbl>
      <w:tblPr>
        <w:tblW w:w="13632" w:type="dxa"/>
        <w:jc w:val="center"/>
        <w:tblCellMar>
          <w:left w:w="70" w:type="dxa"/>
          <w:right w:w="70" w:type="dxa"/>
        </w:tblCellMar>
        <w:tblLook w:val="04A0" w:firstRow="1" w:lastRow="0" w:firstColumn="1" w:lastColumn="0" w:noHBand="0" w:noVBand="1"/>
      </w:tblPr>
      <w:tblGrid>
        <w:gridCol w:w="478"/>
        <w:gridCol w:w="3512"/>
        <w:gridCol w:w="416"/>
        <w:gridCol w:w="416"/>
        <w:gridCol w:w="419"/>
        <w:gridCol w:w="419"/>
        <w:gridCol w:w="416"/>
        <w:gridCol w:w="416"/>
        <w:gridCol w:w="416"/>
        <w:gridCol w:w="416"/>
        <w:gridCol w:w="416"/>
        <w:gridCol w:w="416"/>
        <w:gridCol w:w="428"/>
        <w:gridCol w:w="428"/>
        <w:gridCol w:w="416"/>
        <w:gridCol w:w="416"/>
        <w:gridCol w:w="416"/>
        <w:gridCol w:w="416"/>
        <w:gridCol w:w="416"/>
        <w:gridCol w:w="448"/>
        <w:gridCol w:w="416"/>
        <w:gridCol w:w="416"/>
        <w:gridCol w:w="428"/>
        <w:gridCol w:w="416"/>
        <w:gridCol w:w="416"/>
      </w:tblGrid>
      <w:tr>
        <w:trPr>
          <w:trHeight w:val="567"/>
          <w:jc w:val="center"/>
        </w:trPr>
        <w:tc>
          <w:tcPr>
            <w:tcW w:w="42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(18)</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rPr>
            </w:pPr>
            <w:r>
              <w:rPr>
                <w:rFonts w:ascii="Times New Roman"/>
                <w:b/>
                <w:bCs/>
                <w:sz w:val="16"/>
                <w:szCs w:val="16"/>
              </w:rPr>
              <w:t>Liste des catégories de marchandises les plus pertinentes distribuées à d’autres groupes cibles</w:t>
            </w:r>
            <w:r>
              <w:rPr>
                <w:rStyle w:val="FootnoteReference"/>
                <w:rFonts w:ascii="Times New Roman"/>
                <w:b/>
                <w:bCs/>
                <w:sz w:val="16"/>
                <w:szCs w:val="16"/>
              </w:rPr>
              <w:footnoteReference w:id="15"/>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AT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BE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BG</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CY</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CZ</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EE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ES</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b/>
                <w:bCs/>
                <w:color w:val="000000"/>
                <w:sz w:val="16"/>
                <w:szCs w:val="16"/>
              </w:rPr>
            </w:pPr>
            <w:r>
              <w:rPr>
                <w:rFonts w:ascii="Times New Roman"/>
                <w:b/>
                <w:bCs/>
                <w:sz w:val="16"/>
                <w:szCs w:val="16"/>
              </w:rPr>
              <w:t>EL</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FI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FR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HR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HU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IE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IT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LT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LU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LV</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MT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PL</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PT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RO</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SI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SK</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rPr>
            </w:pPr>
            <w:r>
              <w:rPr>
                <w:rFonts w:ascii="Times New Roman"/>
                <w:b/>
                <w:bCs/>
                <w:sz w:val="16"/>
                <w:szCs w:val="16"/>
              </w:rPr>
              <w:t>18a</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rPr>
            </w:pPr>
            <w:r>
              <w:rPr>
                <w:rFonts w:ascii="Times New Roman"/>
                <w:i/>
                <w:iCs/>
                <w:sz w:val="16"/>
                <w:szCs w:val="16"/>
              </w:rPr>
              <w:t>catégories à préciser</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6"/>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7"/>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8"/>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rPr>
            </w:pPr>
            <w:r>
              <w:rPr>
                <w:rFonts w:ascii="Times New Roman"/>
                <w:sz w:val="16"/>
                <w:szCs w:val="16"/>
              </w:rPr>
              <w:t>O</w:t>
            </w:r>
            <w:r>
              <w:rPr>
                <w:rStyle w:val="FootnoteReference"/>
                <w:rFonts w:ascii="Times New Roman"/>
                <w:sz w:val="16"/>
                <w:szCs w:val="16"/>
              </w:rPr>
              <w:footnoteReference w:id="19"/>
            </w:r>
          </w:p>
        </w:tc>
      </w:tr>
    </w:tbl>
    <w:p>
      <w:pPr>
        <w:pStyle w:val="Heading1"/>
      </w:pPr>
      <w:r>
        <w:t>Indicateurs communs des résultats de la distribution d’assistance matérielle de base</w:t>
      </w:r>
      <w:r>
        <w:rPr>
          <w:rStyle w:val="FootnoteReference"/>
        </w:rPr>
        <w:footnoteReference w:id="20"/>
      </w:r>
      <w:r>
        <w:rPr>
          <w:sz w:val="16"/>
          <w:szCs w:val="16"/>
        </w:rPr>
        <w:t xml:space="preserve"> </w:t>
      </w:r>
      <w:r>
        <w:t xml:space="preserve">(PO I) sur la période 2014-2020 </w:t>
      </w:r>
    </w:p>
    <w:tbl>
      <w:tblPr>
        <w:tblW w:w="13553"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857"/>
        <w:gridCol w:w="1757"/>
        <w:gridCol w:w="1757"/>
        <w:gridCol w:w="1757"/>
        <w:gridCol w:w="1757"/>
        <w:gridCol w:w="2154"/>
        <w:gridCol w:w="1757"/>
        <w:gridCol w:w="1757"/>
      </w:tblGrid>
      <w:tr>
        <w:trPr>
          <w:trHeight w:val="315"/>
          <w:tblHeader/>
          <w:jc w:val="center"/>
        </w:trPr>
        <w:tc>
          <w:tcPr>
            <w:tcW w:w="857" w:type="dxa"/>
            <w:vMerge w:val="restart"/>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19a</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19b</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19c</w:t>
            </w:r>
          </w:p>
        </w:tc>
        <w:tc>
          <w:tcPr>
            <w:tcW w:w="2154"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19d</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19f</w:t>
            </w:r>
          </w:p>
        </w:tc>
      </w:tr>
      <w:tr>
        <w:trPr>
          <w:trHeight w:val="1055"/>
          <w:tblHeader/>
          <w:jc w:val="center"/>
        </w:trPr>
        <w:tc>
          <w:tcPr>
            <w:tcW w:w="857" w:type="dxa"/>
            <w:vMerge/>
            <w:vAlign w:val="center"/>
            <w:hideMark/>
          </w:tcPr>
          <w:p>
            <w:pPr>
              <w:spacing w:after="0" w:line="240" w:lineRule="auto"/>
              <w:jc w:val="center"/>
              <w:rPr>
                <w:rFonts w:ascii="Times New Roman"/>
                <w:b/>
                <w:bCs/>
                <w:color w:val="000000"/>
                <w:sz w:val="16"/>
                <w:szCs w:val="16"/>
              </w:rPr>
            </w:pP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total de personnes bénéficiant d’une assistance matérielle de base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d’enfants âgés de 15 ans ou moins</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personnes âgées de 65 ans ou plus</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femmes</w:t>
            </w:r>
          </w:p>
        </w:tc>
        <w:tc>
          <w:tcPr>
            <w:tcW w:w="2154"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migrants, participants d’origine étrangère, personnes appartenant à des minorités (y compris des communautés marginalisées telles que les Roms)</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personnes handicapées</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sans-abri</w:t>
            </w:r>
          </w:p>
        </w:tc>
      </w:tr>
      <w:tr>
        <w:trPr>
          <w:trHeight w:val="227"/>
          <w:jc w:val="center"/>
        </w:trPr>
        <w:tc>
          <w:tcPr>
            <w:tcW w:w="857"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2154"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75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AT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44 555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41 295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22 723</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22 278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BE</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BG</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CY</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700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700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408</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310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CZ</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71 810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26 221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15 053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37 463</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22 855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8 399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11 032</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EE</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EL</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452 840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62 921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14 954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127 890</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673</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ES</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FI</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FR</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HR</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23 941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8 630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11 197</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9 987</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3 298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1 875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251</w:t>
            </w:r>
          </w:p>
        </w:tc>
      </w:tr>
      <w:tr>
        <w:trPr>
          <w:trHeight w:val="170"/>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HU</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25 970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24 879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1 091</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12 985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1 299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IE</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40 743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40 112</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20 500</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1 743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IT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197 196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51 373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14 866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100 858</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2 082</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21 997</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334</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LU</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13 016</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3 854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255</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6 768</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9 800</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401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61</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LV</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17 439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12 159</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8 371</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694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777</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MT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PL</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PT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RO</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83"/>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SI</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SK</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110 223</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50 738</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31</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57 805</w:t>
            </w:r>
          </w:p>
        </w:tc>
        <w:tc>
          <w:tcPr>
            <w:tcW w:w="2154"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2 464</w:t>
            </w:r>
          </w:p>
        </w:tc>
        <w:tc>
          <w:tcPr>
            <w:tcW w:w="1757" w:type="dxa"/>
            <w:vAlign w:val="bottom"/>
          </w:tcPr>
          <w:p>
            <w:pPr>
              <w:spacing w:after="0" w:line="240" w:lineRule="auto"/>
              <w:jc w:val="right"/>
              <w:rPr>
                <w:rFonts w:ascii="Times New Roman"/>
                <w:color w:val="000000"/>
                <w:sz w:val="16"/>
                <w:szCs w:val="16"/>
              </w:rPr>
            </w:pPr>
            <w:r>
              <w:rPr>
                <w:rFonts w:ascii="Times New Roman"/>
                <w:sz w:val="16"/>
                <w:szCs w:val="16"/>
              </w:rPr>
              <w:t>1 313</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998 433</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322 882</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56 356</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393 864</w:t>
            </w:r>
          </w:p>
        </w:tc>
        <w:tc>
          <w:tcPr>
            <w:tcW w:w="2154" w:type="dxa"/>
            <w:vAlign w:val="bottom"/>
          </w:tcPr>
          <w:p>
            <w:pPr>
              <w:spacing w:after="0" w:line="240" w:lineRule="auto"/>
              <w:jc w:val="right"/>
              <w:rPr>
                <w:rFonts w:ascii="Times New Roman"/>
                <w:b/>
                <w:bCs/>
                <w:color w:val="000000"/>
                <w:sz w:val="16"/>
                <w:szCs w:val="16"/>
              </w:rPr>
            </w:pPr>
            <w:r>
              <w:rPr>
                <w:rFonts w:ascii="Times New Roman"/>
                <w:b/>
                <w:bCs/>
                <w:sz w:val="16"/>
                <w:szCs w:val="16"/>
              </w:rPr>
              <w:t>76 045</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37 212</w:t>
            </w:r>
          </w:p>
        </w:tc>
        <w:tc>
          <w:tcPr>
            <w:tcW w:w="1757" w:type="dxa"/>
            <w:vAlign w:val="bottom"/>
          </w:tcPr>
          <w:p>
            <w:pPr>
              <w:spacing w:after="0" w:line="240" w:lineRule="auto"/>
              <w:jc w:val="right"/>
              <w:rPr>
                <w:rFonts w:ascii="Times New Roman"/>
                <w:b/>
                <w:bCs/>
                <w:color w:val="000000"/>
                <w:sz w:val="16"/>
                <w:szCs w:val="16"/>
              </w:rPr>
            </w:pPr>
            <w:r>
              <w:rPr>
                <w:rFonts w:ascii="Times New Roman"/>
                <w:b/>
                <w:bCs/>
                <w:sz w:val="16"/>
                <w:szCs w:val="16"/>
              </w:rPr>
              <w:t>13 664</w:t>
            </w:r>
          </w:p>
        </w:tc>
      </w:tr>
    </w:tbl>
    <w:p>
      <w:r>
        <w:br w:type="page"/>
      </w:r>
    </w:p>
    <w:p>
      <w:pPr>
        <w:pStyle w:val="Heading1"/>
      </w:pPr>
      <w:r>
        <w:t>Indicateurs communs de réalisation relatifs à l’aide à l’inclusion sociale</w:t>
      </w:r>
      <w:r>
        <w:rPr>
          <w:rStyle w:val="FootnoteReference"/>
        </w:rPr>
        <w:footnoteReference w:id="21"/>
      </w:r>
      <w:r>
        <w:rPr>
          <w:sz w:val="16"/>
          <w:szCs w:val="16"/>
        </w:rPr>
        <w:t xml:space="preserve"> </w:t>
      </w:r>
      <w:r>
        <w:t>(PO II) sur la période 2014-2020</w:t>
      </w:r>
    </w:p>
    <w:tbl>
      <w:tblPr>
        <w:tblW w:w="12512" w:type="dxa"/>
        <w:tblInd w:w="41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779"/>
        <w:gridCol w:w="1587"/>
        <w:gridCol w:w="1587"/>
        <w:gridCol w:w="1587"/>
        <w:gridCol w:w="1587"/>
        <w:gridCol w:w="2211"/>
        <w:gridCol w:w="1587"/>
        <w:gridCol w:w="1587"/>
      </w:tblGrid>
      <w:tr>
        <w:trPr>
          <w:trHeight w:val="315"/>
        </w:trPr>
        <w:tc>
          <w:tcPr>
            <w:tcW w:w="779" w:type="dxa"/>
            <w:vMerge w:val="restart"/>
            <w:shd w:val="clear" w:color="auto" w:fill="auto"/>
            <w:vAlign w:val="center"/>
            <w:hideMark/>
          </w:tcPr>
          <w:p>
            <w:pPr>
              <w:spacing w:after="0" w:line="240" w:lineRule="auto"/>
              <w:jc w:val="center"/>
              <w:rPr>
                <w:rFonts w:ascii="Times New Roman"/>
                <w:b/>
                <w:bCs/>
                <w:color w:val="000000"/>
                <w:sz w:val="16"/>
                <w:szCs w:val="16"/>
              </w:rPr>
            </w:pPr>
            <w:r>
              <w:rPr>
                <w:rFonts w:ascii="Times New Roman"/>
                <w:b/>
                <w:bCs/>
                <w:sz w:val="16"/>
                <w:szCs w:val="16"/>
              </w:rPr>
              <w:t>État membre</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20a</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20b</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20c</w:t>
            </w:r>
          </w:p>
        </w:tc>
        <w:tc>
          <w:tcPr>
            <w:tcW w:w="2211"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20d</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20e</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Indicateur nº 20f</w:t>
            </w:r>
          </w:p>
        </w:tc>
      </w:tr>
      <w:tr>
        <w:trPr>
          <w:trHeight w:val="1196"/>
        </w:trPr>
        <w:tc>
          <w:tcPr>
            <w:tcW w:w="779" w:type="dxa"/>
            <w:vMerge/>
            <w:vAlign w:val="center"/>
            <w:hideMark/>
          </w:tcPr>
          <w:p>
            <w:pPr>
              <w:spacing w:after="0" w:line="240" w:lineRule="auto"/>
              <w:jc w:val="center"/>
              <w:rPr>
                <w:rFonts w:ascii="Times New Roman"/>
                <w:b/>
                <w:bCs/>
                <w:color w:val="000000"/>
                <w:sz w:val="16"/>
                <w:szCs w:val="16"/>
              </w:rPr>
            </w:pP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Nombre total de personnes bénéficiant d’une aide à l’inclusion sociale</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d’enfants âgés de 15 ans ou moins</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personnes âgées de 65 ans ou plus</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femmes</w:t>
            </w:r>
          </w:p>
        </w:tc>
        <w:tc>
          <w:tcPr>
            <w:tcW w:w="2211"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migrants, participants d’origine étrangère, personnes appartenant à des minorités (y compris des communautés marginalisées telles que les Roms)</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personnes handicapées</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Nombre de sans-abri</w:t>
            </w:r>
          </w:p>
        </w:tc>
      </w:tr>
      <w:tr>
        <w:trPr>
          <w:trHeight w:val="283"/>
        </w:trPr>
        <w:tc>
          <w:tcPr>
            <w:tcW w:w="779" w:type="dxa"/>
            <w:shd w:val="clear" w:color="auto" w:fill="auto"/>
            <w:noWrap/>
            <w:vAlign w:val="center"/>
            <w:hideMark/>
          </w:tcPr>
          <w:p>
            <w:pPr>
              <w:spacing w:after="0" w:line="240" w:lineRule="auto"/>
              <w:jc w:val="center"/>
              <w:rPr>
                <w:rFonts w:ascii="Times New Roman"/>
                <w:b/>
                <w:bCs/>
                <w:color w:val="000000"/>
                <w:sz w:val="16"/>
                <w:szCs w:val="16"/>
              </w:rPr>
            </w:pPr>
            <w:r>
              <w:rPr>
                <w:rFonts w:ascii="Times New Roman"/>
                <w:b/>
                <w:bCs/>
                <w:sz w:val="16"/>
                <w:szCs w:val="16"/>
              </w:rPr>
              <w:t>Période</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2211"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c>
          <w:tcPr>
            <w:tcW w:w="1587" w:type="dxa"/>
            <w:vAlign w:val="center"/>
          </w:tcPr>
          <w:p>
            <w:pPr>
              <w:spacing w:after="0" w:line="240" w:lineRule="auto"/>
              <w:jc w:val="center"/>
              <w:rPr>
                <w:rFonts w:ascii="Times New Roman"/>
                <w:b/>
                <w:bCs/>
                <w:color w:val="000000"/>
                <w:sz w:val="16"/>
                <w:szCs w:val="16"/>
              </w:rPr>
            </w:pPr>
            <w:r>
              <w:rPr>
                <w:rFonts w:ascii="Times New Roman"/>
                <w:b/>
                <w:bCs/>
                <w:sz w:val="16"/>
                <w:szCs w:val="16"/>
              </w:rPr>
              <w:t>2018</w:t>
            </w:r>
          </w:p>
        </w:tc>
      </w:tr>
      <w:tr>
        <w:trPr>
          <w:trHeight w:val="283"/>
        </w:trPr>
        <w:tc>
          <w:tcPr>
            <w:tcW w:w="779"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DE</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37 062</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4 084</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480</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18 232</w:t>
            </w:r>
          </w:p>
        </w:tc>
        <w:tc>
          <w:tcPr>
            <w:tcW w:w="2211" w:type="dxa"/>
            <w:vAlign w:val="bottom"/>
          </w:tcPr>
          <w:p>
            <w:pPr>
              <w:spacing w:after="0" w:line="240" w:lineRule="auto"/>
              <w:jc w:val="right"/>
              <w:rPr>
                <w:rFonts w:ascii="Times New Roman"/>
                <w:color w:val="000000"/>
                <w:sz w:val="16"/>
                <w:szCs w:val="16"/>
              </w:rPr>
            </w:pPr>
            <w:r>
              <w:rPr>
                <w:rFonts w:ascii="Times New Roman"/>
                <w:sz w:val="16"/>
                <w:szCs w:val="16"/>
              </w:rPr>
              <w:t>31 575</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858</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6 508</w:t>
            </w:r>
          </w:p>
        </w:tc>
      </w:tr>
      <w:tr>
        <w:trPr>
          <w:trHeight w:val="283"/>
        </w:trPr>
        <w:tc>
          <w:tcPr>
            <w:tcW w:w="779" w:type="dxa"/>
            <w:shd w:val="clear" w:color="auto" w:fill="auto"/>
            <w:noWrap/>
            <w:vAlign w:val="bottom"/>
          </w:tcPr>
          <w:p>
            <w:pPr>
              <w:spacing w:after="0" w:line="240" w:lineRule="auto"/>
              <w:jc w:val="center"/>
              <w:rPr>
                <w:rFonts w:ascii="Times New Roman"/>
                <w:b/>
                <w:bCs/>
                <w:color w:val="000000"/>
                <w:sz w:val="16"/>
                <w:szCs w:val="16"/>
              </w:rPr>
            </w:pPr>
            <w:r>
              <w:rPr>
                <w:rFonts w:ascii="Times New Roman"/>
                <w:b/>
                <w:bCs/>
                <w:sz w:val="16"/>
                <w:szCs w:val="16"/>
              </w:rPr>
              <w:t>DK</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454</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31</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82</w:t>
            </w:r>
          </w:p>
        </w:tc>
        <w:tc>
          <w:tcPr>
            <w:tcW w:w="2211" w:type="dxa"/>
            <w:vAlign w:val="bottom"/>
          </w:tcPr>
          <w:p>
            <w:pPr>
              <w:spacing w:after="0" w:line="240" w:lineRule="auto"/>
              <w:jc w:val="right"/>
              <w:rPr>
                <w:rFonts w:ascii="Times New Roman"/>
                <w:color w:val="000000"/>
                <w:sz w:val="16"/>
                <w:szCs w:val="16"/>
              </w:rPr>
            </w:pPr>
            <w:r>
              <w:rPr>
                <w:rFonts w:ascii="Times New Roman"/>
                <w:sz w:val="16"/>
                <w:szCs w:val="16"/>
              </w:rPr>
              <w:t>382</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72</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454</w:t>
            </w:r>
          </w:p>
        </w:tc>
      </w:tr>
      <w:tr>
        <w:trPr>
          <w:trHeight w:val="283"/>
        </w:trPr>
        <w:tc>
          <w:tcPr>
            <w:tcW w:w="779" w:type="dxa"/>
            <w:shd w:val="clear" w:color="auto" w:fill="auto"/>
            <w:noWrap/>
            <w:vAlign w:val="bottom"/>
          </w:tcPr>
          <w:p>
            <w:pPr>
              <w:spacing w:after="0" w:line="240" w:lineRule="auto"/>
              <w:jc w:val="center"/>
              <w:rPr>
                <w:rFonts w:ascii="Times New Roman"/>
                <w:b/>
                <w:bCs/>
                <w:color w:val="000000"/>
                <w:sz w:val="16"/>
                <w:szCs w:val="16"/>
              </w:rPr>
            </w:pPr>
            <w:r>
              <w:rPr>
                <w:rFonts w:ascii="Times New Roman"/>
                <w:b/>
                <w:bCs/>
                <w:sz w:val="16"/>
                <w:szCs w:val="16"/>
              </w:rPr>
              <w:t>NL</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776</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776</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619</w:t>
            </w:r>
          </w:p>
        </w:tc>
        <w:tc>
          <w:tcPr>
            <w:tcW w:w="2211" w:type="dxa"/>
            <w:vAlign w:val="bottom"/>
          </w:tcPr>
          <w:p>
            <w:pPr>
              <w:spacing w:after="0" w:line="240" w:lineRule="auto"/>
              <w:jc w:val="right"/>
              <w:rPr>
                <w:rFonts w:ascii="Times New Roman"/>
                <w:color w:val="000000"/>
                <w:sz w:val="16"/>
                <w:szCs w:val="16"/>
              </w:rPr>
            </w:pPr>
            <w:r>
              <w:rPr>
                <w:rFonts w:ascii="Times New Roman"/>
                <w:sz w:val="16"/>
                <w:szCs w:val="16"/>
              </w:rPr>
              <w:t>209</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102</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w:t>
            </w:r>
          </w:p>
        </w:tc>
      </w:tr>
      <w:tr>
        <w:trPr>
          <w:trHeight w:val="283"/>
        </w:trPr>
        <w:tc>
          <w:tcPr>
            <w:tcW w:w="779" w:type="dxa"/>
            <w:shd w:val="clear" w:color="auto" w:fill="auto"/>
            <w:noWrap/>
            <w:vAlign w:val="bottom"/>
          </w:tcPr>
          <w:p>
            <w:pPr>
              <w:spacing w:after="0" w:line="240" w:lineRule="auto"/>
              <w:jc w:val="center"/>
              <w:rPr>
                <w:rFonts w:ascii="Times New Roman"/>
                <w:b/>
                <w:bCs/>
                <w:color w:val="000000"/>
                <w:sz w:val="16"/>
                <w:szCs w:val="16"/>
              </w:rPr>
            </w:pPr>
            <w:r>
              <w:rPr>
                <w:rFonts w:ascii="Times New Roman"/>
                <w:b/>
                <w:bCs/>
                <w:sz w:val="16"/>
                <w:szCs w:val="16"/>
              </w:rPr>
              <w:t>SE</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414</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6</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1</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328</w:t>
            </w:r>
          </w:p>
        </w:tc>
        <w:tc>
          <w:tcPr>
            <w:tcW w:w="2211" w:type="dxa"/>
            <w:vAlign w:val="bottom"/>
          </w:tcPr>
          <w:p>
            <w:pPr>
              <w:spacing w:after="0" w:line="240" w:lineRule="auto"/>
              <w:jc w:val="right"/>
              <w:rPr>
                <w:rFonts w:ascii="Times New Roman"/>
                <w:color w:val="000000"/>
                <w:sz w:val="16"/>
                <w:szCs w:val="16"/>
              </w:rPr>
            </w:pPr>
            <w:r>
              <w:rPr>
                <w:rFonts w:ascii="Times New Roman"/>
                <w:sz w:val="16"/>
                <w:szCs w:val="16"/>
              </w:rPr>
              <w:t>413</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w:t>
            </w:r>
          </w:p>
        </w:tc>
        <w:tc>
          <w:tcPr>
            <w:tcW w:w="1587" w:type="dxa"/>
            <w:vAlign w:val="bottom"/>
          </w:tcPr>
          <w:p>
            <w:pPr>
              <w:spacing w:after="0" w:line="240" w:lineRule="auto"/>
              <w:jc w:val="right"/>
              <w:rPr>
                <w:rFonts w:ascii="Times New Roman"/>
                <w:color w:val="000000"/>
                <w:sz w:val="16"/>
                <w:szCs w:val="16"/>
              </w:rPr>
            </w:pPr>
            <w:r>
              <w:rPr>
                <w:rFonts w:ascii="Times New Roman"/>
                <w:sz w:val="16"/>
                <w:szCs w:val="16"/>
              </w:rPr>
              <w:t>410</w:t>
            </w:r>
          </w:p>
        </w:tc>
      </w:tr>
      <w:tr>
        <w:trPr>
          <w:trHeight w:val="283"/>
        </w:trPr>
        <w:tc>
          <w:tcPr>
            <w:tcW w:w="779" w:type="dxa"/>
            <w:shd w:val="clear" w:color="auto" w:fill="auto"/>
            <w:noWrap/>
            <w:vAlign w:val="bottom"/>
            <w:hideMark/>
          </w:tcPr>
          <w:p>
            <w:pPr>
              <w:spacing w:after="0" w:line="240" w:lineRule="auto"/>
              <w:jc w:val="center"/>
              <w:rPr>
                <w:rFonts w:ascii="Times New Roman"/>
                <w:b/>
                <w:bCs/>
                <w:color w:val="000000"/>
                <w:sz w:val="16"/>
                <w:szCs w:val="16"/>
              </w:rPr>
            </w:pPr>
            <w:r>
              <w:rPr>
                <w:rFonts w:ascii="Times New Roman"/>
                <w:b/>
                <w:bCs/>
                <w:sz w:val="16"/>
                <w:szCs w:val="16"/>
              </w:rPr>
              <w:t>Total</w:t>
            </w:r>
          </w:p>
        </w:tc>
        <w:tc>
          <w:tcPr>
            <w:tcW w:w="1587" w:type="dxa"/>
            <w:vAlign w:val="bottom"/>
          </w:tcPr>
          <w:p>
            <w:pPr>
              <w:spacing w:after="0" w:line="240" w:lineRule="auto"/>
              <w:jc w:val="right"/>
              <w:rPr>
                <w:rFonts w:ascii="Times New Roman"/>
                <w:b/>
                <w:bCs/>
                <w:color w:val="000000"/>
                <w:sz w:val="16"/>
                <w:szCs w:val="16"/>
              </w:rPr>
            </w:pPr>
            <w:r>
              <w:rPr>
                <w:rFonts w:ascii="Times New Roman"/>
                <w:b/>
                <w:bCs/>
                <w:sz w:val="16"/>
                <w:szCs w:val="16"/>
              </w:rPr>
              <w:t>38 706</w:t>
            </w:r>
          </w:p>
        </w:tc>
        <w:tc>
          <w:tcPr>
            <w:tcW w:w="1587" w:type="dxa"/>
            <w:vAlign w:val="bottom"/>
          </w:tcPr>
          <w:p>
            <w:pPr>
              <w:spacing w:after="0" w:line="240" w:lineRule="auto"/>
              <w:jc w:val="right"/>
              <w:rPr>
                <w:rFonts w:ascii="Times New Roman"/>
                <w:b/>
                <w:bCs/>
                <w:color w:val="000000"/>
                <w:sz w:val="16"/>
                <w:szCs w:val="16"/>
              </w:rPr>
            </w:pPr>
            <w:r>
              <w:rPr>
                <w:rFonts w:ascii="Times New Roman"/>
                <w:b/>
                <w:bCs/>
                <w:sz w:val="16"/>
                <w:szCs w:val="16"/>
              </w:rPr>
              <w:t>4 090</w:t>
            </w:r>
          </w:p>
        </w:tc>
        <w:tc>
          <w:tcPr>
            <w:tcW w:w="1587" w:type="dxa"/>
            <w:vAlign w:val="bottom"/>
          </w:tcPr>
          <w:p>
            <w:pPr>
              <w:spacing w:after="0" w:line="240" w:lineRule="auto"/>
              <w:jc w:val="right"/>
              <w:rPr>
                <w:rFonts w:ascii="Times New Roman"/>
                <w:b/>
                <w:bCs/>
                <w:color w:val="000000"/>
                <w:sz w:val="16"/>
                <w:szCs w:val="16"/>
              </w:rPr>
            </w:pPr>
            <w:r>
              <w:rPr>
                <w:rFonts w:ascii="Times New Roman"/>
                <w:b/>
                <w:bCs/>
                <w:sz w:val="16"/>
                <w:szCs w:val="16"/>
              </w:rPr>
              <w:t>1 288</w:t>
            </w:r>
          </w:p>
        </w:tc>
        <w:tc>
          <w:tcPr>
            <w:tcW w:w="1587" w:type="dxa"/>
            <w:vAlign w:val="bottom"/>
          </w:tcPr>
          <w:p>
            <w:pPr>
              <w:spacing w:after="0" w:line="240" w:lineRule="auto"/>
              <w:jc w:val="right"/>
              <w:rPr>
                <w:rFonts w:ascii="Times New Roman"/>
                <w:b/>
                <w:bCs/>
                <w:color w:val="000000"/>
                <w:sz w:val="16"/>
                <w:szCs w:val="16"/>
              </w:rPr>
            </w:pPr>
            <w:r>
              <w:rPr>
                <w:rFonts w:ascii="Times New Roman"/>
                <w:b/>
                <w:bCs/>
                <w:sz w:val="16"/>
                <w:szCs w:val="16"/>
              </w:rPr>
              <w:t>19 261</w:t>
            </w:r>
          </w:p>
        </w:tc>
        <w:tc>
          <w:tcPr>
            <w:tcW w:w="2211" w:type="dxa"/>
            <w:vAlign w:val="bottom"/>
          </w:tcPr>
          <w:p>
            <w:pPr>
              <w:spacing w:after="0" w:line="240" w:lineRule="auto"/>
              <w:jc w:val="right"/>
              <w:rPr>
                <w:rFonts w:ascii="Times New Roman"/>
                <w:b/>
                <w:bCs/>
                <w:color w:val="000000"/>
                <w:sz w:val="16"/>
                <w:szCs w:val="16"/>
              </w:rPr>
            </w:pPr>
            <w:r>
              <w:rPr>
                <w:rFonts w:ascii="Times New Roman"/>
                <w:b/>
                <w:bCs/>
                <w:sz w:val="16"/>
                <w:szCs w:val="16"/>
              </w:rPr>
              <w:t>32 579</w:t>
            </w:r>
          </w:p>
        </w:tc>
        <w:tc>
          <w:tcPr>
            <w:tcW w:w="1587" w:type="dxa"/>
            <w:vAlign w:val="bottom"/>
          </w:tcPr>
          <w:p>
            <w:pPr>
              <w:spacing w:after="0" w:line="240" w:lineRule="auto"/>
              <w:jc w:val="right"/>
              <w:rPr>
                <w:rFonts w:ascii="Times New Roman"/>
                <w:b/>
                <w:bCs/>
                <w:color w:val="000000"/>
                <w:sz w:val="16"/>
                <w:szCs w:val="16"/>
              </w:rPr>
            </w:pPr>
            <w:r>
              <w:rPr>
                <w:rFonts w:ascii="Times New Roman"/>
                <w:b/>
                <w:bCs/>
                <w:sz w:val="16"/>
                <w:szCs w:val="16"/>
              </w:rPr>
              <w:t>1 032</w:t>
            </w:r>
          </w:p>
        </w:tc>
        <w:tc>
          <w:tcPr>
            <w:tcW w:w="1587" w:type="dxa"/>
            <w:vAlign w:val="bottom"/>
          </w:tcPr>
          <w:p>
            <w:pPr>
              <w:spacing w:after="0" w:line="240" w:lineRule="auto"/>
              <w:jc w:val="right"/>
              <w:rPr>
                <w:rFonts w:ascii="Times New Roman"/>
                <w:b/>
                <w:bCs/>
                <w:color w:val="000000"/>
                <w:sz w:val="16"/>
                <w:szCs w:val="16"/>
              </w:rPr>
            </w:pPr>
            <w:r>
              <w:rPr>
                <w:rFonts w:ascii="Times New Roman"/>
                <w:b/>
                <w:bCs/>
                <w:sz w:val="16"/>
                <w:szCs w:val="16"/>
              </w:rPr>
              <w:t>7 372</w:t>
            </w:r>
          </w:p>
        </w:tc>
      </w:tr>
    </w:tbl>
    <w:p>
      <w:pPr>
        <w:tabs>
          <w:tab w:val="left" w:pos="1104"/>
        </w:tabs>
      </w:pPr>
    </w:p>
    <w:p>
      <w:pPr>
        <w:spacing w:after="0"/>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418"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76868"/>
      <w:docPartObj>
        <w:docPartGallery w:val="Page Numbers (Bottom of Page)"/>
        <w:docPartUnique/>
      </w:docPartObj>
    </w:sdtPr>
    <w:sdtContent>
      <w:p>
        <w:pPr>
          <w:pStyle w:val="Footer"/>
          <w:jc w:val="center"/>
        </w:pPr>
        <w:r>
          <w:fldChar w:fldCharType="begin"/>
        </w:r>
        <w:r>
          <w:instrText>PAGE   \* MERGEFORMAT</w:instrText>
        </w:r>
        <w:r>
          <w:fldChar w:fldCharType="separate"/>
        </w:r>
        <w: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sz w:val="18"/>
        </w:rPr>
      </w:pPr>
      <w:r>
        <w:rPr>
          <w:rStyle w:val="FootnoteReference"/>
          <w:rFonts w:ascii="Times New Roman"/>
          <w:sz w:val="18"/>
        </w:rPr>
        <w:footnoteRef/>
      </w:r>
      <w:r>
        <w:rPr>
          <w:rFonts w:ascii="Times New Roman"/>
          <w:sz w:val="18"/>
        </w:rPr>
        <w:t xml:space="preserve"> </w:t>
      </w:r>
      <w:r>
        <w:rPr>
          <w:rFonts w:ascii="Times New Roman"/>
          <w:sz w:val="14"/>
          <w:szCs w:val="14"/>
        </w:rPr>
        <w:t>Les États membres ont la possibilité de modifier les valeurs déclarées pour un indicateur des années précédentes. La colonne «Cumulé», qui présente la somme des valeurs déclarées pour chaque indicateur à partir de 2014, tient compte de toutes les modifications introduites par les États membres en ce qui concerne les valeurs qu’ils ont déclarées pour les années 2014 à 2017 dans leurs rapports de mise en œuvre de 2018.</w:t>
      </w:r>
      <w:r>
        <w:rPr>
          <w:rFonts w:ascii="Times New Roman"/>
          <w:sz w:val="18"/>
        </w:rPr>
        <w:t xml:space="preserve">  </w:t>
      </w:r>
    </w:p>
  </w:footnote>
  <w:footnote w:id="2">
    <w:p>
      <w:pPr>
        <w:pStyle w:val="FootnoteText"/>
        <w:rPr>
          <w:rFonts w:ascii="Times New Roman"/>
          <w:sz w:val="18"/>
        </w:rPr>
      </w:pPr>
      <w:r>
        <w:rPr>
          <w:rStyle w:val="FootnoteReference"/>
          <w:rFonts w:ascii="Times New Roman"/>
          <w:sz w:val="18"/>
        </w:rPr>
        <w:footnoteRef/>
      </w:r>
      <w:r>
        <w:rPr>
          <w:rFonts w:ascii="Times New Roman"/>
          <w:sz w:val="18"/>
        </w:rPr>
        <w:t xml:space="preserve"> </w:t>
      </w:r>
      <w:r>
        <w:rPr>
          <w:rFonts w:ascii="Times New Roman"/>
          <w:sz w:val="16"/>
          <w:szCs w:val="16"/>
        </w:rPr>
        <w:t>Les indicateurs 4 à 11 incluent toute forme des produits en question: frais, en conserve et surgelés par exemple.</w:t>
      </w:r>
    </w:p>
  </w:footnote>
  <w:footnote w:id="3">
    <w:p>
      <w:pPr>
        <w:pStyle w:val="FootnoteText"/>
        <w:rPr>
          <w:rFonts w:ascii="Times New Roman"/>
        </w:rPr>
      </w:pPr>
      <w:r>
        <w:rPr>
          <w:rStyle w:val="FootnoteReference"/>
          <w:rFonts w:ascii="Times New Roman"/>
        </w:rPr>
        <w:footnoteRef/>
      </w:r>
      <w:r>
        <w:rPr>
          <w:rFonts w:ascii="Times New Roman"/>
          <w:sz w:val="16"/>
          <w:szCs w:val="16"/>
        </w:rPr>
        <w:t xml:space="preserve"> </w:t>
      </w:r>
      <w:r>
        <w:rPr>
          <w:rFonts w:ascii="Times New Roman"/>
          <w:sz w:val="14"/>
          <w:szCs w:val="14"/>
        </w:rPr>
        <w:t>Les valeurs de cet indicateur sont établies sur la base d’une estimation solidement étayée produite par les organisations partenaires.</w:t>
      </w:r>
    </w:p>
  </w:footnote>
  <w:footnote w:id="4">
    <w:p>
      <w:pPr>
        <w:pStyle w:val="FootnoteText"/>
        <w:rPr>
          <w:rFonts w:ascii="Times New Roman"/>
          <w:sz w:val="16"/>
          <w:szCs w:val="16"/>
        </w:rPr>
      </w:pPr>
      <w:r>
        <w:rPr>
          <w:rStyle w:val="FootnoteReference"/>
          <w:rFonts w:ascii="Times New Roman"/>
        </w:rPr>
        <w:footnoteRef/>
      </w:r>
      <w:r>
        <w:rPr>
          <w:rFonts w:ascii="Times New Roman"/>
          <w:sz w:val="16"/>
          <w:szCs w:val="16"/>
        </w:rPr>
        <w:t xml:space="preserve"> </w:t>
      </w:r>
      <w:r>
        <w:rPr>
          <w:rFonts w:ascii="Times New Roman"/>
          <w:sz w:val="14"/>
          <w:szCs w:val="14"/>
        </w:rPr>
        <w:t>La définition du terme «repas» peut être donnée au niveau de l’organisation partenaire/de l’opération/de l’autorité de gestion. Les valeurs du présent indicateur sont établies sur la base d’une évaluation menée par les organisations partenaires.</w:t>
      </w:r>
    </w:p>
  </w:footnote>
  <w:footnote w:id="5">
    <w:p>
      <w:pPr>
        <w:pStyle w:val="FootnoteText"/>
        <w:rPr>
          <w:rFonts w:ascii="Times New Roman"/>
        </w:rPr>
      </w:pPr>
      <w:r>
        <w:rPr>
          <w:rStyle w:val="FootnoteReference"/>
          <w:rFonts w:ascii="Times New Roman"/>
        </w:rPr>
        <w:footnoteRef/>
      </w:r>
      <w:r>
        <w:rPr>
          <w:rFonts w:ascii="Times New Roman"/>
          <w:sz w:val="16"/>
          <w:szCs w:val="16"/>
        </w:rPr>
        <w:t xml:space="preserve"> </w:t>
      </w:r>
      <w:r>
        <w:rPr>
          <w:rFonts w:ascii="Times New Roman"/>
          <w:sz w:val="14"/>
          <w:szCs w:val="14"/>
        </w:rPr>
        <w:t>Le terme «colis alimentaire» peut être défini au niveau de l’organisation partenaire, de l’opération ou de l’autorité de gestion. Il n’est pas nécessaire que la taille et le contenu des colis soient uniformisés. Les valeurs du présent indicateur sont établies sur la base d’une évaluation menée par les organisations partenaires.</w:t>
      </w:r>
    </w:p>
  </w:footnote>
  <w:footnote w:id="6">
    <w:p>
      <w:pPr>
        <w:pStyle w:val="FootnoteText"/>
      </w:pPr>
      <w:r>
        <w:rPr>
          <w:rStyle w:val="FootnoteReference"/>
          <w:rFonts w:ascii="Times New Roman"/>
        </w:rPr>
        <w:footnoteRef/>
      </w:r>
      <w:r>
        <w:rPr>
          <w:rFonts w:ascii="Times New Roman"/>
        </w:rPr>
        <w:t xml:space="preserve"> </w:t>
      </w:r>
      <w:r>
        <w:rPr>
          <w:rFonts w:ascii="Times New Roman"/>
          <w:sz w:val="14"/>
          <w:szCs w:val="14"/>
        </w:rPr>
        <w:t>Le total est calculé comme une moyenne arithmétique pondérée.</w:t>
      </w:r>
    </w:p>
  </w:footnote>
  <w:footnote w:id="7">
    <w:p>
      <w:pPr>
        <w:pStyle w:val="FootnoteText"/>
        <w:rPr>
          <w:rFonts w:ascii="Times New Roman"/>
        </w:rPr>
      </w:pPr>
      <w:r>
        <w:rPr>
          <w:rStyle w:val="FootnoteReference"/>
          <w:rFonts w:ascii="Times New Roman"/>
        </w:rPr>
        <w:footnoteRef/>
      </w:r>
      <w:r>
        <w:rPr>
          <w:rFonts w:ascii="Times New Roman"/>
          <w:sz w:val="16"/>
          <w:szCs w:val="16"/>
        </w:rPr>
        <w:t xml:space="preserve"> Les valeurs de ces indicateurs sont établies sur la base d’une estimation solidement étayée produite par les organisations partenaires. Il n’est ni prévu ni requis que ces valeurs soient produites à partir d’informations fournies par les destinataires finaux. L’indicateur 14 (y compris les indicateurs 14a à 14f) fournit une estimation du nombre de personnes aidées par exercice, de sorte que les valeurs cumulées pour le nombre total de personnes doivent être lues avec prudence étant donné que la même personne peut avoir été comptabilisée chaque année. En outre, les indicateurs 14 et 19 (y compris les indicateurs 19a à 19f) doivent être considérés ensemble, car dans certains pays, les mêmes personnes reçoivent à la fois une aide alimentaire et une assistance matérielle de base et sont donc comptabilisées deux fois. </w:t>
      </w:r>
    </w:p>
  </w:footnote>
  <w:footnote w:id="8">
    <w:p>
      <w:pPr>
        <w:pStyle w:val="FootnoteText"/>
        <w:rPr>
          <w:rFonts w:ascii="Times New Roman"/>
          <w:sz w:val="16"/>
          <w:szCs w:val="16"/>
          <w:highlight w:val="yellow"/>
        </w:rPr>
      </w:pPr>
      <w:r>
        <w:rPr>
          <w:rStyle w:val="FootnoteReference"/>
          <w:rFonts w:ascii="Times New Roman"/>
        </w:rPr>
        <w:footnoteRef/>
      </w:r>
      <w:r>
        <w:rPr>
          <w:rFonts w:ascii="Times New Roman"/>
        </w:rPr>
        <w:t xml:space="preserve"> </w:t>
      </w:r>
      <w:r>
        <w:rPr>
          <w:rFonts w:ascii="Times New Roman"/>
          <w:sz w:val="14"/>
          <w:szCs w:val="14"/>
        </w:rPr>
        <w:t>Figurent dans cette liste toutes les catégories pertinentes, représentant au moins 75 % des biens distribués.</w:t>
      </w:r>
    </w:p>
  </w:footnote>
  <w:footnote w:id="9">
    <w:p>
      <w:pPr>
        <w:pStyle w:val="FootnoteText"/>
        <w:rPr>
          <w:rFonts w:ascii="Times New Roman"/>
          <w:sz w:val="14"/>
          <w:szCs w:val="14"/>
          <w:highlight w:val="yellow"/>
        </w:rPr>
      </w:pPr>
      <w:r>
        <w:rPr>
          <w:rStyle w:val="FootnoteReference"/>
          <w:rFonts w:ascii="Times New Roman"/>
        </w:rPr>
        <w:footnoteRef/>
      </w:r>
      <w:r>
        <w:rPr>
          <w:rFonts w:ascii="Times New Roman"/>
        </w:rPr>
        <w:t xml:space="preserve"> </w:t>
      </w:r>
      <w:r>
        <w:rPr>
          <w:rFonts w:ascii="Times New Roman"/>
          <w:sz w:val="14"/>
          <w:szCs w:val="14"/>
        </w:rPr>
        <w:t>La Grèce distribue d’autres articles (couches et lingettes pour bébés) comptabilisés dans l’indicateur 16f1 et des vêtements pour enfants comptabilisés dans l’indicateur 16f4.</w:t>
      </w:r>
    </w:p>
  </w:footnote>
  <w:footnote w:id="10">
    <w:p>
      <w:pPr>
        <w:pStyle w:val="FootnoteText"/>
        <w:rPr>
          <w:rFonts w:ascii="Times New Roman"/>
          <w:sz w:val="16"/>
          <w:szCs w:val="16"/>
          <w:highlight w:val="yellow"/>
        </w:rPr>
      </w:pPr>
      <w:r>
        <w:rPr>
          <w:rStyle w:val="FootnoteReference"/>
          <w:rFonts w:ascii="Times New Roman"/>
        </w:rPr>
        <w:footnoteRef/>
      </w:r>
      <w:r>
        <w:rPr>
          <w:rFonts w:ascii="Times New Roman"/>
        </w:rPr>
        <w:t xml:space="preserve"> </w:t>
      </w:r>
      <w:r>
        <w:rPr>
          <w:rFonts w:ascii="Times New Roman"/>
          <w:sz w:val="14"/>
          <w:szCs w:val="14"/>
        </w:rPr>
        <w:t>En Hongrie sont distribués des «outils de développement, des désinfectants et des détergents non inclus dans la catégorie 16c» qui sont comptabilisés dans les indicateurs 16f16 et 16f17.</w:t>
      </w:r>
    </w:p>
  </w:footnote>
  <w:footnote w:id="11">
    <w:p>
      <w:pPr>
        <w:pStyle w:val="FootnoteText"/>
        <w:rPr>
          <w:rFonts w:ascii="Times New Roman"/>
          <w:sz w:val="14"/>
          <w:highlight w:val="yellow"/>
        </w:rPr>
      </w:pPr>
      <w:r>
        <w:rPr>
          <w:rStyle w:val="FootnoteReference"/>
          <w:rFonts w:ascii="Times New Roman"/>
        </w:rPr>
        <w:footnoteRef/>
      </w:r>
      <w:r>
        <w:rPr>
          <w:rFonts w:ascii="Times New Roman"/>
        </w:rPr>
        <w:t xml:space="preserve"> </w:t>
      </w:r>
      <w:r>
        <w:rPr>
          <w:rFonts w:ascii="Times New Roman"/>
          <w:sz w:val="14"/>
          <w:szCs w:val="14"/>
        </w:rPr>
        <w:t>En Lettonie sont distribués «des détergents textiles, de la lessive en poudre (pour le linge de couleur), des détergents pour vaisselle, des couches, de la crème pour bébés et enfants jusqu’à 24 mois, des lingettes humides pour bébés et enfants en bas âge, des couches (gaze) et des savons pour bébés et enfants en bas âge» qui sont comptabilisés dans les indicateurs 16f0 et 16f16-16f26.</w:t>
      </w:r>
    </w:p>
  </w:footnote>
  <w:footnote w:id="12">
    <w:p>
      <w:pPr>
        <w:pStyle w:val="FootnoteText"/>
        <w:rPr>
          <w:rFonts w:ascii="Times New Roman"/>
          <w:sz w:val="14"/>
          <w:highlight w:val="yellow"/>
        </w:rPr>
      </w:pPr>
      <w:r>
        <w:rPr>
          <w:rStyle w:val="FootnoteReference"/>
          <w:rFonts w:ascii="Times New Roman"/>
        </w:rPr>
        <w:footnoteRef/>
      </w:r>
      <w:r>
        <w:rPr>
          <w:rFonts w:ascii="Times New Roman"/>
        </w:rPr>
        <w:t xml:space="preserve"> </w:t>
      </w:r>
      <w:r>
        <w:rPr>
          <w:rFonts w:ascii="Times New Roman"/>
          <w:sz w:val="14"/>
          <w:szCs w:val="14"/>
        </w:rPr>
        <w:t xml:space="preserve"> En Slovaquie sont distribués des «produits d’hygiène (brosse à dents, dentifrice, savon, shampoing)» comptabilisés dans l’indicateur 16f0.</w:t>
      </w:r>
    </w:p>
  </w:footnote>
  <w:footnote w:id="13">
    <w:p>
      <w:pPr>
        <w:pStyle w:val="FootnoteText"/>
        <w:tabs>
          <w:tab w:val="left" w:pos="6023"/>
        </w:tabs>
        <w:rPr>
          <w:rFonts w:ascii="Times New Roman"/>
          <w:sz w:val="14"/>
          <w:highlight w:val="yellow"/>
        </w:rPr>
      </w:pPr>
      <w:r>
        <w:rPr>
          <w:rStyle w:val="FootnoteReference"/>
          <w:rFonts w:ascii="Times New Roman"/>
        </w:rPr>
        <w:footnoteRef/>
      </w:r>
      <w:r>
        <w:rPr>
          <w:rFonts w:ascii="Times New Roman"/>
        </w:rPr>
        <w:t xml:space="preserve"> </w:t>
      </w:r>
      <w:r>
        <w:rPr>
          <w:rFonts w:ascii="Times New Roman"/>
          <w:sz w:val="14"/>
          <w:szCs w:val="14"/>
        </w:rPr>
        <w:t>Figurent dans cette liste toutes les catégories pertinentes, représentant au moins 75 % des biens distribués.</w:t>
      </w:r>
    </w:p>
  </w:footnote>
  <w:footnote w:id="14">
    <w:p>
      <w:pPr>
        <w:pStyle w:val="FootnoteText"/>
        <w:rPr>
          <w:rFonts w:ascii="Times New Roman"/>
          <w:sz w:val="14"/>
          <w:highlight w:val="yellow"/>
        </w:rPr>
      </w:pPr>
      <w:r>
        <w:rPr>
          <w:rStyle w:val="FootnoteReference"/>
          <w:rFonts w:ascii="Times New Roman"/>
        </w:rPr>
        <w:footnoteRef/>
      </w:r>
      <w:r>
        <w:rPr>
          <w:rFonts w:ascii="Times New Roman"/>
        </w:rPr>
        <w:t xml:space="preserve"> </w:t>
      </w:r>
      <w:r>
        <w:rPr>
          <w:rFonts w:ascii="Times New Roman"/>
          <w:sz w:val="14"/>
          <w:szCs w:val="14"/>
        </w:rPr>
        <w:t>En Grèce sont distribués d’«autres articles (sac de transport)» comptabilisés dans l’indicateur 17f1.</w:t>
      </w:r>
    </w:p>
  </w:footnote>
  <w:footnote w:id="15">
    <w:p>
      <w:pPr>
        <w:pStyle w:val="FootnoteText"/>
        <w:rPr>
          <w:rFonts w:ascii="Times New Roman"/>
          <w:sz w:val="14"/>
        </w:rPr>
      </w:pPr>
      <w:r>
        <w:rPr>
          <w:rStyle w:val="FootnoteReference"/>
          <w:rFonts w:ascii="Times New Roman"/>
        </w:rPr>
        <w:footnoteRef/>
      </w:r>
      <w:r>
        <w:rPr>
          <w:rFonts w:ascii="Times New Roman"/>
        </w:rPr>
        <w:t xml:space="preserve"> </w:t>
      </w:r>
      <w:r>
        <w:rPr>
          <w:rFonts w:ascii="Times New Roman"/>
          <w:sz w:val="14"/>
          <w:szCs w:val="14"/>
        </w:rPr>
        <w:t>Figurent dans cette liste toutes les catégories pertinentes, représentant au moins 75 % des biens distribués.</w:t>
      </w:r>
    </w:p>
  </w:footnote>
  <w:footnote w:id="16">
    <w:p>
      <w:pPr>
        <w:pStyle w:val="FootnoteText"/>
        <w:rPr>
          <w:rFonts w:ascii="Times New Roman"/>
          <w:sz w:val="14"/>
          <w:highlight w:val="yellow"/>
        </w:rPr>
      </w:pPr>
      <w:r>
        <w:rPr>
          <w:rStyle w:val="FootnoteReference"/>
          <w:rFonts w:ascii="Times New Roman"/>
        </w:rPr>
        <w:footnoteRef/>
      </w:r>
      <w:r>
        <w:rPr>
          <w:rFonts w:ascii="Times New Roman"/>
        </w:rPr>
        <w:t xml:space="preserve"> </w:t>
      </w:r>
      <w:r>
        <w:rPr>
          <w:rFonts w:ascii="Times New Roman"/>
          <w:sz w:val="14"/>
          <w:szCs w:val="14"/>
        </w:rPr>
        <w:t>En Grèce sont distribués «du dentifrice, une brosse à dents, du savon, du shampoing, de la lessive en poudre, du détergent universel, du produit lave-vaisselle, des couches pour personnes âgées et autres articles» qui sont comptabilisés dans les indicateurs 18f1 à 18f9.</w:t>
      </w:r>
    </w:p>
  </w:footnote>
  <w:footnote w:id="17">
    <w:p>
      <w:pPr>
        <w:pStyle w:val="FootnoteText"/>
        <w:rPr>
          <w:rFonts w:ascii="Times New Roman"/>
          <w:sz w:val="14"/>
        </w:rPr>
      </w:pPr>
      <w:r>
        <w:rPr>
          <w:rStyle w:val="FootnoteReference"/>
          <w:rFonts w:ascii="Times New Roman"/>
        </w:rPr>
        <w:footnoteRef/>
      </w:r>
      <w:r>
        <w:rPr>
          <w:rFonts w:ascii="Times New Roman"/>
        </w:rPr>
        <w:t xml:space="preserve"> </w:t>
      </w:r>
      <w:r>
        <w:rPr>
          <w:rFonts w:ascii="Times New Roman"/>
          <w:sz w:val="14"/>
          <w:szCs w:val="14"/>
        </w:rPr>
        <w:t>En Irlande sont distribués des articles d’hygiène (trousses de premiers secours, savons, brosses à dents, rasoirs jetables, etc.).</w:t>
      </w:r>
    </w:p>
  </w:footnote>
  <w:footnote w:id="18">
    <w:p>
      <w:pPr>
        <w:pStyle w:val="FootnoteText"/>
        <w:rPr>
          <w:rFonts w:ascii="Times New Roman"/>
          <w:sz w:val="14"/>
        </w:rPr>
      </w:pPr>
      <w:r>
        <w:rPr>
          <w:rStyle w:val="FootnoteReference"/>
          <w:rFonts w:ascii="Times New Roman"/>
        </w:rPr>
        <w:footnoteRef/>
      </w:r>
      <w:r>
        <w:rPr>
          <w:rFonts w:ascii="Times New Roman"/>
        </w:rPr>
        <w:t xml:space="preserve"> </w:t>
      </w:r>
      <w:r>
        <w:rPr>
          <w:rFonts w:ascii="Times New Roman"/>
          <w:sz w:val="14"/>
          <w:szCs w:val="14"/>
        </w:rPr>
        <w:t>Au Luxembourg sont distribués des produits de première nécessité – catégories de biens distribués à d’autres groupes cibles (ID 18a-1).</w:t>
      </w:r>
    </w:p>
  </w:footnote>
  <w:footnote w:id="19">
    <w:p>
      <w:pPr>
        <w:pStyle w:val="FootnoteText"/>
        <w:rPr>
          <w:sz w:val="14"/>
        </w:rPr>
      </w:pPr>
      <w:r>
        <w:rPr>
          <w:rStyle w:val="FootnoteReference"/>
          <w:rFonts w:ascii="Times New Roman"/>
        </w:rPr>
        <w:footnoteRef/>
      </w:r>
      <w:r>
        <w:rPr>
          <w:rFonts w:ascii="Times New Roman"/>
        </w:rPr>
        <w:t xml:space="preserve"> </w:t>
      </w:r>
      <w:r>
        <w:rPr>
          <w:rFonts w:ascii="Times New Roman"/>
          <w:sz w:val="14"/>
          <w:szCs w:val="14"/>
        </w:rPr>
        <w:t xml:space="preserve"> En Slovaquie sont distribués des «produits d’hygiène (brosse à dents, dentifrice, savon, shampoing)» comptabilisés dans l’indicateur 18f0.</w:t>
      </w:r>
    </w:p>
  </w:footnote>
  <w:footnote w:id="20">
    <w:p>
      <w:pPr>
        <w:pStyle w:val="FootnoteText"/>
        <w:rPr>
          <w:rFonts w:ascii="Times New Roman"/>
          <w:sz w:val="18"/>
        </w:rPr>
      </w:pPr>
      <w:r>
        <w:rPr>
          <w:rStyle w:val="FootnoteReference"/>
          <w:rFonts w:ascii="Times New Roman"/>
          <w:sz w:val="18"/>
        </w:rPr>
        <w:footnoteRef/>
      </w:r>
      <w:r>
        <w:rPr>
          <w:rFonts w:ascii="Times New Roman"/>
          <w:sz w:val="18"/>
        </w:rPr>
        <w:t xml:space="preserve"> </w:t>
      </w:r>
      <w:r>
        <w:rPr>
          <w:rFonts w:ascii="Times New Roman"/>
          <w:sz w:val="16"/>
          <w:szCs w:val="16"/>
        </w:rPr>
        <w:t>Les valeurs de ces indicateurs sont établies sur la base d’une estimation solidement étayée produite par les organisations partenaires. Il n’est ni prévu ni requis que ces valeurs soient produites à partir d’informations fournies par les destinataires finaux. L’indicateur 19 (y compris les indicateurs 19a à 19f) fournit une estimation du nombre de personnes aidées par exercice, de sorte que les valeurs agrégées pour le nombre total de personnes doivent être lues avec prudence, étant donné que les mêmes personnes peuvent avoir bénéficié de l’aide plus d’une fois. En outre, les indicateurs 14 et 19 (y compris les indicateurs 19a à 19f) doivent être considérés ensemble, car dans certains pays, les mêmes personnes reçoivent à la fois une aide alimentaire et une assistance matérielle de base et sont donc comptabilisées deux fois.</w:t>
      </w:r>
    </w:p>
  </w:footnote>
  <w:footnote w:id="21">
    <w:p>
      <w:pPr>
        <w:pStyle w:val="FootnoteText"/>
        <w:rPr>
          <w:rFonts w:ascii="Times New Roman"/>
        </w:rPr>
      </w:pPr>
      <w:r>
        <w:rPr>
          <w:rStyle w:val="FootnoteReference"/>
          <w:rFonts w:ascii="Times New Roman"/>
          <w:sz w:val="18"/>
        </w:rPr>
        <w:footnoteRef/>
      </w:r>
      <w:r>
        <w:rPr>
          <w:rFonts w:ascii="Times New Roman"/>
          <w:sz w:val="18"/>
        </w:rPr>
        <w:t xml:space="preserve"> </w:t>
      </w:r>
      <w:r>
        <w:rPr>
          <w:rFonts w:ascii="Times New Roman"/>
          <w:sz w:val="16"/>
          <w:szCs w:val="16"/>
        </w:rPr>
        <w:t>L’indicateur 20 (y compris les indicateurs 20a à 20f) fournit une estimation du nombre de personnes aidées par exercice, de sorte que les valeurs cumulées pour le nombre total de personnes doivent être lues avec prudence, étant donné que les mêmes personnes peuvent avoir bénéficié de l’aide plus d’une fois.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D1541"/>
    <w:multiLevelType w:val="multilevel"/>
    <w:tmpl w:val="09F0B554"/>
    <w:lvl w:ilvl="0">
      <w:start w:val="1"/>
      <w:numFmt w:val="upperRoman"/>
      <w:pStyle w:val="Heading1"/>
      <w:lvlText w:val="%1."/>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1"/>
    <w:docVar w:name="LW_ANNEX_NBR_LAST" w:val="1"/>
    <w:docVar w:name="LW_ANNEX_UNIQUE" w:val="1"/>
    <w:docVar w:name="LW_CORRIGENDUM" w:val="&lt;UNUSED&gt;"/>
    <w:docVar w:name="LW_COVERPAGE_EXISTS" w:val="True"/>
    <w:docVar w:name="LW_COVERPAGE_GUID" w:val="361B7144-6525-4063-8236-1A488C1667D3"/>
    <w:docVar w:name="LW_COVERPAGE_TYPE" w:val="1"/>
    <w:docVar w:name="LW_CROSSREFERENCE" w:val="&lt;UNUSED&gt;"/>
    <w:docVar w:name="LW_DocType" w:val="NORMAL"/>
    <w:docVar w:name="LW_EMISSION" w:val="8.6.2020"/>
    <w:docVar w:name="LW_EMISSION_ISODATE" w:val="2020-06-08"/>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lt;FMT:Font=Cambria,Bold&gt;Synthèse des rapports annuels d\u8217?exécution des programmes opérationnels cofinancés par le Fonds européen d\u8217?aide aux plus démunis en 2018&lt;/FMT&gt;"/>
    <w:docVar w:name="LW_PART_NBR" w:val="1"/>
    <w:docVar w:name="LW_PART_NBR_TOTAL" w:val="1"/>
    <w:docVar w:name="LW_REF.INST.NEW" w:val="COM"/>
    <w:docVar w:name="LW_REF.INST.NEW_ADOPTED" w:val="final"/>
    <w:docVar w:name="LW_REF.INST.NEW_TEXT" w:val="(2020)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de-DE" w:eastAsia="de-A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fr-FR"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Verdana" w:eastAsiaTheme="majorEastAsia" w:hAnsi="Verdana" w:cstheme="majorBidi"/>
      <w:b/>
      <w:sz w:val="23"/>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71BEC4"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3C8B91"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71BEC4"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71BEC4"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3C8B91"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3C8B91"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F00000"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F00000"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noProof/>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noProof/>
      <w:lang w:val="fr-FR"/>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Pr>
      <w:rFonts w:ascii="Verdana" w:eastAsiaTheme="majorEastAsia" w:hAnsi="Verdana" w:cstheme="majorBidi"/>
      <w:b/>
      <w:noProof/>
      <w:sz w:val="23"/>
      <w:szCs w:val="32"/>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71BEC4" w:themeColor="accent1" w:themeShade="BF"/>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3C8B91" w:themeColor="accent1" w:themeShade="7F"/>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71BEC4" w:themeColor="accent1" w:themeShade="BF"/>
      <w:lang w:val="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71BEC4" w:themeColor="accent1" w:themeShade="BF"/>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3C8B91"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3C8B91"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F00000"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F00000" w:themeColor="text1" w:themeTint="D8"/>
      <w:sz w:val="21"/>
      <w:szCs w:val="21"/>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fr-FR"/>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noProof w:val="0"/>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sz w:val="24"/>
    </w:rPr>
  </w:style>
  <w:style w:type="character" w:customStyle="1" w:styleId="FooterCoverPageChar">
    <w:name w:val="Footer Cover Page Char"/>
    <w:basedOn w:val="DefaultParagraphFont"/>
    <w:link w:val="FooterCoverPage"/>
    <w:rPr>
      <w:rFonts w:ascii="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b/>
      <w:sz w:val="32"/>
    </w:rPr>
  </w:style>
  <w:style w:type="character" w:customStyle="1" w:styleId="FooterSensitivityChar">
    <w:name w:val="Footer Sensitivity Char"/>
    <w:basedOn w:val="DefaultParagraphFont"/>
    <w:link w:val="FooterSensitivity"/>
    <w:rPr>
      <w:rFonts w:ascii="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sz w:val="24"/>
    </w:rPr>
  </w:style>
  <w:style w:type="character" w:customStyle="1" w:styleId="HeaderCoverPageChar">
    <w:name w:val="Header Cover Page Char"/>
    <w:basedOn w:val="DefaultParagraphFont"/>
    <w:link w:val="HeaderCoverPage"/>
    <w:rPr>
      <w:rFonts w:ascii="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b/>
      <w:sz w:val="32"/>
    </w:rPr>
  </w:style>
  <w:style w:type="character" w:customStyle="1" w:styleId="HeaderSensitivityChar">
    <w:name w:val="Header Sensitivity Char"/>
    <w:basedOn w:val="DefaultParagraphFont"/>
    <w:link w:val="HeaderSensitivity"/>
    <w:rPr>
      <w:rFonts w:ascii="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sz w:val="28"/>
    </w:rPr>
  </w:style>
  <w:style w:type="character" w:customStyle="1" w:styleId="HeaderSensitivityRightChar">
    <w:name w:val="Header Sensitivity Right Char"/>
    <w:basedOn w:val="DefaultParagraphFont"/>
    <w:link w:val="HeaderSensitivityRight"/>
    <w:rPr>
      <w:rFonts w:ascii="Times New Roman"/>
      <w:noProo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fr-FR"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Verdana" w:eastAsiaTheme="majorEastAsia" w:hAnsi="Verdana" w:cstheme="majorBidi"/>
      <w:b/>
      <w:sz w:val="23"/>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71BEC4"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3C8B91"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71BEC4"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71BEC4"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3C8B91"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3C8B91"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F00000"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F00000"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noProof/>
      <w:lang w:val="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noProof/>
      <w:lang w:val="fr-FR"/>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Pr>
      <w:rFonts w:ascii="Verdana" w:eastAsiaTheme="majorEastAsia" w:hAnsi="Verdana" w:cstheme="majorBidi"/>
      <w:b/>
      <w:noProof/>
      <w:sz w:val="23"/>
      <w:szCs w:val="32"/>
      <w:lang w:val="fr-FR"/>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71BEC4" w:themeColor="accent1" w:themeShade="BF"/>
      <w:sz w:val="26"/>
      <w:szCs w:val="26"/>
      <w:lang w:val="fr-FR"/>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3C8B91" w:themeColor="accent1" w:themeShade="7F"/>
      <w:sz w:val="24"/>
      <w:szCs w:val="24"/>
      <w:lang w:val="fr-FR"/>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71BEC4" w:themeColor="accent1" w:themeShade="BF"/>
      <w:lang w:val="fr-FR"/>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71BEC4" w:themeColor="accent1" w:themeShade="BF"/>
      <w:lang w:val="fr-FR"/>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3C8B91" w:themeColor="accent1" w:themeShade="7F"/>
      <w:lang w:val="fr-FR"/>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3C8B91" w:themeColor="accent1" w:themeShade="7F"/>
      <w:lang w:val="fr-FR"/>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F00000" w:themeColor="text1" w:themeTint="D8"/>
      <w:sz w:val="21"/>
      <w:szCs w:val="21"/>
      <w:lang w:val="fr-FR"/>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F00000" w:themeColor="text1" w:themeTint="D8"/>
      <w:sz w:val="21"/>
      <w:szCs w:val="21"/>
      <w:lang w:val="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fr-FR"/>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noProof w:val="0"/>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sz w:val="24"/>
    </w:rPr>
  </w:style>
  <w:style w:type="character" w:customStyle="1" w:styleId="FooterCoverPageChar">
    <w:name w:val="Footer Cover Page Char"/>
    <w:basedOn w:val="DefaultParagraphFont"/>
    <w:link w:val="FooterCoverPage"/>
    <w:rPr>
      <w:rFonts w:ascii="Times New Roman"/>
      <w:noProof/>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b/>
      <w:sz w:val="32"/>
    </w:rPr>
  </w:style>
  <w:style w:type="character" w:customStyle="1" w:styleId="FooterSensitivityChar">
    <w:name w:val="Footer Sensitivity Char"/>
    <w:basedOn w:val="DefaultParagraphFont"/>
    <w:link w:val="FooterSensitivity"/>
    <w:rPr>
      <w:rFonts w:ascii="Times New Roman"/>
      <w:b/>
      <w:noProof/>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sz w:val="24"/>
    </w:rPr>
  </w:style>
  <w:style w:type="character" w:customStyle="1" w:styleId="HeaderCoverPageChar">
    <w:name w:val="Header Cover Page Char"/>
    <w:basedOn w:val="DefaultParagraphFont"/>
    <w:link w:val="HeaderCoverPage"/>
    <w:rPr>
      <w:rFonts w:ascii="Times New Roman"/>
      <w:noProof/>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b/>
      <w:sz w:val="32"/>
    </w:rPr>
  </w:style>
  <w:style w:type="character" w:customStyle="1" w:styleId="HeaderSensitivityChar">
    <w:name w:val="Header Sensitivity Char"/>
    <w:basedOn w:val="DefaultParagraphFont"/>
    <w:link w:val="HeaderSensitivity"/>
    <w:rPr>
      <w:rFonts w:ascii="Times New Roman"/>
      <w:b/>
      <w:noProof/>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sz w:val="28"/>
    </w:rPr>
  </w:style>
  <w:style w:type="character" w:customStyle="1" w:styleId="HeaderSensitivityRightChar">
    <w:name w:val="Header Sensitivity Right Char"/>
    <w:basedOn w:val="DefaultParagraphFont"/>
    <w:link w:val="HeaderSensitivityRight"/>
    <w:rPr>
      <w:rFonts w:ascii="Times New Roman"/>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183255022">
      <w:bodyDiv w:val="1"/>
      <w:marLeft w:val="0"/>
      <w:marRight w:val="0"/>
      <w:marTop w:val="0"/>
      <w:marBottom w:val="0"/>
      <w:divBdr>
        <w:top w:val="none" w:sz="0" w:space="0" w:color="auto"/>
        <w:left w:val="none" w:sz="0" w:space="0" w:color="auto"/>
        <w:bottom w:val="none" w:sz="0" w:space="0" w:color="auto"/>
        <w:right w:val="none" w:sz="0" w:space="0" w:color="auto"/>
      </w:divBdr>
    </w:div>
    <w:div w:id="271981081">
      <w:bodyDiv w:val="1"/>
      <w:marLeft w:val="0"/>
      <w:marRight w:val="0"/>
      <w:marTop w:val="0"/>
      <w:marBottom w:val="0"/>
      <w:divBdr>
        <w:top w:val="none" w:sz="0" w:space="0" w:color="auto"/>
        <w:left w:val="none" w:sz="0" w:space="0" w:color="auto"/>
        <w:bottom w:val="none" w:sz="0" w:space="0" w:color="auto"/>
        <w:right w:val="none" w:sz="0" w:space="0" w:color="auto"/>
      </w:divBdr>
    </w:div>
    <w:div w:id="388919866">
      <w:bodyDiv w:val="1"/>
      <w:marLeft w:val="0"/>
      <w:marRight w:val="0"/>
      <w:marTop w:val="0"/>
      <w:marBottom w:val="0"/>
      <w:divBdr>
        <w:top w:val="none" w:sz="0" w:space="0" w:color="auto"/>
        <w:left w:val="none" w:sz="0" w:space="0" w:color="auto"/>
        <w:bottom w:val="none" w:sz="0" w:space="0" w:color="auto"/>
        <w:right w:val="none" w:sz="0" w:space="0" w:color="auto"/>
      </w:divBdr>
    </w:div>
    <w:div w:id="447815220">
      <w:bodyDiv w:val="1"/>
      <w:marLeft w:val="0"/>
      <w:marRight w:val="0"/>
      <w:marTop w:val="0"/>
      <w:marBottom w:val="0"/>
      <w:divBdr>
        <w:top w:val="none" w:sz="0" w:space="0" w:color="auto"/>
        <w:left w:val="none" w:sz="0" w:space="0" w:color="auto"/>
        <w:bottom w:val="none" w:sz="0" w:space="0" w:color="auto"/>
        <w:right w:val="none" w:sz="0" w:space="0" w:color="auto"/>
      </w:divBdr>
    </w:div>
    <w:div w:id="486357591">
      <w:bodyDiv w:val="1"/>
      <w:marLeft w:val="0"/>
      <w:marRight w:val="0"/>
      <w:marTop w:val="0"/>
      <w:marBottom w:val="0"/>
      <w:divBdr>
        <w:top w:val="none" w:sz="0" w:space="0" w:color="auto"/>
        <w:left w:val="none" w:sz="0" w:space="0" w:color="auto"/>
        <w:bottom w:val="none" w:sz="0" w:space="0" w:color="auto"/>
        <w:right w:val="none" w:sz="0" w:space="0" w:color="auto"/>
      </w:divBdr>
    </w:div>
    <w:div w:id="530918087">
      <w:bodyDiv w:val="1"/>
      <w:marLeft w:val="0"/>
      <w:marRight w:val="0"/>
      <w:marTop w:val="0"/>
      <w:marBottom w:val="0"/>
      <w:divBdr>
        <w:top w:val="none" w:sz="0" w:space="0" w:color="auto"/>
        <w:left w:val="none" w:sz="0" w:space="0" w:color="auto"/>
        <w:bottom w:val="none" w:sz="0" w:space="0" w:color="auto"/>
        <w:right w:val="none" w:sz="0" w:space="0" w:color="auto"/>
      </w:divBdr>
    </w:div>
    <w:div w:id="628047543">
      <w:bodyDiv w:val="1"/>
      <w:marLeft w:val="0"/>
      <w:marRight w:val="0"/>
      <w:marTop w:val="0"/>
      <w:marBottom w:val="0"/>
      <w:divBdr>
        <w:top w:val="none" w:sz="0" w:space="0" w:color="auto"/>
        <w:left w:val="none" w:sz="0" w:space="0" w:color="auto"/>
        <w:bottom w:val="none" w:sz="0" w:space="0" w:color="auto"/>
        <w:right w:val="none" w:sz="0" w:space="0" w:color="auto"/>
      </w:divBdr>
    </w:div>
    <w:div w:id="725373965">
      <w:bodyDiv w:val="1"/>
      <w:marLeft w:val="0"/>
      <w:marRight w:val="0"/>
      <w:marTop w:val="0"/>
      <w:marBottom w:val="0"/>
      <w:divBdr>
        <w:top w:val="none" w:sz="0" w:space="0" w:color="auto"/>
        <w:left w:val="none" w:sz="0" w:space="0" w:color="auto"/>
        <w:bottom w:val="none" w:sz="0" w:space="0" w:color="auto"/>
        <w:right w:val="none" w:sz="0" w:space="0" w:color="auto"/>
      </w:divBdr>
    </w:div>
    <w:div w:id="946813792">
      <w:bodyDiv w:val="1"/>
      <w:marLeft w:val="0"/>
      <w:marRight w:val="0"/>
      <w:marTop w:val="0"/>
      <w:marBottom w:val="0"/>
      <w:divBdr>
        <w:top w:val="none" w:sz="0" w:space="0" w:color="auto"/>
        <w:left w:val="none" w:sz="0" w:space="0" w:color="auto"/>
        <w:bottom w:val="none" w:sz="0" w:space="0" w:color="auto"/>
        <w:right w:val="none" w:sz="0" w:space="0" w:color="auto"/>
      </w:divBdr>
    </w:div>
    <w:div w:id="995768560">
      <w:bodyDiv w:val="1"/>
      <w:marLeft w:val="0"/>
      <w:marRight w:val="0"/>
      <w:marTop w:val="0"/>
      <w:marBottom w:val="0"/>
      <w:divBdr>
        <w:top w:val="none" w:sz="0" w:space="0" w:color="auto"/>
        <w:left w:val="none" w:sz="0" w:space="0" w:color="auto"/>
        <w:bottom w:val="none" w:sz="0" w:space="0" w:color="auto"/>
        <w:right w:val="none" w:sz="0" w:space="0" w:color="auto"/>
      </w:divBdr>
    </w:div>
    <w:div w:id="1022975664">
      <w:bodyDiv w:val="1"/>
      <w:marLeft w:val="0"/>
      <w:marRight w:val="0"/>
      <w:marTop w:val="0"/>
      <w:marBottom w:val="0"/>
      <w:divBdr>
        <w:top w:val="none" w:sz="0" w:space="0" w:color="auto"/>
        <w:left w:val="none" w:sz="0" w:space="0" w:color="auto"/>
        <w:bottom w:val="none" w:sz="0" w:space="0" w:color="auto"/>
        <w:right w:val="none" w:sz="0" w:space="0" w:color="auto"/>
      </w:divBdr>
    </w:div>
    <w:div w:id="1141581068">
      <w:bodyDiv w:val="1"/>
      <w:marLeft w:val="0"/>
      <w:marRight w:val="0"/>
      <w:marTop w:val="0"/>
      <w:marBottom w:val="0"/>
      <w:divBdr>
        <w:top w:val="none" w:sz="0" w:space="0" w:color="auto"/>
        <w:left w:val="none" w:sz="0" w:space="0" w:color="auto"/>
        <w:bottom w:val="none" w:sz="0" w:space="0" w:color="auto"/>
        <w:right w:val="none" w:sz="0" w:space="0" w:color="auto"/>
      </w:divBdr>
    </w:div>
    <w:div w:id="1236279607">
      <w:bodyDiv w:val="1"/>
      <w:marLeft w:val="0"/>
      <w:marRight w:val="0"/>
      <w:marTop w:val="0"/>
      <w:marBottom w:val="0"/>
      <w:divBdr>
        <w:top w:val="none" w:sz="0" w:space="0" w:color="auto"/>
        <w:left w:val="none" w:sz="0" w:space="0" w:color="auto"/>
        <w:bottom w:val="none" w:sz="0" w:space="0" w:color="auto"/>
        <w:right w:val="none" w:sz="0" w:space="0" w:color="auto"/>
      </w:divBdr>
    </w:div>
    <w:div w:id="1274901529">
      <w:bodyDiv w:val="1"/>
      <w:marLeft w:val="0"/>
      <w:marRight w:val="0"/>
      <w:marTop w:val="0"/>
      <w:marBottom w:val="0"/>
      <w:divBdr>
        <w:top w:val="none" w:sz="0" w:space="0" w:color="auto"/>
        <w:left w:val="none" w:sz="0" w:space="0" w:color="auto"/>
        <w:bottom w:val="none" w:sz="0" w:space="0" w:color="auto"/>
        <w:right w:val="none" w:sz="0" w:space="0" w:color="auto"/>
      </w:divBdr>
    </w:div>
    <w:div w:id="1308826406">
      <w:bodyDiv w:val="1"/>
      <w:marLeft w:val="0"/>
      <w:marRight w:val="0"/>
      <w:marTop w:val="0"/>
      <w:marBottom w:val="0"/>
      <w:divBdr>
        <w:top w:val="none" w:sz="0" w:space="0" w:color="auto"/>
        <w:left w:val="none" w:sz="0" w:space="0" w:color="auto"/>
        <w:bottom w:val="none" w:sz="0" w:space="0" w:color="auto"/>
        <w:right w:val="none" w:sz="0" w:space="0" w:color="auto"/>
      </w:divBdr>
    </w:div>
    <w:div w:id="1367099932">
      <w:bodyDiv w:val="1"/>
      <w:marLeft w:val="0"/>
      <w:marRight w:val="0"/>
      <w:marTop w:val="0"/>
      <w:marBottom w:val="0"/>
      <w:divBdr>
        <w:top w:val="none" w:sz="0" w:space="0" w:color="auto"/>
        <w:left w:val="none" w:sz="0" w:space="0" w:color="auto"/>
        <w:bottom w:val="none" w:sz="0" w:space="0" w:color="auto"/>
        <w:right w:val="none" w:sz="0" w:space="0" w:color="auto"/>
      </w:divBdr>
    </w:div>
    <w:div w:id="1533227918">
      <w:bodyDiv w:val="1"/>
      <w:marLeft w:val="0"/>
      <w:marRight w:val="0"/>
      <w:marTop w:val="0"/>
      <w:marBottom w:val="0"/>
      <w:divBdr>
        <w:top w:val="none" w:sz="0" w:space="0" w:color="auto"/>
        <w:left w:val="none" w:sz="0" w:space="0" w:color="auto"/>
        <w:bottom w:val="none" w:sz="0" w:space="0" w:color="auto"/>
        <w:right w:val="none" w:sz="0" w:space="0" w:color="auto"/>
      </w:divBdr>
    </w:div>
    <w:div w:id="1541549652">
      <w:bodyDiv w:val="1"/>
      <w:marLeft w:val="0"/>
      <w:marRight w:val="0"/>
      <w:marTop w:val="0"/>
      <w:marBottom w:val="0"/>
      <w:divBdr>
        <w:top w:val="none" w:sz="0" w:space="0" w:color="auto"/>
        <w:left w:val="none" w:sz="0" w:space="0" w:color="auto"/>
        <w:bottom w:val="none" w:sz="0" w:space="0" w:color="auto"/>
        <w:right w:val="none" w:sz="0" w:space="0" w:color="auto"/>
      </w:divBdr>
    </w:div>
    <w:div w:id="1635215370">
      <w:bodyDiv w:val="1"/>
      <w:marLeft w:val="0"/>
      <w:marRight w:val="0"/>
      <w:marTop w:val="0"/>
      <w:marBottom w:val="0"/>
      <w:divBdr>
        <w:top w:val="none" w:sz="0" w:space="0" w:color="auto"/>
        <w:left w:val="none" w:sz="0" w:space="0" w:color="auto"/>
        <w:bottom w:val="none" w:sz="0" w:space="0" w:color="auto"/>
        <w:right w:val="none" w:sz="0" w:space="0" w:color="auto"/>
      </w:divBdr>
    </w:div>
    <w:div w:id="1709380062">
      <w:bodyDiv w:val="1"/>
      <w:marLeft w:val="0"/>
      <w:marRight w:val="0"/>
      <w:marTop w:val="0"/>
      <w:marBottom w:val="0"/>
      <w:divBdr>
        <w:top w:val="none" w:sz="0" w:space="0" w:color="auto"/>
        <w:left w:val="none" w:sz="0" w:space="0" w:color="auto"/>
        <w:bottom w:val="none" w:sz="0" w:space="0" w:color="auto"/>
        <w:right w:val="none" w:sz="0" w:space="0" w:color="auto"/>
      </w:divBdr>
    </w:div>
    <w:div w:id="2029981790">
      <w:bodyDiv w:val="1"/>
      <w:marLeft w:val="0"/>
      <w:marRight w:val="0"/>
      <w:marTop w:val="0"/>
      <w:marBottom w:val="0"/>
      <w:divBdr>
        <w:top w:val="none" w:sz="0" w:space="0" w:color="auto"/>
        <w:left w:val="none" w:sz="0" w:space="0" w:color="auto"/>
        <w:bottom w:val="none" w:sz="0" w:space="0" w:color="auto"/>
        <w:right w:val="none" w:sz="0" w:space="0" w:color="auto"/>
      </w:divBdr>
    </w:div>
    <w:div w:id="2052072526">
      <w:bodyDiv w:val="1"/>
      <w:marLeft w:val="0"/>
      <w:marRight w:val="0"/>
      <w:marTop w:val="0"/>
      <w:marBottom w:val="0"/>
      <w:divBdr>
        <w:top w:val="none" w:sz="0" w:space="0" w:color="auto"/>
        <w:left w:val="none" w:sz="0" w:space="0" w:color="auto"/>
        <w:bottom w:val="none" w:sz="0" w:space="0" w:color="auto"/>
        <w:right w:val="none" w:sz="0" w:space="0" w:color="auto"/>
      </w:divBdr>
    </w:div>
    <w:div w:id="21473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metis">
      <a:dk1>
        <a:srgbClr val="C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meti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B8B4C-5652-4C45-A601-B51BECFF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3868</Words>
  <Characters>12958</Characters>
  <Application>Microsoft Office Word</Application>
  <DocSecurity>0</DocSecurity>
  <Lines>2591</Lines>
  <Paragraphs>2403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Weiss</dc:creator>
  <cp:keywords/>
  <dc:description/>
  <cp:lastModifiedBy>WES PDFC Administrator</cp:lastModifiedBy>
  <cp:revision>9</cp:revision>
  <cp:lastPrinted>2019-11-25T14:39:00Z</cp:lastPrinted>
  <dcterms:created xsi:type="dcterms:W3CDTF">2020-05-25T09:30:00Z</dcterms:created>
  <dcterms:modified xsi:type="dcterms:W3CDTF">2020-06-08T08:08:00Z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7.0.1, Build 20190916</vt:lpwstr>
  </property>
</Properties>
</file>