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99B0064-F849-4B73-9D56-2BA3152AC68E" style="width:450.8pt;height:365.9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за нов протокол, който отговаря на актуалните възможности и потребности на риболовния флот на държавите членки и е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Европейският съюз и правителството на островите Кук сключиха споразумение за партньорство в областта на устойчивото рибарство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>, което е в сила от 14 октомври 2016 г.</w:t>
      </w:r>
      <w:r>
        <w:rPr>
          <w:rStyle w:val="FootnoteReference"/>
          <w:rFonts w:eastAsia="Arial Unicode MS"/>
          <w:noProof/>
        </w:rPr>
        <w:footnoteReference w:id="2"/>
      </w:r>
      <w:r>
        <w:rPr>
          <w:noProof/>
        </w:rPr>
        <w:t xml:space="preserve">. Срокът на действие на протокола за прилагане на това споразумение изтича на 13 октомври 2020 г. В протокола се определят възможностите за риболов, които се предоставят на флота на Съюза, и съответното финансово участие, изплащано от Съюза и корабособствениците.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протокола се предвижда изплащането от бюджета на ЕС на финансова компенсация за достъп до риболовната зона на островите Кук в размер на 385 000 EUR за първата и втората година и 350 000 EUR за третата и четвъртата година, което съответства на референтен тонаж от 7000 тона годишно. Въз основа на цените, определени в протокола, собствениците на кораби от ЕС плащат и такси за издаване на разрешения за улов в рамките на отпуснатата квота. Наред с това от бюджета на ЕС се предоставят 350 000 EUR годишно в подкрепа на секторната политика на островите Кук в областта на рибарството за четиригодишния срок на протокола.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По силата на споразумението за партньорство в областта на устойчивото рибарство (СПОУР) с островите Кук кораби на ЕС от две държави членки — Испания и Франция, получават възможности за улов на риба тон и далекомигриращи видове. СПОУР с островите Кук е единственото действащо в момента споразумение от този вид в Тихия океан</w:t>
      </w:r>
      <w:r>
        <w:rPr>
          <w:rStyle w:val="FootnoteReference"/>
          <w:rFonts w:eastAsia="Arial Unicode MS"/>
          <w:noProof/>
        </w:rPr>
        <w:footnoteReference w:id="3"/>
      </w:r>
      <w:r>
        <w:rPr>
          <w:noProof/>
        </w:rPr>
        <w:t xml:space="preserve">.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СПОУР допринасят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Те също така подкрепят сътрудничеството в научната сфера между ЕС и неговите партньори и насърчават прозрачността и устойчивостта с оглед на по-доброто управление на рибните ресурси. СПОУР допринасят за управлението, като, от една страна, подпомагат наблюдението, контрола и надзора на дейностите, извършвани от националните и чуждестранните флотове, и предоставят финансиране за борбата с незаконния, недеклариран и нерегулиран риболов и, от друга страна, стимулират </w:t>
      </w:r>
      <w:r>
        <w:rPr>
          <w:noProof/>
        </w:rPr>
        <w:lastRenderedPageBreak/>
        <w:t>устойчивото развитие на местния рибарски сектор, включително осигуряването на достойни условия на труд при извършването на риболовни дейности. Тези споразумения укрепват позициите на Европейския съюз в международните и регионалните риболовни организации, като конкретно за островите Кук такава организация е Комисията за риболова в Западния и Централния Тихи океан (WCPFC)</w:t>
      </w:r>
      <w:r>
        <w:rPr>
          <w:rStyle w:val="FootnoteReference"/>
          <w:rFonts w:eastAsia="Arial Unicode MS"/>
          <w:noProof/>
        </w:rPr>
        <w:footnoteReference w:id="4"/>
      </w:r>
      <w:r>
        <w:rPr>
          <w:noProof/>
        </w:rPr>
        <w:t>. На последно място, в контекста на СПОУР се предоставят възможности за риболов, които се основават на най-добрите налични научни становища и помагат да се подобри изпълнението на международните мерки.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Преговорите за нов протокол с островите Кук са съгласувани с външната дейност на ЕС, насочена към държавите от Африка, Карибите и Тихоокеанския басейн, и по-конкретно с целите на Съюза по отношение на спазването на демократичните принципи и правата на човека.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218, параграфи 3 и 4 от Договора за функционирането на Европейския съюз (ДФЕС), в който се описва процедурата за водене на преговори и сключване на споразумения между ЕС и трети държави.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Решението е пропорционално на целта.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по силата на член 218, параграфи 3 и 4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През 2019—2020 г. Комисията извърши последваща оценка на действащия в момента протокол към Споразумението за партньорство в областта на устойчивото рибарство между Европейския съюз и правителството на островите Кук, както и предварителна оценка на евентуалното подновяване на този протокол. Заключенията от оценката са изложени в отделен работен документ на службите на Комисията</w:t>
      </w:r>
      <w:r>
        <w:rPr>
          <w:rStyle w:val="FootnoteReference"/>
          <w:rFonts w:eastAsia="Arial Unicode MS"/>
          <w:noProof/>
        </w:rPr>
        <w:footnoteReference w:id="5"/>
      </w:r>
      <w:r>
        <w:rPr>
          <w:noProof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 xml:space="preserve">В заключението от оценката се посочва, че риболовният сектор на ЕС (различни видове риба тон) е силно заинтересован от извършването на дейност в риболовната зона на островите Кук и че подновяването на протокола категорично е предпочитаният вариант. Неподновяването на протокола би лишило Съюза от инструмент, който е в състояние да отговори на потребностите на различните заинтересовани страни и на собствените му потребности, свързани с укрепването на глобалното управление на западните и централните части на Тихия океан чрез многостранната рамка на WCPFC. 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Що се отнася до островите Кук, намесата на ЕС предоставя добавена стойност по отношение на многогодишната сигурност на бюджетните приходи, официална платформа за секторен диалог и непосредствена комуникация с ЕС във връзка със сътрудничеството и рамка за съвместно наблюдение и контрол на дейностите на ЕС. СПОУР допринасят за насърчаването на отговорни риболовни практики и предоставят достъп до специален бюджетен ред (секторна подкрепа) за финансовото подпомагане, предназначено за прилагането на националната политика в областта на рибарството от страна на островите Кук.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 изготвянето на оценката бяха проведени консултации с държавите членки, с представители на сектора, с международни организации на гражданското общество, както и с представители на органа за управление на рибарството и с гражданското общество на островите Кук. Консултации бяха проведени и в рамките на Консултативния съвет по далечно плаване.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СПОУР следва да бъде включена клауза относно последиците от нарушенията на правата на човека и демократичните принципи.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Отражението върху бюджета, свързано с новия протокол, се изразява в плащането на островите Кук на финансово участие, което е съвместимо с текущата многогодишна финансова рамка, и по-конкретно средства по бюджетния ред</w:t>
      </w:r>
      <w:r>
        <w:rPr>
          <w:rStyle w:val="FootnoteReference"/>
          <w:rFonts w:eastAsia="Arial Unicode MS"/>
          <w:noProof/>
        </w:rPr>
        <w:footnoteReference w:id="6"/>
      </w:r>
      <w:r>
        <w:rPr>
          <w:noProof/>
        </w:rPr>
        <w:t xml:space="preserve"> за споразуменията за партньорство в областта на устойчивото рибарство. Годишните суми за поетите задължения и плащанията са установени в годишната бюджетна процедура, включително в бюджетен ред „Резерви“ по отношение на предложенията, които не са влезли в сила към началото на годината. 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Планове за изпълнение и механизъм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второто или третото тримесечие на 2020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нов протокол към Споразумението за партньорство в областта на устойчивото рибарство между Европейския съюз и правителството на островите Кук,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Комисията да бъде определена за преговарящ на ЕС по този въпрос,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— Комисията да води преговорите в консултация със специалния комитет, създаден в съответствие с ДФЕС,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одобри указанията за водене на преговори, приложени към настоящата препоръка.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разрешаване на започването на преговори за протокол към Споразумението за партньорство в областта на устойчивото рибарство между Европейския съюз и правителството на островите Кук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218, параграфи 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Следва да започнат преговори за сключване на нов протокол към Споразумението за партньорство в областта на устойчивото рибарство между Европейския съюз и правителството на островите Кук.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случай че е необходимо да се избегне продължително прекъсване на риболовните дейности, следва също така да се предостави разрешение за договаряне на ограничено удължаване на срока на действащия в момента протокол към Споразумението за партньорство в областта на устойчивото рибарство между Европейския съюз и правителството на островите Кук</w:t>
      </w:r>
      <w:r>
        <w:rPr>
          <w:rStyle w:val="FootnoteReference"/>
          <w:noProof/>
        </w:rPr>
        <w:footnoteReference w:id="7"/>
      </w:r>
      <w:r>
        <w:rPr>
          <w:noProof/>
        </w:rPr>
        <w:t>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Комисията се упълномощава да договори, от името на Съюза, нов протокол към Споразумението за партньорство в областта на устойчивото рибарство между Европейския съюз и правителството на островите Кук. </w:t>
      </w:r>
    </w:p>
    <w:p>
      <w:pPr>
        <w:rPr>
          <w:noProof/>
        </w:rPr>
      </w:pPr>
      <w:r>
        <w:rPr>
          <w:noProof/>
        </w:rPr>
        <w:t>Комисията също така се упълномощава да договори ограничено удължаване на срока на действащия в момента протокол към Споразумението за партньорство в областта на устойчивото рибарство между Европейския съюз и правителството на островите Кук.</w:t>
      </w:r>
    </w:p>
    <w:p>
      <w:pPr>
        <w:pStyle w:val="Titrearticle"/>
        <w:spacing w:before="240"/>
        <w:rPr>
          <w:noProof/>
        </w:rPr>
      </w:pPr>
      <w:r>
        <w:rPr>
          <w:noProof/>
        </w:rPr>
        <w:t>Член 2</w:t>
      </w:r>
    </w:p>
    <w:p>
      <w:pPr>
        <w:keepNext/>
        <w:spacing w:before="240"/>
        <w:jc w:val="left"/>
        <w:rPr>
          <w:noProof/>
        </w:rPr>
      </w:pPr>
      <w:r>
        <w:rPr>
          <w:noProof/>
        </w:rPr>
        <w:t>Указанията за водене на преговорите се съдържат в приложението.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Преговорите се водят в консултация с Работната група на Съвета по външна политика на рибарството.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4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bookmarkStart w:id="1" w:name="_CopyToNewDocument_"/>
      <w:bookmarkEnd w:id="1"/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notePr>
        <w:numRestart w:val="eachSect"/>
      </w:footnote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131, 20.5.2016 г., стр. 3.</w:t>
      </w:r>
      <w:r>
        <w:tab/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131, 20.5.2017 г., стр. 10.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В момента споразуменията за партньорство в областта на рибарството между ЕС и, съответно, Федеративни щати Микронезия, Соломоновите острови и Кирибати не се прилагат, тъй като протоколите към тях вече не са в сила.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Орган, създаден по силата на международното право с цел опазване и управление на далекомигриращите видове в региона — </w:t>
      </w:r>
      <w:hyperlink r:id="rId1" w:history="1">
        <w:r>
          <w:rPr>
            <w:rStyle w:val="Hyperlink"/>
          </w:rPr>
          <w:t>http://www.fao.org/fishery/rfb/WCPFC/en</w:t>
        </w:r>
      </w:hyperlink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[препратка].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Вж. глава 40 (бюджетен ред 40 02 41 — „Резерви“) в съответствие с междуинституционалното споразумение относно многогодишната финансова рамка (2013/C 373/01).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Протокол за прилагане на Споразумението за партньорство в областта на устойчивото рибарство между Европейския съюз и правителството на островите Кук (ОВ L 131, 20.5.2016 г., стр.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F7AD8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E7023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4968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F6A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E0F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0720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0A77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AEC7E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8 09:00:4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99B0064-F849-4B73-9D56-2BA3152AC68E"/>
    <w:docVar w:name="LW_COVERPAGE_TYPE" w:val="1"/>
    <w:docVar w:name="LW_CROSSREFERENCE" w:val="{SWD(2020) 102 final} - {SWD(2020) 103 final}"/>
    <w:docVar w:name="LW_DocType" w:val="COM"/>
    <w:docVar w:name="LW_EMISSION" w:val="9.6.2020"/>
    <w:docVar w:name="LW_EMISSION_ISODATE" w:val="2020-06-09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2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"/>
    <w:docVar w:name="LW_TITRE.OBJ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fishery/rfb/WCPFC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7501-1EED-4E06-B3FA-D156446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1394</Words>
  <Characters>8243</Characters>
  <Application>Microsoft Office Word</Application>
  <DocSecurity>0</DocSecurity>
  <Lines>168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2020-06-05T13:02:00Z</dcterms:created>
  <dcterms:modified xsi:type="dcterms:W3CDTF">2020-06-08T07:00:00Z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