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2F24B347-09EB-4728-A4E7-F13108C49F43" style="width:450.85pt;height:420.8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Приложение I: Преглед на действията, за които са поети задължения през 2019 г.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1"/>
        <w:gridCol w:w="4040"/>
        <w:gridCol w:w="70"/>
        <w:gridCol w:w="2268"/>
        <w:gridCol w:w="1489"/>
      </w:tblGrid>
      <w:tr>
        <w:trPr>
          <w:trHeight w:val="1701"/>
          <w:tblHeader/>
          <w:jc w:val="center"/>
        </w:trPr>
        <w:tc>
          <w:tcPr>
            <w:tcW w:w="1844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Организатор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1"/>
            </w:r>
          </w:p>
        </w:tc>
        <w:tc>
          <w:tcPr>
            <w:tcW w:w="4111" w:type="dxa"/>
            <w:gridSpan w:val="2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Дейност</w:t>
            </w:r>
          </w:p>
        </w:tc>
        <w:tc>
          <w:tcPr>
            <w:tcW w:w="2338" w:type="dxa"/>
            <w:gridSpan w:val="2"/>
            <w:shd w:val="clear" w:color="000000" w:fill="B8CCE4"/>
            <w:vAlign w:val="center"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Място и дата</w:t>
            </w:r>
          </w:p>
        </w:tc>
        <w:tc>
          <w:tcPr>
            <w:tcW w:w="1489" w:type="dxa"/>
            <w:shd w:val="clear" w:color="000000" w:fill="B8CCE4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Финансово участие на Комисията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(общ размер на отпуснатите средства в евро)</w:t>
            </w:r>
          </w:p>
        </w:tc>
      </w:tr>
      <w:tr>
        <w:trPr>
          <w:trHeight w:val="629"/>
          <w:jc w:val="center"/>
        </w:trPr>
        <w:tc>
          <w:tcPr>
            <w:tcW w:w="9782" w:type="dxa"/>
            <w:gridSpan w:val="6"/>
            <w:shd w:val="clear" w:color="auto" w:fill="D9D9D9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Семинари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България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BNB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Международна конференция на тема „Борба с фалшифицирането на еврото в Черноморския регион“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8—9 октомври 2019 г.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56 766,44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bCs/>
                <w:noProof/>
              </w:rPr>
              <w:t>:  укрепване на сътрудничеството и обмен на ноу-хау.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Франция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DCPJ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Сътрудничество между основните страни от ЕС и страните от Средиземноморието за борба с фалшифицирането на еврото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24—26 септември 2019 г. (3 дни)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Марсилия (Франция)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179 679,43</w:t>
            </w:r>
          </w:p>
        </w:tc>
      </w:tr>
      <w:tr>
        <w:trPr>
          <w:trHeight w:val="1134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bCs/>
                <w:noProof/>
              </w:rPr>
              <w:t>:  укрепване на сътрудничеството и обмен на ноу-хау.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BIBE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Обучение за експерти от Латинска Америка относно фалшифицирането на пари 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26—29 ноември 2019 г.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Сантяго, Чили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230 017,86</w:t>
            </w:r>
          </w:p>
        </w:tc>
      </w:tr>
      <w:tr>
        <w:trPr>
          <w:trHeight w:val="1077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bCs/>
                <w:noProof/>
              </w:rPr>
              <w:t>:  укрепване на сътрудничеството и обмен на ноу-хау.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България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PROB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Общ надзор на законосъобразността при прилагането на законодателството на държавата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юли 2020 г. (2 дни) — София (България)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70 090,87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bCs/>
                <w:noProof/>
              </w:rPr>
              <w:t>:  укрепване на сътрудничеството и обмен на ноу-хау.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lastRenderedPageBreak/>
              <w:t>Хърватия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CNB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Четвърта конференция на Балканската мрежа за защита на еврото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12—15 май 2020 г.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Задар (Хърватия)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83 553,24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noProof/>
              </w:rPr>
              <w:t>:  укрепване на сътрудничеството и обмен на ноу-хау.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Португалия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BDP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Познаване на еврото и борба срещу фалшифицирането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11—15 май 2020 — Лисабон (Португалия)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69 353,65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Основна цел на действието:  укрепване на сътрудничеството и обмен на ноу-хау.</w:t>
            </w:r>
          </w:p>
        </w:tc>
      </w:tr>
      <w:tr>
        <w:trPr>
          <w:trHeight w:val="1134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UCFIM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Правна и оперативна рамка за фалшифицирани парични знаци в Европа и Китай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23—25 март 2020 г.— Рим (Италия)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февруари 2020 г. — Китай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116 995,20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Основна цел на действието:  укрепване на сътрудничеството и обмен на ноу-хау.</w:t>
            </w:r>
          </w:p>
        </w:tc>
      </w:tr>
      <w:tr>
        <w:trPr>
          <w:trHeight w:val="1134"/>
          <w:jc w:val="center"/>
        </w:trPr>
        <w:tc>
          <w:tcPr>
            <w:tcW w:w="9782" w:type="dxa"/>
            <w:gridSpan w:val="6"/>
            <w:shd w:val="clear" w:color="auto" w:fill="BFBFBF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Технически обучения</w:t>
            </w:r>
          </w:p>
        </w:tc>
      </w:tr>
      <w:tr>
        <w:trPr>
          <w:trHeight w:val="510"/>
          <w:jc w:val="center"/>
        </w:trPr>
        <w:tc>
          <w:tcPr>
            <w:tcW w:w="1844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Испания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BDE</w:t>
            </w:r>
          </w:p>
        </w:tc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Дейност за обучение на технически експерти по анализ на фалшифицирани монети</w:t>
            </w:r>
          </w:p>
        </w:tc>
        <w:tc>
          <w:tcPr>
            <w:tcW w:w="2338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20—21 ноември 2019 г.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Мадрид (Испания)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37 206,19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bCs/>
                <w:noProof/>
              </w:rPr>
              <w:t>:  укрепване на сътрудничеството и обмен на ноу-хау.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ГД „Икономически и финансови въпроси“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Тестване на комплект за изпитване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10—13 септември 2019 г., Брюксел (Белгия)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63 939,37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2"/>
            </w:r>
          </w:p>
        </w:tc>
      </w:tr>
      <w:tr>
        <w:trPr>
          <w:trHeight w:val="1028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bCs/>
                <w:noProof/>
              </w:rPr>
              <w:t>:  повишаване на ефективността при установяване на истинността на евромонетите и класифициране на фалшифицирани евромонети.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ГД „Икономически и финансови въпроси“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Техническо обучение по защитата на еврото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3—5 март 2020 г., Белград (Република Сърбия)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69 302,93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  <w:footnoteReference w:id="3"/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bCs/>
                <w:noProof/>
              </w:rPr>
              <w:t xml:space="preserve">:  повишаване на ефективността при идентифициране на евромонети. 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ГД „Икономически и финансови въпроси“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Практическо обучение по класифициране на фалшифицирани евромонети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17—29 ноември 2019 г., Песак, Франция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17 724,82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</w:t>
            </w:r>
            <w:r>
              <w:rPr>
                <w:rFonts w:ascii="Times New Roman" w:hAnsi="Times New Roman"/>
                <w:bCs/>
                <w:noProof/>
              </w:rPr>
              <w:t>:  повишаване на ефективността при установяване на истинността на евромонетите и класифициране на фалшифицирани евромонети.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A6A6A6" w:themeFill="background1" w:themeFillShade="A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</w:rPr>
              <w:t>Обмен на служители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BDI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Обмен на служители във връзка с процедурите, знанията и опита с цел подобряване на работните процедури на италианския и френския национални центрове за анализ (НЦА)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Посещение на представители на италианския НЦА във френския НЦА (Париж)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8—10 октомври 2019 г.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Посещение на представители на френския НЦА в италианския НЦА (Рим)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4—6 ноември 2019 г.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18 383,30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  <w:tr>
        <w:trPr>
          <w:trHeight w:val="850"/>
          <w:jc w:val="center"/>
        </w:trPr>
        <w:tc>
          <w:tcPr>
            <w:tcW w:w="1915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GDF</w:t>
            </w:r>
          </w:p>
        </w:tc>
        <w:tc>
          <w:tcPr>
            <w:tcW w:w="4110" w:type="dxa"/>
            <w:gridSpan w:val="2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Борба с фалшифицирането на еврото чрез семинари и обмен на персонал между правоприлагащите органи и националните централни банки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Рим и Неапол (Италия)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Лисабон (Португалия)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Валета (Малта)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София (България)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Подгорица (Черна гора)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Букурещ (Румъния)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 xml:space="preserve">30 март 2020 г. — 3 април 2020 г. — 15—18октомври 2020 г.  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51 807,80</w:t>
            </w:r>
          </w:p>
        </w:tc>
      </w:tr>
      <w:tr>
        <w:trPr>
          <w:trHeight w:val="850"/>
          <w:jc w:val="center"/>
        </w:trPr>
        <w:tc>
          <w:tcPr>
            <w:tcW w:w="9782" w:type="dxa"/>
            <w:gridSpan w:val="6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Cs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ноу-хау.</w:t>
            </w:r>
          </w:p>
        </w:tc>
      </w:tr>
    </w:tbl>
    <w:p>
      <w:pPr>
        <w:rPr>
          <w:rFonts w:ascii="Times New Roman" w:hAnsi="Times New Roman" w:cs="Times New Roman"/>
          <w:b/>
          <w:noProof/>
        </w:rPr>
      </w:pPr>
    </w:p>
    <w:p>
      <w:pPr>
        <w:spacing w:before="120" w:after="120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135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95737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before="100" w:beforeAutospacing="1" w:after="100" w:afterAutospacing="1" w:line="240" w:lineRule="auto"/>
      </w:pPr>
    </w:p>
    <w:p>
      <w:pPr>
        <w:tabs>
          <w:tab w:val="left" w:pos="284"/>
        </w:tabs>
        <w:spacing w:after="0"/>
        <w:ind w:left="284" w:hanging="28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  <w:sz w:val="20"/>
          <w:szCs w:val="20"/>
        </w:rPr>
        <w:t xml:space="preserve">Несъкратените имена на организаторите могат да бъдат намерени в списъка на </w:t>
      </w:r>
      <w:r>
        <w:rPr>
          <w:rFonts w:ascii="Times New Roman" w:hAnsi="Times New Roman"/>
          <w:bCs/>
          <w:sz w:val="20"/>
          <w:szCs w:val="20"/>
        </w:rPr>
        <w:t xml:space="preserve">компетентните национални органи, посочен в член 2, буква б) от Регламент (ЕО) № 1338/2001 на Съвета </w:t>
      </w:r>
      <w:r>
        <w:rPr>
          <w:rFonts w:ascii="Times New Roman" w:hAnsi="Times New Roman"/>
          <w:iCs/>
          <w:sz w:val="20"/>
          <w:szCs w:val="20"/>
        </w:rPr>
        <w:t>(ОВ C 264, 12.8.2015 г., стр. 2—29).</w:t>
      </w:r>
      <w:r>
        <w:rPr>
          <w:rFonts w:ascii="Times New Roman" w:hAnsi="Times New Roman"/>
          <w:iCs/>
          <w:sz w:val="16"/>
          <w:szCs w:val="16"/>
        </w:rPr>
        <w:t xml:space="preserve"> 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Двама изпълнители за това действие: Destree (28 229,05 евро) и Travex (35 710,32 евро)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 xml:space="preserve"> Двама изпълнители за това действие: Destree (56 607,55 евро) и Travex (12 695,38 евро)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2F24B347-09EB-4728-A4E7-F13108C49F43"/>
    <w:docVar w:name="LW_COVERPAGE_TYPE" w:val="1"/>
    <w:docVar w:name="LW_CROSSREFERENCE" w:val="&lt;UNUSED&gt;"/>
    <w:docVar w:name="LW_DocType" w:val="NORMAL"/>
    <w:docVar w:name="LW_EMISSION" w:val="9.6.2020"/>
    <w:docVar w:name="LW_EMISSION_ISODATE" w:val="2020-06-0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\u1086?\u1090?\u1085?\u1086?\u1089?\u1085?\u1086? \u1080?\u1079?\u1087?\u1098?\u1083?\u1085?\u1077?\u1085?\u1080?\u1077?\u1090?\u1086? \u1080? \u1088?\u1077?\u1079?\u1091?\u1083?\u1090?\u1072?\u1090?\u1080?\u1090?\u1077? \u1085?\u1072? \u1087?\u1088?\u1086?\u1075?\u1088?\u1072?\u1084?\u1072?\u1090?\u1072? \u8222?\u1055?\u1077?\u1088?\u1080?\u1082?\u1098?\u1083? 2020\u8220? \u1079?\u1072? \u1079?\u1072?\u1097?\u1080?\u1090?\u1072? \u1085?\u1072? \u1077?\u1074?\u1088?\u1086?\u1090?\u1086? \u1089?\u1088?\u1077?\u1097?\u1091? \u1092?\u1072?\u1083?\u1096?\u1080?\u1092?\u1080?\u1094?\u1080?\u1088?\u1072?\u1085?\u1077? \u1087?\u1088?\u1077?\u1079? 2019 \u1075?.&lt;/FMT&gt;_x000d__x000b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23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HeaderSensitivityRight">
    <w:name w:val="Header Sensitivity Right"/>
    <w:basedOn w:val="Normal"/>
    <w:pPr>
      <w:spacing w:after="120" w:line="240" w:lineRule="auto"/>
      <w:jc w:val="right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10D0-A8CF-43CF-9EC2-55203EDB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552</Words>
  <Characters>3185</Characters>
  <Application>Microsoft Office Word</Application>
  <DocSecurity>0</DocSecurity>
  <Lines>199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WES PDFC Administrator</cp:lastModifiedBy>
  <cp:revision>14</cp:revision>
  <cp:lastPrinted>2017-03-24T12:47:00Z</cp:lastPrinted>
  <dcterms:created xsi:type="dcterms:W3CDTF">2019-04-12T09:40:00Z</dcterms:created>
  <dcterms:modified xsi:type="dcterms:W3CDTF">2020-06-05T15:12:00Z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7.0, Build 20190717</vt:lpwstr>
  </property>
  <property fmtid="{D5CDD505-2E9C-101B-9397-08002B2CF9AE}" pid="10" name="Created using">
    <vt:lpwstr>LW 6.0.1, Build 20180503</vt:lpwstr>
  </property>
  <property fmtid="{D5CDD505-2E9C-101B-9397-08002B2CF9AE}" pid="11" name="CPTemplateID">
    <vt:lpwstr>CP-039</vt:lpwstr>
  </property>
</Properties>
</file>