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1677634-A0FB-420A-896B-DFA460251714" style="width:450.7pt;height:406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 I: Aperçu des actions engagées en 2019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1"/>
        <w:gridCol w:w="4040"/>
        <w:gridCol w:w="70"/>
        <w:gridCol w:w="2268"/>
        <w:gridCol w:w="1489"/>
      </w:tblGrid>
      <w:tr>
        <w:trPr>
          <w:trHeight w:val="1701"/>
          <w:tblHeader/>
          <w:jc w:val="center"/>
        </w:trPr>
        <w:tc>
          <w:tcPr>
            <w:tcW w:w="1844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Organisateur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1"/>
            </w:r>
          </w:p>
        </w:tc>
        <w:tc>
          <w:tcPr>
            <w:tcW w:w="4111" w:type="dxa"/>
            <w:gridSpan w:val="2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Activité</w:t>
            </w:r>
          </w:p>
        </w:tc>
        <w:tc>
          <w:tcPr>
            <w:tcW w:w="2338" w:type="dxa"/>
            <w:gridSpan w:val="2"/>
            <w:shd w:val="clear" w:color="000000" w:fill="B8CCE4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Lieu et date</w:t>
            </w:r>
          </w:p>
        </w:tc>
        <w:tc>
          <w:tcPr>
            <w:tcW w:w="1489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Contribution de la 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(montant total engagé en EUR)</w:t>
            </w:r>
          </w:p>
        </w:tc>
      </w:tr>
      <w:tr>
        <w:trPr>
          <w:trHeight w:val="629"/>
          <w:jc w:val="center"/>
        </w:trPr>
        <w:tc>
          <w:tcPr>
            <w:tcW w:w="9782" w:type="dxa"/>
            <w:gridSpan w:val="6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Séminaires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Bulgarie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BNB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Conférence internationale sur la lutte contre la contrefaçon de l’euro dans la région de la mer Noire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8-9 octobre 2019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56 766,44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</w:t>
            </w:r>
            <w:r>
              <w:rPr>
                <w:rFonts w:ascii="Times New Roman" w:hAnsi="Times New Roman"/>
                <w:bCs/>
                <w:noProof/>
              </w:rPr>
              <w:t>:  renforcement de la coopération et échange de connaissances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France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DCPJ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Coopération en matière de lutte contre la contrefaçon de l’euro entre les principaux pays de l’UE et du pourtour méditerranéen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24-26 septembre 2019 (3 jours)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Marseille (FR)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179 679,43</w:t>
            </w:r>
          </w:p>
        </w:tc>
      </w:tr>
      <w:tr>
        <w:trPr>
          <w:trHeight w:val="1134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</w:t>
            </w:r>
            <w:r>
              <w:rPr>
                <w:rFonts w:ascii="Times New Roman" w:hAnsi="Times New Roman"/>
                <w:bCs/>
                <w:noProof/>
              </w:rPr>
              <w:t>:  renforcement de la coopération et échange de connaissances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Espagne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Formation sur le faux-monnayage pour experts d’Amérique latine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26-29 novembre 2019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Santiago du Chili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230 017,86</w:t>
            </w:r>
          </w:p>
        </w:tc>
      </w:tr>
      <w:tr>
        <w:trPr>
          <w:trHeight w:val="1077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</w:t>
            </w:r>
            <w:r>
              <w:rPr>
                <w:rFonts w:ascii="Times New Roman" w:hAnsi="Times New Roman"/>
                <w:bCs/>
                <w:noProof/>
              </w:rPr>
              <w:t>:  renforcement de la coopération et échange de connaissances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Bulgarie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PROB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Supervision générale de la légalité dans l’application de la législation de l’État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Juillet 2020 (2 jours) - Sofia (BG)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70 090,87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</w:t>
            </w:r>
            <w:r>
              <w:rPr>
                <w:rFonts w:ascii="Times New Roman" w:hAnsi="Times New Roman"/>
                <w:bCs/>
                <w:noProof/>
              </w:rPr>
              <w:t>:  renforcement de la coopération et échange de connaissances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lastRenderedPageBreak/>
              <w:t>Croatie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CNB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Quatrième conférence Réseau des Balkans pour la protection de l’euro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12-15 mai 2020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Zadar (HR)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83 553,24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Principal objectif de l’action</w:t>
            </w:r>
            <w:r>
              <w:rPr>
                <w:rFonts w:ascii="Times New Roman" w:hAnsi="Times New Roman"/>
                <w:noProof/>
              </w:rPr>
              <w:t>:  renforcement de la coopération et échange de connaissances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Portugal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BDP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Connaissance de l’euro et lutte contre la contrefaçon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11-15 mai 2020 - Lisbonne (Portugal)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69 353,65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Principal objectif de l’action:  renforcement de la coopération et échange de connaissances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UCFIM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Cadre juridique et opérationnel sur les monnaies contrefaites en Europe et en Chine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23-25 mars 2020 - Rome (IT)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Février 2020 - Chine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116 995,20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Principal objectif de l’action:  renforcement de la coopération et échange de connaissances</w:t>
            </w:r>
          </w:p>
        </w:tc>
      </w:tr>
      <w:tr>
        <w:trPr>
          <w:trHeight w:val="1134"/>
          <w:jc w:val="center"/>
        </w:trPr>
        <w:tc>
          <w:tcPr>
            <w:tcW w:w="9782" w:type="dxa"/>
            <w:gridSpan w:val="6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Formations techniques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Espagne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BDE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Activité de formation destinée aux experts techniques sur l’analyse des fausses pièces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20-21 novembre 2019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Madrid (ES)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37 206,19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</w:t>
            </w:r>
            <w:r>
              <w:rPr>
                <w:rFonts w:ascii="Times New Roman" w:hAnsi="Times New Roman"/>
                <w:bCs/>
                <w:noProof/>
              </w:rPr>
              <w:t>:  renforcement de la coopération et échange de connaissances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Commission européenne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ECFIN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Test d’échantillons de test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10-13 septembre 2019, Bruxelles (BE)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63 939,37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2"/>
            </w:r>
          </w:p>
        </w:tc>
      </w:tr>
      <w:tr>
        <w:trPr>
          <w:trHeight w:val="1028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</w:t>
            </w:r>
            <w:r>
              <w:rPr>
                <w:rFonts w:ascii="Times New Roman" w:hAnsi="Times New Roman"/>
                <w:bCs/>
                <w:noProof/>
              </w:rPr>
              <w:t>:  accroissement de l’efficacité de l’authentification des pièces en euros et de la classification des fausses pièces en euros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Commission européenne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ECFIN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Formation technique sur la protection de l’euro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3-5 mars 2020, Belgrade (RS)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69 302,93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3"/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</w:t>
            </w:r>
            <w:r>
              <w:rPr>
                <w:rFonts w:ascii="Times New Roman" w:hAnsi="Times New Roman"/>
                <w:bCs/>
                <w:noProof/>
              </w:rPr>
              <w:t xml:space="preserve">:  Accroissement de l’efficacité de l’authentification des pièces en euros 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Commission européenne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ECFIN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Formation pratique sur la classification des contrefaçons de pièces en euros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17-29 novembre 2019, Pessac (FR)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17 724,82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</w:t>
            </w:r>
            <w:r>
              <w:rPr>
                <w:rFonts w:ascii="Times New Roman" w:hAnsi="Times New Roman"/>
                <w:bCs/>
                <w:noProof/>
              </w:rPr>
              <w:t>:  accroissement de l’efficacité de l’authentification des pièces en euros et de la classification des fausses pièces en euros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A6A6A6" w:themeFill="background1" w:themeFillShade="A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Échanges de personnel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BDI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Échange de personnel portant sur les procédures, les connaissances et l’expérience en vue d’améliorer les procédés de travail des centres d’analyse nationaux italien et français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Visite par le centre italien du centre français (Paris):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8-10 octobre 2019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Visite par le centre français du centre italien (Rome):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4-6 novembre 2019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18 383,30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GDF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Lutte contre la contrefaçon de l’euro au moyen de séminaires et d’échanges de personnel entre les autorités répressives et les banques centrales nationales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Rome et Naples (IT)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Lisbonne (PT)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La Valette (MT)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Sofia (BG)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Podgorica (MN)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Bucarest (RO)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30 mars 2020-03 avril 2020 - 15-18 octobre 2020  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51 807,80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Principal objectif de l’action: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</w:tbl>
    <w:p>
      <w:pPr>
        <w:rPr>
          <w:rFonts w:ascii="Times New Roman" w:hAnsi="Times New Roman" w:cs="Times New Roman"/>
          <w:b/>
          <w:noProof/>
        </w:rPr>
      </w:pPr>
    </w:p>
    <w:p>
      <w:pPr>
        <w:spacing w:before="120" w:after="120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13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5737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before="100" w:beforeAutospacing="1" w:after="100" w:afterAutospacing="1" w:line="240" w:lineRule="auto"/>
      </w:pPr>
    </w:p>
    <w:p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  <w:sz w:val="20"/>
          <w:szCs w:val="20"/>
        </w:rPr>
        <w:t xml:space="preserve">Le nom complet des organisateurs figure dans la liste des </w:t>
      </w:r>
      <w:r>
        <w:rPr>
          <w:rFonts w:ascii="Times New Roman" w:hAnsi="Times New Roman"/>
          <w:bCs/>
          <w:sz w:val="20"/>
          <w:szCs w:val="20"/>
        </w:rPr>
        <w:t>autorités nationales compétentes visées à l’article 2, point b), du règlement (CE) nº 1338/2001 du Conseil,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>JO C 264 du 12.8.2015, p. 2.</w:t>
      </w:r>
      <w:r>
        <w:rPr>
          <w:rFonts w:ascii="Times New Roman" w:hAnsi="Times New Roman"/>
          <w:iCs/>
          <w:sz w:val="16"/>
          <w:szCs w:val="16"/>
        </w:rPr>
        <w:t xml:space="preserve">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Deux contractants pour cette action: Destree (28 229,05 EUR) et Travex (35 710,32 EUR)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Deux contractants pour cette action: Destree (56.607,55 EUR) et Travex (12.695,38 EUR)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61677634-A0FB-420A-896B-DFA460251714"/>
    <w:docVar w:name="LW_COVERPAGE_TYPE" w:val="1"/>
    <w:docVar w:name="LW_CROSSREFERENCE" w:val="&lt;UNUSED&gt;"/>
    <w:docVar w:name="LW_DocType" w:val="NORMAL"/>
    <w:docVar w:name="LW_EMISSION" w:val="9.6.2020"/>
    <w:docVar w:name="LW_EMISSION_ISODATE" w:val="2020-06-0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&lt;FMT:Bold&gt;concernant la mise en \u339?uvre et les résultats en 2019 du programme Pericles 2020 pour la protection de l\u8217?euro contre le faux monnayage_x000d__x000d__x000d_&lt;/FMT&gt;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C2F8-78BC-4CAB-8DCA-297665EB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550</Words>
  <Characters>3194</Characters>
  <Application>Microsoft Office Word</Application>
  <DocSecurity>0</DocSecurity>
  <Lines>159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WES PDFC Administrator</cp:lastModifiedBy>
  <cp:revision>13</cp:revision>
  <cp:lastPrinted>2017-03-24T12:47:00Z</cp:lastPrinted>
  <dcterms:created xsi:type="dcterms:W3CDTF">2019-04-12T09:40:00Z</dcterms:created>
  <dcterms:modified xsi:type="dcterms:W3CDTF">2020-06-05T15:12:00Z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