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99" w:rsidRDefault="006B19CB" w:rsidP="006B19CB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38A2E923-5D09-4668-B4FE-5AED36D77961" style="width:450.75pt;height:393pt">
            <v:imagedata r:id="rId8" o:title=""/>
          </v:shape>
        </w:pict>
      </w:r>
    </w:p>
    <w:bookmarkEnd w:id="0"/>
    <w:p w:rsidR="00316B99" w:rsidRDefault="00316B99">
      <w:pPr>
        <w:rPr>
          <w:noProof/>
        </w:rPr>
        <w:sectPr w:rsidR="00316B99" w:rsidSect="006B19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316B99" w:rsidRDefault="006B19CB">
      <w:pPr>
        <w:pStyle w:val="Annexetitre"/>
        <w:rPr>
          <w:noProof/>
        </w:rPr>
      </w:pPr>
      <w:bookmarkStart w:id="1" w:name="_GoBack"/>
      <w:bookmarkEnd w:id="1"/>
      <w:r>
        <w:rPr>
          <w:noProof/>
        </w:rPr>
        <w:lastRenderedPageBreak/>
        <w:t xml:space="preserve">ANNEX </w:t>
      </w:r>
    </w:p>
    <w:p w:rsidR="00316B99" w:rsidRDefault="00316B99">
      <w:pPr>
        <w:rPr>
          <w:noProof/>
        </w:rPr>
      </w:pPr>
    </w:p>
    <w:p w:rsidR="00316B99" w:rsidRDefault="006B19CB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Checklist to be used for the possible lifting of the temporary restriction on non-essential travel to the EU </w:t>
      </w:r>
    </w:p>
    <w:p w:rsidR="00316B99" w:rsidRDefault="006B19C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The purpose of this checklist is to find common ground between Member States, and therefore a common approach within the EU+ area, with regard to the assessment whether the situation in a third country and measures taken to limit the spread of the virus ar</w:t>
      </w:r>
      <w:r>
        <w:rPr>
          <w:rFonts w:ascii="Times New Roman" w:hAnsi="Times New Roman" w:cs="Times New Roman"/>
          <w:noProof/>
          <w:sz w:val="24"/>
          <w:szCs w:val="24"/>
        </w:rPr>
        <w:t>e sufficient yet in order to lift travel restriction on non-essential travel into the EU+ area. The checklist should form the basis to be used by the Member States for a common assessment of third countries based on the above criteria which can be used bot</w:t>
      </w:r>
      <w:r>
        <w:rPr>
          <w:rFonts w:ascii="Times New Roman" w:hAnsi="Times New Roman" w:cs="Times New Roman"/>
          <w:noProof/>
          <w:sz w:val="24"/>
          <w:szCs w:val="24"/>
        </w:rPr>
        <w:t>h for lifting but also for reintroducing travel restrictions should the level of infections change. Following a first assessment at the national level based on the available data of ECDC and WHO, the checklist in Annex and information provided by the EU De</w:t>
      </w:r>
      <w:r>
        <w:rPr>
          <w:rFonts w:ascii="Times New Roman" w:hAnsi="Times New Roman" w:cs="Times New Roman"/>
          <w:noProof/>
          <w:sz w:val="24"/>
          <w:szCs w:val="24"/>
        </w:rPr>
        <w:t>legations, a first discussion should take place in the ‘COVID-19 Information Group – Home Affairs’ in order to prepare a draft list of countries where travel restrictions could be lifted. The preparation of a concrete coordinated approach and the further u</w:t>
      </w:r>
      <w:r>
        <w:rPr>
          <w:rFonts w:ascii="Times New Roman" w:hAnsi="Times New Roman" w:cs="Times New Roman"/>
          <w:noProof/>
          <w:sz w:val="24"/>
          <w:szCs w:val="24"/>
        </w:rPr>
        <w:t>pdating of the list of countries should take place within the existing and well-functioning framework of the EU’s integrated political crisis response mechanism (IPCR). Based on the outcome of the discussions within the IPCR, the Commission invites the Cou</w:t>
      </w:r>
      <w:r>
        <w:rPr>
          <w:rFonts w:ascii="Times New Roman" w:hAnsi="Times New Roman" w:cs="Times New Roman"/>
          <w:noProof/>
          <w:sz w:val="24"/>
          <w:szCs w:val="24"/>
        </w:rPr>
        <w:t>ncil to act with a view to the adoption, by the Schengen Member States together with the Schengen Associated States, of a concrete coordinated approach on the list of countries for which travel restrictions can be lifted. This list should be updated on a 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egular basis. </w:t>
      </w:r>
    </w:p>
    <w:p w:rsidR="00316B99" w:rsidRDefault="00316B9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noProof/>
          <w:szCs w:val="24"/>
        </w:rPr>
      </w:pPr>
    </w:p>
    <w:p w:rsidR="00316B99" w:rsidRDefault="006B19C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Can the country be considered as being in a comparable or better epidemiological situation as the average in the EU+ area with regard to:</w:t>
      </w:r>
    </w:p>
    <w:p w:rsidR="00316B99" w:rsidRDefault="006B19C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Number of new infections; </w:t>
      </w:r>
    </w:p>
    <w:p w:rsidR="00316B99" w:rsidRDefault="006B19C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Trend in new infections; and </w:t>
      </w:r>
    </w:p>
    <w:p w:rsidR="00316B99" w:rsidRDefault="006B19CB">
      <w:pPr>
        <w:pStyle w:val="ListParagraph"/>
        <w:numPr>
          <w:ilvl w:val="1"/>
          <w:numId w:val="1"/>
        </w:numPr>
        <w:spacing w:line="240" w:lineRule="auto"/>
        <w:jc w:val="both"/>
        <w:rPr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Response to COVID -19 taking into account </w:t>
      </w:r>
      <w:r>
        <w:rPr>
          <w:rFonts w:ascii="Times New Roman" w:hAnsi="Times New Roman" w:cs="Times New Roman"/>
          <w:noProof/>
          <w:sz w:val="24"/>
          <w:szCs w:val="24"/>
        </w:rPr>
        <w:t>available information on aspects such as: testing, surveillance, contact tracing, containment, treatment and reporting.</w:t>
      </w:r>
    </w:p>
    <w:p w:rsidR="00316B99" w:rsidRDefault="00316B99">
      <w:pPr>
        <w:pStyle w:val="ListParagraph"/>
        <w:spacing w:line="240" w:lineRule="auto"/>
        <w:ind w:left="1080"/>
        <w:jc w:val="both"/>
        <w:rPr>
          <w:noProof/>
          <w:sz w:val="24"/>
          <w:szCs w:val="24"/>
        </w:rPr>
      </w:pPr>
    </w:p>
    <w:p w:rsidR="00316B99" w:rsidRDefault="006B19C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Does the country ensure a comparable or better level of containment measures as the EU from its transport and transport hubs operators,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including physical distancing to reduce the risk of infection associated with international travel in line with the recommendations issued for the transport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"/>
      </w:r>
      <w:r>
        <w:rPr>
          <w:rFonts w:ascii="Times New Roman" w:hAnsi="Times New Roman" w:cs="Times New Roman"/>
          <w:noProof/>
          <w:sz w:val="24"/>
          <w:szCs w:val="24"/>
        </w:rPr>
        <w:t xml:space="preserve"> by the European Commission and in particular with the COVID-19 Aviation Health Safety Protocol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2"/>
      </w:r>
      <w:r>
        <w:rPr>
          <w:rFonts w:ascii="Times New Roman" w:hAnsi="Times New Roman" w:cs="Times New Roman"/>
          <w:noProof/>
          <w:sz w:val="24"/>
          <w:szCs w:val="24"/>
        </w:rPr>
        <w:t xml:space="preserve"> 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ssued by European Union Aviation Safety Agency (EASA) and ECDC, or equivalent: </w:t>
      </w:r>
    </w:p>
    <w:p w:rsidR="00316B99" w:rsidRDefault="006B19C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During travel to points of departure;</w:t>
      </w:r>
    </w:p>
    <w:p w:rsidR="00316B99" w:rsidRDefault="006B19C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At points of departure; and </w:t>
      </w:r>
    </w:p>
    <w:p w:rsidR="00316B99" w:rsidRDefault="006B19C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During travel, from origin to destination.</w:t>
      </w:r>
    </w:p>
    <w:p w:rsidR="00316B99" w:rsidRDefault="006B19CB">
      <w:pPr>
        <w:spacing w:line="240" w:lineRule="auto"/>
        <w:ind w:left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The following elements should also be taken into consideration:</w:t>
      </w:r>
    </w:p>
    <w:p w:rsidR="00316B99" w:rsidRDefault="006B19C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airports comply with ICAO safety recommendations?</w:t>
      </w:r>
    </w:p>
    <w:p w:rsidR="00316B99" w:rsidRDefault="006B19C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Do airlines serving specific routes comply with ICAO recommendations?</w:t>
      </w:r>
    </w:p>
    <w:p w:rsidR="00316B99" w:rsidRDefault="006B19C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Are airports on the EASA list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3"/>
      </w:r>
      <w:r>
        <w:rPr>
          <w:rFonts w:ascii="Times New Roman" w:hAnsi="Times New Roman" w:cs="Times New Roman"/>
          <w:noProof/>
          <w:sz w:val="24"/>
          <w:szCs w:val="24"/>
        </w:rPr>
        <w:t xml:space="preserve">? </w:t>
      </w:r>
    </w:p>
    <w:p w:rsidR="00316B99" w:rsidRDefault="006B19C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Is there negative travel advisory for this country in most of the Member States?</w:t>
      </w:r>
    </w:p>
    <w:p w:rsidR="00316B99" w:rsidRDefault="006B19C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Do airlines check, in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relation to transit passengers, whether the country of departure is on the list of countries for which travel restrictions can be lifted?</w:t>
      </w:r>
    </w:p>
    <w:p w:rsidR="00316B99" w:rsidRDefault="00316B99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16B99" w:rsidRDefault="006B19C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Does the country agree to the same or comparable travel arrangements with the EU? Does this apply to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all </w:t>
      </w:r>
      <w:r>
        <w:rPr>
          <w:rFonts w:ascii="Times New Roman" w:hAnsi="Times New Roman" w:cs="Times New Roman"/>
          <w:noProof/>
          <w:sz w:val="24"/>
          <w:szCs w:val="24"/>
        </w:rPr>
        <w:t>EU and Sche</w:t>
      </w:r>
      <w:r>
        <w:rPr>
          <w:rFonts w:ascii="Times New Roman" w:hAnsi="Times New Roman" w:cs="Times New Roman"/>
          <w:noProof/>
          <w:sz w:val="24"/>
          <w:szCs w:val="24"/>
        </w:rPr>
        <w:t>ngen States?</w:t>
      </w:r>
    </w:p>
    <w:p w:rsidR="00316B99" w:rsidRDefault="00316B99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16B99" w:rsidRDefault="006B19C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t>Have the EU Member States and Schengen States lifted their travel warnings for the country concerned?</w:t>
      </w:r>
    </w:p>
    <w:sectPr w:rsidR="00316B9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B99" w:rsidRDefault="006B19CB">
      <w:pPr>
        <w:spacing w:after="0" w:line="240" w:lineRule="auto"/>
      </w:pPr>
      <w:r>
        <w:separator/>
      </w:r>
    </w:p>
  </w:endnote>
  <w:endnote w:type="continuationSeparator" w:id="0">
    <w:p w:rsidR="00316B99" w:rsidRDefault="006B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CB" w:rsidRPr="006B19CB" w:rsidRDefault="006B19CB" w:rsidP="006B1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CB" w:rsidRPr="006B19CB" w:rsidRDefault="006B19CB" w:rsidP="006B19CB">
    <w:pPr>
      <w:pStyle w:val="FooterCoverPage"/>
      <w:rPr>
        <w:rFonts w:ascii="Arial" w:hAnsi="Arial" w:cs="Arial"/>
        <w:b/>
        <w:sz w:val="48"/>
      </w:rPr>
    </w:pPr>
    <w:r w:rsidRPr="006B19CB">
      <w:rPr>
        <w:rFonts w:ascii="Arial" w:hAnsi="Arial" w:cs="Arial"/>
        <w:b/>
        <w:sz w:val="48"/>
      </w:rPr>
      <w:t>EN</w:t>
    </w:r>
    <w:r w:rsidRPr="006B19CB">
      <w:rPr>
        <w:rFonts w:ascii="Arial" w:hAnsi="Arial" w:cs="Arial"/>
        <w:b/>
        <w:sz w:val="48"/>
      </w:rPr>
      <w:tab/>
    </w:r>
    <w:r w:rsidRPr="006B19CB">
      <w:rPr>
        <w:rFonts w:ascii="Arial" w:hAnsi="Arial" w:cs="Arial"/>
        <w:b/>
        <w:sz w:val="48"/>
      </w:rPr>
      <w:tab/>
    </w:r>
    <w:r w:rsidRPr="006B19CB">
      <w:tab/>
    </w:r>
    <w:r w:rsidRPr="006B19CB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CB" w:rsidRPr="006B19CB" w:rsidRDefault="006B19CB" w:rsidP="006B19CB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B99" w:rsidRDefault="00316B9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B99" w:rsidRDefault="006B19CB">
    <w:pPr>
      <w:pStyle w:val="Foot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 xml:space="preserve"> PAGE  \* MERGEFORMAT </w:instrText>
    </w:r>
    <w:r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1</w:t>
    </w:r>
    <w:r>
      <w:rPr>
        <w:rFonts w:ascii="Times New Roman" w:hAnsi="Times New Roman" w:cs="Times New Roman"/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B99" w:rsidRDefault="00316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B99" w:rsidRDefault="006B19CB">
      <w:pPr>
        <w:spacing w:after="0" w:line="240" w:lineRule="auto"/>
      </w:pPr>
      <w:r>
        <w:separator/>
      </w:r>
    </w:p>
  </w:footnote>
  <w:footnote w:type="continuationSeparator" w:id="0">
    <w:p w:rsidR="00316B99" w:rsidRDefault="006B19CB">
      <w:pPr>
        <w:spacing w:after="0" w:line="240" w:lineRule="auto"/>
      </w:pPr>
      <w:r>
        <w:continuationSeparator/>
      </w:r>
    </w:p>
  </w:footnote>
  <w:footnote w:id="1">
    <w:p w:rsidR="00316B99" w:rsidRDefault="006B19CB"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C (2020) 3139.</w:t>
      </w:r>
    </w:p>
  </w:footnote>
  <w:footnote w:id="2">
    <w:p w:rsidR="00316B99" w:rsidRDefault="006B19CB">
      <w:pPr>
        <w:pStyle w:val="FootnoteText"/>
        <w:ind w:left="284" w:hanging="284"/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hyperlink r:id="rId1" w:history="1">
        <w:r>
          <w:rPr>
            <w:rStyle w:val="Hyperlink"/>
            <w:rFonts w:ascii="Times New Roman" w:hAnsi="Times New Roman" w:cs="Times New Roman"/>
          </w:rPr>
          <w:t>https://www.easa.europa.eu/document-library/general-publications/covid-19-aviation-health-safety-protocol</w:t>
        </w:r>
      </w:hyperlink>
      <w:r>
        <w:rPr>
          <w:sz w:val="15"/>
          <w:szCs w:val="15"/>
        </w:rPr>
        <w:t xml:space="preserve"> </w:t>
      </w:r>
    </w:p>
  </w:footnote>
  <w:footnote w:id="3">
    <w:p w:rsidR="00316B99" w:rsidRDefault="006B19CB">
      <w:pPr>
        <w:pStyle w:val="FootnoteText"/>
        <w:ind w:left="284" w:hanging="284"/>
        <w:rPr>
          <w:rFonts w:ascii="Times New Roman" w:hAnsi="Times New Roman" w:cs="Times New Roman"/>
          <w:lang w:val="en-US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  <w:t>Enhanced aircraft disinfect</w:t>
      </w:r>
      <w:r>
        <w:rPr>
          <w:rFonts w:ascii="Times New Roman" w:hAnsi="Times New Roman" w:cs="Times New Roman"/>
        </w:rPr>
        <w:t>ion for mitigating risks of transmission of the COVID-19 infection.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CB" w:rsidRPr="006B19CB" w:rsidRDefault="006B19CB" w:rsidP="006B1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CB" w:rsidRPr="006B19CB" w:rsidRDefault="006B19CB" w:rsidP="006B19CB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CB" w:rsidRPr="006B19CB" w:rsidRDefault="006B19CB" w:rsidP="006B19CB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B99" w:rsidRDefault="00316B9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B99" w:rsidRDefault="00316B9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B99" w:rsidRDefault="00316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405FB"/>
    <w:multiLevelType w:val="hybridMultilevel"/>
    <w:tmpl w:val="5DFE6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C78767C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8A2E923-5D09-4668-B4FE-5AED36D77961"/>
    <w:docVar w:name="LW_COVERPAGE_TYPE" w:val="1"/>
    <w:docVar w:name="LW_CROSSREFERENCE" w:val="&lt;UNUSED&gt;"/>
    <w:docVar w:name="LW_DocType" w:val="NORMAL"/>
    <w:docVar w:name="LW_EMISSION" w:val="11.6.2020"/>
    <w:docVar w:name="LW_EMISSION_ISODATE" w:val="2020-06-11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on the third assessment of the application of the temporary restriction on non-essential travel to the EU"/>
    <w:docVar w:name="LW_PART_NBR" w:val="1"/>
    <w:docVar w:name="LW_PART_NBR_TOTAL" w:val="1"/>
    <w:docVar w:name="LW_REF.INST.NEW" w:val="COM"/>
    <w:docVar w:name="LW_REF.INST.NEW_ADOPTED" w:val="final"/>
    <w:docVar w:name="LW_REF.INST.NEW_TEXT" w:val="(2020) 39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COMMUNICATION FROM THE COMMISSION TO THE EUROPEAN PARLIAMENT, THE EUROPEAN COUNCIL AND THE COUNCIL "/>
  </w:docVars>
  <w:rsids>
    <w:rsidRoot w:val="00316B99"/>
    <w:rsid w:val="00316B99"/>
    <w:rsid w:val="006B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E09BA516-9115-4C92-AFC6-1A74E7B2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0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asa.europa.eu/document-library/general-publications/covid-19-aviation-health-safety-protoc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F093CF4-3EF0-4203-8405-A8431D96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2771</Characters>
  <Application>Microsoft Office Word</Application>
  <DocSecurity>0</DocSecurity>
  <Lines>53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BARETTE Anne (HOME)</dc:creator>
  <cp:keywords/>
  <dc:description/>
  <cp:lastModifiedBy>KITRIMI Efstathia (SG)</cp:lastModifiedBy>
  <cp:revision>2</cp:revision>
  <dcterms:created xsi:type="dcterms:W3CDTF">2020-06-11T11:44:00Z</dcterms:created>
  <dcterms:modified xsi:type="dcterms:W3CDTF">2020-06-11T11:44:00Z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CP-039</vt:lpwstr>
  </property>
  <property fmtid="{D5CDD505-2E9C-101B-9397-08002B2CF9AE}" pid="7" name="Last edited using">
    <vt:lpwstr>LW 7.0.1, Build 20190916</vt:lpwstr>
  </property>
  <property fmtid="{D5CDD505-2E9C-101B-9397-08002B2CF9AE}" pid="8" name="Created using">
    <vt:lpwstr>LW 7.0.1, Build 20190916</vt:lpwstr>
  </property>
  <property fmtid="{D5CDD505-2E9C-101B-9397-08002B2CF9AE}" pid="9" name="First annex">
    <vt:lpwstr>1</vt:lpwstr>
  </property>
  <property fmtid="{D5CDD505-2E9C-101B-9397-08002B2CF9AE}" pid="10" name="Last annex">
    <vt:lpwstr>1</vt:lpwstr>
  </property>
  <property fmtid="{D5CDD505-2E9C-101B-9397-08002B2CF9AE}" pid="11" name="Unique annex">
    <vt:lpwstr>1</vt:lpwstr>
  </property>
</Properties>
</file>