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D866FE9F-F987-4D4E-90D7-B434D1978397" style="width:451.25pt;height:392.6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Annexetitre"/>
        <w:rPr>
          <w:noProof/>
        </w:rPr>
      </w:pPr>
      <w:bookmarkStart w:id="1" w:name="_GoBack"/>
      <w:bookmarkEnd w:id="1"/>
      <w:r>
        <w:rPr>
          <w:noProof/>
        </w:rPr>
        <w:lastRenderedPageBreak/>
        <w:t>ПРИЛОЖЕНИЕ</w:t>
      </w:r>
    </w:p>
    <w:p>
      <w:pPr>
        <w:rPr>
          <w:noProof/>
        </w:rPr>
      </w:pPr>
    </w:p>
    <w:p>
      <w:pPr>
        <w:jc w:val="center"/>
        <w:rPr>
          <w:rFonts w:ascii="Times New Roman" w:hAnsi="Times New Roman" w:cs="Times New Roman"/>
          <w:b/>
          <w:noProof/>
          <w:sz w:val="24"/>
          <w:szCs w:val="24"/>
        </w:rPr>
      </w:pPr>
      <w:r>
        <w:rPr>
          <w:rFonts w:ascii="Times New Roman" w:hAnsi="Times New Roman"/>
          <w:b/>
          <w:noProof/>
          <w:sz w:val="24"/>
          <w:szCs w:val="24"/>
        </w:rPr>
        <w:t>Контролен списък, който трябва да се използва за евентуалното премахване на временното ограничение на неналожителните пътувания до ЕС</w:t>
      </w:r>
    </w:p>
    <w:p>
      <w:pPr>
        <w:jc w:val="both"/>
        <w:rPr>
          <w:rFonts w:ascii="Times New Roman" w:hAnsi="Times New Roman" w:cs="Times New Roman"/>
          <w:noProof/>
          <w:sz w:val="24"/>
          <w:szCs w:val="24"/>
        </w:rPr>
      </w:pPr>
      <w:r>
        <w:rPr>
          <w:rFonts w:ascii="Times New Roman" w:hAnsi="Times New Roman"/>
          <w:noProof/>
          <w:sz w:val="24"/>
          <w:szCs w:val="24"/>
        </w:rPr>
        <w:t>Целта на настоящия контролен списък е да се намерят общи допирни точки между държавите членки и следователно общ подход за територията на ЕС+ по отношение на оценката дали ситуацията в дадена трета държава и мерките, предприети за ограничаване на разпространението на вируса, все още не са достатъчни за премахване на ограничението на неналожителните пътувания към територията на ЕС+. Контролният списък следва да служи за основа, която държавите членки да използват за обща оценка на третите държави, основаваща се на горепосочените критерии, която може да се използва както за премахване, така и за повторно въвеждане на ограниченията на пътуванията, ако нивото на заразяване се промени. След първоначална оценка на национално равнище въз основа на наличните данни на ECDC и СЗО, на контролния списък, даден в приложението, и на информацията, предоставена от делегациите на ЕС, следва да се проведе първо обсъждане в рамките на „Информационната група за COVID-19 — Вътрешни работи“, за да се изготви проект на списък на държавите, за които ограниченията за пътуване могат да бъдат премахнати. Изготвянето на конкретен координиран подход и по-нататъшното актуализиране на списъка на държавите следва да се извършва в рамките на съществуващата и добре функционираща рамка на механизма на ЕС за интегрирана реакция на политическо равнище при кризи (IPCR). Въз основа на резултатите от обсъжданията в рамките на IPCR Комисията приканва Съвета да предприеме действия с оглед на приемането от шенгенските държави членки, заедно с асоциираните към Шенген държави, на конкретен координиран подход относно списъка на държавите, за които могат да бъдат премахнати ограниченията за пътуване. Този списък следва да се актуализира редовно.</w:t>
      </w:r>
    </w:p>
    <w:p>
      <w:pPr>
        <w:pStyle w:val="ListParagraph"/>
        <w:spacing w:line="240" w:lineRule="auto"/>
        <w:ind w:left="0"/>
        <w:jc w:val="both"/>
        <w:rPr>
          <w:rFonts w:ascii="Times New Roman" w:hAnsi="Times New Roman" w:cs="Times New Roman"/>
          <w:noProof/>
          <w:szCs w:val="24"/>
        </w:rPr>
      </w:pPr>
    </w:p>
    <w:p>
      <w:pPr>
        <w:pStyle w:val="ListParagraph"/>
        <w:numPr>
          <w:ilvl w:val="0"/>
          <w:numId w:val="1"/>
        </w:numPr>
        <w:spacing w:line="240" w:lineRule="auto"/>
        <w:jc w:val="both"/>
        <w:rPr>
          <w:rFonts w:ascii="Times New Roman" w:hAnsi="Times New Roman" w:cs="Times New Roman"/>
          <w:noProof/>
          <w:sz w:val="24"/>
          <w:szCs w:val="24"/>
        </w:rPr>
      </w:pPr>
      <w:r>
        <w:rPr>
          <w:rFonts w:ascii="Times New Roman" w:hAnsi="Times New Roman"/>
          <w:noProof/>
          <w:sz w:val="24"/>
          <w:szCs w:val="24"/>
        </w:rPr>
        <w:t>Може ли да се смята, че държавата се намира в съпоставима или по-добра епидемиологична обстановка спрямо средното за територията на ЕС+ по отношение на:</w:t>
      </w:r>
    </w:p>
    <w:p>
      <w:pPr>
        <w:spacing w:line="240" w:lineRule="auto"/>
        <w:ind w:left="720"/>
        <w:jc w:val="both"/>
        <w:rPr>
          <w:rFonts w:ascii="Times New Roman" w:hAnsi="Times New Roman" w:cs="Times New Roman"/>
          <w:noProof/>
          <w:sz w:val="24"/>
          <w:szCs w:val="24"/>
        </w:rPr>
      </w:pPr>
      <w:r>
        <w:rPr>
          <w:rFonts w:ascii="Times New Roman" w:hAnsi="Times New Roman"/>
          <w:noProof/>
          <w:sz w:val="24"/>
          <w:szCs w:val="24"/>
        </w:rPr>
        <w:t>а.</w:t>
      </w:r>
      <w:r>
        <w:rPr>
          <w:rFonts w:ascii="Times New Roman" w:hAnsi="Times New Roman"/>
          <w:noProof/>
          <w:sz w:val="24"/>
          <w:szCs w:val="24"/>
        </w:rPr>
        <w:tab/>
        <w:t>броя нови заразявания;</w:t>
      </w:r>
    </w:p>
    <w:p>
      <w:pPr>
        <w:spacing w:line="240" w:lineRule="auto"/>
        <w:ind w:left="720"/>
        <w:jc w:val="both"/>
        <w:rPr>
          <w:rFonts w:ascii="Times New Roman" w:hAnsi="Times New Roman" w:cs="Times New Roman"/>
          <w:noProof/>
          <w:sz w:val="24"/>
          <w:szCs w:val="24"/>
        </w:rPr>
      </w:pPr>
      <w:r>
        <w:rPr>
          <w:rFonts w:ascii="Times New Roman" w:hAnsi="Times New Roman"/>
          <w:noProof/>
          <w:sz w:val="24"/>
          <w:szCs w:val="24"/>
        </w:rPr>
        <w:t>б.</w:t>
      </w:r>
      <w:r>
        <w:rPr>
          <w:rFonts w:ascii="Times New Roman" w:hAnsi="Times New Roman"/>
          <w:noProof/>
          <w:sz w:val="24"/>
          <w:szCs w:val="24"/>
        </w:rPr>
        <w:tab/>
        <w:t>тенденцията при новите заразявания; и</w:t>
      </w:r>
    </w:p>
    <w:p>
      <w:pPr>
        <w:spacing w:line="240" w:lineRule="auto"/>
        <w:ind w:left="1440" w:hanging="720"/>
        <w:jc w:val="both"/>
        <w:rPr>
          <w:noProof/>
          <w:sz w:val="24"/>
          <w:szCs w:val="24"/>
        </w:rPr>
      </w:pPr>
      <w:r>
        <w:rPr>
          <w:rFonts w:ascii="Times New Roman" w:hAnsi="Times New Roman"/>
          <w:noProof/>
          <w:sz w:val="24"/>
          <w:szCs w:val="24"/>
        </w:rPr>
        <w:t>в.</w:t>
      </w:r>
      <w:r>
        <w:rPr>
          <w:rFonts w:ascii="Times New Roman" w:hAnsi="Times New Roman"/>
          <w:noProof/>
          <w:sz w:val="24"/>
          <w:szCs w:val="24"/>
        </w:rPr>
        <w:tab/>
        <w:t>предприетите мерки спрямо COVID-19, като се вземе предвид наличната информация относно аспекти като: тестване, наблюдение, проследяване на контактите, противоепидемични мерки, лечение и докладване.</w:t>
      </w:r>
    </w:p>
    <w:p>
      <w:pPr>
        <w:pStyle w:val="ListParagraph"/>
        <w:spacing w:line="240" w:lineRule="auto"/>
        <w:ind w:left="1080"/>
        <w:jc w:val="both"/>
        <w:rPr>
          <w:noProof/>
          <w:sz w:val="24"/>
          <w:szCs w:val="24"/>
        </w:rPr>
      </w:pPr>
    </w:p>
    <w:p>
      <w:pPr>
        <w:pStyle w:val="ListParagraph"/>
        <w:numPr>
          <w:ilvl w:val="0"/>
          <w:numId w:val="1"/>
        </w:numPr>
        <w:spacing w:line="240" w:lineRule="auto"/>
        <w:jc w:val="both"/>
        <w:rPr>
          <w:rFonts w:ascii="Times New Roman" w:hAnsi="Times New Roman" w:cs="Times New Roman"/>
          <w:noProof/>
          <w:sz w:val="24"/>
          <w:szCs w:val="24"/>
        </w:rPr>
      </w:pPr>
      <w:r>
        <w:rPr>
          <w:rFonts w:ascii="Times New Roman" w:hAnsi="Times New Roman"/>
          <w:noProof/>
          <w:sz w:val="24"/>
          <w:szCs w:val="24"/>
        </w:rPr>
        <w:t>Държавата гарантира ли съпоставимо или по-добро равнище на противоепидемични мерки в сравнение с ЕС от страна на нейните транспортни оператори и оператори на транспортни центрове, включително физическо дистанциране, за да се намали рискът от заразяване, свързан с международни пътувания, в съответствие с препоръките, издадени за транспортния сектор</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xml:space="preserve"> от Европейската комисия, и по-специално с Протокола за здравна безопасност във въздухоплаването</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xml:space="preserve"> във връзка с </w:t>
      </w:r>
      <w:r>
        <w:rPr>
          <w:rFonts w:ascii="Times New Roman" w:hAnsi="Times New Roman"/>
          <w:noProof/>
          <w:sz w:val="24"/>
          <w:szCs w:val="24"/>
        </w:rPr>
        <w:lastRenderedPageBreak/>
        <w:t>COVID-19, издаден от Агенцията за авиационна безопасност на Европейския съюз (ЕААБ) и Европейския център за профилактика и контрол върху заболяванията (ECDC), или еквивалентен документ:</w:t>
      </w:r>
    </w:p>
    <w:p>
      <w:pPr>
        <w:spacing w:line="240" w:lineRule="auto"/>
        <w:ind w:left="720"/>
        <w:jc w:val="both"/>
        <w:rPr>
          <w:rFonts w:ascii="Times New Roman" w:hAnsi="Times New Roman" w:cs="Times New Roman"/>
          <w:noProof/>
          <w:sz w:val="24"/>
          <w:szCs w:val="24"/>
        </w:rPr>
      </w:pPr>
      <w:r>
        <w:rPr>
          <w:rFonts w:ascii="Times New Roman" w:hAnsi="Times New Roman"/>
          <w:noProof/>
          <w:sz w:val="24"/>
          <w:szCs w:val="24"/>
        </w:rPr>
        <w:t>а.</w:t>
      </w:r>
      <w:r>
        <w:rPr>
          <w:rFonts w:ascii="Times New Roman" w:hAnsi="Times New Roman"/>
          <w:noProof/>
          <w:sz w:val="24"/>
          <w:szCs w:val="24"/>
        </w:rPr>
        <w:tab/>
        <w:t>по време на пътуването до мястото на отпътуване;</w:t>
      </w:r>
    </w:p>
    <w:p>
      <w:pPr>
        <w:spacing w:line="240" w:lineRule="auto"/>
        <w:ind w:left="720"/>
        <w:jc w:val="both"/>
        <w:rPr>
          <w:rFonts w:ascii="Times New Roman" w:hAnsi="Times New Roman" w:cs="Times New Roman"/>
          <w:noProof/>
          <w:sz w:val="24"/>
          <w:szCs w:val="24"/>
        </w:rPr>
      </w:pPr>
      <w:r>
        <w:rPr>
          <w:rFonts w:ascii="Times New Roman" w:hAnsi="Times New Roman"/>
          <w:noProof/>
          <w:sz w:val="24"/>
          <w:szCs w:val="24"/>
        </w:rPr>
        <w:t>б.</w:t>
      </w:r>
      <w:r>
        <w:rPr>
          <w:rFonts w:ascii="Times New Roman" w:hAnsi="Times New Roman"/>
          <w:noProof/>
          <w:sz w:val="24"/>
          <w:szCs w:val="24"/>
        </w:rPr>
        <w:tab/>
        <w:t>в местата на отпътуване; и</w:t>
      </w:r>
    </w:p>
    <w:p>
      <w:pPr>
        <w:spacing w:line="240" w:lineRule="auto"/>
        <w:ind w:left="720"/>
        <w:jc w:val="both"/>
        <w:rPr>
          <w:rFonts w:ascii="Times New Roman" w:hAnsi="Times New Roman" w:cs="Times New Roman"/>
          <w:noProof/>
          <w:sz w:val="24"/>
          <w:szCs w:val="24"/>
        </w:rPr>
      </w:pPr>
      <w:r>
        <w:rPr>
          <w:rFonts w:ascii="Times New Roman" w:hAnsi="Times New Roman"/>
          <w:noProof/>
          <w:sz w:val="24"/>
          <w:szCs w:val="24"/>
        </w:rPr>
        <w:t>в.</w:t>
      </w:r>
      <w:r>
        <w:rPr>
          <w:rFonts w:ascii="Times New Roman" w:hAnsi="Times New Roman"/>
          <w:noProof/>
          <w:sz w:val="24"/>
          <w:szCs w:val="24"/>
        </w:rPr>
        <w:tab/>
        <w:t>по време на пътуването — от началната до крайната точка.</w:t>
      </w:r>
    </w:p>
    <w:p>
      <w:pPr>
        <w:spacing w:line="240" w:lineRule="auto"/>
        <w:ind w:left="426"/>
        <w:jc w:val="both"/>
        <w:rPr>
          <w:rFonts w:ascii="Times New Roman" w:hAnsi="Times New Roman" w:cs="Times New Roman"/>
          <w:noProof/>
          <w:sz w:val="24"/>
          <w:szCs w:val="24"/>
        </w:rPr>
      </w:pPr>
      <w:r>
        <w:rPr>
          <w:rFonts w:ascii="Times New Roman" w:hAnsi="Times New Roman"/>
          <w:noProof/>
          <w:sz w:val="24"/>
          <w:szCs w:val="24"/>
        </w:rPr>
        <w:t>Следните елементи следва също да бъдат взети под внимание:</w:t>
      </w:r>
    </w:p>
    <w:p>
      <w:pPr>
        <w:spacing w:line="240" w:lineRule="auto"/>
        <w:ind w:left="720"/>
        <w:jc w:val="both"/>
        <w:rPr>
          <w:rFonts w:ascii="Times New Roman" w:hAnsi="Times New Roman" w:cs="Times New Roman"/>
          <w:noProof/>
          <w:sz w:val="24"/>
          <w:szCs w:val="24"/>
        </w:rPr>
      </w:pPr>
      <w:r>
        <w:rPr>
          <w:rFonts w:ascii="Times New Roman" w:hAnsi="Times New Roman"/>
          <w:noProof/>
          <w:sz w:val="24"/>
          <w:szCs w:val="24"/>
        </w:rPr>
        <w:t>г.</w:t>
      </w:r>
      <w:r>
        <w:rPr>
          <w:rFonts w:ascii="Times New Roman" w:hAnsi="Times New Roman"/>
          <w:noProof/>
          <w:sz w:val="24"/>
          <w:szCs w:val="24"/>
        </w:rPr>
        <w:tab/>
        <w:t>Спазват ли летищата препоръките на ИКАО за безопасност?</w:t>
      </w:r>
    </w:p>
    <w:p>
      <w:pPr>
        <w:spacing w:line="240" w:lineRule="auto"/>
        <w:ind w:left="1440" w:hanging="720"/>
        <w:jc w:val="both"/>
        <w:rPr>
          <w:rFonts w:ascii="Times New Roman" w:hAnsi="Times New Roman" w:cs="Times New Roman"/>
          <w:noProof/>
          <w:sz w:val="24"/>
          <w:szCs w:val="24"/>
        </w:rPr>
      </w:pPr>
      <w:r>
        <w:rPr>
          <w:rFonts w:ascii="Times New Roman" w:hAnsi="Times New Roman"/>
          <w:noProof/>
          <w:sz w:val="24"/>
          <w:szCs w:val="24"/>
        </w:rPr>
        <w:t>д.</w:t>
      </w:r>
      <w:r>
        <w:rPr>
          <w:rFonts w:ascii="Times New Roman" w:hAnsi="Times New Roman"/>
          <w:noProof/>
          <w:sz w:val="24"/>
          <w:szCs w:val="24"/>
        </w:rPr>
        <w:tab/>
        <w:t>Въздушните превозвачи, обслужващи определени маршрути, спазват ли препоръките на ИКАО?</w:t>
      </w:r>
    </w:p>
    <w:p>
      <w:pPr>
        <w:spacing w:line="240" w:lineRule="auto"/>
        <w:ind w:left="720"/>
        <w:jc w:val="both"/>
        <w:rPr>
          <w:rFonts w:ascii="Times New Roman" w:hAnsi="Times New Roman" w:cs="Times New Roman"/>
          <w:noProof/>
          <w:sz w:val="24"/>
          <w:szCs w:val="24"/>
        </w:rPr>
      </w:pPr>
      <w:r>
        <w:rPr>
          <w:rFonts w:ascii="Times New Roman" w:hAnsi="Times New Roman"/>
          <w:noProof/>
          <w:sz w:val="24"/>
          <w:szCs w:val="24"/>
        </w:rPr>
        <w:t>е.</w:t>
      </w:r>
      <w:r>
        <w:rPr>
          <w:rFonts w:ascii="Times New Roman" w:hAnsi="Times New Roman"/>
          <w:noProof/>
          <w:sz w:val="24"/>
          <w:szCs w:val="24"/>
        </w:rPr>
        <w:tab/>
        <w:t>Присъстват ли летищата на държавата в списъка на ЕААБ</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w:t>
      </w:r>
    </w:p>
    <w:p>
      <w:pPr>
        <w:spacing w:line="240" w:lineRule="auto"/>
        <w:ind w:left="1440" w:hanging="720"/>
        <w:jc w:val="both"/>
        <w:rPr>
          <w:rFonts w:ascii="Times New Roman" w:hAnsi="Times New Roman" w:cs="Times New Roman"/>
          <w:noProof/>
          <w:sz w:val="24"/>
          <w:szCs w:val="24"/>
        </w:rPr>
      </w:pPr>
      <w:r>
        <w:rPr>
          <w:rFonts w:ascii="Times New Roman" w:hAnsi="Times New Roman"/>
          <w:noProof/>
          <w:sz w:val="24"/>
          <w:szCs w:val="24"/>
        </w:rPr>
        <w:t>ж.</w:t>
      </w:r>
      <w:r>
        <w:rPr>
          <w:rFonts w:ascii="Times New Roman" w:hAnsi="Times New Roman"/>
          <w:noProof/>
          <w:sz w:val="24"/>
          <w:szCs w:val="24"/>
        </w:rPr>
        <w:tab/>
        <w:t>Има ли препоръки за избягване на пътуването до тази държава в повечето държави членки?</w:t>
      </w:r>
    </w:p>
    <w:p>
      <w:pPr>
        <w:spacing w:line="240" w:lineRule="auto"/>
        <w:ind w:left="1440" w:hanging="720"/>
        <w:jc w:val="both"/>
        <w:rPr>
          <w:rFonts w:ascii="Times New Roman" w:hAnsi="Times New Roman" w:cs="Times New Roman"/>
          <w:noProof/>
          <w:sz w:val="24"/>
          <w:szCs w:val="24"/>
        </w:rPr>
      </w:pPr>
      <w:r>
        <w:rPr>
          <w:rFonts w:ascii="Times New Roman" w:hAnsi="Times New Roman"/>
          <w:noProof/>
          <w:sz w:val="24"/>
          <w:szCs w:val="24"/>
        </w:rPr>
        <w:t>з.</w:t>
      </w:r>
      <w:r>
        <w:rPr>
          <w:rFonts w:ascii="Times New Roman" w:hAnsi="Times New Roman"/>
          <w:noProof/>
          <w:sz w:val="24"/>
          <w:szCs w:val="24"/>
        </w:rPr>
        <w:tab/>
        <w:t>Във връзка с транзитните пътници проверяват ли авиокомпаниите дали държавата на отпътуване е в списъка на държавите, за които ограниченията за пътуване могат да бъдат премахнати?</w:t>
      </w:r>
    </w:p>
    <w:p>
      <w:pPr>
        <w:pStyle w:val="ListParagraph"/>
        <w:spacing w:line="240" w:lineRule="auto"/>
        <w:ind w:left="1080"/>
        <w:jc w:val="both"/>
        <w:rPr>
          <w:rFonts w:ascii="Times New Roman" w:hAnsi="Times New Roman" w:cs="Times New Roman"/>
          <w:noProof/>
          <w:sz w:val="24"/>
          <w:szCs w:val="24"/>
        </w:rPr>
      </w:pPr>
    </w:p>
    <w:p>
      <w:pPr>
        <w:pStyle w:val="ListParagraph"/>
        <w:numPr>
          <w:ilvl w:val="0"/>
          <w:numId w:val="1"/>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Държавата съгласна ли е да се въведат същите или сходни с тези на ЕС условия на пътуване? Това прилага ли се за </w:t>
      </w:r>
      <w:r>
        <w:rPr>
          <w:rFonts w:ascii="Times New Roman" w:hAnsi="Times New Roman"/>
          <w:noProof/>
          <w:sz w:val="24"/>
          <w:szCs w:val="24"/>
          <w:u w:val="single"/>
        </w:rPr>
        <w:t>всички</w:t>
      </w:r>
      <w:r>
        <w:rPr>
          <w:rFonts w:ascii="Times New Roman" w:hAnsi="Times New Roman"/>
          <w:noProof/>
          <w:sz w:val="24"/>
          <w:szCs w:val="24"/>
        </w:rPr>
        <w:t xml:space="preserve"> държави от ЕС и Шенгенското пространство?</w:t>
      </w:r>
    </w:p>
    <w:p>
      <w:pPr>
        <w:pStyle w:val="ListParagraph"/>
        <w:spacing w:line="240" w:lineRule="auto"/>
        <w:ind w:left="360"/>
        <w:jc w:val="both"/>
        <w:rPr>
          <w:rFonts w:ascii="Times New Roman" w:hAnsi="Times New Roman" w:cs="Times New Roman"/>
          <w:noProof/>
          <w:sz w:val="24"/>
          <w:szCs w:val="24"/>
        </w:rPr>
      </w:pPr>
    </w:p>
    <w:p>
      <w:pPr>
        <w:pStyle w:val="ListParagraph"/>
        <w:numPr>
          <w:ilvl w:val="0"/>
          <w:numId w:val="1"/>
        </w:numPr>
        <w:spacing w:line="240" w:lineRule="auto"/>
        <w:jc w:val="both"/>
        <w:rPr>
          <w:rFonts w:ascii="Times New Roman" w:hAnsi="Times New Roman" w:cs="Times New Roman"/>
          <w:noProof/>
        </w:rPr>
      </w:pPr>
      <w:r>
        <w:rPr>
          <w:rFonts w:ascii="Times New Roman" w:hAnsi="Times New Roman"/>
          <w:noProof/>
          <w:sz w:val="24"/>
          <w:szCs w:val="24"/>
        </w:rPr>
        <w:t>Държавите — членки на ЕС, и шенгенските държави премахнали ли са своите предупреждения за пътуване за съответната държава?</w:t>
      </w: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cs="Times New Roman"/>
        <w:b/>
        <w:sz w:val="24"/>
        <w:szCs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noProof/>
        <w:sz w:val="24"/>
      </w:rPr>
      <w:t>2</w:t>
    </w:r>
    <w:r>
      <w:rPr>
        <w:rFonts w:ascii="Times New Roman" w:hAnsi="Times New Roman" w:cs="Times New Roman"/>
        <w:sz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C(2020) 3139.</w:t>
      </w:r>
    </w:p>
  </w:footnote>
  <w:footnote w:id="2">
    <w:p>
      <w:pPr>
        <w:pStyle w:val="FootnoteText"/>
        <w:ind w:left="284" w:hanging="284"/>
      </w:pPr>
      <w:r>
        <w:rPr>
          <w:rStyle w:val="FootnoteReference"/>
          <w:rFonts w:ascii="Times New Roman" w:hAnsi="Times New Roman" w:cs="Times New Roman"/>
        </w:rPr>
        <w:footnoteRef/>
      </w:r>
      <w:r>
        <w:tab/>
      </w:r>
      <w:hyperlink r:id="rId1" w:history="1">
        <w:r>
          <w:rPr>
            <w:rStyle w:val="Hyperlink"/>
            <w:rFonts w:ascii="Times New Roman" w:hAnsi="Times New Roman"/>
          </w:rPr>
          <w:t>https://www.easa.europa.eu/document-library/general-publications/covid-19-aviation-health-safety-protocol</w:t>
        </w:r>
      </w:hyperlink>
      <w:r>
        <w:t>.</w:t>
      </w:r>
    </w:p>
  </w:footnote>
  <w:footnote w:id="3">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Засилена дезинфекция на самолетите с цел намаляване на рисковете от предаване на заразата от COVID-19.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405FB"/>
    <w:multiLevelType w:val="hybridMultilevel"/>
    <w:tmpl w:val="5DFE6C86"/>
    <w:lvl w:ilvl="0" w:tplc="0409000F">
      <w:start w:val="1"/>
      <w:numFmt w:val="decimal"/>
      <w:lvlText w:val="%1."/>
      <w:lvlJc w:val="left"/>
      <w:pPr>
        <w:ind w:left="360" w:hanging="360"/>
      </w:pPr>
    </w:lvl>
    <w:lvl w:ilvl="1" w:tplc="EC78767C">
      <w:start w:val="1"/>
      <w:numFmt w:val="lowerLetter"/>
      <w:lvlText w:val="%2."/>
      <w:lvlJc w:val="left"/>
      <w:pPr>
        <w:ind w:left="1080" w:hanging="360"/>
      </w:pPr>
      <w:rPr>
        <w:sz w:val="24"/>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D866FE9F-F987-4D4E-90D7-B434D1978397"/>
    <w:docVar w:name="LW_COVERPAGE_TYPE" w:val="1"/>
    <w:docVar w:name="LW_CROSSREFERENCE" w:val="&lt;UNUSED&gt;"/>
    <w:docVar w:name="LW_DocType" w:val="NORMAL"/>
    <w:docVar w:name="LW_EMISSION" w:val="11.6.2020"/>
    <w:docVar w:name="LW_EMISSION_ISODATE" w:val="2020-06-11"/>
    <w:docVar w:name="LW_EMISSION_LOCATION" w:val="BRX"/>
    <w:docVar w:name="LW_EMISSION_PREFIX" w:val="Брюксел, "/>
    <w:docVar w:name="LW_EMISSION_SUFFIX" w:val=" \u1075?."/>
    <w:docVar w:name="LW_ID_DOCTYPE_NONLW" w:val="CP-039"/>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86?\u1090?\u1085?\u1086?\u1089?\u1085?\u1086? \u1090?\u1088?\u1077?\u1090?\u1072?\u1090?\u1072? \u1086?\u1094?\u1077?\u1085?\u1082?\u1072? \u1085?\u1072? \u1087?\u1088?\u1080?\u1083?\u1072?\u1075?\u1072?\u1085?\u1077?\u1090?\u1086? \u1085?\u1072? \u1074?\u1088?\u1077?\u1084?\u1077?\u1085?\u1085?\u1086?\u1090?\u1086? \u1086?\u1075?\u1088?\u1072?\u1085?\u1080?\u1095?\u1077?\u1085?\u1080?\u1077? \u1085?\u1072? \u1085?\u1077?\u1085?\u1072?\u1083?\u1086?\u1078?\u1080?\u1090?\u1077?\u1083?\u1085?\u1080?\u1090?\u1077? \u1087?\u1098?\u1090?\u1091?\u1074?\u1072?\u1085?\u1080?\u1103? \u1076?\u1086? \u1045?\u1057?"/>
    <w:docVar w:name="LW_PART_NBR" w:val="1"/>
    <w:docVar w:name="LW_PART_NBR_TOTAL" w:val="1"/>
    <w:docVar w:name="LW_REF.INST.NEW" w:val="COM"/>
    <w:docVar w:name="LW_REF.INST.NEW_ADOPTED" w:val="final"/>
    <w:docVar w:name="LW_REF.INST.NEW_TEXT" w:val="(2020) 3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57?\u1066?\u1054?\u1041?\u1065?\u1045?\u1053?\u1048?\u1045?\u1058?\u1054? \u1053?\u1040? \u1050?\u1054?\u1052?\u1048?\u1057?\u1048?\u1071?\u1058?\u1040? \u1044?\u1054? \u1045?\u1042?\u1056?\u1054?\u1055?\u1045?\u1049?\u1057?\u1050?\u1048?\u1071? \u1055?\u1040?\u1056?\u1051?\u1040?\u1052?\u1045?\u1053?\u1058?, \u1045?\u1042?\u1056?\u1054?\u1055?\u1045?\u1049?\u1057?\u1050?\u1048?\u1071? \u1057?\u1066?\u1042?\u1045?\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Annexetitre">
    <w:name w:val="Annexe titre"/>
    <w:basedOn w:val="Normal"/>
    <w:next w:val="Normal"/>
    <w:pPr>
      <w:spacing w:before="120" w:after="120" w:line="240" w:lineRule="auto"/>
      <w:jc w:val="center"/>
    </w:pPr>
    <w:rPr>
      <w:rFonts w:ascii="Times New Roman" w:hAnsi="Times New Roman" w:cs="Times New Roman"/>
      <w:b/>
      <w:sz w:val="24"/>
      <w:u w:val="single"/>
    </w:rPr>
  </w:style>
  <w:style w:type="paragraph" w:styleId="ListParagraph">
    <w:name w:val="List Paragraph"/>
    <w:basedOn w:val="Normal"/>
    <w:uiPriority w:val="34"/>
    <w:qFormat/>
    <w:pPr>
      <w:spacing w:after="200" w:line="276" w:lineRule="auto"/>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Annexetitre">
    <w:name w:val="Annexe titre"/>
    <w:basedOn w:val="Normal"/>
    <w:next w:val="Normal"/>
    <w:pPr>
      <w:spacing w:before="120" w:after="120" w:line="240" w:lineRule="auto"/>
      <w:jc w:val="center"/>
    </w:pPr>
    <w:rPr>
      <w:rFonts w:ascii="Times New Roman" w:hAnsi="Times New Roman" w:cs="Times New Roman"/>
      <w:b/>
      <w:sz w:val="24"/>
      <w:u w:val="single"/>
    </w:rPr>
  </w:style>
  <w:style w:type="paragraph" w:styleId="ListParagraph">
    <w:name w:val="List Paragraph"/>
    <w:basedOn w:val="Normal"/>
    <w:uiPriority w:val="34"/>
    <w:qFormat/>
    <w:pPr>
      <w:spacing w:after="200" w:line="276" w:lineRule="auto"/>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07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asa.europa.eu/document-library/general-publications/covid-19-aviation-health-safety-protoc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B815F18-A6F2-4A46-A4C4-C1C1A36FD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577</Words>
  <Characters>3338</Characters>
  <Application>Microsoft Office Word</Application>
  <DocSecurity>0</DocSecurity>
  <Lines>68</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BARETTE Anne (HOME)</dc:creator>
  <cp:keywords/>
  <dc:description/>
  <cp:lastModifiedBy>WES PDFC Administrator</cp:lastModifiedBy>
  <cp:revision>10</cp:revision>
  <dcterms:created xsi:type="dcterms:W3CDTF">2020-06-12T07:44:00Z</dcterms:created>
  <dcterms:modified xsi:type="dcterms:W3CDTF">2020-06-12T12:17:00Z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CP-039</vt:lpwstr>
  </property>
  <property fmtid="{D5CDD505-2E9C-101B-9397-08002B2CF9AE}" pid="7" name="Last edited using">
    <vt:lpwstr>LW 7.0.1, Build 20190916</vt:lpwstr>
  </property>
  <property fmtid="{D5CDD505-2E9C-101B-9397-08002B2CF9AE}" pid="8" name="Created using">
    <vt:lpwstr>LW 7.0.1, Build 20190916</vt:lpwstr>
  </property>
  <property fmtid="{D5CDD505-2E9C-101B-9397-08002B2CF9AE}" pid="9" name="First annex">
    <vt:lpwstr>1</vt:lpwstr>
  </property>
  <property fmtid="{D5CDD505-2E9C-101B-9397-08002B2CF9AE}" pid="10" name="Last annex">
    <vt:lpwstr>1</vt:lpwstr>
  </property>
  <property fmtid="{D5CDD505-2E9C-101B-9397-08002B2CF9AE}" pid="11" name="Unique annex">
    <vt:lpwstr>1</vt:lpwstr>
  </property>
</Properties>
</file>