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D2C29E60-0331-4465-AD66-BFF4F4071B68" style="width:450.75pt;height:338.2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b w:val="0"/>
          <w:noProof/>
        </w:rPr>
      </w:pPr>
      <w:r>
        <w:rPr>
          <w:noProof/>
        </w:rPr>
        <w:t>1.</w:t>
      </w:r>
      <w:r>
        <w:rPr>
          <w:noProof/>
        </w:rPr>
        <w:tab/>
      </w:r>
      <w:r>
        <w:rPr>
          <w:rStyle w:val="Heading1Char"/>
          <w:b/>
          <w:noProof/>
        </w:rPr>
        <w:t>КОНТЕКСТ НА ПРЕДЛОЖЕНИЕТО</w:t>
      </w:r>
    </w:p>
    <w:p>
      <w:pPr>
        <w:rPr>
          <w:noProof/>
        </w:rPr>
      </w:pPr>
      <w:r>
        <w:rPr>
          <w:noProof/>
        </w:rPr>
        <w:t>Съгласно Регламент (ЕС, Евратом) № 1311/2013 на Съвета от 2 декември 2013 г. за определяне на многогодишната финансова рамка за годините 2014—2020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(„Регламентът за МФР“) като крайно средство за реагиране в непредвидени обстоятелства се допуска мобилизирането на средства от маржа за непредвидени обстоятелства в размер до 0,03 % от брутния национален доход на ЕС-28. В техническата корекция на МФР за 2020 г.</w:t>
      </w:r>
      <w:r>
        <w:rPr>
          <w:rStyle w:val="FootnoteReference"/>
          <w:noProof/>
        </w:rPr>
        <w:footnoteReference w:id="2"/>
      </w:r>
      <w:r>
        <w:rPr>
          <w:noProof/>
        </w:rPr>
        <w:t>, извършена въз основа на член 6 от Регламента за МФР, абсолютната стойност на маржа за непредвидени обстоятелства за 2020 г. е определена на 5 096,8 милиона евро.</w:t>
      </w:r>
    </w:p>
    <w:p>
      <w:pPr>
        <w:pStyle w:val="Text1"/>
        <w:ind w:left="0"/>
        <w:rPr>
          <w:noProof/>
          <w:spacing w:val="-4"/>
        </w:rPr>
      </w:pPr>
      <w:r>
        <w:rPr>
          <w:noProof/>
          <w:spacing w:val="-4"/>
        </w:rPr>
        <w:t>Днес Комисията представя проект на коригиращ бюджет (ПКБ) № 5/2020</w:t>
      </w:r>
      <w:r>
        <w:rPr>
          <w:rStyle w:val="FootnoteReference"/>
          <w:noProof/>
          <w:spacing w:val="-4"/>
        </w:rPr>
        <w:footnoteReference w:id="3"/>
      </w:r>
      <w:r>
        <w:rPr>
          <w:noProof/>
          <w:spacing w:val="-4"/>
        </w:rPr>
        <w:t xml:space="preserve">, за да продължи да предоставя подкрепа за бежанците и приемните общности в отговор на свързаната със Сирия криза в Йордания, Ливан и Турция. В рамките на функция 4  </w:t>
      </w:r>
      <w:r>
        <w:rPr>
          <w:i/>
          <w:noProof/>
          <w:spacing w:val="-4"/>
        </w:rPr>
        <w:t>(Глобална Европа)</w:t>
      </w:r>
      <w:r>
        <w:rPr>
          <w:noProof/>
          <w:spacing w:val="-4"/>
        </w:rPr>
        <w:t xml:space="preserve"> Комисията предлага в този ПКБ да бъдат разпределени бюджетни кредити за поети задължения в размер на 100 милиона евро като подкрепа за устойчивостта на бежанците и приемните общности в Йордания и Ливан, както и 485 милиона евро, за да се гарантира продължаването на спешната хуманитарна помощ за бежанците в Турция.</w:t>
      </w:r>
    </w:p>
    <w:p>
      <w:pPr>
        <w:pStyle w:val="Text1"/>
        <w:ind w:left="0"/>
        <w:rPr>
          <w:noProof/>
        </w:rPr>
      </w:pPr>
      <w:r>
        <w:rPr>
          <w:noProof/>
        </w:rPr>
        <w:t>След като извърши подробен анализ на възможността за преразпределяне на значителни суми в рамките на функция 4 </w:t>
      </w:r>
      <w:r>
        <w:rPr>
          <w:i/>
          <w:noProof/>
        </w:rPr>
        <w:t>(Глобална Европа)</w:t>
      </w:r>
      <w:r>
        <w:rPr>
          <w:noProof/>
        </w:rPr>
        <w:t>, Комисията заключи, че няма възможност за преразпределяне през 2020 г. Неразпределеният марж, който все още е на разположение по тази функция (103,4 милиона евро), дава възможност само за финансиране на бюджетни кредити за поети задължения в размер на 100 милиона евро в подкрепа на устойчивостта на приемните общности в Йордания и Ливан. Останалата част от този марж (3,4 милиона евро) обаче e до голяма степен недостатъчна за покриване на спешната хуманитарна помощ за бежанците в Турция.</w:t>
      </w:r>
    </w:p>
    <w:p>
      <w:pPr>
        <w:rPr>
          <w:noProof/>
        </w:rPr>
      </w:pPr>
      <w:r>
        <w:rPr>
          <w:noProof/>
        </w:rPr>
        <w:t>Поради пълното изчерпване на пакетите на другите два специални инструмента в рамките на Регламента за МФР (Общ марж за поетите задължения и Инструмент за гъвкавост), Комисията предлага като крайна мярка да се мобилизират средства от маржа за непредвидени обстоятелства за 2020 г. в размер на 481,6 милиона евро, за да се гарантира цялостното финансиране на бюджетните кредити за поети задължения, свързани с разходите по функция 4 в общия бюджет на Европейския съюз за финансовата година 2020, над тавана за поетите задължения.</w:t>
      </w:r>
    </w:p>
    <w:p>
      <w:pPr>
        <w:pStyle w:val="ManualHeading1"/>
        <w:ind w:left="851" w:hanging="851"/>
        <w:rPr>
          <w:b w:val="0"/>
          <w:noProof/>
        </w:rPr>
      </w:pPr>
      <w:r>
        <w:rPr>
          <w:noProof/>
        </w:rPr>
        <w:t>2.</w:t>
      </w:r>
      <w:r>
        <w:rPr>
          <w:noProof/>
        </w:rPr>
        <w:tab/>
      </w:r>
      <w:r>
        <w:rPr>
          <w:rStyle w:val="Heading1Char"/>
          <w:b/>
          <w:noProof/>
        </w:rPr>
        <w:t>ОБОСНОВКА ЗА МОБИЛИЗИРАНЕТО</w:t>
      </w:r>
    </w:p>
    <w:p>
      <w:pPr>
        <w:pStyle w:val="ManualHeading2"/>
        <w:rPr>
          <w:noProof/>
        </w:rPr>
      </w:pPr>
      <w:r>
        <w:rPr>
          <w:noProof/>
        </w:rPr>
        <w:t>2.1.</w:t>
      </w:r>
      <w:r>
        <w:rPr>
          <w:noProof/>
        </w:rPr>
        <w:tab/>
        <w:t xml:space="preserve">ВЪВЕДЕНИЕ </w:t>
      </w:r>
    </w:p>
    <w:p>
      <w:pPr>
        <w:pStyle w:val="Text1"/>
        <w:ind w:left="0"/>
        <w:rPr>
          <w:noProof/>
        </w:rPr>
      </w:pPr>
      <w:r>
        <w:rPr>
          <w:noProof/>
        </w:rPr>
        <w:t>По силата на изявлението на ЕС и Турция Комисията и държавите членки поеха ангажимент за предоставяне на помощ на ЕС на два транша за бежанците в Турция за периода 2016—2019 г.  в размер на 6 милиарда евро, предоставена чрез Механизма за бежанците в Турция. Бяха поети задължения по пълния размер на оперативния пакет от това финансиране, а сключването на договори ще бъде финализирано през 2020 г. Към края на април 2020 г. плащанията достигнаха 3,2 милиарда евро.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pStyle w:val="Text1"/>
        <w:ind w:left="0"/>
        <w:rPr>
          <w:noProof/>
          <w:sz w:val="23"/>
          <w:szCs w:val="23"/>
        </w:rPr>
      </w:pPr>
      <w:r>
        <w:rPr>
          <w:noProof/>
        </w:rPr>
        <w:lastRenderedPageBreak/>
        <w:t>Вторият транш от 3 милиарда евро беше програмиран, за да се гарантира устойчивостта на Механизма и постепенното, управляемо поемане на инициативи, финансирани по негова линия, от страна на турските органи. В средносрочен и дългосрочен план обаче турските органи все още не са в състояние да продължат да предоставят необходимата подкрепа на около 4 милиона бежанци в Турция. На заседанието на Съвета за асоцииране ЕС-Турция през март 2019 г. Турция поиска помощ от ЕС извън рамките на Механизма с цел подпомагане във връзка с бежанците. Няколко държави членки поискаха също да продължат да подкрепят бежанците в Турция през последните месеци. Поради избухването на епидемията от COVID-19 икономическото положение в Турция се влошава и уязвимите бежанци са сред най-тежко засегнатите от кризата.</w:t>
      </w:r>
    </w:p>
    <w:p>
      <w:pPr>
        <w:pStyle w:val="Text1"/>
        <w:ind w:left="0"/>
        <w:rPr>
          <w:noProof/>
        </w:rPr>
      </w:pPr>
      <w:r>
        <w:rPr>
          <w:noProof/>
        </w:rPr>
        <w:t>В този контекст и с цел да се избегне прекратяването на двата проекта, от което ще възникнат тежки хуманитарни и политически последици, е необходимо спешно да се осигурят необходимите средства за финансиране на продължаването на двете основни действия на ЕС за хуманитарна помощ, а именно на Мрежата за социална закрила при извънредни обстоятелства и на Програмата за обвързано с условия предоставяне на парични средства за образование.</w:t>
      </w:r>
    </w:p>
    <w:p>
      <w:pPr>
        <w:pStyle w:val="Text1"/>
        <w:ind w:left="0"/>
        <w:rPr>
          <w:noProof/>
        </w:rPr>
      </w:pPr>
      <w:r>
        <w:rPr>
          <w:noProof/>
        </w:rPr>
        <w:t>Очаква се средствата на Мрежата за социална закрила при извънредни обстоятелства, по линия на която се предоставят месечни парични преводи на около 1,7 милиона бежанци, да се изчерпат най-късно през март 2021 г., като са необходими 400 милиона евро за удължаването ѝ до края на 2021 г.</w:t>
      </w:r>
    </w:p>
    <w:p>
      <w:pPr>
        <w:pStyle w:val="Text1"/>
        <w:ind w:left="0"/>
        <w:rPr>
          <w:noProof/>
        </w:rPr>
      </w:pPr>
      <w:r>
        <w:rPr>
          <w:noProof/>
        </w:rPr>
        <w:t>По линия на Програмата за обвързано с условия предоставяне на парични средства за образование се предоставят парични средства на семейства бежанци, чиито деца посещават училище, вместо да работят. Настоящият договор за нея приключва през септември 2020 г. и спешно са необходими 85 милиона евро, за да може Програмата да продължи за още една година до края на декември 2021 г.</w:t>
      </w:r>
    </w:p>
    <w:p>
      <w:pPr>
        <w:pStyle w:val="ManualHeading2"/>
        <w:rPr>
          <w:noProof/>
        </w:rPr>
      </w:pPr>
      <w:r>
        <w:rPr>
          <w:noProof/>
        </w:rPr>
        <w:t>2.2.</w:t>
      </w:r>
      <w:r>
        <w:rPr>
          <w:noProof/>
        </w:rPr>
        <w:tab/>
        <w:t>МАРЖЪТ ЗА НЕПРЕДВИДЕНИ ОБСТОЯТЕЛСТВА КАТО КРАЙНО СРЕДСТВО</w:t>
      </w:r>
    </w:p>
    <w:p>
      <w:pPr>
        <w:rPr>
          <w:noProof/>
          <w:spacing w:val="-4"/>
        </w:rPr>
      </w:pPr>
      <w:r>
        <w:rPr>
          <w:noProof/>
          <w:spacing w:val="-4"/>
        </w:rPr>
        <w:t>Маржът за непредвидени обстоятелства е определен в член 13, параграф 1 от Регламента за МФР като крайно средство за реагиране в непредвидени обстоятелства. В съответствие с точка 14 от Междуинституционалното споразумение от 2 декември 2013 г. между Европейския парламент, Съвета и Комисията относно бюджетната дисциплина, сътрудничеството по бюджетни въпроси и доброто финансово управление</w:t>
      </w:r>
      <w:r>
        <w:rPr>
          <w:rStyle w:val="FootnoteReference"/>
          <w:noProof/>
          <w:spacing w:val="-4"/>
        </w:rPr>
        <w:footnoteReference w:id="4"/>
      </w:r>
      <w:r>
        <w:rPr>
          <w:noProof/>
          <w:spacing w:val="-4"/>
        </w:rPr>
        <w:t xml:space="preserve"> Комисията направи анализ на възможността за преразпределяне на значителни суми в рамките на функция 4 </w:t>
      </w:r>
      <w:r>
        <w:rPr>
          <w:i/>
          <w:noProof/>
          <w:spacing w:val="-4"/>
        </w:rPr>
        <w:t>(Глобална Европа)</w:t>
      </w:r>
      <w:r>
        <w:rPr>
          <w:noProof/>
          <w:spacing w:val="-4"/>
        </w:rPr>
        <w:t>, но заключи, че няма възможност за допълнително преразпределяне през 2020 г.</w:t>
      </w:r>
    </w:p>
    <w:p>
      <w:pPr>
        <w:rPr>
          <w:noProof/>
        </w:rPr>
      </w:pPr>
      <w:r>
        <w:rPr>
          <w:noProof/>
        </w:rPr>
        <w:t>Тъй като неразпределеният марж по тази функция (3,4 милиона евро) е недостатъчен за финансиране на предложеното увеличение на бюджетните кредити за поети задължения (и тъй като Инструментът за гъвкавост и Общият марж за поетите задължения вече са напълно изчерпани през 2020 г.), мобилизирането на маржа за непредвидени обстоятелства като крайно средство е единственият наличен инструмент за финансиране на оставащите допълнителни разходи над тавана на функция 4, както се предлага в ПКБ № 5/2020.</w:t>
      </w:r>
    </w:p>
    <w:p>
      <w:pPr>
        <w:pStyle w:val="ManualHeading2"/>
        <w:rPr>
          <w:noProof/>
        </w:rPr>
      </w:pPr>
      <w:r>
        <w:rPr>
          <w:noProof/>
        </w:rPr>
        <w:lastRenderedPageBreak/>
        <w:t>2.3.</w:t>
      </w:r>
      <w:r>
        <w:rPr>
          <w:noProof/>
        </w:rPr>
        <w:tab/>
        <w:t>ОТРАЖЕНИЕ НА НЕПРЕДВИДЕНИТЕ ОБСТОЯТЕЛСТВА ВЪРХУ БЮДЖЕТА ПРЕЗ 2020 г.</w:t>
      </w:r>
    </w:p>
    <w:p>
      <w:pPr>
        <w:rPr>
          <w:bCs/>
          <w:noProof/>
        </w:rPr>
      </w:pPr>
      <w:r>
        <w:rPr>
          <w:noProof/>
        </w:rPr>
        <w:t>Комисията предлага да бъдат мобилизирани 481,6 милиона евро чрез маржа за непредвидени обстоятелства, за да се покрият допълнителните нужди, свързани с продължаването на спешната хуманитарна помощ за бежанците в Турция.</w:t>
      </w:r>
    </w:p>
    <w:p>
      <w:pPr>
        <w:rPr>
          <w:noProof/>
        </w:rPr>
      </w:pPr>
      <w:r>
        <w:rPr>
          <w:noProof/>
          <w:color w:val="231F20"/>
        </w:rPr>
        <w:t>Съответните бюджетни кредити за плащания ще се финансират в рамките на тавана за плащанията. Не е необходимо да се мобилизира маржът за непредвидени обстоятелства за плащания.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КОМПЕНСИРАНЕ НА МАРЖА ЗА НЕПРЕДВИДЕНИ ОБСТОЯТЕЛСТВА ОТ ТАВАНИТЕ НА МФР </w:t>
      </w:r>
    </w:p>
    <w:p>
      <w:pPr>
        <w:rPr>
          <w:noProof/>
        </w:rPr>
      </w:pPr>
      <w:r>
        <w:rPr>
          <w:noProof/>
        </w:rPr>
        <w:t>В член 13, параграф 3 от Регламента за МФР се изисква сумите, предоставени чрез мобилизирането на маржа за непредвидени обстоятелства, да се компенсират изцяло от маржовете за текущата финансова година или за следващи финансови години.</w:t>
      </w:r>
    </w:p>
    <w:p>
      <w:pPr>
        <w:spacing w:before="0" w:after="0"/>
        <w:rPr>
          <w:noProof/>
        </w:rPr>
      </w:pPr>
      <w:r>
        <w:rPr>
          <w:noProof/>
        </w:rPr>
        <w:t>Съгласно член 13, параграф 4 от Регламента за МФР компенсираните суми не се използват повече по отношение на МФР, за да водят до превишаване на общите тавани на бюджетните кредити за поети задължения и за плащания, посочени там за текущата финансова година и за следващи финансови години. Следователно при мобилизирането на маржа за непредвидени обстоятелства за бюджетни кредити за поети задължения през 2020 г. по функция 4 и свързаното с него компенсиране трябва да се спази общият таван за поетите задължения за 2020 г., последната година от периода, обхванат от текущата МФР.</w:t>
      </w:r>
    </w:p>
    <w:p>
      <w:pPr>
        <w:rPr>
          <w:noProof/>
        </w:rPr>
      </w:pPr>
      <w:r>
        <w:rPr>
          <w:noProof/>
        </w:rPr>
        <w:t xml:space="preserve">Комисията предлага предложеното увеличение на разходите по функция 4 да се компенсира от неразпределения марж, който е на разположение под тавана за разходите по функция 5 </w:t>
      </w:r>
      <w:r>
        <w:rPr>
          <w:i/>
          <w:noProof/>
        </w:rPr>
        <w:t>(Администрация)</w:t>
      </w:r>
      <w:r>
        <w:rPr>
          <w:noProof/>
        </w:rPr>
        <w:t xml:space="preserve"> и функция 2 </w:t>
      </w:r>
      <w:r>
        <w:rPr>
          <w:i/>
          <w:noProof/>
        </w:rPr>
        <w:t>(Устойчив растеж: природни ресурси).</w:t>
      </w:r>
    </w:p>
    <w:p>
      <w:pPr>
        <w:rPr>
          <w:noProof/>
        </w:rPr>
      </w:pPr>
      <w:r>
        <w:rPr>
          <w:noProof/>
        </w:rPr>
        <w:t xml:space="preserve">След компенсирането ще остане наличен марж в размер на 48,7 милиона евро под таваните за разходите за следните функция </w:t>
      </w:r>
      <w:r>
        <w:rPr>
          <w:i/>
          <w:noProof/>
        </w:rPr>
        <w:t>(Устойчив растеж: природни ресурси).</w:t>
      </w:r>
    </w:p>
    <w:p>
      <w:pPr>
        <w:rPr>
          <w:noProof/>
        </w:rPr>
      </w:pPr>
      <w:r>
        <w:rPr>
          <w:noProof/>
        </w:rPr>
        <w:t>Под другите тавани за разходите няма да останат налични маржове.</w:t>
      </w:r>
    </w:p>
    <w:p>
      <w:pPr>
        <w:rPr>
          <w:noProof/>
        </w:rPr>
      </w:pPr>
      <w:r>
        <w:rPr>
          <w:noProof/>
        </w:rPr>
        <w:t>Общият таван за поетите задължения за цялата МФР ще остане без промяна.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ДОПЪЛНИТЕЛНИ ЕЛЕМЕНТИ </w:t>
      </w:r>
    </w:p>
    <w:p>
      <w:pPr>
        <w:rPr>
          <w:noProof/>
        </w:rPr>
      </w:pPr>
      <w:r>
        <w:rPr>
          <w:noProof/>
        </w:rPr>
        <w:t>На Европейския парламент и на Съвета се напомня, че в съответствие с последното изречение на член 13, параграф 1 от Регламента за МФР, настоящото решение не може да бъде публикувано в Официален вестник на Европейския съюз по-късно от датата на публикуване на ПКБ № 5/2020.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lastRenderedPageBreak/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мобилизирането на маржа за непредвидени обстоятелства през 2020 г. за продължаване на хуманитарната помощ за бежанците в Турция</w:t>
      </w:r>
    </w:p>
    <w:p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Междуинституционалното споразумение от 2 декември 2013 г. между Европейския парламент, Съвета и Комисията относно бюджетната дисциплина, сътрудничеството по бюджетни въпроси и доброто финансово управление</w:t>
      </w:r>
      <w:r>
        <w:rPr>
          <w:rStyle w:val="FootnoteReference"/>
          <w:noProof/>
        </w:rPr>
        <w:footnoteReference w:id="5"/>
      </w:r>
      <w:r>
        <w:rPr>
          <w:noProof/>
        </w:rPr>
        <w:t>, и по-специално точка 14 от него,</w:t>
      </w:r>
    </w:p>
    <w:p>
      <w:pPr>
        <w:rPr>
          <w:noProof/>
        </w:rPr>
      </w:pPr>
      <w:r>
        <w:rPr>
          <w:noProof/>
        </w:rPr>
        <w:t>като взеха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 xml:space="preserve">като имат предвид, че: </w:t>
      </w:r>
    </w:p>
    <w:p>
      <w:pPr>
        <w:rPr>
          <w:noProof/>
        </w:rPr>
      </w:pPr>
      <w:r>
        <w:rPr>
          <w:noProof/>
        </w:rPr>
        <w:t>(1) С член 13 от Регламент (ЕС, Евратом) № 1311/2013 на Съвета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е въведен марж за непредвидени обстоятелства в размер до 0,03 % от брутния национален доход на Съюза. </w:t>
      </w:r>
    </w:p>
    <w:p>
      <w:pPr>
        <w:rPr>
          <w:noProof/>
        </w:rPr>
      </w:pPr>
      <w:r>
        <w:rPr>
          <w:noProof/>
        </w:rPr>
        <w:t>(2) В съответствие с член 6 от Регламент (ЕС, Евратом) № 1311/2013 Комисията е изчислила абсолютната стойност на маржа за непредвидени обстоятелства за 2020 г.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(3) След като бяха разгледани всички други финансови възможности за реагиране на непредвидени обстоятелства в рамките на тавана за поети задължения за 2020 г. по функция 4  </w:t>
      </w:r>
      <w:r>
        <w:rPr>
          <w:i/>
          <w:noProof/>
        </w:rPr>
        <w:t>(Глобална Европа)</w:t>
      </w:r>
      <w:r>
        <w:rPr>
          <w:noProof/>
        </w:rPr>
        <w:t xml:space="preserve"> от многогодишната финансова рамка (МФР) и предвид факта, че през 2020 г. няма други специални инструменти за реагиране при такива обстоятелства, е необходимо да се мобилизира маржът за непредвидени обстоятелства, за да се отговори на спешната необходимост от предоставяне на хуманитарна помощ за бежанците в Турция чрез увеличаване на бюджетните кредити за поети задължения в общия бюджет на Съюза за финансовата 2020 година над тавана на функция 4 на МФР.</w:t>
      </w:r>
    </w:p>
    <w:p>
      <w:pPr>
        <w:rPr>
          <w:noProof/>
        </w:rPr>
      </w:pPr>
      <w:r>
        <w:rPr>
          <w:noProof/>
        </w:rPr>
        <w:t>(4) С оглед на тази много специфична ситуация условието за крайно средство, предвидено в член 13, параграф 1 от Регламент (ЕС, Евратом) № 1311/2013, е изпълнено.</w:t>
      </w:r>
    </w:p>
    <w:p>
      <w:pPr>
        <w:rPr>
          <w:noProof/>
        </w:rPr>
      </w:pPr>
      <w:r>
        <w:rPr>
          <w:noProof/>
        </w:rPr>
        <w:t>(5) Настоящото решение е свързано с финансирането, включено в коригиращ бюджет № 5 към общия бюджет на Европейския съюз за 2020 г. За да се осигури съгласуваност с този коригиращ бюджет, настоящото решение следва да се прилага от деня на приемането му,</w:t>
      </w:r>
    </w:p>
    <w:p>
      <w:pPr>
        <w:pStyle w:val="Formuledadoption"/>
        <w:rPr>
          <w:noProof/>
        </w:rPr>
      </w:pPr>
      <w:r>
        <w:rPr>
          <w:noProof/>
        </w:rPr>
        <w:lastRenderedPageBreak/>
        <w:t>ПРИЕХА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За целите на общия бюджет на Съюза за финансовата 2020 година се мобилизира маржът за непредвидени обстоятелства, за да се осигури сума в размер на 481 572 239 EUR под формата на бюджетни кредити за поети задължения над тавана за поетите задължения по функция 4 </w:t>
      </w:r>
      <w:r>
        <w:rPr>
          <w:i/>
          <w:noProof/>
        </w:rPr>
        <w:t>(Глобална Европа)</w:t>
      </w:r>
      <w:r>
        <w:rPr>
          <w:noProof/>
        </w:rPr>
        <w:t xml:space="preserve"> от многогодишната финансова рамка.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Сумата от 481 572 239 EUR, посочена в член 1, се приспада от маржовете под тавана на поетите задължения за финансовата 2020 година от следната позиция на многогодишната финансова рамка: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функция 5 </w:t>
      </w:r>
      <w:r>
        <w:rPr>
          <w:i/>
          <w:noProof/>
        </w:rPr>
        <w:t xml:space="preserve">(Администрация): </w:t>
      </w:r>
      <w:r>
        <w:rPr>
          <w:noProof/>
        </w:rPr>
        <w:t>16 248 368 EUR;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функция 2 (Устойчив растеж: природни ресурси); 465 323 871 EUR.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keepNext/>
        <w:keepLines/>
        <w:rPr>
          <w:noProof/>
        </w:rPr>
      </w:pPr>
      <w:r>
        <w:rPr>
          <w:noProof/>
        </w:rPr>
        <w:t xml:space="preserve">Настоящото решение влиза в сила в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keepNext/>
        <w:keepLines/>
        <w:rPr>
          <w:noProof/>
        </w:rPr>
      </w:pPr>
      <w:r>
        <w:rPr>
          <w:noProof/>
        </w:rPr>
        <w:t>То се прилага от […] г. [датата на приемането му**].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>
      <w:pPr>
        <w:pStyle w:val="Personnequisigne"/>
        <w:keepNext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p>
      <w:pPr>
        <w:pStyle w:val="Personnequisigne"/>
        <w:keepNext/>
        <w:rPr>
          <w:noProof/>
        </w:rPr>
      </w:pPr>
    </w:p>
    <w:p>
      <w:pPr>
        <w:pStyle w:val="Personnequisigne"/>
        <w:keepNext/>
        <w:rPr>
          <w:noProof/>
        </w:rPr>
      </w:pPr>
    </w:p>
    <w:p>
      <w:pPr>
        <w:pStyle w:val="Personnequisigne"/>
        <w:keepNext/>
        <w:rPr>
          <w:noProof/>
        </w:rPr>
      </w:pPr>
    </w:p>
    <w:p>
      <w:pPr>
        <w:pStyle w:val="Personnequisigne"/>
        <w:keepNext/>
        <w:rPr>
          <w:noProof/>
        </w:rPr>
      </w:pPr>
    </w:p>
    <w:p>
      <w:pPr>
        <w:pStyle w:val="Personnequisigne"/>
        <w:rPr>
          <w:noProof/>
        </w:rPr>
      </w:pPr>
      <w:r>
        <w:rPr>
          <w:noProof/>
        </w:rPr>
        <w:t>[**Датата да се попълни от Парламента преди публикуването в ОВ.]</w:t>
      </w:r>
    </w:p>
    <w:sectPr>
      <w:footnotePr>
        <w:numRestart w:val="eachSect"/>
      </w:footnote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 347, 20.12.2013 г., стр. 884.</w:t>
      </w:r>
    </w:p>
  </w:footnote>
  <w:footnote w:id="2">
    <w:p>
      <w:pPr>
        <w:pStyle w:val="FootnoteText"/>
        <w:tabs>
          <w:tab w:val="left" w:pos="709"/>
        </w:tabs>
      </w:pPr>
      <w:r>
        <w:rPr>
          <w:rStyle w:val="FootnoteReference"/>
        </w:rPr>
        <w:footnoteRef/>
      </w:r>
      <w:r>
        <w:tab/>
        <w:t>COM(2020) 173, 2.4.2020 г.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COM(2020) 421, 3.6.2020 г.</w:t>
      </w:r>
    </w:p>
  </w:footnote>
  <w:footnote w:id="4">
    <w:p>
      <w:pPr>
        <w:spacing w:before="0" w:after="0"/>
      </w:pPr>
      <w:r>
        <w:rPr>
          <w:rStyle w:val="FootnoteReference"/>
        </w:rPr>
        <w:footnoteRef/>
      </w:r>
      <w:r>
        <w:tab/>
      </w:r>
      <w:r>
        <w:rPr>
          <w:sz w:val="20"/>
          <w:szCs w:val="20"/>
        </w:rPr>
        <w:t>OВ C 373, 20.12.2013 г., стр. 1.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OВ C 373, 20.12.2013 г., стр. 1.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Регламент (EC, Евратом) № 1311/2013 на Съвета от 2 декември 2013 г. за определяне на многогодишната финансова рамка за годините 2014—2020 (ОВ L 347, 20.12.2013 г., стр. 884).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Съобщение на Комисията до Съвета и Европейския парламент — Техническа корекция по отношение на специалните инструменти за 2020 г. (COM (2020) 173, 2.4.2020 г.).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4CC79D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31ED6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130FC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12E3C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18262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0ECA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86EBE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32E3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15 23:07:2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7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7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D2C29E60-0331-4465-AD66-BFF4F4071B68"/>
    <w:docVar w:name="LW_COVERPAGE_TYPE" w:val="1"/>
    <w:docVar w:name="LW_CROSSREFERENCE" w:val="&lt;UNUSED&gt;"/>
    <w:docVar w:name="LW_DocType" w:val="COM"/>
    <w:docVar w:name="LW_EMISSION" w:val="3.6.2020"/>
    <w:docVar w:name="LW_EMISSION_ISODATE" w:val="2020-06-03"/>
    <w:docVar w:name="LW_EMISSION_LOCATION" w:val="BRX"/>
    <w:docVar w:name="LW_EMISSION_PREFIX" w:val="Брюксел, "/>
    <w:docVar w:name="LW_EMISSION_SUFFIX" w:val=" \u1075?."/>
    <w:docVar w:name="LW_ID_DOCMODEL" w:val="SJ-025"/>
    <w:docVar w:name="LW_ID_DOCSIGNATURE" w:val="SJ-025"/>
    <w:docVar w:name="LW_ID_DOCSTRUCTURE" w:val="COM/PL/ORG"/>
    <w:docVar w:name="LW_ID_DOCTYPE" w:val="SJ-025"/>
    <w:docVar w:name="LW_ID_EXP.MOTIFS.NEW" w:val="EM_PL_"/>
    <w:docVar w:name="LW_ID_STATUT" w:val="SJ-025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0"/>
    <w:docVar w:name="LW_REF.INST.NEW" w:val="COM"/>
    <w:docVar w:name="LW_REF.INST.NEW_ADOPTED" w:val="final"/>
    <w:docVar w:name="LW_REF.INST.NEW_TEXT" w:val="(2020) 42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4?\u1086?\u1073?\u1080?\u1083?\u1080?\u1079?\u1080?\u1088?\u1072?\u1085?\u1077?\u1090?\u1086? \u1085?\u1072? \u1084?\u1072?\u1088?\u1078?\u1072? \u1079?\u1072? \u1085?\u1077?\u1087?\u1088?\u1077?\u1076?\u1074?\u1080?\u1076?\u1077?\u1085?\u1080? \u1086?\u1073?\u1089?\u1090?\u1086?\u1103?\u1090?\u1077?\u1083?\u1089?\u1090?\u1074?\u1072? \u1087?\u1088?\u1077?\u1079? 2020 \u1075?. \u1079?\u1072? \u1087?\u1088?\u1086?\u1076?\u1098?\u1083?\u1078?\u1072?\u1074?\u1072?\u1085?\u1077? \u1085?\u1072? \u1093?\u1091?\u1084?\u1072?\u1085?\u1080?\u1090?\u1072?\u1088?\u1085?\u1072?\u1090?\u1072? \u1087?\u1086?\u1084?\u1086?\u1097? \u1079?\u1072? \u1073?\u1077?\u1078?\u1072?\u1085?\u1094?\u1080?\u1090?\u1077? \u1074? \u1058?\u1091?\u1088?\u1094?\u1080?\u1103?"/>
    <w:docVar w:name="LW_TYPE.DOC.CP" w:val="\u1056?\u1045?\u1064?\u1045?\u1053?\u1048?\u1045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51F4EB5-C919-4A07-AEC5-6355157F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6</Pages>
  <Words>1706</Words>
  <Characters>9418</Characters>
  <Application>Microsoft Office Word</Application>
  <DocSecurity>0</DocSecurity>
  <Lines>177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18</cp:revision>
  <dcterms:created xsi:type="dcterms:W3CDTF">2020-06-15T09:59:00Z</dcterms:created>
  <dcterms:modified xsi:type="dcterms:W3CDTF">2020-06-15T21:07:00Z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SJ-025</vt:lpwstr>
  </property>
  <property fmtid="{D5CDD505-2E9C-101B-9397-08002B2CF9AE}" pid="10" name="DQCStatus">
    <vt:lpwstr>Green (DQC version 03)</vt:lpwstr>
  </property>
</Properties>
</file>