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4510B04E-50C1-4A61-A656-AA1D697C0C7D" style="width:451pt;height:293.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rPr>
      </w:pPr>
      <w:bookmarkStart w:id="1" w:name="_GoBack"/>
      <w:bookmarkEnd w:id="1"/>
      <w:r>
        <w:rPr>
          <w:rFonts w:ascii="Times New Roman" w:hAnsi="Times New Roman"/>
          <w:noProof/>
          <w:sz w:val="24"/>
          <w:szCs w:val="24"/>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iCs/>
          <w:noProof/>
        </w:rPr>
        <w:t>bis</w:t>
      </w:r>
      <w:r>
        <w:rPr>
          <w:noProof/>
        </w:rPr>
        <w:t>,</w:t>
      </w:r>
    </w:p>
    <w:p>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2"/>
      </w:r>
      <w:r>
        <w:rPr>
          <w:noProof/>
        </w:rPr>
        <w:t>, et notamment son article 44,</w:t>
      </w:r>
    </w:p>
    <w:p>
      <w:pPr>
        <w:pStyle w:val="Tiret0"/>
        <w:tabs>
          <w:tab w:val="clear" w:pos="850"/>
          <w:tab w:val="num" w:pos="927"/>
        </w:tabs>
        <w:rPr>
          <w:noProof/>
        </w:rPr>
      </w:pPr>
      <w:r>
        <w:rPr>
          <w:noProof/>
        </w:rPr>
        <w:t>le budget général de l’Union européenne pour l’exercice 2020, adopté le 27 novembre 2019</w:t>
      </w:r>
      <w:r>
        <w:rPr>
          <w:rStyle w:val="FootnoteReference"/>
          <w:noProof/>
        </w:rPr>
        <w:footnoteReference w:id="3"/>
      </w:r>
      <w:r>
        <w:rPr>
          <w:noProof/>
        </w:rPr>
        <w:t>,</w:t>
      </w:r>
    </w:p>
    <w:p>
      <w:pPr>
        <w:pStyle w:val="Tiret0"/>
        <w:rPr>
          <w:noProof/>
        </w:rPr>
      </w:pPr>
      <w:r>
        <w:rPr>
          <w:noProof/>
        </w:rPr>
        <w:t>le budget rectificatif nº 1/2020</w:t>
      </w:r>
      <w:r>
        <w:rPr>
          <w:rStyle w:val="FootnoteReference"/>
          <w:noProof/>
        </w:rPr>
        <w:footnoteReference w:id="4"/>
      </w:r>
      <w:r>
        <w:rPr>
          <w:noProof/>
        </w:rPr>
        <w:t>, adopté le 17 avril 2020,</w:t>
      </w:r>
    </w:p>
    <w:p>
      <w:pPr>
        <w:pStyle w:val="Tiret0"/>
        <w:rPr>
          <w:noProof/>
        </w:rPr>
      </w:pPr>
      <w:r>
        <w:rPr>
          <w:noProof/>
        </w:rPr>
        <w:t>le budget rectificatif nº 2/2020</w:t>
      </w:r>
      <w:r>
        <w:rPr>
          <w:rStyle w:val="FootnoteReference"/>
          <w:noProof/>
        </w:rPr>
        <w:footnoteReference w:id="5"/>
      </w:r>
      <w:r>
        <w:rPr>
          <w:noProof/>
        </w:rPr>
        <w:t>, adopté le 17 avril 2020,</w:t>
      </w:r>
    </w:p>
    <w:p>
      <w:pPr>
        <w:pStyle w:val="Tiret0"/>
        <w:rPr>
          <w:noProof/>
        </w:rPr>
      </w:pPr>
      <w:r>
        <w:rPr>
          <w:noProof/>
        </w:rPr>
        <w:t>le projet de budget rectificatif nº 3/2020</w:t>
      </w:r>
      <w:r>
        <w:rPr>
          <w:rStyle w:val="FootnoteReference"/>
          <w:noProof/>
        </w:rPr>
        <w:footnoteReference w:id="6"/>
      </w:r>
      <w:r>
        <w:rPr>
          <w:noProof/>
        </w:rPr>
        <w:t>, adopté le 15 avril 2020,</w:t>
      </w:r>
    </w:p>
    <w:p>
      <w:pPr>
        <w:pStyle w:val="Tiret0"/>
        <w:rPr>
          <w:noProof/>
        </w:rPr>
      </w:pPr>
      <w:r>
        <w:rPr>
          <w:noProof/>
        </w:rPr>
        <w:t>le projet de budget rectificatif nº 4/2020</w:t>
      </w:r>
      <w:r>
        <w:rPr>
          <w:rStyle w:val="FootnoteReference"/>
          <w:noProof/>
        </w:rPr>
        <w:footnoteReference w:id="7"/>
      </w:r>
      <w:r>
        <w:rPr>
          <w:noProof/>
        </w:rPr>
        <w:t>, adopté le 30 avril 2020,</w:t>
      </w:r>
    </w:p>
    <w:p>
      <w:pPr>
        <w:pStyle w:val="Tiret0"/>
        <w:rPr>
          <w:noProof/>
        </w:rPr>
      </w:pPr>
      <w:r>
        <w:rPr>
          <w:noProof/>
        </w:rPr>
        <w:t>le projet de budget rectificatif nº 5/2020</w:t>
      </w:r>
      <w:r>
        <w:rPr>
          <w:rStyle w:val="FootnoteReference"/>
          <w:noProof/>
        </w:rPr>
        <w:footnoteReference w:id="8"/>
      </w:r>
      <w:r>
        <w:rPr>
          <w:noProof/>
        </w:rPr>
        <w:t>, adopté le 3 juin 2020,</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Commission européenne présente ci-après au Parlement européen et au Conseil le projet de budget rectificatif nº 6/2020 au budget 2020.</w:t>
      </w:r>
    </w:p>
    <w:p>
      <w:pPr>
        <w:spacing w:after="0" w:line="240" w:lineRule="auto"/>
        <w:rPr>
          <w:rFonts w:ascii="Times New Roman" w:eastAsia="Times New Roman" w:hAnsi="Times New Roman" w:cs="Times New Roman"/>
          <w:b/>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MODIFICATIONS À L’ÉTAT DES RECETTES ET DES DÉPENSES PAR SECTION</w:t>
      </w:r>
    </w:p>
    <w:p>
      <w:pPr>
        <w:spacing w:after="0" w:line="240" w:lineRule="auto"/>
        <w:rPr>
          <w:rFonts w:ascii="Times New Roman" w:eastAsia="Times New Roman" w:hAnsi="Times New Roman" w:cs="Times New Roman"/>
          <w:b/>
          <w:noProof/>
          <w:sz w:val="24"/>
          <w:szCs w:val="24"/>
          <w:u w:val="single"/>
          <w:lang w:eastAsia="ko-KR"/>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modifications apportées à l’état général des recettes et à la section III sont disponibles sur EUR-Lex (</w:t>
      </w:r>
      <w:hyperlink r:id="rId16" w:history="1">
        <w:r>
          <w:rPr>
            <w:rFonts w:ascii="Times New Roman" w:hAnsi="Times New Roman"/>
            <w:noProof/>
            <w:sz w:val="24"/>
            <w:szCs w:val="24"/>
            <w:u w:val="single"/>
          </w:rPr>
          <w:t>http://eur-lex.europa.eu/budget/www/index-fr.htm</w:t>
        </w:r>
      </w:hyperlink>
      <w:r>
        <w:rPr>
          <w:rFonts w:ascii="Times New Roman" w:hAnsi="Times New Roman"/>
          <w:noProof/>
          <w:sz w:val="24"/>
          <w:szCs w:val="24"/>
        </w:rPr>
        <w:t>).</w:t>
      </w:r>
    </w:p>
    <w:p>
      <w:pPr>
        <w:spacing w:after="0" w:line="240" w:lineRule="auto"/>
        <w:rPr>
          <w:rFonts w:ascii="Times New Roman" w:eastAsia="Times New Roman" w:hAnsi="Times New Roman" w:cs="Times New Roman"/>
          <w:noProof/>
          <w:sz w:val="24"/>
          <w:szCs w:val="24"/>
          <w:lang w:eastAsia="en-GB"/>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bookmarkStart w:id="2" w:name="_Toc194220890" w:displacedByCustomXml="next"/>
    <w:bookmarkStart w:id="3" w:name="_Toc294675429" w:displacedByCustomXml="next"/>
    <w:bookmarkStart w:id="4" w:name="_Toc378575883" w:displacedByCustomXml="next"/>
    <w:sdt>
      <w:sdtPr>
        <w:rPr>
          <w:rFonts w:ascii="Times New Roman" w:eastAsia="Times New Roman" w:hAnsi="Times New Roman" w:cs="Times New Roman"/>
          <w:noProof/>
          <w:sz w:val="24"/>
          <w:szCs w:val="24"/>
        </w:rPr>
        <w:id w:val="-1342782297"/>
        <w:docPartObj>
          <w:docPartGallery w:val="Table of Contents"/>
          <w:docPartUnique/>
        </w:docPartObj>
      </w:sdtPr>
      <w:sdtEndPr>
        <w:rPr>
          <w:bCs/>
        </w:rPr>
      </w:sdtEndPr>
      <w:sdtContent>
        <w:p>
          <w:pPr>
            <w:spacing w:before="120" w:after="240" w:line="240" w:lineRule="auto"/>
            <w:jc w:val="center"/>
            <w:rPr>
              <w:rFonts w:ascii="Times New Roman" w:eastAsia="Times New Roman" w:hAnsi="Times New Roman" w:cs="Times New Roman"/>
              <w:b/>
              <w:noProof/>
              <w:sz w:val="28"/>
              <w:szCs w:val="24"/>
            </w:rPr>
          </w:pPr>
          <w:r>
            <w:rPr>
              <w:rFonts w:ascii="Times New Roman" w:hAnsi="Times New Roman"/>
              <w:b/>
              <w:noProof/>
              <w:sz w:val="28"/>
              <w:szCs w:val="24"/>
            </w:rPr>
            <w:t>Table des matières</w:t>
          </w:r>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43124732" w:history="1">
            <w:r>
              <w:rPr>
                <w:rStyle w:val="Hyperlink"/>
                <w:smallCaps/>
                <w:noProof/>
              </w:rPr>
              <w:t>1.</w:t>
            </w:r>
            <w:r>
              <w:rPr>
                <w:rFonts w:asciiTheme="minorHAnsi" w:eastAsiaTheme="minorEastAsia" w:hAnsiTheme="minorHAnsi" w:cstheme="minorBidi"/>
                <w:b w:val="0"/>
                <w:bCs w:val="0"/>
                <w:caps w:val="0"/>
                <w:noProof/>
                <w:sz w:val="22"/>
                <w:szCs w:val="22"/>
                <w:lang w:val="en-US" w:eastAsia="en-US"/>
              </w:rPr>
              <w:tab/>
            </w:r>
            <w:r>
              <w:rPr>
                <w:rStyle w:val="Hyperlink"/>
                <w:smallCaps/>
                <w:noProof/>
              </w:rPr>
              <w:t>Introduction</w:t>
            </w:r>
            <w:r>
              <w:rPr>
                <w:noProof/>
                <w:webHidden/>
              </w:rPr>
              <w:tab/>
            </w:r>
            <w:r>
              <w:rPr>
                <w:noProof/>
                <w:webHidden/>
              </w:rPr>
              <w:fldChar w:fldCharType="begin"/>
            </w:r>
            <w:r>
              <w:rPr>
                <w:noProof/>
                <w:webHidden/>
              </w:rPr>
              <w:instrText xml:space="preserve"> PAGEREF _Toc43124732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3124733"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Un volet de soutien à la solvabilité au sein du Fonds européen pour les investissements stratégiques (EFSI)</w:t>
            </w:r>
            <w:r>
              <w:rPr>
                <w:noProof/>
                <w:webHidden/>
              </w:rPr>
              <w:tab/>
            </w:r>
            <w:r>
              <w:rPr>
                <w:noProof/>
                <w:webHidden/>
              </w:rPr>
              <w:fldChar w:fldCharType="begin"/>
            </w:r>
            <w:r>
              <w:rPr>
                <w:noProof/>
                <w:webHidden/>
              </w:rPr>
              <w:instrText xml:space="preserve"> PAGEREF _Toc43124733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3124734" w:history="1">
            <w:r>
              <w:rPr>
                <w:rStyle w:val="Hyperlink"/>
                <w:smallCaps/>
                <w:noProof/>
              </w:rPr>
              <w:t>3.</w:t>
            </w:r>
            <w:r>
              <w:rPr>
                <w:rFonts w:asciiTheme="minorHAnsi" w:eastAsiaTheme="minorEastAsia" w:hAnsiTheme="minorHAnsi" w:cstheme="minorBidi"/>
                <w:b w:val="0"/>
                <w:bCs w:val="0"/>
                <w:caps w:val="0"/>
                <w:noProof/>
                <w:sz w:val="22"/>
                <w:szCs w:val="22"/>
                <w:lang w:val="en-US" w:eastAsia="en-US"/>
              </w:rPr>
              <w:tab/>
            </w:r>
            <w:r>
              <w:rPr>
                <w:rStyle w:val="Hyperlink"/>
                <w:smallCaps/>
                <w:noProof/>
              </w:rPr>
              <w:t>Renforcement du Fonds européen pour le développement durable (FEDD)</w:t>
            </w:r>
            <w:r>
              <w:rPr>
                <w:noProof/>
                <w:webHidden/>
              </w:rPr>
              <w:tab/>
            </w:r>
            <w:r>
              <w:rPr>
                <w:noProof/>
                <w:webHidden/>
              </w:rPr>
              <w:fldChar w:fldCharType="begin"/>
            </w:r>
            <w:r>
              <w:rPr>
                <w:noProof/>
                <w:webHidden/>
              </w:rPr>
              <w:instrText xml:space="preserve"> PAGEREF _Toc43124734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3124735" w:history="1">
            <w:r>
              <w:rPr>
                <w:rStyle w:val="Hyperlink"/>
                <w:smallCaps/>
                <w:noProof/>
              </w:rPr>
              <w:t>4.</w:t>
            </w:r>
            <w:r>
              <w:rPr>
                <w:rFonts w:asciiTheme="minorHAnsi" w:eastAsiaTheme="minorEastAsia" w:hAnsiTheme="minorHAnsi" w:cstheme="minorBidi"/>
                <w:b w:val="0"/>
                <w:bCs w:val="0"/>
                <w:caps w:val="0"/>
                <w:noProof/>
                <w:sz w:val="22"/>
                <w:szCs w:val="22"/>
                <w:lang w:val="en-US" w:eastAsia="en-US"/>
              </w:rPr>
              <w:tab/>
            </w:r>
            <w:r>
              <w:rPr>
                <w:rStyle w:val="Hyperlink"/>
                <w:smallCaps/>
                <w:noProof/>
              </w:rPr>
              <w:t>Mise en place de la nouvelle initiative React-EU</w:t>
            </w:r>
            <w:r>
              <w:rPr>
                <w:noProof/>
                <w:webHidden/>
              </w:rPr>
              <w:tab/>
            </w:r>
            <w:r>
              <w:rPr>
                <w:noProof/>
                <w:webHidden/>
              </w:rPr>
              <w:fldChar w:fldCharType="begin"/>
            </w:r>
            <w:r>
              <w:rPr>
                <w:noProof/>
                <w:webHidden/>
              </w:rPr>
              <w:instrText xml:space="preserve"> PAGEREF _Toc43124735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3124736" w:history="1">
            <w:r>
              <w:rPr>
                <w:rStyle w:val="Hyperlink"/>
                <w:smallCaps/>
                <w:noProof/>
              </w:rPr>
              <w:t>5.</w:t>
            </w:r>
            <w:r>
              <w:rPr>
                <w:rFonts w:asciiTheme="minorHAnsi" w:eastAsiaTheme="minorEastAsia" w:hAnsiTheme="minorHAnsi" w:cstheme="minorBidi"/>
                <w:b w:val="0"/>
                <w:bCs w:val="0"/>
                <w:caps w:val="0"/>
                <w:noProof/>
                <w:sz w:val="22"/>
                <w:szCs w:val="22"/>
                <w:lang w:val="en-US" w:eastAsia="en-US"/>
              </w:rPr>
              <w:tab/>
            </w:r>
            <w:r>
              <w:rPr>
                <w:rStyle w:val="Hyperlink"/>
                <w:smallCaps/>
                <w:noProof/>
              </w:rPr>
              <w:t>Augmentation du capital du Fonds européen d’investissement (FEI)</w:t>
            </w:r>
            <w:r>
              <w:rPr>
                <w:noProof/>
                <w:webHidden/>
              </w:rPr>
              <w:tab/>
            </w:r>
            <w:r>
              <w:rPr>
                <w:noProof/>
                <w:webHidden/>
              </w:rPr>
              <w:fldChar w:fldCharType="begin"/>
            </w:r>
            <w:r>
              <w:rPr>
                <w:noProof/>
                <w:webHidden/>
              </w:rPr>
              <w:instrText xml:space="preserve"> PAGEREF _Toc43124736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3124737" w:history="1">
            <w:r>
              <w:rPr>
                <w:rStyle w:val="Hyperlink"/>
                <w:noProof/>
              </w:rPr>
              <w:t>6.</w:t>
            </w:r>
            <w:r>
              <w:rPr>
                <w:rFonts w:asciiTheme="minorHAnsi" w:eastAsiaTheme="minorEastAsia" w:hAnsiTheme="minorHAnsi" w:cstheme="minorBidi"/>
                <w:b w:val="0"/>
                <w:bCs w:val="0"/>
                <w:caps w:val="0"/>
                <w:noProof/>
                <w:sz w:val="22"/>
                <w:szCs w:val="22"/>
                <w:lang w:val="en-US" w:eastAsia="en-US"/>
              </w:rPr>
              <w:tab/>
            </w:r>
            <w:r>
              <w:rPr>
                <w:rStyle w:val="Hyperlink"/>
                <w:noProof/>
              </w:rPr>
              <w:t>Financement</w:t>
            </w:r>
            <w:r>
              <w:rPr>
                <w:noProof/>
                <w:webHidden/>
              </w:rPr>
              <w:tab/>
            </w:r>
            <w:r>
              <w:rPr>
                <w:noProof/>
                <w:webHidden/>
              </w:rPr>
              <w:fldChar w:fldCharType="begin"/>
            </w:r>
            <w:r>
              <w:rPr>
                <w:noProof/>
                <w:webHidden/>
              </w:rPr>
              <w:instrText xml:space="preserve"> PAGEREF _Toc43124737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3124738" w:history="1">
            <w:r>
              <w:rPr>
                <w:rStyle w:val="Hyperlink"/>
                <w:noProof/>
              </w:rPr>
              <w:t>7.</w:t>
            </w:r>
            <w:r>
              <w:rPr>
                <w:rFonts w:asciiTheme="minorHAnsi" w:eastAsiaTheme="minorEastAsia" w:hAnsiTheme="minorHAnsi" w:cstheme="minorBidi"/>
                <w:b w:val="0"/>
                <w:bCs w:val="0"/>
                <w:caps w:val="0"/>
                <w:noProof/>
                <w:sz w:val="22"/>
                <w:szCs w:val="22"/>
                <w:lang w:val="en-US" w:eastAsia="en-US"/>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_Toc43124738 \h </w:instrText>
            </w:r>
            <w:r>
              <w:rPr>
                <w:noProof/>
                <w:webHidden/>
              </w:rPr>
            </w:r>
            <w:r>
              <w:rPr>
                <w:noProof/>
                <w:webHidden/>
              </w:rPr>
              <w:fldChar w:fldCharType="separate"/>
            </w:r>
            <w:r>
              <w:rPr>
                <w:noProof/>
                <w:webHidden/>
              </w:rPr>
              <w:t>6</w:t>
            </w:r>
            <w:r>
              <w:rPr>
                <w:noProof/>
                <w:webHidden/>
              </w:rPr>
              <w:fldChar w:fldCharType="end"/>
            </w:r>
          </w:hyperlink>
        </w:p>
        <w:p>
          <w:pPr>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fldChar w:fldCharType="end"/>
          </w:r>
        </w:p>
      </w:sdtContent>
    </w:sdt>
    <w:p>
      <w:pPr>
        <w:spacing w:after="0" w:line="240" w:lineRule="auto"/>
        <w:rPr>
          <w:rFonts w:ascii="Times New Roman" w:eastAsia="Times New Roman" w:hAnsi="Times New Roman" w:cs="Times New Roman"/>
          <w:b/>
          <w:noProof/>
          <w:sz w:val="24"/>
          <w:szCs w:val="24"/>
          <w:u w:val="single"/>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p>
    <w:p>
      <w:pPr>
        <w:spacing w:before="120" w:after="120" w:line="240" w:lineRule="auto"/>
        <w:jc w:val="center"/>
        <w:rPr>
          <w:rFonts w:ascii="Times New Roman" w:eastAsia="Times New Roman" w:hAnsi="Times New Roman" w:cs="Times New Roman"/>
          <w:b/>
          <w:noProof/>
          <w:sz w:val="24"/>
          <w:szCs w:val="24"/>
          <w:u w:val="single"/>
        </w:rPr>
      </w:pPr>
      <w:bookmarkStart w:id="5" w:name="_Toc351469332"/>
      <w:bookmarkStart w:id="6" w:name="_Toc361649879"/>
      <w:bookmarkEnd w:id="2"/>
      <w:r>
        <w:rPr>
          <w:rFonts w:ascii="Times New Roman" w:hAnsi="Times New Roman"/>
          <w:b/>
          <w:noProof/>
          <w:sz w:val="24"/>
          <w:szCs w:val="24"/>
          <w:u w:val="single"/>
        </w:rPr>
        <w:t>EXPOSÉ DES MOTIFS</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7" w:name="_Toc525202225"/>
      <w:bookmarkStart w:id="8" w:name="_Toc7167667"/>
      <w:bookmarkStart w:id="9" w:name="_Toc35506098"/>
      <w:bookmarkStart w:id="10" w:name="_Toc43124732"/>
      <w:r>
        <w:rPr>
          <w:rFonts w:ascii="Times New Roman" w:hAnsi="Times New Roman"/>
          <w:b/>
          <w:smallCaps/>
          <w:noProof/>
          <w:sz w:val="24"/>
          <w:szCs w:val="24"/>
        </w:rPr>
        <w:t>1.</w:t>
      </w:r>
      <w:r>
        <w:rPr>
          <w:noProof/>
        </w:rPr>
        <w:tab/>
      </w:r>
      <w:r>
        <w:rPr>
          <w:rFonts w:ascii="Times New Roman" w:hAnsi="Times New Roman"/>
          <w:b/>
          <w:smallCaps/>
          <w:noProof/>
          <w:sz w:val="24"/>
          <w:szCs w:val="24"/>
        </w:rPr>
        <w:t>Introduction</w:t>
      </w:r>
      <w:bookmarkEnd w:id="7"/>
      <w:bookmarkEnd w:id="8"/>
      <w:bookmarkEnd w:id="9"/>
      <w:bookmarkEnd w:id="10"/>
    </w:p>
    <w:p>
      <w:pPr>
        <w:spacing w:before="120" w:after="120" w:line="240" w:lineRule="auto"/>
        <w:jc w:val="both"/>
        <w:rPr>
          <w:rFonts w:ascii="Times New Roman" w:eastAsia="Times New Roman" w:hAnsi="Times New Roman" w:cs="Times New Roman"/>
          <w:noProof/>
          <w:sz w:val="24"/>
          <w:szCs w:val="24"/>
        </w:rPr>
      </w:pPr>
      <w:bookmarkStart w:id="11" w:name="_Toc7167668"/>
      <w:r>
        <w:rPr>
          <w:rFonts w:ascii="Times New Roman" w:hAnsi="Times New Roman"/>
          <w:noProof/>
          <w:sz w:val="24"/>
          <w:szCs w:val="24"/>
        </w:rPr>
        <w:t>Le projet de budget rectificatif (PBR) nº 6 pour l’exercice 2020 a pour objet de procurer 11 540,0 millions d’EUR en crédits d’engagement et 6 540,0 millions d’EUR en crédits de paiement pour tenir compte de l’incidence des propositions législatives adoptées par la Commission les 27, 28 et 29 mai dans le cadre de l’ensemble de mesures de l’Union européenne pour la relance de l’économie</w:t>
      </w:r>
      <w:r>
        <w:rPr>
          <w:rStyle w:val="FootnoteReference"/>
          <w:rFonts w:ascii="Times New Roman" w:eastAsia="Times New Roman" w:hAnsi="Times New Roman" w:cs="Times New Roman"/>
          <w:noProof/>
          <w:sz w:val="24"/>
          <w:szCs w:val="24"/>
          <w:lang w:eastAsia="de-DE"/>
        </w:rPr>
        <w:footnoteReference w:id="9"/>
      </w:r>
      <w:r>
        <w:rPr>
          <w:rFonts w:ascii="Times New Roman" w:hAnsi="Times New Roman"/>
          <w:noProof/>
          <w:sz w:val="24"/>
          <w:szCs w:val="24"/>
        </w:rPr>
        <w:t xml:space="preserve"> et complète la proposition de révision du règlement fixant le cadre financier pluriannuel pour 2020</w:t>
      </w:r>
      <w:r>
        <w:rPr>
          <w:rStyle w:val="FootnoteReference"/>
          <w:rFonts w:ascii="Times New Roman" w:eastAsia="Times New Roman" w:hAnsi="Times New Roman" w:cs="Times New Roman"/>
          <w:noProof/>
          <w:sz w:val="24"/>
          <w:szCs w:val="24"/>
          <w:lang w:eastAsia="de-DE"/>
        </w:rPr>
        <w:footnoteReference w:id="10"/>
      </w:r>
      <w:r>
        <w:rPr>
          <w:rFonts w:ascii="Times New Roman" w:hAnsi="Times New Roman"/>
          <w:noProof/>
          <w:sz w:val="24"/>
          <w:szCs w:val="24"/>
        </w:rPr>
        <w:t>.</w:t>
      </w:r>
    </w:p>
    <w:p>
      <w:pPr>
        <w:pStyle w:val="ManualHeading1"/>
        <w:rPr>
          <w:noProof/>
        </w:rPr>
      </w:pPr>
      <w:bookmarkStart w:id="12" w:name="_Toc34373733"/>
      <w:bookmarkStart w:id="13" w:name="_Toc43124733"/>
      <w:bookmarkStart w:id="14" w:name="_Toc35506109"/>
      <w:bookmarkStart w:id="15" w:name="_Toc514181802"/>
      <w:bookmarkStart w:id="16" w:name="_Toc12621018"/>
      <w:bookmarkEnd w:id="5"/>
      <w:bookmarkEnd w:id="6"/>
      <w:bookmarkEnd w:id="11"/>
      <w:bookmarkEnd w:id="4"/>
      <w:bookmarkEnd w:id="3"/>
      <w:r>
        <w:rPr>
          <w:noProof/>
        </w:rPr>
        <w:t>2.</w:t>
      </w:r>
      <w:r>
        <w:rPr>
          <w:noProof/>
        </w:rPr>
        <w:tab/>
      </w:r>
      <w:bookmarkEnd w:id="12"/>
      <w:r>
        <w:rPr>
          <w:noProof/>
        </w:rPr>
        <w:t>Un volet de soutien à la solvabilité au sein du Fonds européen pour les investissements stratégiques (EFSI)</w:t>
      </w:r>
      <w:bookmarkEnd w:id="13"/>
    </w:p>
    <w:p>
      <w:pPr>
        <w:pStyle w:val="Text1"/>
        <w:ind w:left="0"/>
        <w:rPr>
          <w:noProof/>
          <w:color w:val="000000"/>
        </w:rPr>
      </w:pPr>
      <w:r>
        <w:rPr>
          <w:noProof/>
          <w:color w:val="000000"/>
        </w:rPr>
        <w:t>La proposition de modification du règlement EFSI</w:t>
      </w:r>
      <w:r>
        <w:rPr>
          <w:rStyle w:val="FootnoteReference"/>
          <w:noProof/>
        </w:rPr>
        <w:footnoteReference w:id="11"/>
      </w:r>
      <w:r>
        <w:rPr>
          <w:noProof/>
          <w:color w:val="000000"/>
        </w:rPr>
        <w:t xml:space="preserve"> prévoit notamment la création d’un instrument spécifique de soutien à la solvabilité qui mobilisera des capitaux privés permettant de soutenir la solvabilité des entreprises touchées par la crise de la COVID-19 afin de leur permettre de retrouver un fonctionnement normal et de les renforcer dans la voie d’une activité rentable et durable tout en préservant l’emploi et en soutenant la compétitivité des entreprises européennes. Grâce aux crédits, le fonds de garantie de l’EFSI sera renforcé afin de soutenir les garanties accordées dans le cadre du nouveau volet de soutien à la solvabilité, d’augmenter l’enveloppe consacrée à la plateforme européenne de conseil en investissement et au portail européen de projets d’investissement pour les mesures de soutien à la solvabilité et de permettre le démarrage de l’instrument de soutien à la solvabilité dès 2020.</w:t>
      </w:r>
    </w:p>
    <w:p>
      <w:pPr>
        <w:pStyle w:val="Text1"/>
        <w:ind w:left="0"/>
        <w:rPr>
          <w:noProof/>
          <w:color w:val="000000"/>
        </w:rPr>
      </w:pPr>
      <w:r>
        <w:rPr>
          <w:noProof/>
        </w:rPr>
        <w:t>Les dépenses d’appui administratif sont proposées pour financer les coûts liés à l’analyse des risques et à l’établissement de rapports, à la mise en place et au suivi des règles de conformité ainsi qu’à l’informatique.</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iCs/>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Section III – Commission</w:t>
            </w:r>
          </w:p>
        </w:tc>
      </w:tr>
      <w:tr>
        <w:trPr>
          <w:jc w:val="center"/>
        </w:trPr>
        <w:tc>
          <w:tcPr>
            <w:tcW w:w="1276" w:type="dxa"/>
            <w:shd w:val="clear" w:color="auto" w:fill="auto"/>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01 01 04 01</w:t>
            </w:r>
          </w:p>
        </w:tc>
        <w:tc>
          <w:tcPr>
            <w:tcW w:w="5132" w:type="dxa"/>
            <w:shd w:val="clear" w:color="auto" w:fill="auto"/>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Dépenses d’appui pour le Fonds européen pour les investissements stratégiques (EFSI)</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2 000 000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2 000 000</w:t>
            </w:r>
          </w:p>
        </w:tc>
      </w:tr>
      <w:tr>
        <w:trPr>
          <w:jc w:val="center"/>
        </w:trPr>
        <w:tc>
          <w:tcPr>
            <w:tcW w:w="1276" w:type="dxa"/>
            <w:shd w:val="clear" w:color="auto" w:fill="auto"/>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01 04 05 02</w:t>
            </w:r>
          </w:p>
        </w:tc>
        <w:tc>
          <w:tcPr>
            <w:tcW w:w="5132" w:type="dxa"/>
            <w:shd w:val="clear" w:color="auto" w:fill="auto"/>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Fonds de garantie de l’EFSI — Volet «Instrument de soutien à la solvabilité»</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4 980 000 000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2 490 000 000</w:t>
            </w:r>
          </w:p>
        </w:tc>
      </w:tr>
      <w:tr>
        <w:trPr>
          <w:jc w:val="center"/>
        </w:trPr>
        <w:tc>
          <w:tcPr>
            <w:tcW w:w="1276" w:type="dxa"/>
            <w:shd w:val="clear" w:color="auto" w:fill="auto"/>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01 04 06 02</w:t>
            </w:r>
          </w:p>
        </w:tc>
        <w:tc>
          <w:tcPr>
            <w:tcW w:w="5132" w:type="dxa"/>
            <w:shd w:val="clear" w:color="auto" w:fill="auto"/>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EIAH et EIPP — Volet «Instrument de soutien à la solvabilité»</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18 000 000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8 000 000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Total</w:t>
            </w:r>
            <w:r>
              <w:rPr>
                <w:noProof/>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5 000 000 000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2 500 000 000</w:t>
            </w:r>
          </w:p>
        </w:tc>
      </w:tr>
    </w:tbl>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7" w:name="_Toc43124734"/>
      <w:r>
        <w:rPr>
          <w:rFonts w:ascii="Times New Roman" w:hAnsi="Times New Roman"/>
          <w:b/>
          <w:smallCaps/>
          <w:noProof/>
          <w:sz w:val="24"/>
          <w:szCs w:val="24"/>
        </w:rPr>
        <w:t>3.</w:t>
      </w:r>
      <w:r>
        <w:rPr>
          <w:noProof/>
        </w:rPr>
        <w:tab/>
      </w:r>
      <w:bookmarkEnd w:id="14"/>
      <w:r>
        <w:rPr>
          <w:rFonts w:ascii="Times New Roman" w:hAnsi="Times New Roman"/>
          <w:b/>
          <w:smallCaps/>
          <w:noProof/>
          <w:sz w:val="24"/>
          <w:szCs w:val="24"/>
        </w:rPr>
        <w:t>Renforcement du Fonds européen pour le développement durable (FEDD)</w:t>
      </w:r>
      <w:bookmarkEnd w:id="17"/>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Une modification du règlement relatif au FEDD</w:t>
      </w:r>
      <w:r>
        <w:rPr>
          <w:rStyle w:val="FootnoteReference"/>
          <w:rFonts w:ascii="Times New Roman" w:eastAsia="Times New Roman" w:hAnsi="Times New Roman" w:cs="Times New Roman"/>
          <w:noProof/>
          <w:sz w:val="24"/>
          <w:szCs w:val="24"/>
          <w:lang w:eastAsia="en-GB"/>
        </w:rPr>
        <w:footnoteReference w:id="12"/>
      </w:r>
      <w:r>
        <w:rPr>
          <w:rFonts w:ascii="Times New Roman" w:hAnsi="Times New Roman"/>
          <w:noProof/>
          <w:sz w:val="24"/>
          <w:szCs w:val="24"/>
        </w:rPr>
        <w:t xml:space="preserve"> a été proposée dans le cadre de la réaction à la pandémie de COVID-19 et à ses conséquences. La mise à disposition de fonds supplémentaires en faveur du FEDD au titre de l’actuel cadre financier pluriannuel permettra d’accroître ses capacités d’octroi de garanties dans les pays partenaires et facilitera ainsi une réaction rapide à la pandémie de COVID-19 dans ces régions. Cette modification élargit le périmètre géographique aux Balkans occidentaux et prolonge également d’un an, jusqu’au 31 décembre 2021, la période d’investissement pendant laquelle les accords de garantie FEDD destinés à soutenir des opérations de financement et d’investissement peuvent être conclus.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 montant limité de dépenses d’appui administratif et technique est proposé pour l’extension du règlement, notamment en ce qui concerne la modification des contrats d’appui FEDD visant à élargir leur portée aux Balkans occidentaux</w:t>
      </w:r>
      <w:r>
        <w:rPr>
          <w:rStyle w:val="FootnoteReference"/>
          <w:rFonts w:ascii="Times New Roman" w:eastAsia="Times New Roman" w:hAnsi="Times New Roman" w:cs="Times New Roman"/>
          <w:noProof/>
          <w:sz w:val="24"/>
          <w:szCs w:val="24"/>
          <w:lang w:eastAsia="en-GB"/>
        </w:rPr>
        <w:footnoteReference w:id="13"/>
      </w:r>
      <w:r>
        <w:rPr>
          <w:rFonts w:ascii="Times New Roman" w:hAnsi="Times New Roman"/>
          <w:noProof/>
          <w:sz w:val="24"/>
          <w:szCs w:val="24"/>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keepNext/>
              <w:widowControl w:val="0"/>
              <w:spacing w:before="15" w:after="15"/>
              <w:jc w:val="right"/>
              <w:rPr>
                <w:rFonts w:ascii="Times New Roman" w:hAnsi="Times New Roman" w:cs="Times New Roman"/>
                <w:i/>
                <w:noProof/>
                <w:sz w:val="20"/>
                <w:szCs w:val="20"/>
              </w:rPr>
            </w:pPr>
            <w:r>
              <w:rPr>
                <w:rFonts w:ascii="Times New Roman" w:hAnsi="Times New Roman"/>
                <w:i/>
                <w:iCs/>
                <w:noProof/>
                <w:sz w:val="20"/>
                <w:szCs w:val="20"/>
              </w:rPr>
              <w:t>(en EUR)</w:t>
            </w:r>
          </w:p>
        </w:tc>
      </w:tr>
      <w:tr>
        <w:trPr>
          <w:jc w:val="center"/>
        </w:trPr>
        <w:tc>
          <w:tcPr>
            <w:tcW w:w="1276" w:type="dxa"/>
            <w:tcBorders>
              <w:top w:val="single" w:sz="4" w:space="0" w:color="auto"/>
            </w:tcBorders>
            <w:shd w:val="clear" w:color="auto" w:fill="D9D9D9"/>
            <w:vAlign w:val="center"/>
          </w:tcPr>
          <w:p>
            <w:pPr>
              <w:keepNext/>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Section III – Commission</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01 01 04 02</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Dépenses d’appui pour le Fonds européen pour le développement durable (FEDD)</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1 000 000</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01 03 08 02</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Provisionnement du fonds de garantie FEDD — Réaction à la pandémie de COVID-19</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1 039 000 000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1 039 000 000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Total</w:t>
            </w:r>
            <w:r>
              <w:rPr>
                <w:noProof/>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1 040 000 000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1 040 000 000</w:t>
            </w:r>
          </w:p>
        </w:tc>
      </w:tr>
    </w:tbl>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8" w:name="_Toc43124735"/>
      <w:r>
        <w:rPr>
          <w:rFonts w:ascii="Times New Roman" w:hAnsi="Times New Roman"/>
          <w:b/>
          <w:smallCaps/>
          <w:noProof/>
          <w:sz w:val="24"/>
          <w:szCs w:val="24"/>
        </w:rPr>
        <w:t>4.</w:t>
      </w:r>
      <w:r>
        <w:rPr>
          <w:noProof/>
        </w:rPr>
        <w:tab/>
      </w:r>
      <w:r>
        <w:rPr>
          <w:rFonts w:ascii="Times New Roman" w:hAnsi="Times New Roman"/>
          <w:b/>
          <w:smallCaps/>
          <w:noProof/>
          <w:sz w:val="24"/>
          <w:szCs w:val="24"/>
        </w:rPr>
        <w:t>Mise en place de la nouvelle initiative React-EU</w:t>
      </w:r>
      <w:bookmarkEnd w:id="18"/>
    </w:p>
    <w:p>
      <w:pPr>
        <w:jc w:val="both"/>
        <w:rPr>
          <w:rFonts w:ascii="Times New Roman" w:hAnsi="Times New Roman" w:cs="Times New Roman"/>
          <w:noProof/>
          <w:sz w:val="24"/>
          <w:szCs w:val="24"/>
        </w:rPr>
      </w:pPr>
      <w:bookmarkStart w:id="19" w:name="_Toc35506101"/>
      <w:r>
        <w:rPr>
          <w:rFonts w:ascii="Times New Roman" w:hAnsi="Times New Roman"/>
          <w:noProof/>
          <w:color w:val="000000"/>
          <w:sz w:val="24"/>
          <w:szCs w:val="24"/>
        </w:rPr>
        <w:t>Dans le cadre de l’initiative React-EU</w:t>
      </w:r>
      <w:r>
        <w:rPr>
          <w:rStyle w:val="FootnoteReference"/>
          <w:rFonts w:ascii="Times New Roman" w:eastAsia="Times New Roman" w:hAnsi="Times New Roman" w:cs="Times New Roman"/>
          <w:noProof/>
          <w:sz w:val="24"/>
          <w:szCs w:val="24"/>
          <w:lang w:eastAsia="en-GB"/>
        </w:rPr>
        <w:footnoteReference w:id="14"/>
      </w:r>
      <w:r>
        <w:rPr>
          <w:rFonts w:ascii="Times New Roman" w:hAnsi="Times New Roman"/>
          <w:noProof/>
          <w:sz w:val="24"/>
          <w:szCs w:val="24"/>
        </w:rPr>
        <w:t>, les États membres seront habilités à utiliser des montants supplémentaires au titre de l’objectif «Investissement pour la croissance et l’emploi» du Fonds européen de développement régional (FEDER) ou du Fonds social européen (FSE) pour fournir un soutien aux opérations favorisant la réparation des dommages à la suite de la crise engendrée par la pandémie de COVID-19 dans les régions dont l’économie et l’emploi ont été plus durement touchés et qui préparent la reprise de leur économie, ou pour augmenter volontairement la dotation allouée aux programmes soutenus par le Fonds européen d’aide aux plus démunis (FEAD).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iCs/>
                <w:noProof/>
                <w:sz w:val="20"/>
                <w:szCs w:val="20"/>
              </w:rPr>
              <w:t>(en EUR)</w:t>
            </w:r>
          </w:p>
        </w:tc>
      </w:tr>
      <w:tr>
        <w:trPr>
          <w:jc w:val="center"/>
        </w:trPr>
        <w:tc>
          <w:tcPr>
            <w:tcW w:w="1276"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vAlign w:val="center"/>
          </w:tcPr>
          <w:p>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Section III – Commission</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04 02 59</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Fonds social européen — Financement au titre de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1 494 750 000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747 375 000</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04 02 63 03</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Fonds social européen — Assistance technique opérationnelle — Financement au titre de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5 250 000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2 625 000</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04 06 03 01</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FEAD — Dépenses opérationnelles — Financement au titre de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04 06 03 02</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FEAD — Assistance technique opérationnelle — Financement au titre de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13 03 59</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Fonds européen de développement régional (FEDER) — Financement au titre de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3 487 750 000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1 743 875 000</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13 03 65 03</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Fonds européen de développement régional (FEDER) — Assistance technique opérationnelle — Financement au titre de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12 250 000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6 125 000</w:t>
            </w:r>
          </w:p>
        </w:tc>
      </w:tr>
      <w:tr>
        <w:trPr>
          <w:jc w:val="center"/>
        </w:trPr>
        <w:tc>
          <w:tcPr>
            <w:tcW w:w="640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Total</w:t>
            </w:r>
            <w:r>
              <w:rPr>
                <w:noProof/>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5 000 000 000</w:t>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2 500 000 000</w:t>
            </w:r>
          </w:p>
        </w:tc>
      </w:tr>
    </w:tbl>
    <w:bookmarkEnd w:id="19"/>
    <w:p>
      <w:pPr>
        <w:spacing w:before="120"/>
        <w:jc w:val="both"/>
        <w:rPr>
          <w:rFonts w:ascii="Times New Roman" w:hAnsi="Times New Roman" w:cs="Times New Roman"/>
          <w:noProof/>
          <w:color w:val="000000"/>
          <w:sz w:val="24"/>
          <w:szCs w:val="24"/>
        </w:rPr>
      </w:pPr>
      <w:r>
        <w:rPr>
          <w:rFonts w:ascii="Times New Roman" w:hAnsi="Times New Roman"/>
          <w:noProof/>
          <w:color w:val="000000"/>
          <w:sz w:val="24"/>
          <w:szCs w:val="24"/>
        </w:rPr>
        <w:t>En raison du caractère extraordinaire de la situation, des règles spécifiques sont proposées en ce qui concerne l’exécution des crédits React-EU (niveau substantiel de préfinancement initial, cofinancement de l’UE à hauteur de 100 %). Il est nécessaire que ces ressources soient programmées au titre d’un ou de plusieurs nouveaux axes prioritaires spécifiques ou, le cas échéant, au titre d’un nouveau programme opérationnel spécifique. La structure budgétaire sera adaptée en conséquence: 3 nouvelles lignes budgétaires seront créées sous le titre 04 «Emploi, affaires sociales et inclusion» pour le FSE et le FEAD et sous le titre 13 «Politique régionale et urbaine» pour le FEDER, afin de permettre la transparence en matière de mise en œuvre de l’initiative React-EU et de communication d’informations la concernant. La ventilation entre les lignes du FSE et celles du FEDER est indicative, étant donné que la dotation finale de chaque Fonds sera connue lors de l’adoption des programmes.</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20" w:name="_Toc43124736"/>
      <w:r>
        <w:rPr>
          <w:rFonts w:ascii="Times New Roman" w:hAnsi="Times New Roman"/>
          <w:b/>
          <w:smallCaps/>
          <w:noProof/>
          <w:sz w:val="24"/>
          <w:szCs w:val="24"/>
        </w:rPr>
        <w:t>5.</w:t>
      </w:r>
      <w:r>
        <w:rPr>
          <w:noProof/>
        </w:rPr>
        <w:tab/>
      </w:r>
      <w:r>
        <w:rPr>
          <w:rFonts w:ascii="Times New Roman" w:hAnsi="Times New Roman"/>
          <w:b/>
          <w:smallCaps/>
          <w:noProof/>
          <w:sz w:val="24"/>
          <w:szCs w:val="24"/>
        </w:rPr>
        <w:t>Augmentation du capital du Fonds européen d’investissement (FEI)</w:t>
      </w:r>
      <w:bookmarkEnd w:id="20"/>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La Commission et le Fonds européen d’investissement renforceront leur collaboration, le FEI étant chargé de l’exécution des montants de garantie supplémentaires couverts par le budget de l’UE dans le cadre de l’ensemble de mesures de l’Union pour la relance de l’économie. Afin de maintenir sa capacité financière et de préserver son profil de haute qualité sur les marchés financiers, il est devenu essentiel d’augmenter le capital du FEI. L’Union européenne devrait participer à cette augmentation, conformément à son engagement de longue durée avec le FEI. Les crédits</w:t>
      </w:r>
      <w:r>
        <w:rPr>
          <w:rFonts w:ascii="Times New Roman" w:hAnsi="Times New Roman"/>
          <w:noProof/>
          <w:color w:val="1F497D"/>
          <w:sz w:val="24"/>
          <w:szCs w:val="24"/>
        </w:rPr>
        <w:t xml:space="preserve"> </w:t>
      </w:r>
      <w:r>
        <w:rPr>
          <w:rFonts w:ascii="Times New Roman" w:hAnsi="Times New Roman"/>
          <w:noProof/>
          <w:color w:val="000000"/>
          <w:sz w:val="24"/>
          <w:szCs w:val="24"/>
        </w:rPr>
        <w:t xml:space="preserve">seront utilisés pour participer à l’augmentation de capital envisagée par le FEI en 2020.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Dès que l’augmentation de capital du FEI aura été confirmée par le conseil d’administration, la Commission présentera une proposition de décision du Parlement européen et du Conseil concernant la participation de l’Union européenne à l’augmentation de capital du FEI. En attendant l’adoption de ladite décision, les crédits correspondants seront inscrits au budget à titre de provision, conformément à l’article 49 du règlement financier.</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iCs/>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Section III – Commission</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p>
        </w:tc>
        <w:tc>
          <w:tcPr>
            <w:tcW w:w="5132" w:type="dxa"/>
          </w:tcPr>
          <w:p>
            <w:pPr>
              <w:widowControl w:val="0"/>
              <w:tabs>
                <w:tab w:val="left" w:pos="1350"/>
              </w:tabs>
              <w:spacing w:before="15" w:after="15"/>
              <w:jc w:val="both"/>
              <w:rPr>
                <w:rFonts w:ascii="Times New Roman" w:hAnsi="Times New Roman" w:cs="Times New Roman"/>
                <w:noProof/>
                <w:sz w:val="16"/>
                <w:szCs w:val="16"/>
              </w:rPr>
            </w:pP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40 02 41</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 xml:space="preserve">Crédits dissociés </w:t>
            </w:r>
            <w:r>
              <w:rPr>
                <w:rFonts w:ascii="Times New Roman" w:hAnsi="Times New Roman"/>
                <w:i/>
                <w:noProof/>
                <w:sz w:val="16"/>
                <w:szCs w:val="16"/>
              </w:rPr>
              <w:t>(Réserve pour le poste 01 04 01 03 – Fonds européen d’investissement — Fonds européen d’investissement — Mise à disposition des parts libérées du capital souscrit pour soutenir l’économie européenne et sa relance, en particulier les petites et moyennes entreprises)</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500 000 000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500 000 000</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01 04 01 04</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Fonds européen d’investissement — Partie appelable du capital souscrit pour soutenir l’économie européenne et sa relance, en particulier les petites et moyennes entreprises</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Total</w:t>
            </w:r>
            <w:r>
              <w:rPr>
                <w:noProof/>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500 000 000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500 000 000</w:t>
            </w:r>
          </w:p>
        </w:tc>
      </w:tr>
    </w:tbl>
    <w:p>
      <w:pPr>
        <w:pStyle w:val="ManualHeading1"/>
        <w:rPr>
          <w:noProof/>
        </w:rPr>
      </w:pPr>
      <w:bookmarkStart w:id="21" w:name="_Toc43124737"/>
      <w:bookmarkStart w:id="22" w:name="_Toc35506112"/>
      <w:r>
        <w:rPr>
          <w:noProof/>
        </w:rPr>
        <w:t>6.</w:t>
      </w:r>
      <w:r>
        <w:rPr>
          <w:noProof/>
        </w:rPr>
        <w:tab/>
        <w:t>Financement</w:t>
      </w:r>
      <w:bookmarkEnd w:id="21"/>
    </w:p>
    <w:p>
      <w:pPr>
        <w:pStyle w:val="Text1"/>
        <w:ind w:left="0"/>
        <w:rPr>
          <w:noProof/>
        </w:rPr>
      </w:pPr>
      <w:r>
        <w:rPr>
          <w:noProof/>
        </w:rPr>
        <w:t>Étant donné que les marges sous les plafonds du CFP et les disponibilités des instruments spéciaux pour 2020 étaient épuisées, dans leur quasi-totalité, après la proposition de projet de budget rectificatif nº 5, la seule possibilité de financer le lancement du plan de relance pour l’Europe en 2020 consiste à relever les plafonds des engagements pour 2020 pour les sous-rubriques 1a et 1b et la rubrique 4, comme proposé dans le cadre de la révision du règlement CFP pour 2020. Le présent projet de budget rectificatif, qui ne peut être adopté définitivement qu’après l’adoption de la révision du CFP, sera ensuite financé dans les limites des plafonds relevés sans recours aux instruments spéciaux.</w:t>
      </w:r>
    </w:p>
    <w:p>
      <w:pPr>
        <w:pStyle w:val="Text1"/>
        <w:ind w:left="0"/>
        <w:rPr>
          <w:noProof/>
        </w:rPr>
      </w:pPr>
      <w:r>
        <w:rPr>
          <w:noProof/>
        </w:rPr>
        <w:t xml:space="preserve">La proposition de révision du règlement CFP relève les plafonds des engagements et ne s’applique donc pas au Royaume-Uni, étant donné que l’article 135, paragraphe 2, de l’accord sur le retrait du Royaume-Uni de Grande-Bretagne et d’Irlande du Nord de l’Union européenne et de la Communauté européenne de l’énergie atomique prévoit que les modifications apportées au règlement (UE, Euratom) nº 1311/2013 du Conseil qui sont adoptées à la date d’entrée en vigueur dudit accord ou après cette date ne s’appliquent pas au Royaume-Uni </w:t>
      </w:r>
      <w:r>
        <w:rPr>
          <w:i/>
          <w:noProof/>
        </w:rPr>
        <w:t>dans la mesure où ces modifications ont une incidence sur les obligations financières du Royaume-Uni</w:t>
      </w:r>
      <w:r>
        <w:rPr>
          <w:noProof/>
        </w:rPr>
        <w:t>. Par conséquent, le présent projet de budget rectificatif nº 6 ne crée pas de nouveaux droits ou obligations pour le Royaume-Uni: le Royaume-Uni ne contribuera pas au financement du présent PBR et ne bénéficiera d’aucun des programmes renforcés par l’intermédiaire de celui-ci ni d’aucun remboursement au titre des investissements réalisés dans le cadre de ce PBR. Afin de garantir une transparence totale, il est proposé de créer des lignes budgétaires spécifiques pour l’ensemble des crédits supplémentaires proposés dans le présent PBR.</w:t>
      </w:r>
    </w:p>
    <w:p>
      <w:pPr>
        <w:pStyle w:val="Text1"/>
        <w:ind w:left="0"/>
        <w:rPr>
          <w:noProof/>
        </w:rPr>
      </w:pPr>
      <w:r>
        <w:rPr>
          <w:noProof/>
        </w:rPr>
        <w:t>Les tableaux financiers de l’annexe budgétaire présentent le financement du présent budget rectificatif par l’UE à 27.</w:t>
      </w:r>
    </w:p>
    <w:p>
      <w:pPr>
        <w:rPr>
          <w:rFonts w:ascii="Times New Roman" w:eastAsia="Times New Roman" w:hAnsi="Times New Roman" w:cs="Times New Roman"/>
          <w:b/>
          <w:smallCaps/>
          <w:noProof/>
          <w:sz w:val="24"/>
          <w:szCs w:val="24"/>
        </w:rPr>
      </w:pPr>
      <w:r>
        <w:rPr>
          <w:noProof/>
        </w:rPr>
        <w:br w:type="page"/>
      </w:r>
    </w:p>
    <w:p>
      <w:pPr>
        <w:pStyle w:val="ManualHeading1"/>
        <w:rPr>
          <w:noProof/>
        </w:rPr>
      </w:pPr>
      <w:bookmarkStart w:id="23" w:name="_Toc43124738"/>
      <w:r>
        <w:rPr>
          <w:noProof/>
        </w:rPr>
        <w:t>7.</w:t>
      </w:r>
      <w:r>
        <w:rPr>
          <w:noProof/>
        </w:rPr>
        <w:tab/>
        <w:t>Tableau récapitulatif par rubrique du CFP</w:t>
      </w:r>
      <w:bookmarkEnd w:id="15"/>
      <w:bookmarkEnd w:id="16"/>
      <w:bookmarkEnd w:id="22"/>
      <w:bookmarkEnd w:id="23"/>
    </w:p>
    <w:tbl>
      <w:tblPr>
        <w:tblW w:w="10696" w:type="dxa"/>
        <w:jc w:val="center"/>
        <w:tblCellMar>
          <w:left w:w="70" w:type="dxa"/>
          <w:right w:w="70" w:type="dxa"/>
        </w:tblCellMar>
        <w:tblLook w:val="04A0" w:firstRow="1" w:lastRow="0" w:firstColumn="1" w:lastColumn="0" w:noHBand="0" w:noVBand="1"/>
      </w:tblPr>
      <w:tblGrid>
        <w:gridCol w:w="280"/>
        <w:gridCol w:w="2579"/>
        <w:gridCol w:w="1348"/>
        <w:gridCol w:w="1336"/>
        <w:gridCol w:w="1300"/>
        <w:gridCol w:w="1300"/>
        <w:gridCol w:w="1248"/>
        <w:gridCol w:w="1291"/>
        <w:gridCol w:w="14"/>
      </w:tblGrid>
      <w:tr>
        <w:trPr>
          <w:trHeight w:val="188"/>
          <w:jc w:val="center"/>
        </w:trPr>
        <w:tc>
          <w:tcPr>
            <w:tcW w:w="10696" w:type="dxa"/>
            <w:gridSpan w:val="9"/>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(en EUR)</w:t>
            </w:r>
          </w:p>
        </w:tc>
      </w:tr>
      <w:tr>
        <w:trPr>
          <w:gridAfter w:val="1"/>
          <w:wAfter w:w="14" w:type="dxa"/>
          <w:trHeight w:val="209"/>
          <w:jc w:val="center"/>
        </w:trPr>
        <w:tc>
          <w:tcPr>
            <w:tcW w:w="2859"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Rubrique</w:t>
            </w:r>
          </w:p>
        </w:tc>
        <w:tc>
          <w:tcPr>
            <w:tcW w:w="2684"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Budget 2020</w:t>
            </w:r>
          </w:p>
        </w:tc>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Projet de budget rectificatif nº 6/2020</w:t>
            </w:r>
          </w:p>
        </w:tc>
        <w:tc>
          <w:tcPr>
            <w:tcW w:w="2539"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Budget 2020</w:t>
            </w:r>
          </w:p>
        </w:tc>
      </w:tr>
      <w:tr>
        <w:trPr>
          <w:gridAfter w:val="1"/>
          <w:wAfter w:w="14" w:type="dxa"/>
          <w:trHeight w:val="209"/>
          <w:jc w:val="center"/>
        </w:trPr>
        <w:tc>
          <w:tcPr>
            <w:tcW w:w="2859"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684"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(y compris BR 1-2 et PBR 3-5/2020)</w:t>
            </w:r>
          </w:p>
        </w:tc>
        <w:tc>
          <w:tcPr>
            <w:tcW w:w="260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539"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(y compris BR 1-2 et PBR 3-6/2020)</w:t>
            </w:r>
          </w:p>
        </w:tc>
      </w:tr>
      <w:tr>
        <w:trPr>
          <w:gridAfter w:val="1"/>
          <w:wAfter w:w="14" w:type="dxa"/>
          <w:trHeight w:val="209"/>
          <w:jc w:val="center"/>
        </w:trPr>
        <w:tc>
          <w:tcPr>
            <w:tcW w:w="2859"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1348" w:type="dxa"/>
            <w:tcBorders>
              <w:top w:val="nil"/>
              <w:left w:val="nil"/>
              <w:bottom w:val="nil"/>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CE</w:t>
            </w:r>
          </w:p>
        </w:tc>
        <w:tc>
          <w:tcPr>
            <w:tcW w:w="133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CP</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CE</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CP</w:t>
            </w:r>
          </w:p>
        </w:tc>
        <w:tc>
          <w:tcPr>
            <w:tcW w:w="124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CE</w:t>
            </w:r>
          </w:p>
        </w:tc>
        <w:tc>
          <w:tcPr>
            <w:tcW w:w="129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CP</w:t>
            </w:r>
          </w:p>
        </w:tc>
      </w:tr>
      <w:tr>
        <w:trPr>
          <w:gridAfter w:val="1"/>
          <w:wAfter w:w="14" w:type="dxa"/>
          <w:trHeight w:val="227"/>
          <w:jc w:val="center"/>
        </w:trPr>
        <w:tc>
          <w:tcPr>
            <w:tcW w:w="28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w:t>
            </w:r>
          </w:p>
        </w:tc>
        <w:tc>
          <w:tcPr>
            <w:tcW w:w="2579"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Croissance intelligente et inclusive</w:t>
            </w:r>
          </w:p>
        </w:tc>
        <w:tc>
          <w:tcPr>
            <w:tcW w:w="134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83 930 597 837</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72 353 828 442</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10 500 000 000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5 500 000 000</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94 430 597 837</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77 853 828 442</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Plafond </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94 161 000 000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1a</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Compétitivité pour la croissance et l’emploi</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25 284 773 982</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22 308 071 592</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5 500 000 000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3 000 000 000</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30 784 773 982</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25 308 071 592</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globale pour les engagements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30 691 000 000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1b </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Cohésion économique, sociale et territoriale</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50 045 756 850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5 000 000 000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2 500 000 000</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63 645 823 855</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52 545 756 850</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globale pour les engagements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63 470 000 000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375"/>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2.</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Croissance durable: ressources naturelles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346"/>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dont: Fonds européen agricole de garantie (FEAGA) — Dépenses relatives au marché et paiements directs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Sous-plafond</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Écart d’arrondis exclu du calcul de la marge</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 du FEAGA</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3.</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Sécurité et citoyenneté</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5 278 527 141</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5 278 527 141</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l’instrument de flexibilité</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globale pour les engagements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pour imprévus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4.</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L’Europe dans le monde</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10 991 572 239</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9 112 061 191</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1 040 000 000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1 040 000 000</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12 031 572 239</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10 152 061 191</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relevant de la marge pour imprévus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11 550 000 000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348"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Administration</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Plafond</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360"/>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dont: dépenses administratives des institutions</w:t>
            </w:r>
          </w:p>
        </w:tc>
        <w:tc>
          <w:tcPr>
            <w:tcW w:w="134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336"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c>
          <w:tcPr>
            <w:tcW w:w="130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30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4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29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Sous-plafond</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dont part compensée sur la marge pour imprévus</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Marge</w:t>
            </w:r>
          </w:p>
        </w:tc>
        <w:tc>
          <w:tcPr>
            <w:tcW w:w="1348"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336"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291"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Total</w:t>
            </w:r>
          </w:p>
        </w:tc>
        <w:tc>
          <w:tcPr>
            <w:tcW w:w="134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172 252 759 110</w:t>
            </w:r>
          </w:p>
        </w:tc>
        <w:tc>
          <w:tcPr>
            <w:tcW w:w="1336"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154 923 105 917</w:t>
            </w:r>
          </w:p>
        </w:tc>
        <w:tc>
          <w:tcPr>
            <w:tcW w:w="130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11 540 000 000</w:t>
            </w:r>
          </w:p>
        </w:tc>
        <w:tc>
          <w:tcPr>
            <w:tcW w:w="130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6 540 000 000</w:t>
            </w:r>
          </w:p>
        </w:tc>
        <w:tc>
          <w:tcPr>
            <w:tcW w:w="124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183 792 759 110</w:t>
            </w:r>
          </w:p>
        </w:tc>
        <w:tc>
          <w:tcPr>
            <w:tcW w:w="129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161 463 105 917</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relevant de l’instrument de flexibilité</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relevant de la marge globale pour les engagements</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relevant de la marge pour imprévus</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Plafond</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180 337 000 000</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dont part compensée sur la marge pour imprévus</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nil"/>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Marge</w:t>
            </w:r>
          </w:p>
        </w:tc>
        <w:tc>
          <w:tcPr>
            <w:tcW w:w="13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48 655 078</w:t>
            </w:r>
          </w:p>
        </w:tc>
        <w:tc>
          <w:tcPr>
            <w:tcW w:w="133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18 513 923 527</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48 655 078</w:t>
            </w:r>
          </w:p>
        </w:tc>
        <w:tc>
          <w:tcPr>
            <w:tcW w:w="129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11 973 923 527</w:t>
            </w:r>
          </w:p>
        </w:tc>
      </w:tr>
      <w:tr>
        <w:trPr>
          <w:gridAfter w:val="1"/>
          <w:wAfter w:w="14" w:type="dxa"/>
          <w:trHeight w:val="227"/>
          <w:jc w:val="center"/>
        </w:trPr>
        <w:tc>
          <w:tcPr>
            <w:tcW w:w="280"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Autres instruments spéciaux</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860 261 208</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690 998 208</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860 261 208</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690 998 208</w:t>
            </w:r>
          </w:p>
        </w:tc>
      </w:tr>
      <w:tr>
        <w:trPr>
          <w:gridAfter w:val="1"/>
          <w:wAfter w:w="14" w:type="dxa"/>
          <w:trHeight w:val="227"/>
          <w:jc w:val="center"/>
        </w:trPr>
        <w:tc>
          <w:tcPr>
            <w:tcW w:w="2859"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Total général</w:t>
            </w:r>
          </w:p>
        </w:tc>
        <w:tc>
          <w:tcPr>
            <w:tcW w:w="13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173 113 020 318</w:t>
            </w:r>
          </w:p>
        </w:tc>
        <w:tc>
          <w:tcPr>
            <w:tcW w:w="133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155 614 104 125</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11 540 000 000</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6 540 000 000</w:t>
            </w:r>
          </w:p>
        </w:tc>
        <w:tc>
          <w:tcPr>
            <w:tcW w:w="12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184 653 020 318</w:t>
            </w:r>
          </w:p>
        </w:tc>
        <w:tc>
          <w:tcPr>
            <w:tcW w:w="129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162 154 104 125</w:t>
            </w:r>
          </w:p>
        </w:tc>
      </w:tr>
    </w:tbl>
    <w:p>
      <w:pPr>
        <w:pStyle w:val="Text1"/>
        <w:ind w:left="0"/>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Arial" w:hAnsi="Arial" w:cs="Arial"/>
        <w:b/>
        <w:sz w:val="48"/>
      </w:rPr>
    </w:pPr>
    <w:r>
      <w:tab/>
    </w:r>
    <w:r>
      <w:fldChar w:fldCharType="begin"/>
    </w:r>
    <w:r>
      <w:instrText xml:space="preserve"> PAGE  \* MERGEFORMAT </w:instrText>
    </w:r>
    <w:r>
      <w:fldChar w:fldCharType="separate"/>
    </w:r>
    <w:r>
      <w:rPr>
        <w:noProof/>
      </w:rPr>
      <w:t>6</w:t>
    </w:r>
    <w: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r>
      <w:r>
        <w:rPr>
          <w:sz w:val="18"/>
          <w:szCs w:val="18"/>
        </w:rPr>
        <w:t>JO L 193 du 30.7.2018.</w:t>
      </w:r>
    </w:p>
  </w:footnote>
  <w:footnote w:id="3">
    <w:p>
      <w:pPr>
        <w:pStyle w:val="FootnoteText"/>
      </w:pPr>
      <w:r>
        <w:rPr>
          <w:rStyle w:val="FootnoteReference"/>
        </w:rPr>
        <w:footnoteRef/>
      </w:r>
      <w:r>
        <w:t xml:space="preserve"> </w:t>
      </w:r>
      <w:r>
        <w:tab/>
      </w:r>
      <w:r>
        <w:rPr>
          <w:sz w:val="18"/>
          <w:szCs w:val="18"/>
        </w:rPr>
        <w:t>JO L 57 du 27.2.2020.</w:t>
      </w:r>
    </w:p>
  </w:footnote>
  <w:footnote w:id="4">
    <w:p>
      <w:pPr>
        <w:pStyle w:val="FootnoteText"/>
      </w:pPr>
      <w:r>
        <w:rPr>
          <w:rStyle w:val="FootnoteReference"/>
        </w:rPr>
        <w:footnoteRef/>
      </w:r>
      <w:r>
        <w:t xml:space="preserve"> </w:t>
      </w:r>
      <w:r>
        <w:tab/>
      </w:r>
      <w:r>
        <w:rPr>
          <w:sz w:val="18"/>
          <w:szCs w:val="18"/>
        </w:rPr>
        <w:t>JO L 126 du 21.4.2020.</w:t>
      </w:r>
    </w:p>
  </w:footnote>
  <w:footnote w:id="5">
    <w:p>
      <w:pPr>
        <w:pStyle w:val="FootnoteText"/>
      </w:pPr>
      <w:r>
        <w:rPr>
          <w:rStyle w:val="FootnoteReference"/>
        </w:rPr>
        <w:footnoteRef/>
      </w:r>
      <w:r>
        <w:t xml:space="preserve"> </w:t>
      </w:r>
      <w:r>
        <w:tab/>
      </w:r>
      <w:r>
        <w:rPr>
          <w:sz w:val="18"/>
          <w:szCs w:val="18"/>
        </w:rPr>
        <w:t>JO L 126 du 21.4.2020.</w:t>
      </w:r>
    </w:p>
  </w:footnote>
  <w:footnote w:id="6">
    <w:p>
      <w:pPr>
        <w:pStyle w:val="FootnoteText"/>
      </w:pPr>
      <w:r>
        <w:rPr>
          <w:rStyle w:val="FootnoteReference"/>
        </w:rPr>
        <w:footnoteRef/>
      </w:r>
      <w:r>
        <w:t xml:space="preserve"> </w:t>
      </w:r>
      <w:r>
        <w:tab/>
      </w:r>
      <w:r>
        <w:rPr>
          <w:sz w:val="18"/>
          <w:szCs w:val="18"/>
        </w:rPr>
        <w:t>COM(2020) 180 du 15.4.2020.</w:t>
      </w:r>
    </w:p>
  </w:footnote>
  <w:footnote w:id="7">
    <w:p>
      <w:pPr>
        <w:pStyle w:val="FootnoteText"/>
      </w:pPr>
      <w:r>
        <w:rPr>
          <w:rStyle w:val="FootnoteReference"/>
        </w:rPr>
        <w:footnoteRef/>
      </w:r>
      <w:r>
        <w:t xml:space="preserve"> </w:t>
      </w:r>
      <w:r>
        <w:tab/>
      </w:r>
      <w:r>
        <w:rPr>
          <w:sz w:val="18"/>
          <w:szCs w:val="18"/>
        </w:rPr>
        <w:t>COM(2020) 190 du 30.4.2020.</w:t>
      </w:r>
    </w:p>
  </w:footnote>
  <w:footnote w:id="8">
    <w:p>
      <w:pPr>
        <w:pStyle w:val="FootnoteText"/>
        <w:rPr>
          <w:sz w:val="18"/>
          <w:szCs w:val="18"/>
        </w:rPr>
      </w:pPr>
      <w:r>
        <w:rPr>
          <w:rStyle w:val="FootnoteReference"/>
        </w:rPr>
        <w:footnoteRef/>
      </w:r>
      <w:r>
        <w:t xml:space="preserve"> </w:t>
      </w:r>
      <w:r>
        <w:tab/>
      </w:r>
      <w:r>
        <w:rPr>
          <w:sz w:val="18"/>
          <w:szCs w:val="18"/>
        </w:rPr>
        <w:t>COM(2020) 421 du 3.6.2020.</w:t>
      </w:r>
    </w:p>
  </w:footnote>
  <w:footnote w:id="9">
    <w:p>
      <w:pPr>
        <w:pStyle w:val="FootnoteText"/>
        <w:rPr>
          <w:sz w:val="18"/>
          <w:szCs w:val="18"/>
        </w:rPr>
      </w:pPr>
      <w:r>
        <w:rPr>
          <w:sz w:val="18"/>
          <w:szCs w:val="18"/>
          <w:lang w:val="pl-PL"/>
        </w:rPr>
        <w:footnoteRef/>
      </w:r>
      <w:r>
        <w:rPr>
          <w:sz w:val="18"/>
          <w:szCs w:val="18"/>
        </w:rPr>
        <w:t xml:space="preserve"> </w:t>
      </w:r>
      <w:r>
        <w:tab/>
      </w:r>
      <w:r>
        <w:rPr>
          <w:sz w:val="18"/>
          <w:szCs w:val="18"/>
        </w:rPr>
        <w:t>COM(2020) 456 du 27.5.2020.</w:t>
      </w:r>
    </w:p>
  </w:footnote>
  <w:footnote w:id="10">
    <w:p>
      <w:pPr>
        <w:pStyle w:val="FootnoteText"/>
        <w:rPr>
          <w:sz w:val="18"/>
          <w:szCs w:val="18"/>
          <w:highlight w:val="yellow"/>
        </w:rPr>
      </w:pPr>
      <w:r>
        <w:rPr>
          <w:rStyle w:val="FootnoteReference"/>
        </w:rPr>
        <w:footnoteRef/>
      </w:r>
      <w:r>
        <w:t xml:space="preserve"> </w:t>
      </w:r>
      <w:r>
        <w:tab/>
      </w:r>
      <w:r>
        <w:rPr>
          <w:sz w:val="18"/>
          <w:szCs w:val="18"/>
        </w:rPr>
        <w:t>COM(2020) 446 du 28.5.2020.</w:t>
      </w:r>
    </w:p>
  </w:footnote>
  <w:footnote w:id="11">
    <w:p>
      <w:pPr>
        <w:pStyle w:val="FootnoteText"/>
        <w:rPr>
          <w:sz w:val="18"/>
          <w:szCs w:val="18"/>
          <w:highlight w:val="yellow"/>
        </w:rPr>
      </w:pPr>
      <w:r>
        <w:rPr>
          <w:rStyle w:val="FootnoteReference"/>
        </w:rPr>
        <w:footnoteRef/>
      </w:r>
      <w:r>
        <w:t xml:space="preserve"> </w:t>
      </w:r>
      <w:r>
        <w:tab/>
      </w:r>
      <w:r>
        <w:rPr>
          <w:sz w:val="18"/>
          <w:szCs w:val="18"/>
        </w:rPr>
        <w:t>COM(2020) 404 du 29.5.2020.</w:t>
      </w:r>
    </w:p>
  </w:footnote>
  <w:footnote w:id="12">
    <w:p>
      <w:pPr>
        <w:pStyle w:val="FootnoteText"/>
        <w:rPr>
          <w:sz w:val="18"/>
          <w:szCs w:val="18"/>
        </w:rPr>
      </w:pPr>
      <w:r>
        <w:rPr>
          <w:rStyle w:val="FootnoteReference"/>
        </w:rPr>
        <w:footnoteRef/>
      </w:r>
      <w:r>
        <w:t xml:space="preserve"> </w:t>
      </w:r>
      <w:r>
        <w:tab/>
      </w:r>
      <w:r>
        <w:rPr>
          <w:sz w:val="18"/>
          <w:szCs w:val="18"/>
        </w:rPr>
        <w:t>COM(2020) 407 du 28.5.2020.</w:t>
      </w:r>
    </w:p>
  </w:footnote>
  <w:footnote w:id="13">
    <w:p>
      <w:pPr>
        <w:pStyle w:val="FootnoteText"/>
      </w:pPr>
      <w:r>
        <w:rPr>
          <w:rStyle w:val="FootnoteReference"/>
        </w:rPr>
        <w:footnoteRef/>
      </w:r>
      <w:r>
        <w:t xml:space="preserve"> </w:t>
      </w:r>
      <w:r>
        <w:tab/>
      </w:r>
      <w:r>
        <w:rPr>
          <w:sz w:val="18"/>
          <w:szCs w:val="18"/>
        </w:rPr>
        <w:t>L’appui administratif au FEDD est à l’heure actuelle essentiellement financé par le Fonds européen de développement.</w:t>
      </w:r>
    </w:p>
  </w:footnote>
  <w:footnote w:id="14">
    <w:p>
      <w:pPr>
        <w:pStyle w:val="FootnoteText"/>
        <w:rPr>
          <w:sz w:val="18"/>
          <w:szCs w:val="18"/>
        </w:rPr>
      </w:pPr>
      <w:r>
        <w:rPr>
          <w:rStyle w:val="FootnoteReference"/>
        </w:rPr>
        <w:footnoteRef/>
      </w:r>
      <w:r>
        <w:rPr>
          <w:rStyle w:val="FootnoteReference"/>
        </w:rPr>
        <w:t xml:space="preserve"> </w:t>
      </w:r>
      <w:r>
        <w:tab/>
      </w:r>
      <w:r>
        <w:rPr>
          <w:sz w:val="18"/>
          <w:szCs w:val="18"/>
        </w:rPr>
        <w:t>COM(2020) 451 du 27.5.2020.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5"/>
  </w:num>
  <w:num w:numId="4">
    <w:abstractNumId w:val="17"/>
  </w:num>
  <w:num w:numId="5">
    <w:abstractNumId w:val="23"/>
  </w:num>
  <w:num w:numId="6">
    <w:abstractNumId w:val="14"/>
  </w:num>
  <w:num w:numId="7">
    <w:abstractNumId w:val="9"/>
  </w:num>
  <w:num w:numId="8">
    <w:abstractNumId w:val="27"/>
  </w:num>
  <w:num w:numId="9">
    <w:abstractNumId w:val="21"/>
  </w:num>
  <w:num w:numId="10">
    <w:abstractNumId w:val="29"/>
  </w:num>
  <w:num w:numId="11">
    <w:abstractNumId w:val="22"/>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6"/>
  </w:num>
  <w:num w:numId="24">
    <w:abstractNumId w:val="24"/>
  </w:num>
  <w:num w:numId="25">
    <w:abstractNumId w:val="11"/>
  </w:num>
  <w:num w:numId="26">
    <w:abstractNumId w:val="19"/>
  </w:num>
  <w:num w:numId="27">
    <w:abstractNumId w:val="18"/>
  </w:num>
  <w:num w:numId="28">
    <w:abstractNumId w:val="16"/>
  </w:num>
  <w:num w:numId="29">
    <w:abstractNumId w:val="28"/>
  </w:num>
  <w:num w:numId="30">
    <w:abstractNumId w:val="20"/>
    <w:lvlOverride w:ilvl="0">
      <w:startOverride w:val="1"/>
    </w:lvlOverride>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510B04E-50C1-4A61-A656-AA1D697C0C7D"/>
    <w:docVar w:name="LW_COVERPAGE_TYPE" w:val="1"/>
    <w:docVar w:name="LW_CROSSREFERENCE" w:val="&lt;UNUSED&gt;"/>
    <w:docVar w:name="LW_DocType" w:val="NORMAL"/>
    <w:docVar w:name="LW_EMISSION" w:val="3.6.2020"/>
    <w:docVar w:name="LW_EMISSION_ISODATE" w:val="2020-06-03"/>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ise en compte du lancement du plan de relance pour l\u8217?Europe dans le budget 2020."/>
    <w:docVar w:name="LW_TYPE.DOC.CP" w:val="Projet de budget rectificatif n°6 au budget général 202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1157">
      <w:bodyDiv w:val="1"/>
      <w:marLeft w:val="0"/>
      <w:marRight w:val="0"/>
      <w:marTop w:val="0"/>
      <w:marBottom w:val="0"/>
      <w:divBdr>
        <w:top w:val="none" w:sz="0" w:space="0" w:color="auto"/>
        <w:left w:val="none" w:sz="0" w:space="0" w:color="auto"/>
        <w:bottom w:val="none" w:sz="0" w:space="0" w:color="auto"/>
        <w:right w:val="none" w:sz="0" w:space="0" w:color="auto"/>
      </w:divBdr>
    </w:div>
    <w:div w:id="337079153">
      <w:bodyDiv w:val="1"/>
      <w:marLeft w:val="0"/>
      <w:marRight w:val="0"/>
      <w:marTop w:val="0"/>
      <w:marBottom w:val="0"/>
      <w:divBdr>
        <w:top w:val="none" w:sz="0" w:space="0" w:color="auto"/>
        <w:left w:val="none" w:sz="0" w:space="0" w:color="auto"/>
        <w:bottom w:val="none" w:sz="0" w:space="0" w:color="auto"/>
        <w:right w:val="none" w:sz="0" w:space="0" w:color="auto"/>
      </w:divBdr>
    </w:div>
    <w:div w:id="940720584">
      <w:bodyDiv w:val="1"/>
      <w:marLeft w:val="0"/>
      <w:marRight w:val="0"/>
      <w:marTop w:val="0"/>
      <w:marBottom w:val="0"/>
      <w:divBdr>
        <w:top w:val="none" w:sz="0" w:space="0" w:color="auto"/>
        <w:left w:val="none" w:sz="0" w:space="0" w:color="auto"/>
        <w:bottom w:val="none" w:sz="0" w:space="0" w:color="auto"/>
        <w:right w:val="none" w:sz="0" w:space="0" w:color="auto"/>
      </w:divBdr>
    </w:div>
    <w:div w:id="944852370">
      <w:bodyDiv w:val="1"/>
      <w:marLeft w:val="0"/>
      <w:marRight w:val="0"/>
      <w:marTop w:val="0"/>
      <w:marBottom w:val="0"/>
      <w:divBdr>
        <w:top w:val="none" w:sz="0" w:space="0" w:color="auto"/>
        <w:left w:val="none" w:sz="0" w:space="0" w:color="auto"/>
        <w:bottom w:val="none" w:sz="0" w:space="0" w:color="auto"/>
        <w:right w:val="none" w:sz="0" w:space="0" w:color="auto"/>
      </w:divBdr>
    </w:div>
    <w:div w:id="1405838611">
      <w:bodyDiv w:val="1"/>
      <w:marLeft w:val="0"/>
      <w:marRight w:val="0"/>
      <w:marTop w:val="0"/>
      <w:marBottom w:val="0"/>
      <w:divBdr>
        <w:top w:val="none" w:sz="0" w:space="0" w:color="auto"/>
        <w:left w:val="none" w:sz="0" w:space="0" w:color="auto"/>
        <w:bottom w:val="none" w:sz="0" w:space="0" w:color="auto"/>
        <w:right w:val="none" w:sz="0" w:space="0" w:color="auto"/>
      </w:divBdr>
    </w:div>
    <w:div w:id="20250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BC90-BB67-4576-9479-CEB4511B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2710</Words>
  <Characters>13172</Characters>
  <Application>Microsoft Office Word</Application>
  <DocSecurity>0</DocSecurity>
  <Lines>658</Lines>
  <Paragraphs>407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dcterms:created xsi:type="dcterms:W3CDTF">2020-06-02T07:17:00Z</dcterms:created>
  <dcterms:modified xsi:type="dcterms:W3CDTF">2020-06-17T06:11:00Z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