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1F86A7A-66E5-4412-ADC6-ADBDD94BCD14" style="width:450.35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rPr>
      </w:pPr>
      <w:bookmarkStart w:id="1" w:name="_GoBack"/>
      <w:bookmarkEnd w:id="1"/>
      <w:r>
        <w:rPr>
          <w:rFonts w:ascii="Times New Roman" w:hAnsi="Times New Roman"/>
          <w:noProof/>
          <w:sz w:val="24"/>
          <w:szCs w:val="24"/>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и по-специално член 44 от него,</w:t>
      </w:r>
    </w:p>
    <w:p>
      <w:pPr>
        <w:pStyle w:val="Tiret0"/>
        <w:tabs>
          <w:tab w:val="clear" w:pos="850"/>
          <w:tab w:val="num" w:pos="927"/>
        </w:tabs>
        <w:rPr>
          <w:noProof/>
        </w:rPr>
      </w:pPr>
      <w:r>
        <w:rPr>
          <w:noProof/>
        </w:rPr>
        <w:t>общия бюджет на Европейския съюз за 2020 финансова година, приет на 27 ноември 2019 г.</w:t>
      </w:r>
      <w:r>
        <w:rPr>
          <w:rStyle w:val="FootnoteReference"/>
          <w:noProof/>
        </w:rPr>
        <w:footnoteReference w:id="3"/>
      </w:r>
      <w:r>
        <w:rPr>
          <w:noProof/>
        </w:rPr>
        <w:t>,</w:t>
      </w:r>
    </w:p>
    <w:p>
      <w:pPr>
        <w:pStyle w:val="Tiret0"/>
        <w:rPr>
          <w:noProof/>
        </w:rPr>
      </w:pPr>
      <w:r>
        <w:rPr>
          <w:noProof/>
        </w:rPr>
        <w:t>коригиращ бюджет № 1/2020</w:t>
      </w:r>
      <w:r>
        <w:rPr>
          <w:rStyle w:val="FootnoteReference"/>
          <w:noProof/>
        </w:rPr>
        <w:footnoteReference w:id="4"/>
      </w:r>
      <w:r>
        <w:rPr>
          <w:noProof/>
        </w:rPr>
        <w:t>, приет на 17 април 2020 г.,</w:t>
      </w:r>
    </w:p>
    <w:p>
      <w:pPr>
        <w:pStyle w:val="Tiret0"/>
        <w:rPr>
          <w:noProof/>
        </w:rPr>
      </w:pPr>
      <w:r>
        <w:rPr>
          <w:noProof/>
        </w:rPr>
        <w:t>коригиращ бюджет № 2/2020</w:t>
      </w:r>
      <w:r>
        <w:rPr>
          <w:rStyle w:val="FootnoteReference"/>
          <w:noProof/>
        </w:rPr>
        <w:footnoteReference w:id="5"/>
      </w:r>
      <w:r>
        <w:rPr>
          <w:noProof/>
        </w:rPr>
        <w:t>, приет на 17 април 2020 г.,</w:t>
      </w:r>
    </w:p>
    <w:p>
      <w:pPr>
        <w:pStyle w:val="Tiret0"/>
        <w:rPr>
          <w:noProof/>
        </w:rPr>
      </w:pPr>
      <w:r>
        <w:rPr>
          <w:noProof/>
        </w:rPr>
        <w:t>проект на коригиращ бюджет № 3/2020</w:t>
      </w:r>
      <w:r>
        <w:rPr>
          <w:rStyle w:val="FootnoteReference"/>
          <w:noProof/>
        </w:rPr>
        <w:footnoteReference w:id="6"/>
      </w:r>
      <w:r>
        <w:rPr>
          <w:noProof/>
        </w:rPr>
        <w:t>, приет на 15 април 2020 г.,</w:t>
      </w:r>
    </w:p>
    <w:p>
      <w:pPr>
        <w:pStyle w:val="Tiret0"/>
        <w:rPr>
          <w:noProof/>
        </w:rPr>
      </w:pPr>
      <w:r>
        <w:rPr>
          <w:noProof/>
        </w:rPr>
        <w:t>проект на коригиращ бюджет № 4/2020</w:t>
      </w:r>
      <w:r>
        <w:rPr>
          <w:rStyle w:val="FootnoteReference"/>
          <w:noProof/>
        </w:rPr>
        <w:footnoteReference w:id="7"/>
      </w:r>
      <w:r>
        <w:rPr>
          <w:noProof/>
        </w:rPr>
        <w:t>, приет на 30 април 2020 г.,</w:t>
      </w:r>
    </w:p>
    <w:p>
      <w:pPr>
        <w:pStyle w:val="Tiret0"/>
        <w:rPr>
          <w:noProof/>
        </w:rPr>
      </w:pPr>
      <w:r>
        <w:rPr>
          <w:noProof/>
        </w:rPr>
        <w:t>проект на коригиращ бюджет № 5/2020</w:t>
      </w:r>
      <w:r>
        <w:rPr>
          <w:rStyle w:val="FootnoteReference"/>
          <w:noProof/>
        </w:rPr>
        <w:footnoteReference w:id="8"/>
      </w:r>
      <w:r>
        <w:rPr>
          <w:noProof/>
        </w:rPr>
        <w:t>, приет на 3 юни 2020 г.,</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6/2020 към бюджета за 2020 г.</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Промените в общата приходна част и раздел III са достъпни в EUR-Lex (</w:t>
      </w:r>
      <w:hyperlink r:id="rId16" w:history="1">
        <w:r>
          <w:rPr>
            <w:rFonts w:ascii="Times New Roman" w:hAnsi="Times New Roman"/>
            <w:noProof/>
            <w:sz w:val="24"/>
            <w:szCs w:val="24"/>
            <w:u w:val="single"/>
          </w:rPr>
          <w:t>https://eur-lex.europa.eu/budget/www/index-bg.htm</w:t>
        </w:r>
      </w:hyperlink>
      <w:r>
        <w:rPr>
          <w:rFonts w:ascii="Times New Roman" w:hAnsi="Times New Roman"/>
          <w:noProof/>
          <w:sz w:val="24"/>
          <w:szCs w:val="24"/>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bookmarkStart w:id="2" w:name="_Toc194220890" w:displacedByCustomXml="next"/>
    <w:bookmarkStart w:id="3" w:name="_Toc294675429" w:displacedByCustomXml="next"/>
    <w:bookmarkStart w:id="4" w:name="_Toc378575883"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pPr>
            <w:spacing w:before="120" w:after="240" w:line="240" w:lineRule="auto"/>
            <w:jc w:val="center"/>
            <w:rPr>
              <w:rFonts w:ascii="Times New Roman" w:eastAsia="Times New Roman" w:hAnsi="Times New Roman" w:cs="Times New Roman"/>
              <w:b/>
              <w:noProof/>
              <w:sz w:val="28"/>
              <w:szCs w:val="24"/>
            </w:rPr>
          </w:pPr>
          <w:r>
            <w:rPr>
              <w:rFonts w:ascii="Times New Roman" w:hAnsi="Times New Roman"/>
              <w:b/>
              <w:noProof/>
              <w:sz w:val="28"/>
              <w:szCs w:val="24"/>
            </w:rPr>
            <w:t>Съдържание</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42853165"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Въведение</w:t>
            </w:r>
            <w:r>
              <w:rPr>
                <w:noProof/>
                <w:webHidden/>
              </w:rPr>
              <w:tab/>
            </w:r>
            <w:r>
              <w:rPr>
                <w:noProof/>
                <w:webHidden/>
              </w:rPr>
              <w:fldChar w:fldCharType="begin"/>
            </w:r>
            <w:r>
              <w:rPr>
                <w:noProof/>
                <w:webHidden/>
              </w:rPr>
              <w:instrText xml:space="preserve"> PAGEREF _Toc42853165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853166"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Компонент за подкрепа на платежоспособността в рамките на Европейския фонд за стратегически инвестиции (ЕФСИ)</w:t>
            </w:r>
            <w:r>
              <w:rPr>
                <w:noProof/>
                <w:webHidden/>
              </w:rPr>
              <w:tab/>
            </w:r>
            <w:r>
              <w:rPr>
                <w:noProof/>
                <w:webHidden/>
              </w:rPr>
              <w:fldChar w:fldCharType="begin"/>
            </w:r>
            <w:r>
              <w:rPr>
                <w:noProof/>
                <w:webHidden/>
              </w:rPr>
              <w:instrText xml:space="preserve"> PAGEREF _Toc42853166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853167" w:history="1">
            <w:r>
              <w:rPr>
                <w:rStyle w:val="Hyperlink"/>
                <w:smallCaps/>
                <w:noProof/>
              </w:rPr>
              <w:t>3.</w:t>
            </w:r>
            <w:r>
              <w:rPr>
                <w:rFonts w:asciiTheme="minorHAnsi" w:eastAsiaTheme="minorEastAsia" w:hAnsiTheme="minorHAnsi" w:cstheme="minorBidi"/>
                <w:b w:val="0"/>
                <w:bCs w:val="0"/>
                <w:caps w:val="0"/>
                <w:noProof/>
                <w:sz w:val="22"/>
                <w:szCs w:val="22"/>
                <w:lang w:val="en-US" w:eastAsia="en-US"/>
              </w:rPr>
              <w:tab/>
            </w:r>
            <w:r>
              <w:rPr>
                <w:rStyle w:val="Hyperlink"/>
                <w:smallCaps/>
                <w:noProof/>
              </w:rPr>
              <w:t>Увеличаване на средствата за Европейския фонд за устойчиво развитие (ЕФУР)</w:t>
            </w:r>
            <w:r>
              <w:rPr>
                <w:noProof/>
                <w:webHidden/>
              </w:rPr>
              <w:tab/>
            </w:r>
            <w:r>
              <w:rPr>
                <w:noProof/>
                <w:webHidden/>
              </w:rPr>
              <w:fldChar w:fldCharType="begin"/>
            </w:r>
            <w:r>
              <w:rPr>
                <w:noProof/>
                <w:webHidden/>
              </w:rPr>
              <w:instrText xml:space="preserve"> PAGEREF _Toc42853167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853168"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Организиране на новата инициатива React-EU</w:t>
            </w:r>
            <w:r>
              <w:rPr>
                <w:noProof/>
                <w:webHidden/>
              </w:rPr>
              <w:tab/>
            </w:r>
            <w:r>
              <w:rPr>
                <w:noProof/>
                <w:webHidden/>
              </w:rPr>
              <w:fldChar w:fldCharType="begin"/>
            </w:r>
            <w:r>
              <w:rPr>
                <w:noProof/>
                <w:webHidden/>
              </w:rPr>
              <w:instrText xml:space="preserve"> PAGEREF _Toc42853168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853169" w:history="1">
            <w:r>
              <w:rPr>
                <w:rStyle w:val="Hyperlink"/>
                <w:smallCaps/>
                <w:noProof/>
              </w:rPr>
              <w:t>5.</w:t>
            </w:r>
            <w:r>
              <w:rPr>
                <w:rFonts w:asciiTheme="minorHAnsi" w:eastAsiaTheme="minorEastAsia" w:hAnsiTheme="minorHAnsi" w:cstheme="minorBidi"/>
                <w:b w:val="0"/>
                <w:bCs w:val="0"/>
                <w:caps w:val="0"/>
                <w:noProof/>
                <w:sz w:val="22"/>
                <w:szCs w:val="22"/>
                <w:lang w:val="en-US" w:eastAsia="en-US"/>
              </w:rPr>
              <w:tab/>
            </w:r>
            <w:r>
              <w:rPr>
                <w:rStyle w:val="Hyperlink"/>
                <w:smallCaps/>
                <w:noProof/>
              </w:rPr>
              <w:t>Увеличаване на капитала на Европейския инвестиционен фонд (ЕИФ)</w:t>
            </w:r>
            <w:r>
              <w:rPr>
                <w:noProof/>
                <w:webHidden/>
              </w:rPr>
              <w:tab/>
            </w:r>
            <w:r>
              <w:rPr>
                <w:noProof/>
                <w:webHidden/>
              </w:rPr>
              <w:fldChar w:fldCharType="begin"/>
            </w:r>
            <w:r>
              <w:rPr>
                <w:noProof/>
                <w:webHidden/>
              </w:rPr>
              <w:instrText xml:space="preserve"> PAGEREF _Toc42853169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853170"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Финансиране</w:t>
            </w:r>
            <w:r>
              <w:rPr>
                <w:noProof/>
                <w:webHidden/>
              </w:rPr>
              <w:tab/>
            </w:r>
            <w:r>
              <w:rPr>
                <w:noProof/>
                <w:webHidden/>
              </w:rPr>
              <w:fldChar w:fldCharType="begin"/>
            </w:r>
            <w:r>
              <w:rPr>
                <w:noProof/>
                <w:webHidden/>
              </w:rPr>
              <w:instrText xml:space="preserve"> PAGEREF _Toc42853170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42853171" w:history="1">
            <w:r>
              <w:rPr>
                <w:rStyle w:val="Hyperlink"/>
                <w:noProof/>
              </w:rPr>
              <w:t>7.</w:t>
            </w:r>
            <w:r>
              <w:rPr>
                <w:rFonts w:asciiTheme="minorHAnsi" w:eastAsiaTheme="minorEastAsia" w:hAnsiTheme="minorHAnsi" w:cstheme="minorBidi"/>
                <w:b w:val="0"/>
                <w:bCs w:val="0"/>
                <w:caps w:val="0"/>
                <w:noProof/>
                <w:sz w:val="22"/>
                <w:szCs w:val="22"/>
                <w:lang w:val="en-US" w:eastAsia="en-US"/>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_Toc42853171 \h </w:instrText>
            </w:r>
            <w:r>
              <w:rPr>
                <w:noProof/>
                <w:webHidden/>
              </w:rPr>
            </w:r>
            <w:r>
              <w:rPr>
                <w:noProof/>
                <w:webHidden/>
              </w:rPr>
              <w:fldChar w:fldCharType="separate"/>
            </w:r>
            <w:r>
              <w:rPr>
                <w:noProof/>
                <w:webHidden/>
              </w:rPr>
              <w:t>7</w:t>
            </w:r>
            <w:r>
              <w:rPr>
                <w:noProof/>
                <w:webHidden/>
              </w:rPr>
              <w:fldChar w:fldCharType="end"/>
            </w:r>
          </w:hyperlink>
        </w:p>
        <w:p>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pPr>
        <w:spacing w:after="0" w:line="240" w:lineRule="auto"/>
        <w:rPr>
          <w:rFonts w:ascii="Times New Roman" w:eastAsia="Times New Roman" w:hAnsi="Times New Roman" w:cs="Times New Roman"/>
          <w:b/>
          <w:noProof/>
          <w:sz w:val="24"/>
          <w:szCs w:val="24"/>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spacing w:before="120" w:after="120" w:line="240" w:lineRule="auto"/>
        <w:jc w:val="center"/>
        <w:rPr>
          <w:rFonts w:ascii="Times New Roman" w:eastAsia="Times New Roman" w:hAnsi="Times New Roman" w:cs="Times New Roman"/>
          <w:b/>
          <w:noProof/>
          <w:sz w:val="24"/>
          <w:szCs w:val="24"/>
          <w:u w:val="single"/>
        </w:rPr>
      </w:pPr>
      <w:bookmarkStart w:id="5" w:name="_Toc351469332"/>
      <w:bookmarkStart w:id="6" w:name="_Toc361649879"/>
      <w:bookmarkEnd w:id="2"/>
      <w:r>
        <w:rPr>
          <w:rFonts w:ascii="Times New Roman" w:hAnsi="Times New Roman"/>
          <w:b/>
          <w:noProof/>
          <w:sz w:val="24"/>
          <w:szCs w:val="24"/>
          <w:u w:val="single"/>
        </w:rPr>
        <w:t>ОБЯСНИТЕЛЕН МЕМОРАНДУМ</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7" w:name="_Toc525202225"/>
      <w:bookmarkStart w:id="8" w:name="_Toc7167667"/>
      <w:bookmarkStart w:id="9" w:name="_Toc35506098"/>
      <w:bookmarkStart w:id="10" w:name="_Toc42853165"/>
      <w:r>
        <w:rPr>
          <w:rFonts w:ascii="Times New Roman" w:hAnsi="Times New Roman"/>
          <w:b/>
          <w:smallCaps/>
          <w:noProof/>
          <w:sz w:val="24"/>
          <w:szCs w:val="24"/>
        </w:rPr>
        <w:t>1.</w:t>
      </w:r>
      <w:r>
        <w:rPr>
          <w:noProof/>
        </w:rPr>
        <w:tab/>
      </w:r>
      <w:r>
        <w:rPr>
          <w:rFonts w:ascii="Times New Roman" w:hAnsi="Times New Roman"/>
          <w:b/>
          <w:smallCaps/>
          <w:noProof/>
          <w:sz w:val="24"/>
          <w:szCs w:val="24"/>
        </w:rPr>
        <w:t>Въведение</w:t>
      </w:r>
      <w:bookmarkEnd w:id="7"/>
      <w:bookmarkEnd w:id="8"/>
      <w:bookmarkEnd w:id="9"/>
      <w:bookmarkEnd w:id="10"/>
    </w:p>
    <w:p>
      <w:pPr>
        <w:spacing w:before="120" w:after="120" w:line="240" w:lineRule="auto"/>
        <w:jc w:val="both"/>
        <w:rPr>
          <w:rFonts w:ascii="Times New Roman" w:eastAsia="Times New Roman" w:hAnsi="Times New Roman" w:cs="Times New Roman"/>
          <w:noProof/>
          <w:sz w:val="24"/>
          <w:szCs w:val="24"/>
        </w:rPr>
      </w:pPr>
      <w:bookmarkStart w:id="11" w:name="_Toc7167668"/>
      <w:r>
        <w:rPr>
          <w:rFonts w:ascii="Times New Roman" w:hAnsi="Times New Roman"/>
          <w:noProof/>
          <w:sz w:val="24"/>
          <w:szCs w:val="24"/>
        </w:rPr>
        <w:t>Целта на проект на коригиращ бюджет (ПКБ) № 6 за 2020 г. е да се осигурят 11 540,0 милиона евро бюджетни кредити за поети задължения и 6 540,0 милиона евро бюджетни кредити за плащания, за да се отрази въздействието на законодателните предложения, приети от Комисията на 27, 28 и 29 май в рамките на пакета от мерки за икономическо възстановяване на Европейския съюз</w:t>
      </w:r>
      <w:r>
        <w:rPr>
          <w:rStyle w:val="FootnoteReference"/>
          <w:rFonts w:ascii="Times New Roman" w:eastAsia="Times New Roman" w:hAnsi="Times New Roman" w:cs="Times New Roman"/>
          <w:noProof/>
          <w:sz w:val="24"/>
          <w:szCs w:val="24"/>
          <w:lang w:eastAsia="de-DE"/>
        </w:rPr>
        <w:footnoteReference w:id="9"/>
      </w:r>
      <w:r>
        <w:rPr>
          <w:rFonts w:ascii="Times New Roman" w:hAnsi="Times New Roman"/>
          <w:noProof/>
          <w:sz w:val="24"/>
          <w:szCs w:val="24"/>
        </w:rPr>
        <w:t>, като той допълва предложението за преразглеждане на Регламента за многогодишната финансова рамка за 2020 г.</w:t>
      </w:r>
      <w:r>
        <w:rPr>
          <w:rStyle w:val="FootnoteReference"/>
          <w:rFonts w:ascii="Times New Roman" w:eastAsia="Times New Roman" w:hAnsi="Times New Roman" w:cs="Times New Roman"/>
          <w:noProof/>
          <w:sz w:val="24"/>
          <w:szCs w:val="24"/>
          <w:lang w:eastAsia="de-DE"/>
        </w:rPr>
        <w:footnoteReference w:id="10"/>
      </w:r>
    </w:p>
    <w:p>
      <w:pPr>
        <w:pStyle w:val="ManualHeading1"/>
        <w:rPr>
          <w:noProof/>
        </w:rPr>
      </w:pPr>
      <w:bookmarkStart w:id="12" w:name="_Toc34373733"/>
      <w:bookmarkStart w:id="13" w:name="_Toc42853166"/>
      <w:bookmarkStart w:id="14" w:name="_Toc35506109"/>
      <w:bookmarkStart w:id="15" w:name="_Toc514181802"/>
      <w:bookmarkStart w:id="16" w:name="_Toc12621018"/>
      <w:bookmarkEnd w:id="5"/>
      <w:bookmarkEnd w:id="6"/>
      <w:bookmarkEnd w:id="11"/>
      <w:bookmarkEnd w:id="4"/>
      <w:bookmarkEnd w:id="3"/>
      <w:r>
        <w:rPr>
          <w:noProof/>
        </w:rPr>
        <w:t>2.</w:t>
      </w:r>
      <w:r>
        <w:rPr>
          <w:noProof/>
        </w:rPr>
        <w:tab/>
      </w:r>
      <w:bookmarkEnd w:id="12"/>
      <w:r>
        <w:rPr>
          <w:noProof/>
        </w:rPr>
        <w:t>Компонент за подкрепа на платежоспособността в рамките на Европейския фонд за стратегически инвестиции (ЕФСИ)</w:t>
      </w:r>
      <w:bookmarkEnd w:id="13"/>
    </w:p>
    <w:p>
      <w:pPr>
        <w:pStyle w:val="Text1"/>
        <w:ind w:left="0"/>
        <w:rPr>
          <w:noProof/>
          <w:color w:val="000000"/>
        </w:rPr>
      </w:pPr>
      <w:r>
        <w:rPr>
          <w:noProof/>
        </w:rPr>
        <w:t>Предложението за изменение на Регламента за ЕФСИ</w:t>
      </w:r>
      <w:r>
        <w:rPr>
          <w:rStyle w:val="FootnoteReference"/>
          <w:noProof/>
        </w:rPr>
        <w:footnoteReference w:id="11"/>
      </w:r>
      <w:r>
        <w:rPr>
          <w:noProof/>
        </w:rPr>
        <w:t xml:space="preserve"> включва създаването на специален инструмент за подкрепа на платежоспособността, който ще мобилизира частен капитал с цел подкрепа на платежоспособността на дружествата, засегнати от кризата, породена от COVID-19, за да се възстанови нормалната дейност и да се насърчи постигането на устойчиви и рентабилни стопански резултати, да се запазят работните места и да се поддържа конкурентоспособността на европейските предприятия.</w:t>
      </w:r>
      <w:r>
        <w:rPr>
          <w:noProof/>
          <w:color w:val="000000"/>
        </w:rPr>
        <w:t xml:space="preserve"> Бюджетните кредити ще увеличат средствата за гаранционния фонд на ЕФСИ, за да се подкрепят гаранциите, предоставяни в рамките на новия компонент за подкрепа на платежоспособността, да се увеличи финансовият пакет, предназначен за Европейския консултантски център по инвестиционни въпроси и Европейския портал за инвестиционни проекти за мерки за подкрепа на платежоспособността, и да се осигури възможност инструментът за подкрепа на платежоспособността да започне да функционира още през 2020 г.</w:t>
      </w:r>
    </w:p>
    <w:p>
      <w:pPr>
        <w:pStyle w:val="Text1"/>
        <w:ind w:left="0"/>
        <w:rPr>
          <w:noProof/>
          <w:color w:val="000000"/>
        </w:rPr>
      </w:pPr>
      <w:r>
        <w:rPr>
          <w:noProof/>
        </w:rPr>
        <w:t>Предлагат се разходи за административна подкрепа, за да се финансират анализът на риска и разходите за докладване, определянето и мониторингът на правила за привеждане в съответствие и разходите за информационни технологии.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shd w:val="clear" w:color="auto" w:fill="auto"/>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01 01 04 01</w:t>
            </w:r>
          </w:p>
        </w:tc>
        <w:tc>
          <w:tcPr>
            <w:tcW w:w="5132" w:type="dxa"/>
            <w:shd w:val="clear" w:color="auto" w:fill="auto"/>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Разходи за подкрепа за Европейския фонд за стратегически инвестиции (ЕФСИ)</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2 000 000</w:t>
            </w:r>
          </w:p>
        </w:tc>
      </w:tr>
      <w:tr>
        <w:trPr>
          <w:jc w:val="center"/>
        </w:trPr>
        <w:tc>
          <w:tcPr>
            <w:tcW w:w="1276" w:type="dxa"/>
            <w:shd w:val="clear" w:color="auto" w:fill="auto"/>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01 04 05 02</w:t>
            </w:r>
          </w:p>
        </w:tc>
        <w:tc>
          <w:tcPr>
            <w:tcW w:w="5132" w:type="dxa"/>
            <w:shd w:val="clear" w:color="auto" w:fill="auto"/>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Гаранционен фонд на ЕФСИ — Компонент за инструмента за подкрепа на платежоспособността</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4 980 000 000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2 490 000 000</w:t>
            </w:r>
          </w:p>
        </w:tc>
      </w:tr>
      <w:tr>
        <w:trPr>
          <w:jc w:val="center"/>
        </w:trPr>
        <w:tc>
          <w:tcPr>
            <w:tcW w:w="1276" w:type="dxa"/>
            <w:shd w:val="clear" w:color="auto" w:fill="auto"/>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01 04 06 02</w:t>
            </w:r>
          </w:p>
        </w:tc>
        <w:tc>
          <w:tcPr>
            <w:tcW w:w="5132" w:type="dxa"/>
            <w:shd w:val="clear" w:color="auto" w:fill="auto"/>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Европейски консултантски център по инвестиционни въпроси и Европейски портал за инвестиционни проекти — Компонент за инструмента за подкрепа на платежоспособността</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18 000 000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8 000 000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5 000 000 000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2 500 000 000</w:t>
            </w:r>
          </w:p>
        </w:tc>
      </w:tr>
    </w:tbl>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7" w:name="_Toc42853167"/>
      <w:r>
        <w:rPr>
          <w:rFonts w:ascii="Times New Roman" w:hAnsi="Times New Roman"/>
          <w:b/>
          <w:smallCaps/>
          <w:noProof/>
          <w:sz w:val="24"/>
          <w:szCs w:val="24"/>
        </w:rPr>
        <w:t>3.</w:t>
      </w:r>
      <w:r>
        <w:rPr>
          <w:noProof/>
        </w:rPr>
        <w:tab/>
      </w:r>
      <w:bookmarkEnd w:id="14"/>
      <w:r>
        <w:rPr>
          <w:rFonts w:ascii="Times New Roman" w:hAnsi="Times New Roman"/>
          <w:b/>
          <w:smallCaps/>
          <w:noProof/>
          <w:spacing w:val="-4"/>
          <w:sz w:val="24"/>
          <w:szCs w:val="24"/>
        </w:rPr>
        <w:t>Увеличаване на средствата за Европейския фонд за устойчиво развитие (ЕФУР)</w:t>
      </w:r>
      <w:bookmarkEnd w:id="17"/>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рамките на мерките в отговор на пандемията от COVID-19 и последиците от нея бе предложено да бъде изменен Регламентът за ЕФУР</w:t>
      </w:r>
      <w:r>
        <w:rPr>
          <w:rStyle w:val="FootnoteReference"/>
          <w:rFonts w:ascii="Times New Roman" w:eastAsia="Times New Roman" w:hAnsi="Times New Roman" w:cs="Times New Roman"/>
          <w:noProof/>
          <w:sz w:val="24"/>
          <w:szCs w:val="24"/>
          <w:lang w:eastAsia="en-GB"/>
        </w:rPr>
        <w:footnoteReference w:id="12"/>
      </w:r>
      <w:r>
        <w:rPr>
          <w:rFonts w:ascii="Times New Roman" w:hAnsi="Times New Roman"/>
          <w:noProof/>
          <w:sz w:val="24"/>
          <w:szCs w:val="24"/>
        </w:rPr>
        <w:t>. Предоставянето на допълнителни средства на ЕФУР съгласно настоящата многогодишна финансова рамка ще увеличи капацитета на Фонда да предоставя гаранции в партньорските държави и по този начин ще улесни предприемането на бързи мерки във връзка с пандемията от COVID-19 в тези региони. Изменението включва Западните Балкани в географския обхват и също така удължава с една година — до 31 декември 2021 г. — инвестиционния период, през който могат да бъдат сключвани споразумения за гаранция от ЕФУР в подкрепа на операции по финансиране и инвестиране.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Предлагат се ограничени по размер разходи за административни и техническа подкрепа за удължаването на срока на действие на Регламента, по-специално за изменението на договорите за подкрепа на ЕФУР, за да бъдат включени Западните Балкани</w:t>
      </w:r>
      <w:r>
        <w:rPr>
          <w:rStyle w:val="FootnoteReference"/>
          <w:rFonts w:ascii="Times New Roman" w:eastAsia="Times New Roman" w:hAnsi="Times New Roman" w:cs="Times New Roman"/>
          <w:noProof/>
          <w:sz w:val="24"/>
          <w:szCs w:val="24"/>
          <w:lang w:eastAsia="en-GB"/>
        </w:rPr>
        <w:footnoteReference w:id="13"/>
      </w:r>
      <w:r>
        <w:rPr>
          <w:rFonts w:ascii="Times New Roman" w:hAnsi="Times New Roman"/>
          <w:noProof/>
          <w:sz w:val="24"/>
          <w:szCs w:val="24"/>
        </w:rPr>
        <w:t xml:space="preserve"> в техния обхват.</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keepNext/>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EUR</w:t>
            </w:r>
          </w:p>
        </w:tc>
      </w:tr>
      <w:tr>
        <w:trPr>
          <w:jc w:val="center"/>
        </w:trPr>
        <w:tc>
          <w:tcPr>
            <w:tcW w:w="1276" w:type="dxa"/>
            <w:tcBorders>
              <w:top w:val="single" w:sz="4" w:space="0" w:color="auto"/>
            </w:tcBorders>
            <w:shd w:val="clear" w:color="auto" w:fill="D9D9D9"/>
            <w:vAlign w:val="center"/>
          </w:tcPr>
          <w:p>
            <w:pPr>
              <w:keepNext/>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01 01 04 02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Разходи за подкрепа за Европейския фонд за устойчиво развитие (ЕФУР)</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1 000 000</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01 03 08 02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Провизиране на гаранционния фонд на ЕФУР — Мерки в отговор на пандемията от COVID-19</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1 039 000 000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1 039 000 000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1 040 000 000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1 040 000 000</w:t>
            </w:r>
          </w:p>
        </w:tc>
      </w:tr>
    </w:tbl>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8" w:name="_Toc42853168"/>
      <w:r>
        <w:rPr>
          <w:rFonts w:ascii="Times New Roman" w:hAnsi="Times New Roman"/>
          <w:b/>
          <w:smallCaps/>
          <w:noProof/>
          <w:sz w:val="24"/>
          <w:szCs w:val="24"/>
        </w:rPr>
        <w:t>4.</w:t>
      </w:r>
      <w:r>
        <w:rPr>
          <w:noProof/>
        </w:rPr>
        <w:tab/>
      </w:r>
      <w:r>
        <w:rPr>
          <w:rFonts w:ascii="Times New Roman" w:hAnsi="Times New Roman"/>
          <w:b/>
          <w:smallCaps/>
          <w:noProof/>
          <w:sz w:val="24"/>
          <w:szCs w:val="24"/>
        </w:rPr>
        <w:t>Организиране на новата инициатива React-EU</w:t>
      </w:r>
      <w:bookmarkEnd w:id="18"/>
    </w:p>
    <w:p>
      <w:pPr>
        <w:jc w:val="both"/>
        <w:rPr>
          <w:rFonts w:ascii="Times New Roman" w:hAnsi="Times New Roman" w:cs="Times New Roman"/>
          <w:noProof/>
          <w:sz w:val="24"/>
          <w:szCs w:val="24"/>
        </w:rPr>
      </w:pPr>
      <w:bookmarkStart w:id="19" w:name="_Toc35506101"/>
      <w:r>
        <w:rPr>
          <w:rFonts w:ascii="Times New Roman" w:hAnsi="Times New Roman"/>
          <w:noProof/>
          <w:sz w:val="24"/>
          <w:szCs w:val="24"/>
        </w:rPr>
        <w:t>В рамките на инициативата React-EU</w:t>
      </w:r>
      <w:r>
        <w:rPr>
          <w:rStyle w:val="FootnoteReference"/>
          <w:rFonts w:ascii="Times New Roman" w:eastAsia="Times New Roman" w:hAnsi="Times New Roman" w:cs="Times New Roman"/>
          <w:noProof/>
          <w:sz w:val="24"/>
          <w:szCs w:val="24"/>
          <w:lang w:eastAsia="en-GB"/>
        </w:rPr>
        <w:footnoteReference w:id="14"/>
      </w:r>
      <w:r>
        <w:rPr>
          <w:rFonts w:ascii="Times New Roman" w:hAnsi="Times New Roman"/>
          <w:noProof/>
          <w:sz w:val="24"/>
          <w:szCs w:val="24"/>
        </w:rPr>
        <w:t xml:space="preserve"> държавите членки ще имат право да използват допълнителни средства по целта „Инвестиции за растеж и работни места“ от Европейския фонд за регионално развитие (ЕФРР) или Европейския социален фонд (ЕСФ), за да подкрепят операции за насърчаване на възстановяването от кризата в контекста на пандемията от COVID-19 в регионите, чиято икономика и работни места са засегнати по-тежко, и за подготвяне на възстановяването на техните икономики, или ще имат право доброволно да увеличат размера на средствата, отпускани за програмите, подпомагани от Фонда за европейско подпомагане на най-нуждаещите се лица (ФЕПНЛ).</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EUR</w:t>
            </w:r>
          </w:p>
        </w:tc>
      </w:tr>
      <w:tr>
        <w:trPr>
          <w:jc w:val="center"/>
        </w:trPr>
        <w:tc>
          <w:tcPr>
            <w:tcW w:w="1276"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04 02 59</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социален фонд — Финансиране по линия на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1 494 750 000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747 375 000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04 02 63 03</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социален фонд — Оперативна техническа помощ — Финансиране по линия на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5 250 000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2 625 000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04 06 03 01</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ФЕПНЛ — Оперативни разходи — Финансиране по линия на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04 06 03 02</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ФЕПНЛ — Оперативна техническа помощ — Финансиране по линия на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13 03 59</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фонд за регионално развитие (ЕФРР) — Финансиране по линия на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3 487 750 000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1 743 875 000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13 03 65 03</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фонд за регионално развитие (ЕФРР) — Оперативна техническа помощ — Финансиране по линия на REACT-EU</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12 250 000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6 125 000</w:t>
            </w:r>
          </w:p>
        </w:tc>
      </w:tr>
      <w:tr>
        <w:trPr>
          <w:jc w:val="center"/>
        </w:trPr>
        <w:tc>
          <w:tcPr>
            <w:tcW w:w="640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5 000 000 000</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rPr>
            </w:pPr>
            <w:r>
              <w:rPr>
                <w:rFonts w:ascii="Times New Roman" w:hAnsi="Times New Roman"/>
                <w:b/>
                <w:noProof/>
                <w:sz w:val="20"/>
                <w:szCs w:val="20"/>
              </w:rPr>
              <w:t>2 500 000 000</w:t>
            </w:r>
          </w:p>
        </w:tc>
      </w:tr>
    </w:tbl>
    <w:bookmarkEnd w:id="19"/>
    <w:p>
      <w:pPr>
        <w:spacing w:before="120"/>
        <w:jc w:val="both"/>
        <w:rPr>
          <w:rFonts w:ascii="Times New Roman" w:hAnsi="Times New Roman" w:cs="Times New Roman"/>
          <w:noProof/>
          <w:color w:val="000000"/>
          <w:sz w:val="24"/>
          <w:szCs w:val="24"/>
        </w:rPr>
      </w:pPr>
      <w:r>
        <w:rPr>
          <w:rFonts w:ascii="Times New Roman" w:hAnsi="Times New Roman"/>
          <w:noProof/>
          <w:color w:val="000000"/>
          <w:sz w:val="24"/>
          <w:szCs w:val="24"/>
        </w:rPr>
        <w:t>Поради извънредните обстоятелства се предлагат специални правила за изпълнението на бюджетните кредити на React-EU (значително по размер първоначално предварително финансиране и 100 % съфинансиране от ЕС). Необходимо е тези ресурси да бъдат програмирани в рамките на една или повече нови специални приоритетни оси или, когато е целесъобразно, в рамките на нова специална оперативна програма. Бюджетната структура ще бъде съответно адаптирана: ще бъдат създадени 3 нови бюджетни реда в дял 04 „Трудова заетост, социални въпроси и приобщаване“ за ЕСФ и за ФЕПНЛ и в дял 13 „Регионална и селищна политика“ за ЕФРР, за да се даде възможност за прозрачно изпълнение на инициативата React-EU и прозрачно докладване за нея. Разпределението на средствата между редовете за ЕСФ и ЕФРР е индикативно, тъй като окончателните суми за всеки фонд ще станат известни, след като програмите бъдат приети.</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20" w:name="_Toc42853169"/>
      <w:r>
        <w:rPr>
          <w:rFonts w:ascii="Times New Roman" w:hAnsi="Times New Roman"/>
          <w:b/>
          <w:smallCaps/>
          <w:noProof/>
          <w:sz w:val="24"/>
          <w:szCs w:val="24"/>
        </w:rPr>
        <w:t>5.</w:t>
      </w:r>
      <w:r>
        <w:rPr>
          <w:noProof/>
        </w:rPr>
        <w:tab/>
      </w:r>
      <w:r>
        <w:rPr>
          <w:rFonts w:ascii="Times New Roman" w:hAnsi="Times New Roman"/>
          <w:b/>
          <w:smallCaps/>
          <w:noProof/>
          <w:sz w:val="24"/>
          <w:szCs w:val="24"/>
        </w:rPr>
        <w:t>Увеличаване на капитала на Европейския инвестиционен фонд (ЕИФ)</w:t>
      </w:r>
      <w:bookmarkEnd w:id="20"/>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Комисията и Европейският инвестиционен фонд ще засилят сътрудничеството си, като ЕИФ отговаря за изпълнението на допълнителни суми по гаранции, обезпечени от бюджета на ЕС в рамките на пакета от мерки за икономическо възстановяване на Съюза. За да се поддържа финансовият капацитет и да се запази високият рейтинг на ЕИФ на финансовите пазари, от съществено значение е капиталът на ЕИФ да бъде увеличен. Европейският съюз следва да участва в това увеличение в съответствие с многогодишната си съвместна работа с ЕИФ. </w:t>
      </w:r>
      <w:r>
        <w:rPr>
          <w:rFonts w:ascii="Times New Roman" w:hAnsi="Times New Roman"/>
          <w:noProof/>
          <w:sz w:val="24"/>
          <w:szCs w:val="24"/>
        </w:rPr>
        <w:t>Бюджетните кредити ще бъдат използвани за участие в увеличението на капитала, което ЕИФ предвижда да бъде направено през 2020 г.</w:t>
      </w:r>
      <w:r>
        <w:rPr>
          <w:rFonts w:ascii="Times New Roman" w:hAnsi="Times New Roman"/>
          <w:noProof/>
          <w:color w:val="000000"/>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След като управителният съвет потвърди увеличението на капитала на ЕИФ, Комисията ще представи предложение за Решение на Европейския парламент и на Съвета относно участието на Европейския съюз в увеличението на капитала на ЕИФ. В очакване на приемането на това решение съответните бюджетни кредити ще бъдат записани в бюджета като провизия в съответствие с член 49 от Финансовия регламент.</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p>
        </w:tc>
        <w:tc>
          <w:tcPr>
            <w:tcW w:w="5132" w:type="dxa"/>
          </w:tcPr>
          <w:p>
            <w:pPr>
              <w:widowControl w:val="0"/>
              <w:tabs>
                <w:tab w:val="left" w:pos="1350"/>
              </w:tabs>
              <w:spacing w:before="15" w:after="15"/>
              <w:jc w:val="both"/>
              <w:rPr>
                <w:rFonts w:ascii="Times New Roman" w:hAnsi="Times New Roman" w:cs="Times New Roman"/>
                <w:noProof/>
                <w:sz w:val="16"/>
                <w:szCs w:val="16"/>
              </w:rPr>
            </w:pP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40 02 41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 xml:space="preserve">Многогодишни бюджетни кредити </w:t>
            </w:r>
            <w:r>
              <w:rPr>
                <w:rFonts w:ascii="Times New Roman" w:hAnsi="Times New Roman"/>
                <w:i/>
                <w:noProof/>
                <w:sz w:val="16"/>
                <w:szCs w:val="16"/>
              </w:rPr>
              <w:t>(Резерв за бюджетна позиция 01 04 01 03 „Европейски инвестиционен фонд — Европейски инвестиционен фонд — Провизия на платени акции от записания капитал за предоставяне на подкрепа за европейската икономика и нейното възстановяване, по-специално за малките и средните предприятия“)</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500 000 000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500 000 000</w:t>
            </w:r>
          </w:p>
        </w:tc>
      </w:tr>
      <w:tr>
        <w:trPr>
          <w:jc w:val="center"/>
        </w:trPr>
        <w:tc>
          <w:tcPr>
            <w:tcW w:w="1276" w:type="dxa"/>
          </w:tcPr>
          <w:p>
            <w:pPr>
              <w:widowControl w:val="0"/>
              <w:spacing w:before="15" w:after="15" w:line="240" w:lineRule="auto"/>
              <w:ind w:right="-113"/>
              <w:jc w:val="both"/>
              <w:rPr>
                <w:rFonts w:ascii="Times New Roman" w:eastAsia="Times New Roman" w:hAnsi="Times New Roman" w:cs="Times New Roman"/>
                <w:noProof/>
                <w:sz w:val="20"/>
                <w:szCs w:val="20"/>
              </w:rPr>
            </w:pPr>
            <w:r>
              <w:rPr>
                <w:rFonts w:ascii="Times New Roman" w:hAnsi="Times New Roman"/>
                <w:noProof/>
                <w:sz w:val="20"/>
                <w:szCs w:val="20"/>
              </w:rPr>
              <w:t>01 04 01 04</w:t>
            </w:r>
          </w:p>
        </w:tc>
        <w:tc>
          <w:tcPr>
            <w:tcW w:w="5132" w:type="dxa"/>
          </w:tcPr>
          <w:p>
            <w:pPr>
              <w:widowControl w:val="0"/>
              <w:tabs>
                <w:tab w:val="left" w:pos="1350"/>
              </w:tabs>
              <w:spacing w:before="15" w:after="15"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Европейски инвестиционен фонд — Изискуема част от записания капитал за предоставяне на подкрепа за европейската икономика и нейното възстановяване, по-специално за малките и средните предприятия</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p.m.</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500 000 000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500 000 000</w:t>
            </w:r>
          </w:p>
        </w:tc>
      </w:tr>
    </w:tbl>
    <w:p>
      <w:pPr>
        <w:pStyle w:val="ManualHeading1"/>
        <w:rPr>
          <w:noProof/>
        </w:rPr>
      </w:pPr>
      <w:bookmarkStart w:id="21" w:name="_Toc42853170"/>
      <w:bookmarkStart w:id="22" w:name="_Toc35506112"/>
      <w:r>
        <w:rPr>
          <w:noProof/>
        </w:rPr>
        <w:t>6.</w:t>
      </w:r>
      <w:r>
        <w:rPr>
          <w:noProof/>
        </w:rPr>
        <w:tab/>
        <w:t>Финансиране</w:t>
      </w:r>
      <w:bookmarkEnd w:id="21"/>
    </w:p>
    <w:p>
      <w:pPr>
        <w:pStyle w:val="Text1"/>
        <w:ind w:left="0"/>
        <w:rPr>
          <w:noProof/>
        </w:rPr>
      </w:pPr>
      <w:r>
        <w:rPr>
          <w:noProof/>
        </w:rPr>
        <w:t>Тъй като почти всички маржове под таваните на МФР и наличността на специални инструменти за 2020 г. бяха изчерпани след предложения проект на коригиращ бюджет № 5, единствената възможност за финансиране на стартирането на плана за възстановяване за Европа през 2020 г. е да се увеличат таваните на поетите задължения за 2020 г. за подфункции 1а и 1б и за функция 4, както беше предложено при преразглеждането на Регламента за МФР за 2020 г. Настоящият проект на коригиращ бюджет, който може да бъде окончателно приет едва след приемането на преразглеждането на МФР, ще бъде финансиран в рамките на увеличените тавани, без да се прибягва до специални инструменти.</w:t>
      </w:r>
    </w:p>
    <w:p>
      <w:pPr>
        <w:pStyle w:val="Text1"/>
        <w:ind w:left="0"/>
        <w:rPr>
          <w:noProof/>
        </w:rPr>
      </w:pPr>
      <w:r>
        <w:rPr>
          <w:noProof/>
        </w:rPr>
        <w:t xml:space="preserve">Предложеното преразглеждане на Регламента за МФР увеличава таваните на поетите задължения, поради което не се прилага по отношение на Обединеното кралство, тъй като член 135, параграф 2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предвижда, че измененията на Регламент (ЕС, Евратом) № 1311/2013 на Съвета, приети на или след датата на влизане в сила на това споразумение, не се прилагат по отношение на Обединеното кралство, </w:t>
      </w:r>
      <w:r>
        <w:rPr>
          <w:i/>
          <w:noProof/>
        </w:rPr>
        <w:t>доколкото тези изменения оказват въздействие върху финансовите задължения на Обединеното кралство</w:t>
      </w:r>
      <w:r>
        <w:rPr>
          <w:noProof/>
        </w:rPr>
        <w:t>. Вследствие на това настоящият проект на коригиращ бюджет № 6 не поражда нови права или задължения за Обединеното кралство: Обединеното кралство няма да участва във финансирането на настоящия ПКБ и няма да ползва нито една от програмите, чиито средства се увеличават чрез него, нито ще му бъдат възстановени средства от направените по негова линия инвестиции. За да се осигури пълна прозрачност, се предлага да бъдат създадени специални бюджетни редове за всички допълнителни бюджетни кредити, предложени в настоящия ПКБ.</w:t>
      </w:r>
    </w:p>
    <w:p>
      <w:pPr>
        <w:pStyle w:val="Text1"/>
        <w:ind w:left="0"/>
        <w:rPr>
          <w:noProof/>
        </w:rPr>
      </w:pPr>
      <w:r>
        <w:rPr>
          <w:noProof/>
        </w:rPr>
        <w:t>В таблиците за финансирането, намиращи се в бюджетното приложение, е представено финансирането на този коригиращ бюджет от ЕС-27.</w:t>
      </w:r>
    </w:p>
    <w:p>
      <w:pPr>
        <w:rPr>
          <w:rFonts w:ascii="Times New Roman" w:eastAsia="Times New Roman" w:hAnsi="Times New Roman" w:cs="Times New Roman"/>
          <w:b/>
          <w:smallCaps/>
          <w:noProof/>
          <w:sz w:val="24"/>
          <w:szCs w:val="24"/>
        </w:rPr>
      </w:pPr>
      <w:r>
        <w:rPr>
          <w:noProof/>
        </w:rPr>
        <w:br w:type="page"/>
      </w:r>
    </w:p>
    <w:p>
      <w:pPr>
        <w:pStyle w:val="ManualHeading1"/>
        <w:rPr>
          <w:noProof/>
        </w:rPr>
      </w:pPr>
      <w:bookmarkStart w:id="23" w:name="_Toc42853171"/>
      <w:r>
        <w:rPr>
          <w:noProof/>
        </w:rPr>
        <w:t>7.</w:t>
      </w:r>
      <w:r>
        <w:rPr>
          <w:noProof/>
        </w:rPr>
        <w:tab/>
        <w:t>Обобщаваща таблица по функции от МФР</w:t>
      </w:r>
      <w:bookmarkEnd w:id="15"/>
      <w:bookmarkEnd w:id="16"/>
      <w:bookmarkEnd w:id="22"/>
      <w:bookmarkEnd w:id="23"/>
    </w:p>
    <w:tbl>
      <w:tblPr>
        <w:tblW w:w="10696" w:type="dxa"/>
        <w:jc w:val="center"/>
        <w:tblCellMar>
          <w:left w:w="70" w:type="dxa"/>
          <w:right w:w="70" w:type="dxa"/>
        </w:tblCellMar>
        <w:tblLook w:val="04A0" w:firstRow="1" w:lastRow="0" w:firstColumn="1" w:lastColumn="0" w:noHBand="0" w:noVBand="1"/>
      </w:tblPr>
      <w:tblGrid>
        <w:gridCol w:w="282"/>
        <w:gridCol w:w="2579"/>
        <w:gridCol w:w="1348"/>
        <w:gridCol w:w="1336"/>
        <w:gridCol w:w="1300"/>
        <w:gridCol w:w="1300"/>
        <w:gridCol w:w="1248"/>
        <w:gridCol w:w="1289"/>
        <w:gridCol w:w="14"/>
      </w:tblGrid>
      <w:tr>
        <w:trPr>
          <w:trHeight w:val="188"/>
          <w:jc w:val="center"/>
        </w:trPr>
        <w:tc>
          <w:tcPr>
            <w:tcW w:w="10696" w:type="dxa"/>
            <w:gridSpan w:val="9"/>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в EUR</w:t>
            </w:r>
          </w:p>
        </w:tc>
      </w:tr>
      <w:tr>
        <w:trPr>
          <w:gridAfter w:val="1"/>
          <w:wAfter w:w="14" w:type="dxa"/>
          <w:trHeight w:val="209"/>
          <w:jc w:val="center"/>
        </w:trPr>
        <w:tc>
          <w:tcPr>
            <w:tcW w:w="2859"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Бюджетен ред</w:t>
            </w:r>
          </w:p>
        </w:tc>
        <w:tc>
          <w:tcPr>
            <w:tcW w:w="2684"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 за 2020 г.</w:t>
            </w:r>
          </w:p>
        </w:tc>
        <w:tc>
          <w:tcPr>
            <w:tcW w:w="26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Проект на коригиращ бюджет № 6/2020</w:t>
            </w:r>
          </w:p>
        </w:tc>
        <w:tc>
          <w:tcPr>
            <w:tcW w:w="2539"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 за 2020 г.</w:t>
            </w:r>
          </w:p>
        </w:tc>
      </w:tr>
      <w:tr>
        <w:trPr>
          <w:gridAfter w:val="1"/>
          <w:wAfter w:w="14" w:type="dxa"/>
          <w:trHeight w:val="209"/>
          <w:jc w:val="center"/>
        </w:trPr>
        <w:tc>
          <w:tcPr>
            <w:tcW w:w="2859"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684"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(вкл. КБ № 1—2 и ПКБ № 3—5/2020)</w:t>
            </w:r>
          </w:p>
        </w:tc>
        <w:tc>
          <w:tcPr>
            <w:tcW w:w="260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539"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(вкл. КБ № 1—2 и ПКБ № 3—6/2020)</w:t>
            </w:r>
          </w:p>
        </w:tc>
      </w:tr>
      <w:tr>
        <w:trPr>
          <w:gridAfter w:val="1"/>
          <w:wAfter w:w="14" w:type="dxa"/>
          <w:trHeight w:val="209"/>
          <w:jc w:val="center"/>
        </w:trPr>
        <w:tc>
          <w:tcPr>
            <w:tcW w:w="2859"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1348"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33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c>
          <w:tcPr>
            <w:tcW w:w="124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29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r>
      <w:tr>
        <w:trPr>
          <w:gridAfter w:val="1"/>
          <w:wAfter w:w="14" w:type="dxa"/>
          <w:trHeight w:val="227"/>
          <w:jc w:val="center"/>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w:t>
            </w:r>
          </w:p>
        </w:tc>
        <w:tc>
          <w:tcPr>
            <w:tcW w:w="2579"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Интелигентен и приобщаващ растеж</w:t>
            </w:r>
          </w:p>
        </w:tc>
        <w:tc>
          <w:tcPr>
            <w:tcW w:w="13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72 353 828 442</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10 500 000 000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5 500 000 000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94 430 597 837</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77 853 828 442</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Таван </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94 161 000 000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1а</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Конкурентоспособност за растеж и работни места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5 500 000 000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3 000 000 000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30 784 773 982</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25 308 071 592</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общия марж за поетите задължения</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30 691 000 000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1б </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Икономическо, социално и териториално сближаване</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50 045 756 850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5 000 000 000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2 500 000 000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63 645 823 855</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52 545 756 850</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общия марж за поетите задължения</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63 470 000 000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375"/>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2.</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Устойчив растеж: природни ресурси</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компенсирани от маржа за непредвидени обстоятелства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346"/>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От които: Европейски фонд за гарантиране на земеделието (ЕФГЗ) — Разходи, свързани с пазара, и преки плащания</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Подтаван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Разликата от закръгляне е изключена от изчислението на маржа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компенсирани от маржа за непредвидени обстоятелства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 за ЕФГЗ</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Сигурност и гражданство</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Инструмента за гъвкавост</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общия марж за поетите задължения</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маржа за непредвидени обстоятелства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Глобална Европа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9 112 061 191</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1 040 000 000</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1 040 000 000</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12 031 572 239</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10 152 061 191</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маржа за непредвидени обстоятелства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11 550 000 000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w:t>
            </w:r>
          </w:p>
        </w:tc>
        <w:tc>
          <w:tcPr>
            <w:tcW w:w="2579"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Администрация</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компенсирани от маржа за непредвидени обстоятелства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360"/>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От които: административни разходи на институциите</w:t>
            </w:r>
          </w:p>
        </w:tc>
        <w:tc>
          <w:tcPr>
            <w:tcW w:w="13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336"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29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Подтаван</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компенсирани от маржа за непредвидени обстоятелства</w:t>
            </w:r>
          </w:p>
        </w:tc>
        <w:tc>
          <w:tcPr>
            <w:tcW w:w="13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33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29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348"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336"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291" w:type="dxa"/>
            <w:tcBorders>
              <w:top w:val="nil"/>
              <w:left w:val="nil"/>
              <w:bottom w:val="single" w:sz="4" w:space="0" w:color="auto"/>
              <w:right w:val="single" w:sz="4" w:space="0" w:color="auto"/>
            </w:tcBorders>
            <w:shd w:val="clear" w:color="auto" w:fill="auto"/>
            <w:vAlign w:val="center"/>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4" w:type="dxa"/>
          <w:trHeight w:val="227"/>
          <w:jc w:val="center"/>
        </w:trPr>
        <w:tc>
          <w:tcPr>
            <w:tcW w:w="2859"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Общо</w:t>
            </w:r>
          </w:p>
        </w:tc>
        <w:tc>
          <w:tcPr>
            <w:tcW w:w="13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172 252 759 110</w:t>
            </w:r>
          </w:p>
        </w:tc>
        <w:tc>
          <w:tcPr>
            <w:tcW w:w="1336"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154 923 105 917</w:t>
            </w:r>
          </w:p>
        </w:tc>
        <w:tc>
          <w:tcPr>
            <w:tcW w:w="13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11 540 000 000</w:t>
            </w:r>
          </w:p>
        </w:tc>
        <w:tc>
          <w:tcPr>
            <w:tcW w:w="13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6 540 000 000</w:t>
            </w:r>
          </w:p>
        </w:tc>
        <w:tc>
          <w:tcPr>
            <w:tcW w:w="12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183 792 759 110</w:t>
            </w:r>
          </w:p>
        </w:tc>
        <w:tc>
          <w:tcPr>
            <w:tcW w:w="129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161 463 105 917</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Инструмента за гъвкавост</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общия марж за поетите задължения</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маржа за непредвидени обстоятелства</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Таван</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180 337 000 000</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r>
      <w:tr>
        <w:trPr>
          <w:gridAfter w:val="1"/>
          <w:wAfter w:w="14" w:type="dxa"/>
          <w:trHeight w:val="227"/>
          <w:jc w:val="center"/>
        </w:trPr>
        <w:tc>
          <w:tcPr>
            <w:tcW w:w="285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компенсирани от маржа за непредвидени обстоятелства</w:t>
            </w:r>
          </w:p>
        </w:tc>
        <w:tc>
          <w:tcPr>
            <w:tcW w:w="13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33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29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4" w:type="dxa"/>
          <w:trHeight w:val="227"/>
          <w:jc w:val="center"/>
        </w:trPr>
        <w:tc>
          <w:tcPr>
            <w:tcW w:w="2859"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Марж</w:t>
            </w:r>
          </w:p>
        </w:tc>
        <w:tc>
          <w:tcPr>
            <w:tcW w:w="13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33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18 513 923 527</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29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11 973 923 527</w:t>
            </w:r>
          </w:p>
        </w:tc>
      </w:tr>
      <w:tr>
        <w:trPr>
          <w:gridAfter w:val="1"/>
          <w:wAfter w:w="14" w:type="dxa"/>
          <w:trHeight w:val="227"/>
          <w:jc w:val="center"/>
        </w:trPr>
        <w:tc>
          <w:tcPr>
            <w:tcW w:w="28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Други специални инструменти</w:t>
            </w:r>
          </w:p>
        </w:tc>
        <w:tc>
          <w:tcPr>
            <w:tcW w:w="13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33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29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r>
      <w:tr>
        <w:trPr>
          <w:gridAfter w:val="1"/>
          <w:wAfter w:w="14" w:type="dxa"/>
          <w:trHeight w:val="227"/>
          <w:jc w:val="center"/>
        </w:trPr>
        <w:tc>
          <w:tcPr>
            <w:tcW w:w="2859"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Всичко</w:t>
            </w:r>
          </w:p>
        </w:tc>
        <w:tc>
          <w:tcPr>
            <w:tcW w:w="13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173 113 020 318</w:t>
            </w:r>
          </w:p>
        </w:tc>
        <w:tc>
          <w:tcPr>
            <w:tcW w:w="133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155 614 104 125</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11 540 000 000</w:t>
            </w:r>
          </w:p>
        </w:tc>
        <w:tc>
          <w:tcPr>
            <w:tcW w:w="13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6 540 000 000</w:t>
            </w:r>
          </w:p>
        </w:tc>
        <w:tc>
          <w:tcPr>
            <w:tcW w:w="12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184 653 020 318</w:t>
            </w:r>
          </w:p>
        </w:tc>
        <w:tc>
          <w:tcPr>
            <w:tcW w:w="129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162 154 104 125</w:t>
            </w:r>
          </w:p>
        </w:tc>
      </w:tr>
    </w:tbl>
    <w:p>
      <w:pPr>
        <w:pStyle w:val="Text1"/>
        <w:ind w:left="0"/>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tab/>
    </w:r>
    <w:r>
      <w:fldChar w:fldCharType="begin"/>
    </w:r>
    <w:r>
      <w:instrText xml:space="preserve"> PAGE  \* MERGEFORMAT </w:instrText>
    </w:r>
    <w:r>
      <w:fldChar w:fldCharType="separate"/>
    </w:r>
    <w:r>
      <w:rPr>
        <w:noProof/>
      </w:rPr>
      <w:t>7</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tab/>
        <w:t>ОВ L 193, 30.7.2018 г.</w:t>
      </w:r>
    </w:p>
  </w:footnote>
  <w:footnote w:id="3">
    <w:p>
      <w:pPr>
        <w:pStyle w:val="FootnoteText"/>
      </w:pPr>
      <w:r>
        <w:rPr>
          <w:rStyle w:val="FootnoteReference"/>
        </w:rPr>
        <w:footnoteRef/>
      </w:r>
      <w:r>
        <w:t xml:space="preserve"> </w:t>
      </w:r>
      <w:r>
        <w:tab/>
        <w:t>ОВ L 57, 27.2.2020 г.</w:t>
      </w:r>
    </w:p>
  </w:footnote>
  <w:footnote w:id="4">
    <w:p>
      <w:pPr>
        <w:pStyle w:val="FootnoteText"/>
      </w:pPr>
      <w:r>
        <w:rPr>
          <w:rStyle w:val="FootnoteReference"/>
        </w:rPr>
        <w:footnoteRef/>
      </w:r>
      <w:r>
        <w:t xml:space="preserve"> </w:t>
      </w:r>
      <w:r>
        <w:tab/>
        <w:t>ОВ L 126, 21.4.2020 г.</w:t>
      </w:r>
    </w:p>
  </w:footnote>
  <w:footnote w:id="5">
    <w:p>
      <w:pPr>
        <w:pStyle w:val="FootnoteText"/>
      </w:pPr>
      <w:r>
        <w:rPr>
          <w:rStyle w:val="FootnoteReference"/>
        </w:rPr>
        <w:footnoteRef/>
      </w:r>
      <w:r>
        <w:t xml:space="preserve"> </w:t>
      </w:r>
      <w:r>
        <w:tab/>
        <w:t>ОВ L 126, 21.4.2020 г.</w:t>
      </w:r>
    </w:p>
  </w:footnote>
  <w:footnote w:id="6">
    <w:p>
      <w:pPr>
        <w:pStyle w:val="FootnoteText"/>
      </w:pPr>
      <w:r>
        <w:rPr>
          <w:rStyle w:val="FootnoteReference"/>
        </w:rPr>
        <w:footnoteRef/>
      </w:r>
      <w:r>
        <w:t xml:space="preserve"> </w:t>
      </w:r>
      <w:r>
        <w:tab/>
        <w:t>COM(2020) 180, 15.4.2020 г.</w:t>
      </w:r>
    </w:p>
  </w:footnote>
  <w:footnote w:id="7">
    <w:p>
      <w:pPr>
        <w:pStyle w:val="FootnoteText"/>
      </w:pPr>
      <w:r>
        <w:rPr>
          <w:rStyle w:val="FootnoteReference"/>
        </w:rPr>
        <w:footnoteRef/>
      </w:r>
      <w:r>
        <w:t xml:space="preserve"> </w:t>
      </w:r>
      <w:r>
        <w:tab/>
        <w:t>COM(2020) 190, 30.4.2020 г.</w:t>
      </w:r>
    </w:p>
  </w:footnote>
  <w:footnote w:id="8">
    <w:p>
      <w:pPr>
        <w:pStyle w:val="FootnoteText"/>
        <w:rPr>
          <w:sz w:val="18"/>
          <w:szCs w:val="18"/>
        </w:rPr>
      </w:pPr>
      <w:r>
        <w:rPr>
          <w:rStyle w:val="FootnoteReference"/>
        </w:rPr>
        <w:footnoteRef/>
      </w:r>
      <w:r>
        <w:t xml:space="preserve"> </w:t>
      </w:r>
      <w:r>
        <w:tab/>
        <w:t>COM(2020) 421, 3.6.2020 г.</w:t>
      </w:r>
    </w:p>
  </w:footnote>
  <w:footnote w:id="9">
    <w:p>
      <w:pPr>
        <w:pStyle w:val="FootnoteText"/>
        <w:rPr>
          <w:sz w:val="18"/>
          <w:szCs w:val="18"/>
        </w:rPr>
      </w:pPr>
      <w:r>
        <w:rPr>
          <w:sz w:val="18"/>
          <w:szCs w:val="18"/>
          <w:lang w:val="pl-PL"/>
        </w:rPr>
        <w:footnoteRef/>
      </w:r>
      <w:r>
        <w:rPr>
          <w:sz w:val="18"/>
          <w:szCs w:val="18"/>
        </w:rPr>
        <w:t xml:space="preserve"> </w:t>
      </w:r>
      <w:r>
        <w:tab/>
      </w:r>
      <w:r>
        <w:rPr>
          <w:sz w:val="18"/>
          <w:szCs w:val="18"/>
        </w:rPr>
        <w:t>COM(2020) 456, 27.5.2020 г.</w:t>
      </w:r>
    </w:p>
  </w:footnote>
  <w:footnote w:id="10">
    <w:p>
      <w:pPr>
        <w:pStyle w:val="FootnoteText"/>
        <w:rPr>
          <w:sz w:val="18"/>
          <w:szCs w:val="18"/>
          <w:highlight w:val="yellow"/>
        </w:rPr>
      </w:pPr>
      <w:r>
        <w:rPr>
          <w:rStyle w:val="FootnoteReference"/>
        </w:rPr>
        <w:footnoteRef/>
      </w:r>
      <w:r>
        <w:t xml:space="preserve"> </w:t>
      </w:r>
      <w:r>
        <w:tab/>
      </w:r>
      <w:r>
        <w:rPr>
          <w:sz w:val="18"/>
          <w:szCs w:val="18"/>
        </w:rPr>
        <w:t>COM(2020) 446, 28.5.2020 г.</w:t>
      </w:r>
    </w:p>
  </w:footnote>
  <w:footnote w:id="11">
    <w:p>
      <w:pPr>
        <w:pStyle w:val="FootnoteText"/>
        <w:rPr>
          <w:sz w:val="18"/>
          <w:szCs w:val="18"/>
          <w:highlight w:val="yellow"/>
        </w:rPr>
      </w:pPr>
      <w:r>
        <w:rPr>
          <w:rStyle w:val="FootnoteReference"/>
        </w:rPr>
        <w:footnoteRef/>
      </w:r>
      <w:r>
        <w:t xml:space="preserve"> </w:t>
      </w:r>
      <w:r>
        <w:tab/>
      </w:r>
      <w:r>
        <w:rPr>
          <w:sz w:val="18"/>
          <w:szCs w:val="18"/>
        </w:rPr>
        <w:t>COM(2020) 404, 29.5.2020 г.</w:t>
      </w:r>
    </w:p>
  </w:footnote>
  <w:footnote w:id="12">
    <w:p>
      <w:pPr>
        <w:pStyle w:val="FootnoteText"/>
        <w:rPr>
          <w:sz w:val="18"/>
          <w:szCs w:val="18"/>
        </w:rPr>
      </w:pPr>
      <w:r>
        <w:rPr>
          <w:rStyle w:val="FootnoteReference"/>
        </w:rPr>
        <w:footnoteRef/>
      </w:r>
      <w:r>
        <w:t xml:space="preserve"> </w:t>
      </w:r>
      <w:r>
        <w:tab/>
      </w:r>
      <w:r>
        <w:rPr>
          <w:sz w:val="18"/>
          <w:szCs w:val="18"/>
        </w:rPr>
        <w:t>COM(2020) 407, 28.5.2020 г.</w:t>
      </w:r>
    </w:p>
  </w:footnote>
  <w:footnote w:id="13">
    <w:p>
      <w:pPr>
        <w:pStyle w:val="FootnoteText"/>
      </w:pPr>
      <w:r>
        <w:rPr>
          <w:rStyle w:val="FootnoteReference"/>
        </w:rPr>
        <w:footnoteRef/>
      </w:r>
      <w:r>
        <w:t xml:space="preserve"> </w:t>
      </w:r>
      <w:r>
        <w:tab/>
        <w:t>Административната подкрепа за ЕФУР понастоящем се финансира предимно от Европейския фонд за развитие.</w:t>
      </w:r>
    </w:p>
  </w:footnote>
  <w:footnote w:id="14">
    <w:p>
      <w:pPr>
        <w:pStyle w:val="FootnoteText"/>
        <w:rPr>
          <w:sz w:val="18"/>
          <w:szCs w:val="18"/>
        </w:rPr>
      </w:pPr>
      <w:r>
        <w:rPr>
          <w:rStyle w:val="FootnoteReference"/>
        </w:rPr>
        <w:footnoteRef/>
      </w:r>
      <w:r>
        <w:rPr>
          <w:rStyle w:val="FootnoteReference"/>
        </w:rPr>
        <w:t xml:space="preserve"> </w:t>
      </w:r>
      <w:r>
        <w:tab/>
      </w:r>
      <w:r>
        <w:rPr>
          <w:sz w:val="18"/>
          <w:szCs w:val="18"/>
        </w:rPr>
        <w:t>COM(2020) 451, 27.5.2020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4">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5"/>
  </w:num>
  <w:num w:numId="4">
    <w:abstractNumId w:val="17"/>
  </w:num>
  <w:num w:numId="5">
    <w:abstractNumId w:val="23"/>
  </w:num>
  <w:num w:numId="6">
    <w:abstractNumId w:val="14"/>
  </w:num>
  <w:num w:numId="7">
    <w:abstractNumId w:val="9"/>
  </w:num>
  <w:num w:numId="8">
    <w:abstractNumId w:val="27"/>
  </w:num>
  <w:num w:numId="9">
    <w:abstractNumId w:val="21"/>
  </w:num>
  <w:num w:numId="10">
    <w:abstractNumId w:val="29"/>
  </w:num>
  <w:num w:numId="11">
    <w:abstractNumId w:val="22"/>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6"/>
  </w:num>
  <w:num w:numId="24">
    <w:abstractNumId w:val="24"/>
  </w:num>
  <w:num w:numId="25">
    <w:abstractNumId w:val="11"/>
  </w:num>
  <w:num w:numId="26">
    <w:abstractNumId w:val="19"/>
  </w:num>
  <w:num w:numId="27">
    <w:abstractNumId w:val="18"/>
  </w:num>
  <w:num w:numId="28">
    <w:abstractNumId w:val="16"/>
  </w:num>
  <w:num w:numId="29">
    <w:abstractNumId w:val="28"/>
  </w:num>
  <w:num w:numId="30">
    <w:abstractNumId w:val="20"/>
    <w:lvlOverride w:ilvl="0">
      <w:startOverride w:val="1"/>
    </w:lvlOverride>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F86A7A-66E5-4412-ADC6-ADBDD94BCD14"/>
    <w:docVar w:name="LW_COVERPAGE_TYPE" w:val="1"/>
    <w:docVar w:name="LW_CROSSREFERENCE" w:val="&lt;UNUSED&gt;"/>
    <w:docVar w:name="LW_DocType" w:val="NORMAL"/>
    <w:docVar w:name="LW_EMISSION" w:val="3.6.2020"/>
    <w:docVar w:name="LW_EMISSION_ISODATE" w:val="2020-06-03"/>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4?\u1090?\u1088?\u1072?\u1079?\u1103?\u1074?\u1072?\u1085?\u1077? \u1074? \u1073?\u1102?\u1076?\u1078?\u1077?\u1090?\u1072? \u1079?\u1072? 2020 \u1075?. \u1085?\u1072? \u1089?\u1090?\u1072?\u1088?\u1090?\u1080?\u1088?\u1072?\u1085?\u1077?\u1090?\u1086? \u1085?\u1072? \u1087?\u1083?\u1072?\u1085?\u1072? \u1079?\u1072? \u1074?\u1098?\u1079?\u1089?\u1090?\u1072?\u1085?\u1086?\u1074?\u1103?\u1074?\u1072?\u1085?\u1077? \u1079?\u1072? \u1045?\u1074?\u1088?\u1086?\u1087?\u1072? "/>
    <w:docVar w:name="LW_TYPE.DOC.CP" w:val="\u1055?\u1056?\u1054?\u1045?\u1050?\u1058? \u1053?\u1040? \u1050?\u1054?\u1056?\u1048?\u1043?\u1048?\u1056?\u1040?\u1065? \u1041?\u1070?\u1044?\u1046?\u1045?\u1058? \u8470? 6_x000b_\u1050?\u1066?\u1052? \u1054?\u1041?\u1065?\u1048?\u1071? \u1041?\u1070?\u1044?\u1046?\u1045?\u1058? \u1047?\u1040? 2020 \u1043?.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1157">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940720584">
      <w:bodyDiv w:val="1"/>
      <w:marLeft w:val="0"/>
      <w:marRight w:val="0"/>
      <w:marTop w:val="0"/>
      <w:marBottom w:val="0"/>
      <w:divBdr>
        <w:top w:val="none" w:sz="0" w:space="0" w:color="auto"/>
        <w:left w:val="none" w:sz="0" w:space="0" w:color="auto"/>
        <w:bottom w:val="none" w:sz="0" w:space="0" w:color="auto"/>
        <w:right w:val="none" w:sz="0" w:space="0" w:color="auto"/>
      </w:divBdr>
    </w:div>
    <w:div w:id="944852370">
      <w:bodyDiv w:val="1"/>
      <w:marLeft w:val="0"/>
      <w:marRight w:val="0"/>
      <w:marTop w:val="0"/>
      <w:marBottom w:val="0"/>
      <w:divBdr>
        <w:top w:val="none" w:sz="0" w:space="0" w:color="auto"/>
        <w:left w:val="none" w:sz="0" w:space="0" w:color="auto"/>
        <w:bottom w:val="none" w:sz="0" w:space="0" w:color="auto"/>
        <w:right w:val="none" w:sz="0" w:space="0" w:color="auto"/>
      </w:divBdr>
    </w:div>
    <w:div w:id="1405838611">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5348-AA93-474D-8211-0E8E4965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2643</Words>
  <Characters>13088</Characters>
  <Application>Microsoft Office Word</Application>
  <DocSecurity>0</DocSecurity>
  <Lines>688</Lines>
  <Paragraphs>403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2020-06-02T07:17:00Z</dcterms:created>
  <dcterms:modified xsi:type="dcterms:W3CDTF">2020-06-17T06:11:00Z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