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9BC4CAD-2C73-4645-8F2F-CEEDC690A075" style="width:450.5pt;height:407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fr-BE"/>
        </w:rPr>
      </w:pPr>
      <w:bookmarkStart w:id="1" w:name="_GoBack"/>
      <w:bookmarkEnd w:id="1"/>
      <w:r>
        <w:rPr>
          <w:rFonts w:ascii="Times New Roman" w:hAnsi="Times New Roman"/>
          <w:b/>
          <w:noProof/>
          <w:u w:val="single"/>
          <w:lang w:val="fr-BE"/>
        </w:rPr>
        <w:lastRenderedPageBreak/>
        <w:t>TABLEAU I: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lang w:val="fr-BE"/>
        </w:rPr>
      </w:pPr>
      <w:r>
        <w:rPr>
          <w:rFonts w:ascii="Times New Roman" w:hAnsi="Times New Roman"/>
          <w:b/>
          <w:noProof/>
          <w:lang w:val="fr-BE"/>
        </w:rPr>
        <w:t>Tableau récapitulatif des rapports mensuels de la chambre de commerce chypriote turque conformément à l’article 8 du règlement (CE) nº 1480/2004 de la Commission, en euros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fr-BE"/>
        </w:rPr>
      </w:pPr>
    </w:p>
    <w:tbl>
      <w:tblPr>
        <w:tblW w:w="16434" w:type="dxa"/>
        <w:tblInd w:w="-34" w:type="dxa"/>
        <w:tblLook w:val="04A0" w:firstRow="1" w:lastRow="0" w:firstColumn="1" w:lastColumn="0" w:noHBand="0" w:noVBand="1"/>
      </w:tblPr>
      <w:tblGrid>
        <w:gridCol w:w="1783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38"/>
        <w:gridCol w:w="1116"/>
        <w:gridCol w:w="1116"/>
        <w:gridCol w:w="1116"/>
        <w:gridCol w:w="1266"/>
      </w:tblGrid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Produits échangés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Janvier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Février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Mars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Avril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Mai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Juin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Juillet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Août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Septembre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Octobre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Novembre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Décembre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Total</w:t>
            </w:r>
          </w:p>
        </w:tc>
      </w:tr>
      <w:tr>
        <w:trPr>
          <w:trHeight w:val="104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fr-BE"/>
              </w:rPr>
              <w:t>Graisses et huiles animales/végétales; produits de leur dissociation; graisses alimentaires élaborées; cires d’origine animale ou végétale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fr-BE"/>
              </w:rPr>
              <w:t xml:space="preserve">          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45 660,00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9 600,00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36 900,00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36 900,00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36 900,00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27 100,00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37 750,00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36 310,00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8 750,00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27 560,00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37 560,00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24 840,00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highlight w:val="yellow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365 830,00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fr-BE"/>
              </w:rPr>
              <w:t>Matériaux de bâtiment/de construction (articles en pierres, plâtre, ciment, amiante, mica ou matières analogues; produits céramiques; verre et ouvrages en verre)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fr-BE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50 153,35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106 419,14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65 419,40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52 950,09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128 459,11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69 564,04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93 743,49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62 387,89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86 527,98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101 436,32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63 456,72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97 184,98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highlight w:val="yellow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977 702,51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fr-BE"/>
              </w:rPr>
              <w:t>Métaux communs et ouvrages en ces métaux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2 778,00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8 200,00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1 580,00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10 400,00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11 505,75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7 615,00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44 393,40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16 473,17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9 475,33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112 420,65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fr-BE"/>
              </w:rPr>
              <w:t>Chaussures, guêtres et articles analogues; parties de ces objets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6 460,00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22 627,70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8 180,00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1 250,00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4 410,00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43 997,70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fr-BE"/>
              </w:rPr>
              <w:t>Machines, appareils et matériels électriques et leurs parties; machines et appareils mécaniques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6 360,00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17 140,00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8 850,00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2 800,00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-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35 650,00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fr-BE"/>
              </w:rPr>
              <w:t>Articles manufacturés divers dont meubles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fr-BE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84 496,95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95 610,63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96 257,55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104 123,83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102 197,09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85 372,55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109 510,18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48 580,90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107 881,50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162 607,82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124 190,28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229 866,76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highlight w:val="yellow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1 350 696,04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Poisson frais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46 175,00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65 757,30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102 806,00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80 676,50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80 376,40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92 428,10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130 887,50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90 663,00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66 650,00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72 007,00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70 468,50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62 359,50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highlight w:val="yellow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961 254,80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Produits en plastique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137 886,16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112 954,99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98 751,70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127 059,01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165 341,70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100 977,43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167 864,70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123 394,13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169 476,52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149 837,78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131 869,89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124 449,81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1 609 863,82</w:t>
            </w:r>
          </w:p>
        </w:tc>
      </w:tr>
      <w:tr>
        <w:trPr>
          <w:trHeight w:val="88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fr-BE"/>
              </w:rPr>
              <w:t>Résidus et déchets des industries alimentaires</w:t>
            </w:r>
            <w:r>
              <w:rPr>
                <w:rFonts w:ascii="Times New Roman" w:hAnsi="Times New Roman"/>
                <w:noProof/>
                <w:sz w:val="20"/>
                <w:szCs w:val="20"/>
                <w:lang w:val="fr-BE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fr-BE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386,00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1 800,00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-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709,00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highlight w:val="yellow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3 835,00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Produits chimiques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3 970,10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971,25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3 807,30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7 761,32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10 578,40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8 202,53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14 220,00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14 199,80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14 715,92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6 694,85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17 176,58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6 840,10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highlight w:val="yellow"/>
              </w:rPr>
              <w:t xml:space="preserve">       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109 138,15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Produits en papier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9 500,00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9 000,00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1 208,40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12 000,00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10 320,00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2 258,40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6 000,00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3 561,60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3 660,00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2 400,00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59 908,40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Articles textiles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2 000,00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3 693,00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640,00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2 714,00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6 882,70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8 700,00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1 750,00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7 419,00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85 500,00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4 155,00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              2 860,00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highlight w:val="yellow"/>
              </w:rPr>
              <w:t xml:space="preserve">  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127 213,70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Produits du règne végétal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76 555,00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4 530,00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112 153,00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98 666,00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45 000,00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38 500,00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10 400,00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38 200,00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23 550,00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29 200,00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13 850,00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34 700,00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highlight w:val="yellow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525 304,00</w:t>
            </w:r>
          </w:p>
        </w:tc>
      </w:tr>
      <w:tr>
        <w:trPr>
          <w:trHeight w:val="32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fr-B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fr-BE"/>
              </w:rPr>
              <w:t>Bois et ouvrages en bois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fr-BE"/>
              </w:rPr>
              <w:t xml:space="preserve">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2 246,00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1 490,00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1 464,00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1 287,00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2 418,00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2 157,00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1 509,00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2 281,00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4 908,00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2 548,00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4 577,50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3 311,00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highlight w:val="yellow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30 196,50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459 028,56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407 233,31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525 388,35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543 553,75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586 354,70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466 470,45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594 810,62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443 086,72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502 805,52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698 705,17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488 977,64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596 596,48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6 313 011,27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val="fr-BE"/>
        </w:rPr>
      </w:pPr>
      <w:r>
        <w:rPr>
          <w:rFonts w:ascii="Times New Roman" w:hAnsi="Times New Roman"/>
          <w:b/>
          <w:bCs/>
          <w:noProof/>
          <w:sz w:val="20"/>
          <w:szCs w:val="20"/>
          <w:lang w:val="fr-BE"/>
        </w:rPr>
        <w:t xml:space="preserve">Source: </w:t>
      </w:r>
      <w:r>
        <w:rPr>
          <w:rFonts w:ascii="Times New Roman" w:hAnsi="Times New Roman"/>
          <w:noProof/>
          <w:sz w:val="20"/>
          <w:szCs w:val="20"/>
          <w:lang w:val="fr-BE"/>
        </w:rPr>
        <w:t>chambre de commerce chypriote turque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lang w:val="fr-BE"/>
        </w:rPr>
      </w:pPr>
    </w:p>
    <w:p>
      <w:pPr>
        <w:tabs>
          <w:tab w:val="left" w:pos="8830"/>
        </w:tabs>
        <w:rPr>
          <w:rFonts w:ascii="Calibri" w:eastAsia="Calibri" w:hAnsi="Calibri" w:cs="Times New Roman"/>
          <w:noProof/>
          <w:lang w:val="fr-BE"/>
        </w:rPr>
      </w:pPr>
      <w:r>
        <w:rPr>
          <w:rFonts w:ascii="Calibri" w:hAnsi="Calibri"/>
          <w:noProof/>
          <w:lang w:val="fr-BE"/>
        </w:rPr>
        <w:tab/>
      </w:r>
    </w:p>
    <w:p>
      <w:pPr>
        <w:tabs>
          <w:tab w:val="left" w:pos="8830"/>
        </w:tabs>
        <w:rPr>
          <w:rFonts w:ascii="Calibri" w:eastAsia="Calibri" w:hAnsi="Calibri" w:cs="Times New Roman"/>
          <w:noProof/>
          <w:lang w:val="fr-BE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720" w:right="720" w:bottom="720" w:left="340" w:header="709" w:footer="709" w:gutter="0"/>
          <w:pgNumType w:start="1"/>
          <w:cols w:space="708"/>
          <w:titlePg/>
          <w:docGrid w:linePitch="360"/>
        </w:sectPr>
      </w:pPr>
      <w:r>
        <w:rPr>
          <w:rFonts w:ascii="Calibri" w:hAnsi="Calibri"/>
          <w:noProof/>
          <w:lang w:val="fr-BE"/>
        </w:rPr>
        <w:tab/>
      </w:r>
    </w:p>
    <w:p>
      <w:pPr>
        <w:rPr>
          <w:rFonts w:ascii="Times New Roman" w:eastAsia="Calibri" w:hAnsi="Times New Roman" w:cs="Times New Roman"/>
          <w:noProof/>
          <w:sz w:val="24"/>
          <w:szCs w:val="24"/>
          <w:u w:val="single"/>
          <w:lang w:val="fr-BE"/>
        </w:rPr>
      </w:pPr>
      <w:r>
        <w:rPr>
          <w:rFonts w:ascii="Times New Roman" w:hAnsi="Times New Roman"/>
          <w:noProof/>
          <w:u w:val="single"/>
          <w:lang w:val="fr-BE"/>
        </w:rPr>
        <w:t>TABLEAU II:</w:t>
      </w:r>
    </w:p>
    <w:p>
      <w:pPr>
        <w:rPr>
          <w:rFonts w:ascii="Times New Roman" w:eastAsia="Calibri" w:hAnsi="Times New Roman" w:cs="Times New Roman"/>
          <w:noProof/>
          <w:sz w:val="24"/>
          <w:szCs w:val="24"/>
          <w:lang w:val="fr-BE"/>
        </w:rPr>
      </w:pPr>
      <w:r>
        <w:rPr>
          <w:rFonts w:ascii="Times New Roman" w:hAnsi="Times New Roman"/>
          <w:noProof/>
          <w:lang w:val="fr-BE"/>
        </w:rPr>
        <w:t>Valeur des marchandises franchissant la ligne verte déclarée par les autorités de la République de Chypre pour 2019, en euros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</w:tblGrid>
      <w:tr>
        <w:trPr>
          <w:trHeight w:val="510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BE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Total </w:t>
            </w:r>
            <w:r>
              <w:rPr>
                <w:rFonts w:ascii="Times New Roman" w:hAnsi="Times New Roman"/>
                <w:b/>
                <w:noProof/>
              </w:rPr>
              <w:br/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Janvier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354 146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Février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402 483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Mars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452 587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Avril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412 989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Mai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454 304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Juin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430 195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Juillet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494 559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Août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431 542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Septembre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490 969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Octobre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499 038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Novembre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507 932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Décembre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533 493</w:t>
            </w:r>
          </w:p>
        </w:tc>
      </w:tr>
      <w:tr>
        <w:trPr>
          <w:trHeight w:val="270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TOTAL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5 464 237</w:t>
            </w:r>
          </w:p>
        </w:tc>
      </w:tr>
    </w:tbl>
    <w:p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  <w:lang w:val="fr-BE"/>
        </w:rPr>
      </w:pPr>
      <w:r>
        <w:rPr>
          <w:rFonts w:ascii="Times New Roman" w:hAnsi="Times New Roman"/>
          <w:b/>
          <w:noProof/>
          <w:sz w:val="20"/>
          <w:szCs w:val="20"/>
          <w:lang w:val="fr-BE"/>
        </w:rPr>
        <w:t>Source:</w:t>
      </w:r>
      <w:r>
        <w:rPr>
          <w:rFonts w:ascii="Times New Roman" w:hAnsi="Times New Roman"/>
          <w:noProof/>
          <w:sz w:val="20"/>
          <w:szCs w:val="20"/>
          <w:lang w:val="fr-BE"/>
        </w:rPr>
        <w:t xml:space="preserve"> tableau basé sur les données transmises par le service des douanes et accises de Chypre</w:t>
      </w:r>
    </w:p>
    <w:p>
      <w:pPr>
        <w:rPr>
          <w:rFonts w:ascii="Calibri" w:eastAsia="Calibri" w:hAnsi="Calibri" w:cs="Times New Roman"/>
          <w:noProof/>
          <w:lang w:val="fr-BE"/>
        </w:rPr>
      </w:pPr>
    </w:p>
    <w:p>
      <w:pPr>
        <w:rPr>
          <w:rFonts w:ascii="Calibri" w:eastAsia="Calibri" w:hAnsi="Calibri" w:cs="Times New Roman"/>
          <w:noProof/>
          <w:lang w:val="fr-BE"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fr-BE"/>
        </w:rPr>
      </w:pPr>
      <w:r>
        <w:rPr>
          <w:rFonts w:ascii="Times New Roman" w:hAnsi="Times New Roman"/>
          <w:b/>
          <w:noProof/>
          <w:u w:val="single"/>
          <w:lang w:val="fr-BE"/>
        </w:rPr>
        <w:t>TABLEAU III:</w:t>
      </w: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fr-BE"/>
        </w:rPr>
      </w:pPr>
      <w:r>
        <w:rPr>
          <w:rFonts w:ascii="Times New Roman" w:hAnsi="Times New Roman"/>
          <w:b/>
          <w:noProof/>
          <w:lang w:val="fr-BE"/>
        </w:rPr>
        <w:t>Valeur des marchandises ayant franchi la ligne verte et valeur des marchandises pour lesquelles des documents d’accompagnement ont été délivrés en 2019</w:t>
      </w: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fr-BE"/>
        </w:rPr>
      </w:pPr>
      <w:r>
        <w:rPr>
          <w:noProof/>
          <w:lang w:eastAsia="en-GB"/>
        </w:rPr>
        <w:drawing>
          <wp:inline distT="0" distB="0" distL="0" distR="0">
            <wp:extent cx="5760720" cy="359899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val="fr-BE"/>
        </w:rPr>
      </w:pPr>
      <w:r>
        <w:rPr>
          <w:rFonts w:ascii="Times New Roman" w:hAnsi="Times New Roman"/>
          <w:b/>
          <w:bCs/>
          <w:noProof/>
          <w:sz w:val="20"/>
          <w:szCs w:val="20"/>
          <w:lang w:val="fr-BE"/>
        </w:rPr>
        <w:t>Source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val="fr-BE"/>
        </w:rPr>
      </w:pPr>
      <w:r>
        <w:rPr>
          <w:rFonts w:ascii="Times New Roman" w:hAnsi="Times New Roman"/>
          <w:noProof/>
          <w:sz w:val="20"/>
          <w:szCs w:val="20"/>
          <w:lang w:val="fr-BE"/>
        </w:rPr>
        <w:t>- Pour la valeur des marchandises pour lesquelles des documents d’accompagnement ont été délivrés: chambre de commerce chypriote</w:t>
      </w:r>
      <w:r>
        <w:rPr>
          <w:rFonts w:ascii="Times New Roman" w:eastAsia="Calibri" w:hAnsi="Times New Roman" w:cs="Times New Roman"/>
          <w:noProof/>
          <w:sz w:val="20"/>
          <w:szCs w:val="20"/>
          <w:lang w:val="fr-BE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fr-BE"/>
        </w:rPr>
        <w:t>turque</w:t>
      </w:r>
    </w:p>
    <w:p>
      <w:pPr>
        <w:rPr>
          <w:rFonts w:ascii="Calibri" w:eastAsia="Calibri" w:hAnsi="Calibri" w:cs="Times New Roman"/>
          <w:noProof/>
          <w:sz w:val="20"/>
          <w:szCs w:val="20"/>
          <w:lang w:val="fr-B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0"/>
          <w:szCs w:val="20"/>
          <w:lang w:val="fr-BE"/>
        </w:rPr>
        <w:t>- Pour la valeur des marchandises qui ont franchi la ligne verte: service des douanes et accises de Chypre</w:t>
      </w:r>
    </w:p>
    <w:p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fr-BE"/>
        </w:rPr>
      </w:pPr>
      <w:r>
        <w:rPr>
          <w:rFonts w:ascii="Times New Roman" w:hAnsi="Times New Roman"/>
          <w:b/>
          <w:noProof/>
          <w:u w:val="single"/>
          <w:lang w:val="fr-BE"/>
        </w:rPr>
        <w:t xml:space="preserve">TABLEAU IV: </w:t>
      </w:r>
    </w:p>
    <w:p>
      <w:pPr>
        <w:ind w:left="720"/>
        <w:rPr>
          <w:rFonts w:ascii="Times New Roman" w:hAnsi="Times New Roman"/>
          <w:b/>
          <w:noProof/>
          <w:lang w:val="fr-BE"/>
        </w:rPr>
      </w:pPr>
      <w:r>
        <w:rPr>
          <w:rFonts w:ascii="Times New Roman" w:hAnsi="Times New Roman"/>
          <w:b/>
          <w:noProof/>
          <w:lang w:val="fr-BE"/>
        </w:rPr>
        <w:t>Produits les plus échangés en 2019, en euros</w:t>
      </w:r>
    </w:p>
    <w:p>
      <w:pPr>
        <w:ind w:left="720"/>
        <w:rPr>
          <w:rFonts w:ascii="Times New Roman" w:hAnsi="Times New Roman"/>
          <w:b/>
          <w:noProof/>
          <w:lang w:val="fr-BE"/>
        </w:rPr>
      </w:pPr>
      <w:r>
        <w:rPr>
          <w:noProof/>
          <w:lang w:eastAsia="en-GB"/>
        </w:rPr>
        <w:drawing>
          <wp:inline distT="0" distB="0" distL="0" distR="0">
            <wp:extent cx="5796616" cy="40252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73" cy="402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702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2255"/>
        <w:gridCol w:w="1640"/>
      </w:tblGrid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Produits en plastique 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1 505 322,67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</w:rPr>
              <w:t>28 %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noProof/>
                <w:lang w:val="fr-BE"/>
              </w:rPr>
              <w:t>Matériaux de construction/pierres/mosaïques, marbres et granits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1 225 539,11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</w:rPr>
              <w:t>22 %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Poisson frais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957 072,80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</w:rPr>
              <w:t>17 %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Meubles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801 610,00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</w:rPr>
              <w:t>15 %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Débris/déchets </w:t>
            </w:r>
            <w:r>
              <w:rPr>
                <w:noProof/>
              </w:rPr>
              <w:t xml:space="preserve"> 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333 607,25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</w:rPr>
              <w:t>6 %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Sommiers et matelas 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230 252,05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</w:rPr>
              <w:t>4 %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Pommes de terre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56 752,00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</w:rPr>
              <w:t>1 %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noProof/>
                <w:lang w:val="fr-BE"/>
              </w:rPr>
              <w:t>Fruits et légumes autres que les pommes de terre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</w:rPr>
              <w:t>49 821,80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noProof/>
              </w:rPr>
              <w:t>1 %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Autres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304 259,37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/>
                <w:noProof/>
              </w:rPr>
              <w:t>6 %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Total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</w:rPr>
              <w:t>5 464 237,05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noProof/>
              </w:rPr>
              <w:t>100,0 %</w:t>
            </w:r>
          </w:p>
        </w:tc>
      </w:tr>
    </w:tbl>
    <w:p>
      <w:pPr>
        <w:ind w:left="720"/>
        <w:rPr>
          <w:rFonts w:ascii="Times New Roman" w:hAnsi="Times New Roman"/>
          <w:b/>
          <w:noProof/>
          <w:lang w:val="fr-BE"/>
        </w:rPr>
      </w:pPr>
    </w:p>
    <w:p>
      <w:pPr>
        <w:ind w:left="720"/>
        <w:rPr>
          <w:rFonts w:ascii="Times New Roman" w:eastAsia="Calibri" w:hAnsi="Times New Roman" w:cs="Times New Roman"/>
          <w:noProof/>
          <w:sz w:val="20"/>
          <w:szCs w:val="20"/>
          <w:lang w:val="fr-BE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20"/>
          <w:szCs w:val="20"/>
          <w:lang w:val="fr-BE"/>
        </w:rPr>
        <w:t>Source:</w:t>
      </w:r>
      <w:r>
        <w:rPr>
          <w:rFonts w:ascii="Times New Roman" w:hAnsi="Times New Roman"/>
          <w:noProof/>
          <w:sz w:val="20"/>
          <w:szCs w:val="20"/>
          <w:lang w:val="fr-BE"/>
        </w:rPr>
        <w:t xml:space="preserve"> tableau basé sur les données transmises par le service des douanes et accises de Chypre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fr-BE"/>
        </w:rPr>
      </w:pPr>
      <w:r>
        <w:rPr>
          <w:rFonts w:ascii="Times New Roman" w:hAnsi="Times New Roman"/>
          <w:b/>
          <w:noProof/>
          <w:u w:val="single"/>
          <w:lang w:val="fr-BE"/>
        </w:rPr>
        <w:t xml:space="preserve">TABLEAU V: </w:t>
      </w:r>
    </w:p>
    <w:p>
      <w:pPr>
        <w:rPr>
          <w:rFonts w:ascii="Times New Roman" w:hAnsi="Times New Roman"/>
          <w:b/>
          <w:noProof/>
          <w:lang w:val="fr-BE"/>
        </w:rPr>
      </w:pPr>
      <w:r>
        <w:rPr>
          <w:rFonts w:ascii="Times New Roman" w:hAnsi="Times New Roman"/>
          <w:b/>
          <w:noProof/>
          <w:lang w:val="fr-BE"/>
        </w:rPr>
        <w:t>Évolution des documents d’accompagnement délivrés pour les marchandises les plus échangées en 2019 (valeur la plus élevée)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lang w:val="fr-BE"/>
        </w:rPr>
      </w:pPr>
      <w:r>
        <w:rPr>
          <w:noProof/>
          <w:lang w:eastAsia="en-GB"/>
        </w:rPr>
        <w:drawing>
          <wp:inline distT="0" distB="0" distL="0" distR="0">
            <wp:extent cx="5772150" cy="37465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eastAsia="Calibri" w:hAnsi="Times New Roman" w:cs="Times New Roman"/>
          <w:noProof/>
          <w:sz w:val="20"/>
          <w:szCs w:val="20"/>
          <w:lang w:val="fr-BE"/>
        </w:rPr>
      </w:pPr>
      <w:r>
        <w:rPr>
          <w:rFonts w:ascii="Times New Roman" w:hAnsi="Times New Roman"/>
          <w:b/>
          <w:noProof/>
          <w:sz w:val="20"/>
          <w:szCs w:val="20"/>
          <w:lang w:val="fr-BE"/>
        </w:rPr>
        <w:t>Source:</w:t>
      </w:r>
      <w:r>
        <w:rPr>
          <w:rFonts w:ascii="Times New Roman" w:hAnsi="Times New Roman"/>
          <w:noProof/>
          <w:sz w:val="20"/>
          <w:szCs w:val="20"/>
          <w:lang w:val="fr-BE"/>
        </w:rPr>
        <w:t xml:space="preserve">  graphique basé sur les données relatives aux documents d’accompagnement délivrés par la chambre de commerce chypriote turque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fr-BE"/>
        </w:rPr>
        <w:sectPr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u w:val="single"/>
        </w:rPr>
        <w:t>TABLEAU VI</w:t>
      </w:r>
    </w:p>
    <w:tbl>
      <w:tblPr>
        <w:tblW w:w="8740" w:type="dxa"/>
        <w:tblInd w:w="98" w:type="dxa"/>
        <w:tblLook w:val="0000" w:firstRow="0" w:lastRow="0" w:firstColumn="0" w:lastColumn="0" w:noHBand="0" w:noVBand="0"/>
      </w:tblPr>
      <w:tblGrid>
        <w:gridCol w:w="1334"/>
        <w:gridCol w:w="1334"/>
        <w:gridCol w:w="1482"/>
        <w:gridCol w:w="1037"/>
        <w:gridCol w:w="1482"/>
        <w:gridCol w:w="1482"/>
        <w:gridCol w:w="1037"/>
      </w:tblGrid>
      <w:tr>
        <w:trPr>
          <w:trHeight w:val="1641"/>
        </w:trPr>
        <w:tc>
          <w:tcPr>
            <w:tcW w:w="8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fr-BE"/>
              </w:rPr>
            </w:pPr>
            <w:r>
              <w:rPr>
                <w:rFonts w:ascii="Times New Roman" w:hAnsi="Times New Roman"/>
                <w:b/>
                <w:bCs/>
                <w:noProof/>
                <w:lang w:val="fr-BE"/>
              </w:rPr>
              <w:t xml:space="preserve">Circulation des personnes et des véhicules chypriotes grecs et turcs aux points de passage, conformément au règlement (CE) nº 866/04 du Conseil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(1/1/2019 – 31/12/2019)</w:t>
            </w:r>
          </w:p>
        </w:tc>
      </w:tr>
      <w:tr>
        <w:trPr>
          <w:trHeight w:val="754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MOIS</w:t>
            </w:r>
          </w:p>
        </w:tc>
        <w:tc>
          <w:tcPr>
            <w:tcW w:w="36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CIRCULATION DES PERSONNES</w:t>
            </w:r>
          </w:p>
        </w:tc>
        <w:tc>
          <w:tcPr>
            <w:tcW w:w="3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CIRCULATION DES VÉHICULES </w:t>
            </w:r>
          </w:p>
        </w:tc>
      </w:tr>
      <w:tr>
        <w:trPr>
          <w:trHeight w:val="827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CYPRIOTES GRECS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CHYPRIOTES TURCS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TOTAL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VÉHICULES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CHYPRIOTES GRECS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VÉHICULES CHYPRIOTES TURCS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TOTAL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118 421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99 332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217 753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65 036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38 370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103 406</w:t>
            </w:r>
          </w:p>
        </w:tc>
      </w:tr>
      <w:tr>
        <w:trPr>
          <w:trHeight w:val="66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135 532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104 414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239 946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71 493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39 526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111 019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158 410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108 046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266 456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85 806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40 057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125 863</w:t>
            </w:r>
          </w:p>
        </w:tc>
      </w:tr>
      <w:tr>
        <w:trPr>
          <w:trHeight w:val="66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205 402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99 362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304764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106 467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38 577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145 044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192 859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107 346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300 205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95 555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41 260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136 815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249 391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115 665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365 056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128 629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44 795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173 424</w:t>
            </w:r>
          </w:p>
        </w:tc>
      </w:tr>
      <w:tr>
        <w:trPr>
          <w:trHeight w:val="609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7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220 687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108 295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328 982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116 776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43 597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160 373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264 223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114 539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378 762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137 240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46 609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183 849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231 418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113 511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344 929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121 219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440 44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165 263</w:t>
            </w:r>
          </w:p>
        </w:tc>
      </w:tr>
      <w:tr>
        <w:trPr>
          <w:trHeight w:val="69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10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227 833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107 918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335 751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124 891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44 185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169 076</w:t>
            </w:r>
          </w:p>
        </w:tc>
      </w:tr>
      <w:tr>
        <w:trPr>
          <w:trHeight w:val="711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197 446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109 635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307 081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105 447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42 420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147 867</w:t>
            </w:r>
          </w:p>
        </w:tc>
      </w:tr>
      <w:tr>
        <w:trPr>
          <w:trHeight w:val="856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12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197 647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107626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305273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107 898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40 080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147 978</w:t>
            </w:r>
          </w:p>
        </w:tc>
      </w:tr>
      <w:tr>
        <w:trPr>
          <w:trHeight w:val="871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TOTAL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2 399 269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1 295 689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3 694 958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1 266 457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503 520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1 769 977</w:t>
            </w:r>
          </w:p>
        </w:tc>
      </w:tr>
    </w:tbl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0"/>
          <w:szCs w:val="20"/>
        </w:rPr>
        <w:t>Source:</w:t>
      </w:r>
      <w:r>
        <w:rPr>
          <w:rFonts w:ascii="Times New Roman" w:hAnsi="Times New Roman"/>
          <w:noProof/>
          <w:sz w:val="20"/>
          <w:szCs w:val="20"/>
        </w:rPr>
        <w:t xml:space="preserve"> police chypriote</w:t>
      </w:r>
    </w:p>
    <w:p>
      <w:pPr>
        <w:keepNext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u w:val="single"/>
        </w:rPr>
        <w:t>TABLEAU VII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4961"/>
      </w:tblGrid>
      <w:tr>
        <w:trPr>
          <w:trHeight w:val="1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Nationalité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/>
                <w:noProof/>
                <w:lang w:val="fr-BE"/>
              </w:rPr>
              <w:t>Nombre de migrants en situation irrégulière appréhendés après avoir franchi la ligne verte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  <w:r>
              <w:rPr>
                <w:rFonts w:ascii="Times New Roman" w:hAnsi="Times New Roman"/>
                <w:b/>
                <w:noProof/>
                <w:lang w:val="fr-BE"/>
              </w:rPr>
              <w:t xml:space="preserve">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(1/1/2019 – 31/12/2019)</w:t>
            </w:r>
          </w:p>
        </w:tc>
      </w:tr>
      <w:tr>
        <w:trPr>
          <w:trHeight w:val="2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Syrie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2005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Cameroun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1133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Bangladesh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954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Pakistan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950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Nigeria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329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Géorgie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323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Iran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313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Congo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278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Somalie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150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Turquie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140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Guinée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108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Égypte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Palestine</w:t>
            </w:r>
            <w:r>
              <w:rPr>
                <w:rStyle w:val="FootnoteReference"/>
                <w:rFonts w:ascii="Times New Roman" w:hAnsi="Times New Roman" w:cs="Times New Roman"/>
                <w:noProof/>
              </w:rPr>
              <w:footnoteReference w:id="2"/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Inde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Iraq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Viêt Nam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République démocratique du Congo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Sri Lanka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Sierra Leone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Liban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Jordanie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27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Côte d’Ivoire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26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Népal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Gambie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15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Ukraine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Haïti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Philippines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Zimbabwe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Ghana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  <w:lang w:val="fr-BE"/>
              </w:rPr>
            </w:pPr>
            <w:r>
              <w:rPr>
                <w:rFonts w:ascii="Times New Roman" w:hAnsi="Times New Roman"/>
                <w:noProof/>
                <w:lang w:val="fr-BE"/>
              </w:rPr>
              <w:t>Chine (y compris Hong Kong)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Ouzbékistan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Arménie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Russie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7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Maroc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Yémen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Togo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Rwanda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Tunisie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Afghanistan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</w:t>
            </w:r>
          </w:p>
        </w:tc>
      </w:tr>
      <w:tr>
        <w:trPr>
          <w:trHeight w:val="3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Mali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Kenya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Libye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Israël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Burkina Faso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Afrique du Sud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Brésil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Tanzanie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Indonésie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Angola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Moldavie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Érythrée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Mongolie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République centrafricaine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Liberia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Gabon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Sénégal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Suriname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Serbie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Tadjikistan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Seychelles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Biélorussie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Cambodge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Éthiopie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Azerbaïdjan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Kirghizstan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Myanmar/Birmanie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Kazakhstan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Albanie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Soudan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Arabie saoudite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Turkménistan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TOTAL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7 442</w:t>
            </w:r>
          </w:p>
        </w:tc>
      </w:tr>
    </w:tbl>
    <w:p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Source:</w:t>
      </w:r>
      <w:r>
        <w:rPr>
          <w:rFonts w:ascii="Times New Roman" w:hAnsi="Times New Roman"/>
          <w:noProof/>
          <w:sz w:val="20"/>
          <w:szCs w:val="20"/>
        </w:rPr>
        <w:t xml:space="preserve"> police chypriote</w:t>
      </w:r>
    </w:p>
    <w:sectPr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95502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61225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54302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78614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7416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</w:pPr>
    <w:r>
      <w:t>1</w:t>
    </w:r>
  </w:p>
  <w:p>
    <w:pPr>
      <w:pStyle w:val="Footer"/>
      <w:tabs>
        <w:tab w:val="clear" w:pos="4536"/>
        <w:tab w:val="clear" w:pos="9072"/>
        <w:tab w:val="left" w:pos="14927"/>
      </w:tabs>
    </w:pP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278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/>
          <w:lang w:val="fr-BE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fr-BE"/>
        </w:rPr>
        <w:t xml:space="preserve"> Ces chiffres incluent à la fois les 7 409 migrants irréguliers appréhendés dans les zones contrôlées par le gouvernement et les 33 migrants irréguliers appréhendés dans la SBA.</w:t>
      </w:r>
    </w:p>
  </w:footnote>
  <w:footnote w:id="2">
    <w:p>
      <w:pPr>
        <w:pStyle w:val="FootnoteText"/>
        <w:rPr>
          <w:rFonts w:ascii="Times New Roman" w:hAnsi="Times New Roman"/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 xml:space="preserve"> </w:t>
      </w:r>
      <w:r>
        <w:rPr>
          <w:rFonts w:ascii="Times New Roman" w:hAnsi="Times New Roman"/>
          <w:lang w:val="fr-BE"/>
        </w:rPr>
        <w:t>Cette dénomination ne saurait être interprétée comme une reconnaissance d’un État de Palestine et est sans préjudice de la position de chaque État membre sur cette question.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au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9BC4CAD-2C73-4645-8F2F-CEEDC690A075"/>
    <w:docVar w:name="LW_COVERPAGE_TYPE" w:val="1"/>
    <w:docVar w:name="LW_CROSSREFERENCE" w:val="&lt;UNUSED&gt;"/>
    <w:docVar w:name="LW_DocType" w:val="NORMAL"/>
    <w:docVar w:name="LW_EMISSION" w:val="18.6.2020"/>
    <w:docVar w:name="LW_EMISSION_ISODATE" w:val="2020-06-1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&lt;FMT:Bold&gt;Seizième rapport sur la mise en \u339?uvre du règlement (CE) nº 866/2004 du Conseil du 29 avril 2004 et sur la situation découlant de cette mise en \u339?uvre pour la période comprise entre le 1&lt;/FMT&gt;&lt;FMT:Bold,Superscript&gt;er&lt;/FMT&gt;&lt;FMT:Bold&gt; janvier et le 31 décembre 2019&lt;/FMT&gt;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05ptNotBold">
    <w:name w:val="Body text|2 + 10.5 pt;Not Bold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|2"/>
    <w:basedOn w:val="Normal"/>
    <w:link w:val="Bodytext2"/>
    <w:qFormat/>
    <w:pPr>
      <w:widowControl w:val="0"/>
      <w:shd w:val="clear" w:color="auto" w:fill="FFFFFF"/>
      <w:spacing w:after="0" w:line="112" w:lineRule="exact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05ptNotBold">
    <w:name w:val="Body text|2 + 10.5 pt;Not Bold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|2"/>
    <w:basedOn w:val="Normal"/>
    <w:link w:val="Bodytext2"/>
    <w:qFormat/>
    <w:pPr>
      <w:widowControl w:val="0"/>
      <w:shd w:val="clear" w:color="auto" w:fill="FFFFFF"/>
      <w:spacing w:after="0" w:line="112" w:lineRule="exact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image" Target="media/image3.emf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50" Type="http://schemas.openxmlformats.org/officeDocument/2006/relationships/footer" Target="footer19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image" Target="media/image4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52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image" Target="media/image2.emf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8" Type="http://schemas.openxmlformats.org/officeDocument/2006/relationships/image" Target="media/image1.emf"/><Relationship Id="rId51" Type="http://schemas.openxmlformats.org/officeDocument/2006/relationships/footer" Target="footer20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45DCD6-CEB7-4C4D-B1E6-3513C743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1454</Words>
  <Characters>6472</Characters>
  <Application>Microsoft Office Word</Application>
  <DocSecurity>0</DocSecurity>
  <Lines>924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DYCK Marie-Laure (SRSS)</dc:creator>
  <cp:lastModifiedBy>DIGIT/C6</cp:lastModifiedBy>
  <cp:revision>7</cp:revision>
  <dcterms:created xsi:type="dcterms:W3CDTF">2020-06-11T07:27:00Z</dcterms:created>
  <dcterms:modified xsi:type="dcterms:W3CDTF">2020-06-11T07:39:00Z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Last edited using">
    <vt:lpwstr>LW 7.0, Build 20190717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Unique annex">
    <vt:lpwstr>1</vt:lpwstr>
  </property>
  <property fmtid="{D5CDD505-2E9C-101B-9397-08002B2CF9AE}" pid="10" name="CPTemplateID">
    <vt:lpwstr>CP-039</vt:lpwstr>
  </property>
</Properties>
</file>