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B1A" w:rsidRDefault="00E84E4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94F4739-922B-425E-8D9B-7D104B5B2373" style="width:450.4pt;height:375.05pt">
            <v:imagedata r:id="rId8" o:title=""/>
          </v:shape>
        </w:pict>
      </w:r>
    </w:p>
    <w:bookmarkEnd w:id="0"/>
    <w:p w:rsidR="005F1B1A" w:rsidRDefault="005F1B1A">
      <w:pPr>
        <w:rPr>
          <w:noProof/>
        </w:rPr>
        <w:sectPr w:rsidR="005F1B1A">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Start w:id="1" w:name="_Toc33800393" w:displacedByCustomXml="next"/>
    <w:bookmarkStart w:id="2" w:name="_Toc32444145" w:displacedByCustomXml="next"/>
    <w:sdt>
      <w:sdtPr>
        <w:rPr>
          <w:rFonts w:asciiTheme="minorHAnsi" w:eastAsiaTheme="minorHAnsi" w:hAnsiTheme="minorHAnsi" w:cstheme="minorBidi"/>
          <w:b w:val="0"/>
          <w:caps w:val="0"/>
          <w:noProof/>
          <w:sz w:val="22"/>
          <w:szCs w:val="22"/>
          <w:lang w:eastAsia="en-US"/>
        </w:rPr>
        <w:id w:val="-1497113752"/>
        <w:docPartObj>
          <w:docPartGallery w:val="Table of Contents"/>
          <w:docPartUnique/>
        </w:docPartObj>
      </w:sdtPr>
      <w:sdtEndPr>
        <w:rPr>
          <w:bCs/>
        </w:rPr>
      </w:sdtEndPr>
      <w:sdtContent>
        <w:p w:rsidR="005F1B1A" w:rsidRDefault="00E84E49">
          <w:pPr>
            <w:pStyle w:val="TOCHeading"/>
            <w:rPr>
              <w:noProof/>
            </w:rPr>
          </w:pPr>
          <w:r>
            <w:rPr>
              <w:noProof/>
            </w:rPr>
            <w:t>TABLE DES MATIÈRES</w:t>
          </w:r>
        </w:p>
        <w:p w:rsidR="005F1B1A" w:rsidRDefault="00E84E49" w:rsidP="00E84E49">
          <w:pPr>
            <w:pStyle w:val="TOC1"/>
            <w:ind w:right="1472"/>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43216572"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INTRODUCTION</w:t>
            </w:r>
            <w:r>
              <w:rPr>
                <w:noProof/>
                <w:webHidden/>
              </w:rPr>
              <w:tab/>
            </w:r>
            <w:r>
              <w:rPr>
                <w:noProof/>
                <w:webHidden/>
              </w:rPr>
              <w:fldChar w:fldCharType="begin"/>
            </w:r>
            <w:r>
              <w:rPr>
                <w:noProof/>
                <w:webHidden/>
              </w:rPr>
              <w:instrText xml:space="preserve"> PAGEREF _Toc43216572 \h </w:instrText>
            </w:r>
            <w:r>
              <w:rPr>
                <w:noProof/>
                <w:webHidden/>
              </w:rPr>
            </w:r>
            <w:r>
              <w:rPr>
                <w:noProof/>
                <w:webHidden/>
              </w:rPr>
              <w:fldChar w:fldCharType="separate"/>
            </w:r>
            <w:r>
              <w:rPr>
                <w:noProof/>
                <w:webHidden/>
              </w:rPr>
              <w:t>2</w:t>
            </w:r>
            <w:r>
              <w:rPr>
                <w:noProof/>
                <w:webHidden/>
              </w:rPr>
              <w:fldChar w:fldCharType="end"/>
            </w:r>
          </w:hyperlink>
        </w:p>
        <w:p w:rsidR="005F1B1A" w:rsidRDefault="00E84E49" w:rsidP="00E84E49">
          <w:pPr>
            <w:pStyle w:val="TOC1"/>
            <w:ind w:right="1472"/>
            <w:rPr>
              <w:rFonts w:asciiTheme="minorHAnsi" w:eastAsiaTheme="minorEastAsia" w:hAnsiTheme="minorHAnsi" w:cstheme="minorBidi"/>
              <w:caps w:val="0"/>
              <w:noProof/>
              <w:sz w:val="22"/>
              <w:szCs w:val="22"/>
              <w:lang w:val="en-US" w:eastAsia="en-US"/>
            </w:rPr>
          </w:pPr>
          <w:hyperlink w:anchor="_Toc43216573"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LES MOTEURS DE L’ÉVOLUTION DÉMOGRAPHIQUE EN EUROPE</w:t>
            </w:r>
            <w:r>
              <w:rPr>
                <w:noProof/>
                <w:webHidden/>
              </w:rPr>
              <w:tab/>
            </w:r>
            <w:r>
              <w:rPr>
                <w:noProof/>
                <w:webHidden/>
              </w:rPr>
              <w:fldChar w:fldCharType="begin"/>
            </w:r>
            <w:r>
              <w:rPr>
                <w:noProof/>
                <w:webHidden/>
              </w:rPr>
              <w:instrText xml:space="preserve"> PAGEREF _Toc43216573 \h </w:instrText>
            </w:r>
            <w:r>
              <w:rPr>
                <w:noProof/>
                <w:webHidden/>
              </w:rPr>
            </w:r>
            <w:r>
              <w:rPr>
                <w:noProof/>
                <w:webHidden/>
              </w:rPr>
              <w:fldChar w:fldCharType="separate"/>
            </w:r>
            <w:r>
              <w:rPr>
                <w:noProof/>
                <w:webHidden/>
              </w:rPr>
              <w:t>4</w:t>
            </w:r>
            <w:r>
              <w:rPr>
                <w:noProof/>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74" w:history="1">
            <w:r>
              <w:rPr>
                <w:rStyle w:val="Hyperlink"/>
              </w:rPr>
              <w:t>2.1. UNE ESPÉRANCE DE VIE PLUS LONGUE</w:t>
            </w:r>
            <w:r>
              <w:rPr>
                <w:webHidden/>
              </w:rPr>
              <w:tab/>
            </w:r>
            <w:r>
              <w:rPr>
                <w:webHidden/>
              </w:rPr>
              <w:fldChar w:fldCharType="begin"/>
            </w:r>
            <w:r>
              <w:rPr>
                <w:webHidden/>
              </w:rPr>
              <w:instrText xml:space="preserve"> PAGEREF _Toc43216574 \h </w:instrText>
            </w:r>
            <w:r>
              <w:rPr>
                <w:webHidden/>
              </w:rPr>
            </w:r>
            <w:r>
              <w:rPr>
                <w:webHidden/>
              </w:rPr>
              <w:fldChar w:fldCharType="separate"/>
            </w:r>
            <w:r>
              <w:rPr>
                <w:webHidden/>
              </w:rPr>
              <w:t>4</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75" w:history="1">
            <w:r>
              <w:rPr>
                <w:rStyle w:val="Hyperlink"/>
              </w:rPr>
              <w:t>2.2. DIMINUTION DES NAISSANCES</w:t>
            </w:r>
            <w:r>
              <w:rPr>
                <w:webHidden/>
              </w:rPr>
              <w:tab/>
            </w:r>
            <w:r>
              <w:rPr>
                <w:webHidden/>
              </w:rPr>
              <w:fldChar w:fldCharType="begin"/>
            </w:r>
            <w:r>
              <w:rPr>
                <w:webHidden/>
              </w:rPr>
              <w:instrText xml:space="preserve"> PAGEREF _Toc43216575 \h </w:instrText>
            </w:r>
            <w:r>
              <w:rPr>
                <w:webHidden/>
              </w:rPr>
            </w:r>
            <w:r>
              <w:rPr>
                <w:webHidden/>
              </w:rPr>
              <w:fldChar w:fldCharType="separate"/>
            </w:r>
            <w:r>
              <w:rPr>
                <w:webHidden/>
              </w:rPr>
              <w:t>8</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76" w:history="1">
            <w:r>
              <w:rPr>
                <w:rStyle w:val="Hyperlink"/>
              </w:rPr>
              <w:t>2.3. UNE POPULATION VIEILLISSANTE</w:t>
            </w:r>
            <w:r>
              <w:rPr>
                <w:webHidden/>
              </w:rPr>
              <w:tab/>
            </w:r>
            <w:r>
              <w:rPr>
                <w:webHidden/>
              </w:rPr>
              <w:fldChar w:fldCharType="begin"/>
            </w:r>
            <w:r>
              <w:rPr>
                <w:webHidden/>
              </w:rPr>
              <w:instrText xml:space="preserve"> PAGEREF _Toc43216576 \h </w:instrText>
            </w:r>
            <w:r>
              <w:rPr>
                <w:webHidden/>
              </w:rPr>
            </w:r>
            <w:r>
              <w:rPr>
                <w:webHidden/>
              </w:rPr>
              <w:fldChar w:fldCharType="separate"/>
            </w:r>
            <w:r>
              <w:rPr>
                <w:webHidden/>
              </w:rPr>
              <w:t>10</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77" w:history="1">
            <w:r>
              <w:rPr>
                <w:rStyle w:val="Hyperlink"/>
              </w:rPr>
              <w:t>2.</w:t>
            </w:r>
            <w:r>
              <w:rPr>
                <w:rStyle w:val="Hyperlink"/>
              </w:rPr>
              <w:t>4. DES MÉNAGES PLUS RÉDUITS</w:t>
            </w:r>
            <w:r>
              <w:rPr>
                <w:webHidden/>
              </w:rPr>
              <w:tab/>
            </w:r>
            <w:r>
              <w:rPr>
                <w:webHidden/>
              </w:rPr>
              <w:fldChar w:fldCharType="begin"/>
            </w:r>
            <w:r>
              <w:rPr>
                <w:webHidden/>
              </w:rPr>
              <w:instrText xml:space="preserve"> PAGEREF _Toc43216577 \h </w:instrText>
            </w:r>
            <w:r>
              <w:rPr>
                <w:webHidden/>
              </w:rPr>
            </w:r>
            <w:r>
              <w:rPr>
                <w:webHidden/>
              </w:rPr>
              <w:fldChar w:fldCharType="separate"/>
            </w:r>
            <w:r>
              <w:rPr>
                <w:webHidden/>
              </w:rPr>
              <w:t>11</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78" w:history="1">
            <w:r>
              <w:rPr>
                <w:rStyle w:val="Hyperlink"/>
              </w:rPr>
              <w:t>2.5. UNE EUROPE PLUS MOBILE</w:t>
            </w:r>
            <w:r>
              <w:rPr>
                <w:webHidden/>
              </w:rPr>
              <w:tab/>
            </w:r>
            <w:r>
              <w:rPr>
                <w:webHidden/>
              </w:rPr>
              <w:fldChar w:fldCharType="begin"/>
            </w:r>
            <w:r>
              <w:rPr>
                <w:webHidden/>
              </w:rPr>
              <w:instrText xml:space="preserve"> PAGEREF _Toc43216578 \h </w:instrText>
            </w:r>
            <w:r>
              <w:rPr>
                <w:webHidden/>
              </w:rPr>
            </w:r>
            <w:r>
              <w:rPr>
                <w:webHidden/>
              </w:rPr>
              <w:fldChar w:fldCharType="separate"/>
            </w:r>
            <w:r>
              <w:rPr>
                <w:webHidden/>
              </w:rPr>
              <w:t>12</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79" w:history="1">
            <w:r>
              <w:rPr>
                <w:rStyle w:val="Hyperlink"/>
              </w:rPr>
              <w:t>2.6. UNE DÉMOGRAPHIE EN ÉVOLUTION</w:t>
            </w:r>
            <w:r>
              <w:rPr>
                <w:webHidden/>
              </w:rPr>
              <w:tab/>
            </w:r>
            <w:r>
              <w:rPr>
                <w:webHidden/>
              </w:rPr>
              <w:fldChar w:fldCharType="begin"/>
            </w:r>
            <w:r>
              <w:rPr>
                <w:webHidden/>
              </w:rPr>
              <w:instrText xml:space="preserve"> PAGEREF _Toc43216579 \h </w:instrText>
            </w:r>
            <w:r>
              <w:rPr>
                <w:webHidden/>
              </w:rPr>
            </w:r>
            <w:r>
              <w:rPr>
                <w:webHidden/>
              </w:rPr>
              <w:fldChar w:fldCharType="separate"/>
            </w:r>
            <w:r>
              <w:rPr>
                <w:webHidden/>
              </w:rPr>
              <w:t>13</w:t>
            </w:r>
            <w:r>
              <w:rPr>
                <w:webHidden/>
              </w:rPr>
              <w:fldChar w:fldCharType="end"/>
            </w:r>
          </w:hyperlink>
        </w:p>
        <w:p w:rsidR="005F1B1A" w:rsidRDefault="00E84E49" w:rsidP="00E84E49">
          <w:pPr>
            <w:pStyle w:val="TOC1"/>
            <w:ind w:right="1472"/>
            <w:rPr>
              <w:rFonts w:asciiTheme="minorHAnsi" w:eastAsiaTheme="minorEastAsia" w:hAnsiTheme="minorHAnsi" w:cstheme="minorBidi"/>
              <w:caps w:val="0"/>
              <w:noProof/>
              <w:sz w:val="22"/>
              <w:szCs w:val="22"/>
              <w:lang w:val="en-US" w:eastAsia="en-US"/>
            </w:rPr>
          </w:pPr>
          <w:hyperlink w:anchor="_Toc43216580"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 xml:space="preserve">LES CONSÉQUENCES DE L’ÉVOLUTION </w:t>
            </w:r>
            <w:r>
              <w:rPr>
                <w:rStyle w:val="Hyperlink"/>
                <w:noProof/>
              </w:rPr>
              <w:t>DÉMOGRAPHIQUE SUR NOTRE ÉCONOMIE SOCIALE DE MARCHÉ</w:t>
            </w:r>
            <w:r>
              <w:rPr>
                <w:noProof/>
                <w:webHidden/>
              </w:rPr>
              <w:tab/>
            </w:r>
            <w:r>
              <w:rPr>
                <w:noProof/>
                <w:webHidden/>
              </w:rPr>
              <w:fldChar w:fldCharType="begin"/>
            </w:r>
            <w:r>
              <w:rPr>
                <w:noProof/>
                <w:webHidden/>
              </w:rPr>
              <w:instrText xml:space="preserve"> PAGEREF _Toc43216580 \h </w:instrText>
            </w:r>
            <w:r>
              <w:rPr>
                <w:noProof/>
                <w:webHidden/>
              </w:rPr>
            </w:r>
            <w:r>
              <w:rPr>
                <w:noProof/>
                <w:webHidden/>
              </w:rPr>
              <w:fldChar w:fldCharType="separate"/>
            </w:r>
            <w:r>
              <w:rPr>
                <w:noProof/>
                <w:webHidden/>
              </w:rPr>
              <w:t>15</w:t>
            </w:r>
            <w:r>
              <w:rPr>
                <w:noProof/>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81" w:history="1">
            <w:r>
              <w:rPr>
                <w:rStyle w:val="Hyperlink"/>
              </w:rPr>
              <w:t>3.1. PERSONNES, TRAVAIL ET COMPÉTENCES</w:t>
            </w:r>
            <w:r>
              <w:rPr>
                <w:webHidden/>
              </w:rPr>
              <w:tab/>
            </w:r>
            <w:r>
              <w:rPr>
                <w:webHidden/>
              </w:rPr>
              <w:fldChar w:fldCharType="begin"/>
            </w:r>
            <w:r>
              <w:rPr>
                <w:webHidden/>
              </w:rPr>
              <w:instrText xml:space="preserve"> PAGEREF _Toc43216581 \h </w:instrText>
            </w:r>
            <w:r>
              <w:rPr>
                <w:webHidden/>
              </w:rPr>
            </w:r>
            <w:r>
              <w:rPr>
                <w:webHidden/>
              </w:rPr>
              <w:fldChar w:fldCharType="separate"/>
            </w:r>
            <w:r>
              <w:rPr>
                <w:webHidden/>
              </w:rPr>
              <w:t>16</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82" w:history="1">
            <w:r>
              <w:rPr>
                <w:rStyle w:val="Hyperlink"/>
              </w:rPr>
              <w:t>3.1.1 UN MARCHÉ DU TRAVAIL PLUS VASTE ET PLUS INCLUSIF</w:t>
            </w:r>
            <w:r>
              <w:rPr>
                <w:webHidden/>
              </w:rPr>
              <w:tab/>
            </w:r>
            <w:r>
              <w:rPr>
                <w:webHidden/>
              </w:rPr>
              <w:fldChar w:fldCharType="begin"/>
            </w:r>
            <w:r>
              <w:rPr>
                <w:webHidden/>
              </w:rPr>
              <w:instrText xml:space="preserve"> PAGEREF _Toc43216582 \h </w:instrText>
            </w:r>
            <w:r>
              <w:rPr>
                <w:webHidden/>
              </w:rPr>
            </w:r>
            <w:r>
              <w:rPr>
                <w:webHidden/>
              </w:rPr>
              <w:fldChar w:fldCharType="separate"/>
            </w:r>
            <w:r>
              <w:rPr>
                <w:webHidden/>
              </w:rPr>
              <w:t>17</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83" w:history="1">
            <w:r>
              <w:rPr>
                <w:rStyle w:val="Hyperlink"/>
              </w:rPr>
              <w:t>3.1.2. LA PRODUCTIVITÉ PAR L’ACQUISITION DE COMPÉTENCES ET L’ÉDUCATION</w:t>
            </w:r>
            <w:r>
              <w:rPr>
                <w:webHidden/>
              </w:rPr>
              <w:tab/>
            </w:r>
            <w:r>
              <w:rPr>
                <w:webHidden/>
              </w:rPr>
              <w:fldChar w:fldCharType="begin"/>
            </w:r>
            <w:r>
              <w:rPr>
                <w:webHidden/>
              </w:rPr>
              <w:instrText xml:space="preserve"> PAGEREF _Toc43216583 \h </w:instrText>
            </w:r>
            <w:r>
              <w:rPr>
                <w:webHidden/>
              </w:rPr>
            </w:r>
            <w:r>
              <w:rPr>
                <w:webHidden/>
              </w:rPr>
              <w:fldChar w:fldCharType="separate"/>
            </w:r>
            <w:r>
              <w:rPr>
                <w:webHidden/>
              </w:rPr>
              <w:t>19</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84" w:history="1">
            <w:r>
              <w:rPr>
                <w:rStyle w:val="Hyperlink"/>
              </w:rPr>
              <w:t>3.2. SOINS DE SANTÉ ET DE LONGUE DUR</w:t>
            </w:r>
            <w:r>
              <w:rPr>
                <w:rStyle w:val="Hyperlink"/>
              </w:rPr>
              <w:t>ÉE</w:t>
            </w:r>
            <w:r>
              <w:rPr>
                <w:webHidden/>
              </w:rPr>
              <w:tab/>
            </w:r>
            <w:r>
              <w:rPr>
                <w:webHidden/>
              </w:rPr>
              <w:fldChar w:fldCharType="begin"/>
            </w:r>
            <w:r>
              <w:rPr>
                <w:webHidden/>
              </w:rPr>
              <w:instrText xml:space="preserve"> PAGEREF _Toc43216584 \h </w:instrText>
            </w:r>
            <w:r>
              <w:rPr>
                <w:webHidden/>
              </w:rPr>
            </w:r>
            <w:r>
              <w:rPr>
                <w:webHidden/>
              </w:rPr>
              <w:fldChar w:fldCharType="separate"/>
            </w:r>
            <w:r>
              <w:rPr>
                <w:webHidden/>
              </w:rPr>
              <w:t>20</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85" w:history="1">
            <w:r>
              <w:rPr>
                <w:rStyle w:val="Hyperlink"/>
              </w:rPr>
              <w:t>3.3. L’INCIDENCE SUR LES BUDGETS PUBLICS</w:t>
            </w:r>
            <w:r>
              <w:rPr>
                <w:webHidden/>
              </w:rPr>
              <w:tab/>
            </w:r>
            <w:r>
              <w:rPr>
                <w:webHidden/>
              </w:rPr>
              <w:fldChar w:fldCharType="begin"/>
            </w:r>
            <w:r>
              <w:rPr>
                <w:webHidden/>
              </w:rPr>
              <w:instrText xml:space="preserve"> PAGEREF _Toc43216585 \h </w:instrText>
            </w:r>
            <w:r>
              <w:rPr>
                <w:webHidden/>
              </w:rPr>
            </w:r>
            <w:r>
              <w:rPr>
                <w:webHidden/>
              </w:rPr>
              <w:fldChar w:fldCharType="separate"/>
            </w:r>
            <w:r>
              <w:rPr>
                <w:webHidden/>
              </w:rPr>
              <w:t>23</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86" w:history="1">
            <w:r>
              <w:rPr>
                <w:rStyle w:val="Hyperlink"/>
              </w:rPr>
              <w:t>3.4. LA DIMENSION RÉGIONALE ET LOCALE</w:t>
            </w:r>
            <w:r>
              <w:rPr>
                <w:webHidden/>
              </w:rPr>
              <w:tab/>
            </w:r>
            <w:r>
              <w:rPr>
                <w:webHidden/>
              </w:rPr>
              <w:fldChar w:fldCharType="begin"/>
            </w:r>
            <w:r>
              <w:rPr>
                <w:webHidden/>
              </w:rPr>
              <w:instrText xml:space="preserve"> PAGEREF _Toc43216586 \h </w:instrText>
            </w:r>
            <w:r>
              <w:rPr>
                <w:webHidden/>
              </w:rPr>
            </w:r>
            <w:r>
              <w:rPr>
                <w:webHidden/>
              </w:rPr>
              <w:fldChar w:fldCharType="separate"/>
            </w:r>
            <w:r>
              <w:rPr>
                <w:webHidden/>
              </w:rPr>
              <w:t>25</w:t>
            </w:r>
            <w:r>
              <w:rPr>
                <w:webHidden/>
              </w:rPr>
              <w:fldChar w:fldCharType="end"/>
            </w:r>
          </w:hyperlink>
        </w:p>
        <w:p w:rsidR="005F1B1A" w:rsidRDefault="00E84E49" w:rsidP="00E84E49">
          <w:pPr>
            <w:pStyle w:val="TOC3"/>
            <w:ind w:right="1472"/>
            <w:rPr>
              <w:rFonts w:asciiTheme="minorHAnsi" w:eastAsiaTheme="minorEastAsia" w:hAnsiTheme="minorHAnsi" w:cstheme="minorBidi"/>
              <w:noProof/>
              <w:sz w:val="22"/>
              <w:szCs w:val="22"/>
              <w:lang w:val="en-US" w:eastAsia="en-US"/>
            </w:rPr>
          </w:pPr>
          <w:hyperlink w:anchor="_Toc43216587" w:history="1">
            <w:r>
              <w:rPr>
                <w:rStyle w:val="Hyperlink"/>
                <w:noProof/>
              </w:rPr>
              <w:t>3.4.1. QUALITÉ DE VIE, INFRASTRUCTURE ET ACCÈS AUX SERVICES</w:t>
            </w:r>
            <w:r>
              <w:rPr>
                <w:noProof/>
                <w:webHidden/>
              </w:rPr>
              <w:tab/>
            </w:r>
            <w:r>
              <w:rPr>
                <w:noProof/>
                <w:webHidden/>
              </w:rPr>
              <w:fldChar w:fldCharType="begin"/>
            </w:r>
            <w:r>
              <w:rPr>
                <w:noProof/>
                <w:webHidden/>
              </w:rPr>
              <w:instrText xml:space="preserve"> PAGEREF _Toc43216587 \h </w:instrText>
            </w:r>
            <w:r>
              <w:rPr>
                <w:noProof/>
                <w:webHidden/>
              </w:rPr>
            </w:r>
            <w:r>
              <w:rPr>
                <w:noProof/>
                <w:webHidden/>
              </w:rPr>
              <w:fldChar w:fldCharType="separate"/>
            </w:r>
            <w:r>
              <w:rPr>
                <w:noProof/>
                <w:webHidden/>
              </w:rPr>
              <w:t>28</w:t>
            </w:r>
            <w:r>
              <w:rPr>
                <w:noProof/>
                <w:webHidden/>
              </w:rPr>
              <w:fldChar w:fldCharType="end"/>
            </w:r>
          </w:hyperlink>
        </w:p>
        <w:p w:rsidR="005F1B1A" w:rsidRDefault="00E84E49" w:rsidP="00E84E49">
          <w:pPr>
            <w:pStyle w:val="TOC2"/>
            <w:tabs>
              <w:tab w:val="left" w:pos="1077"/>
            </w:tabs>
            <w:ind w:right="1472"/>
            <w:rPr>
              <w:rFonts w:asciiTheme="minorHAnsi" w:eastAsiaTheme="minorEastAsia" w:hAnsiTheme="minorHAnsi" w:cstheme="minorBidi"/>
              <w:sz w:val="22"/>
              <w:szCs w:val="22"/>
              <w:lang w:val="en-US" w:eastAsia="en-US"/>
            </w:rPr>
          </w:pPr>
          <w:hyperlink w:anchor="_Toc43216588" w:history="1">
            <w:r>
              <w:rPr>
                <w:rStyle w:val="Hyperlink"/>
              </w:rPr>
              <w:t>4.</w:t>
            </w:r>
            <w:r>
              <w:rPr>
                <w:rFonts w:asciiTheme="minorHAnsi" w:eastAsiaTheme="minorEastAsia" w:hAnsiTheme="minorHAnsi" w:cstheme="minorBidi"/>
                <w:sz w:val="22"/>
                <w:szCs w:val="22"/>
                <w:lang w:val="en-US" w:eastAsia="en-US"/>
              </w:rPr>
              <w:tab/>
            </w:r>
            <w:r>
              <w:rPr>
                <w:rStyle w:val="Hyperlink"/>
              </w:rPr>
              <w:t>DOUBLES TRANSITIONS ET ÉVOLUTION DÉMOGRAPHIQUE</w:t>
            </w:r>
            <w:r>
              <w:rPr>
                <w:webHidden/>
              </w:rPr>
              <w:tab/>
            </w:r>
            <w:r>
              <w:rPr>
                <w:webHidden/>
              </w:rPr>
              <w:fldChar w:fldCharType="begin"/>
            </w:r>
            <w:r>
              <w:rPr>
                <w:webHidden/>
              </w:rPr>
              <w:instrText xml:space="preserve"> PAGEREF _Toc43216588 \h </w:instrText>
            </w:r>
            <w:r>
              <w:rPr>
                <w:webHidden/>
              </w:rPr>
            </w:r>
            <w:r>
              <w:rPr>
                <w:webHidden/>
              </w:rPr>
              <w:fldChar w:fldCharType="separate"/>
            </w:r>
            <w:r>
              <w:rPr>
                <w:webHidden/>
              </w:rPr>
              <w:t>32</w:t>
            </w:r>
            <w:r>
              <w:rPr>
                <w:webHidden/>
              </w:rPr>
              <w:fldChar w:fldCharType="end"/>
            </w:r>
          </w:hyperlink>
        </w:p>
        <w:p w:rsidR="005F1B1A" w:rsidRDefault="00E84E49" w:rsidP="00E84E49">
          <w:pPr>
            <w:pStyle w:val="TOC2"/>
            <w:tabs>
              <w:tab w:val="left" w:pos="1077"/>
            </w:tabs>
            <w:ind w:right="1472"/>
            <w:rPr>
              <w:rFonts w:asciiTheme="minorHAnsi" w:eastAsiaTheme="minorEastAsia" w:hAnsiTheme="minorHAnsi" w:cstheme="minorBidi"/>
              <w:sz w:val="22"/>
              <w:szCs w:val="22"/>
              <w:lang w:val="en-US" w:eastAsia="en-US"/>
            </w:rPr>
          </w:pPr>
          <w:hyperlink w:anchor="_Toc43216589" w:history="1">
            <w:r>
              <w:rPr>
                <w:rStyle w:val="Hyperlink"/>
              </w:rPr>
              <w:t xml:space="preserve">5. </w:t>
            </w:r>
            <w:r>
              <w:rPr>
                <w:rFonts w:asciiTheme="minorHAnsi" w:eastAsiaTheme="minorEastAsia" w:hAnsiTheme="minorHAnsi" w:cstheme="minorBidi"/>
                <w:sz w:val="22"/>
                <w:szCs w:val="22"/>
                <w:lang w:val="en-US" w:eastAsia="en-US"/>
              </w:rPr>
              <w:tab/>
            </w:r>
            <w:r>
              <w:rPr>
                <w:rStyle w:val="Hyperlink"/>
              </w:rPr>
              <w:t>LA GÉOPOLITIQUE DÉMOGRAPHIQUE: L’EUROPE DANS LE MO</w:t>
            </w:r>
            <w:r>
              <w:rPr>
                <w:rStyle w:val="Hyperlink"/>
              </w:rPr>
              <w:t>NDE</w:t>
            </w:r>
            <w:r>
              <w:rPr>
                <w:webHidden/>
              </w:rPr>
              <w:tab/>
            </w:r>
            <w:r>
              <w:rPr>
                <w:webHidden/>
              </w:rPr>
              <w:fldChar w:fldCharType="begin"/>
            </w:r>
            <w:r>
              <w:rPr>
                <w:webHidden/>
              </w:rPr>
              <w:instrText xml:space="preserve"> PAGEREF _Toc43216589 \h </w:instrText>
            </w:r>
            <w:r>
              <w:rPr>
                <w:webHidden/>
              </w:rPr>
            </w:r>
            <w:r>
              <w:rPr>
                <w:webHidden/>
              </w:rPr>
              <w:fldChar w:fldCharType="separate"/>
            </w:r>
            <w:r>
              <w:rPr>
                <w:webHidden/>
              </w:rPr>
              <w:t>34</w:t>
            </w:r>
            <w:r>
              <w:rPr>
                <w:webHidden/>
              </w:rPr>
              <w:fldChar w:fldCharType="end"/>
            </w:r>
          </w:hyperlink>
        </w:p>
        <w:p w:rsidR="005F1B1A" w:rsidRDefault="00E84E49" w:rsidP="00E84E49">
          <w:pPr>
            <w:pStyle w:val="TOC2"/>
            <w:ind w:right="1472"/>
            <w:rPr>
              <w:rFonts w:asciiTheme="minorHAnsi" w:eastAsiaTheme="minorEastAsia" w:hAnsiTheme="minorHAnsi" w:cstheme="minorBidi"/>
              <w:sz w:val="22"/>
              <w:szCs w:val="22"/>
              <w:lang w:val="en-US" w:eastAsia="en-US"/>
            </w:rPr>
          </w:pPr>
          <w:hyperlink w:anchor="_Toc43216590" w:history="1">
            <w:r>
              <w:rPr>
                <w:rStyle w:val="Hyperlink"/>
              </w:rPr>
              <w:t>CONCLUSIONS ET PERSPECTIVES</w:t>
            </w:r>
            <w:r>
              <w:rPr>
                <w:webHidden/>
              </w:rPr>
              <w:tab/>
            </w:r>
            <w:r>
              <w:rPr>
                <w:webHidden/>
              </w:rPr>
              <w:fldChar w:fldCharType="begin"/>
            </w:r>
            <w:r>
              <w:rPr>
                <w:webHidden/>
              </w:rPr>
              <w:instrText xml:space="preserve"> PAGEREF _Toc43216590 \h </w:instrText>
            </w:r>
            <w:r>
              <w:rPr>
                <w:webHidden/>
              </w:rPr>
            </w:r>
            <w:r>
              <w:rPr>
                <w:webHidden/>
              </w:rPr>
              <w:fldChar w:fldCharType="separate"/>
            </w:r>
            <w:r>
              <w:rPr>
                <w:webHidden/>
              </w:rPr>
              <w:t>36</w:t>
            </w:r>
            <w:r>
              <w:rPr>
                <w:webHidden/>
              </w:rPr>
              <w:fldChar w:fldCharType="end"/>
            </w:r>
          </w:hyperlink>
        </w:p>
        <w:p w:rsidR="005F1B1A" w:rsidRDefault="00E84E49" w:rsidP="00E84E49">
          <w:pPr>
            <w:ind w:right="1472"/>
            <w:rPr>
              <w:noProof/>
            </w:rPr>
          </w:pPr>
          <w:r>
            <w:rPr>
              <w:b/>
              <w:bCs/>
              <w:noProof/>
            </w:rPr>
            <w:fldChar w:fldCharType="end"/>
          </w:r>
        </w:p>
      </w:sdtContent>
    </w:sdt>
    <w:p w:rsidR="005F1B1A" w:rsidRDefault="00E84E49">
      <w:pPr>
        <w:rPr>
          <w:rFonts w:ascii="Times New Roman" w:eastAsia="Times New Roman" w:hAnsi="Times New Roman" w:cs="Times New Roman"/>
          <w:b/>
          <w:smallCaps/>
          <w:noProof/>
          <w:color w:val="0070C0"/>
          <w:sz w:val="28"/>
          <w:szCs w:val="28"/>
        </w:rPr>
      </w:pPr>
      <w:r>
        <w:rPr>
          <w:noProof/>
        </w:rPr>
        <w:br w:type="page"/>
      </w:r>
    </w:p>
    <w:p w:rsidR="005F1B1A" w:rsidRDefault="00E84E49">
      <w:pPr>
        <w:pStyle w:val="Heading1"/>
        <w:rPr>
          <w:noProof/>
          <w:color w:val="000000" w:themeColor="text1"/>
          <w:szCs w:val="24"/>
        </w:rPr>
      </w:pPr>
      <w:bookmarkStart w:id="3" w:name="_Toc43216572"/>
      <w:r>
        <w:rPr>
          <w:noProof/>
          <w:color w:val="000000" w:themeColor="text1"/>
          <w:szCs w:val="24"/>
        </w:rPr>
        <w:t>INTRODUCTION</w:t>
      </w:r>
      <w:bookmarkEnd w:id="3"/>
      <w:bookmarkEnd w:id="2"/>
      <w:bookmarkEnd w:id="1"/>
    </w:p>
    <w:p w:rsidR="005F1B1A" w:rsidRDefault="00E84E49">
      <w:pPr>
        <w:jc w:val="both"/>
        <w:rPr>
          <w:rFonts w:ascii="Times New Roman" w:hAnsi="Times New Roman" w:cs="Times New Roman"/>
          <w:noProof/>
          <w:sz w:val="24"/>
          <w:szCs w:val="24"/>
        </w:rPr>
      </w:pPr>
      <w:r>
        <w:rPr>
          <w:rFonts w:ascii="Times New Roman" w:hAnsi="Times New Roman"/>
          <w:noProof/>
          <w:sz w:val="24"/>
        </w:rPr>
        <w:t>L’apparition de la pandémie de COVID-19 a changé l’Europe et le monde du jour au lendemain.</w:t>
      </w:r>
      <w:r>
        <w:rPr>
          <w:rFonts w:ascii="Times New Roman" w:hAnsi="Times New Roman"/>
          <w:noProof/>
          <w:sz w:val="24"/>
          <w:szCs w:val="24"/>
        </w:rPr>
        <w:t xml:space="preserve"> Elle a mis à l’épreuve nos systèmes de santé et de protection sociale, ainsi que notre résilience économique et sociale. Elle marquera de manière durable notre façon de vivre et de travailler ensemble, même lorsque le virus aura disparu. </w:t>
      </w:r>
      <w:r>
        <w:rPr>
          <w:rFonts w:ascii="Times New Roman" w:hAnsi="Times New Roman"/>
          <w:noProof/>
          <w:sz w:val="24"/>
        </w:rPr>
        <w:t xml:space="preserve">Et elle a frappé </w:t>
      </w:r>
      <w:r>
        <w:rPr>
          <w:rFonts w:ascii="Times New Roman" w:hAnsi="Times New Roman"/>
          <w:noProof/>
          <w:sz w:val="24"/>
        </w:rPr>
        <w:t>à un moment où l’Europe traversait déjà une période de profonde transformation due aux changements climatiques, sociétaux et démographiques.</w:t>
      </w:r>
    </w:p>
    <w:p w:rsidR="005F1B1A" w:rsidRDefault="00E84E49">
      <w:pPr>
        <w:jc w:val="both"/>
        <w:rPr>
          <w:rFonts w:ascii="Times New Roman" w:hAnsi="Times New Roman" w:cs="Times New Roman"/>
          <w:noProof/>
          <w:sz w:val="24"/>
          <w:szCs w:val="24"/>
        </w:rPr>
      </w:pPr>
      <w:r>
        <w:rPr>
          <w:rFonts w:ascii="Times New Roman" w:hAnsi="Times New Roman"/>
          <w:b/>
          <w:noProof/>
          <w:sz w:val="24"/>
        </w:rPr>
        <w:t>L’évolution démographique concerne les individus et leur vie</w:t>
      </w:r>
      <w:r>
        <w:rPr>
          <w:rFonts w:ascii="Times New Roman" w:hAnsi="Times New Roman"/>
          <w:noProof/>
          <w:sz w:val="24"/>
        </w:rPr>
        <w:t>.</w:t>
      </w:r>
      <w:r>
        <w:rPr>
          <w:rFonts w:ascii="Times New Roman" w:hAnsi="Times New Roman"/>
          <w:noProof/>
          <w:sz w:val="24"/>
          <w:szCs w:val="24"/>
        </w:rPr>
        <w:t xml:space="preserve"> Elle a trait à ce que nous faisons, à la façon dont n</w:t>
      </w:r>
      <w:r>
        <w:rPr>
          <w:rFonts w:ascii="Times New Roman" w:hAnsi="Times New Roman"/>
          <w:noProof/>
          <w:sz w:val="24"/>
          <w:szCs w:val="24"/>
        </w:rPr>
        <w:t>ous travaillons et à l’endroit où nous nous sentons chez nous. Elle concerne nos communautés et notre façon de vivre ensemble. Elle englobe la diversité des personnes et des origines qui enrichissent et façonnent nos sociétés, nous rendent plus forts et do</w:t>
      </w:r>
      <w:r>
        <w:rPr>
          <w:rFonts w:ascii="Times New Roman" w:hAnsi="Times New Roman"/>
          <w:noProof/>
          <w:sz w:val="24"/>
          <w:szCs w:val="24"/>
        </w:rPr>
        <w:t xml:space="preserve">nnent corps à la devise de l’UE, </w:t>
      </w:r>
      <w:r>
        <w:rPr>
          <w:rFonts w:ascii="Times New Roman" w:hAnsi="Times New Roman"/>
          <w:i/>
          <w:noProof/>
          <w:sz w:val="24"/>
          <w:szCs w:val="24"/>
        </w:rPr>
        <w:t>Unie dans la diversité</w:t>
      </w:r>
      <w:r>
        <w:rPr>
          <w:rFonts w:ascii="Times New Roman" w:hAnsi="Times New Roman"/>
          <w:noProof/>
          <w:sz w:val="24"/>
          <w:szCs w:val="24"/>
        </w:rPr>
        <w:t xml:space="preserve">. C’est une nécessité plus que jamais. Alors que nous sortons lentement et prudemment des confinements imposés partout en Europe, la situation nous rappelle l’importance de comprendre les conséquences </w:t>
      </w:r>
      <w:r>
        <w:rPr>
          <w:rFonts w:ascii="Times New Roman" w:hAnsi="Times New Roman"/>
          <w:noProof/>
          <w:sz w:val="24"/>
          <w:szCs w:val="24"/>
        </w:rPr>
        <w:t>de l’évolution démographique sur notre société et d’y répondre. Cet effort devra être pris en compte dans la relance de l’Europe et les enseignements tirés, qu’il s’agisse de la dimension sociale et économique ou des soins de santé et de longue durée, et b</w:t>
      </w:r>
      <w:r>
        <w:rPr>
          <w:rFonts w:ascii="Times New Roman" w:hAnsi="Times New Roman"/>
          <w:noProof/>
          <w:sz w:val="24"/>
          <w:szCs w:val="24"/>
        </w:rPr>
        <w:t>ien plus encore.</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Au cours des dernières semaines et des derniers mois, le lien entre les structures démographiques, les effets et le potentiel de reprise a été fortement et souvent douloureusement exposé. Nous avons vu notre génération la plus âgée en souf</w:t>
      </w:r>
      <w:r>
        <w:rPr>
          <w:rFonts w:ascii="Times New Roman" w:hAnsi="Times New Roman"/>
          <w:noProof/>
          <w:sz w:val="24"/>
          <w:szCs w:val="24"/>
        </w:rPr>
        <w:t>france, les personnes âgées étant les plus vulnérables face à cette crise. Non seulement elles présentent un risque plus élevé de complications lorsqu’elles tombent malades, mais elles font également partie des personnes les plus isolées et coupées du mond</w:t>
      </w:r>
      <w:r>
        <w:rPr>
          <w:rFonts w:ascii="Times New Roman" w:hAnsi="Times New Roman"/>
          <w:noProof/>
          <w:sz w:val="24"/>
          <w:szCs w:val="24"/>
        </w:rPr>
        <w:t xml:space="preserve">e en raison de la distanciation sociale et des mesures de confinement prises pour sauver des vies dans toute l’Europe. </w:t>
      </w:r>
      <w:r>
        <w:rPr>
          <w:rFonts w:ascii="Times New Roman" w:hAnsi="Times New Roman"/>
          <w:b/>
          <w:noProof/>
          <w:sz w:val="24"/>
          <w:szCs w:val="24"/>
        </w:rPr>
        <w:t>Le besoin de solidarité entre les générations est l’une des forces motrices de la relance de l’Europe</w:t>
      </w:r>
      <w:r>
        <w:rPr>
          <w:rStyle w:val="FootnoteReference"/>
          <w:rFonts w:ascii="Times New Roman" w:hAnsi="Times New Roman" w:cs="Times New Roman"/>
          <w:noProof/>
          <w:sz w:val="24"/>
          <w:szCs w:val="24"/>
        </w:rPr>
        <w:footnoteReference w:id="2"/>
      </w:r>
      <w:r>
        <w:rPr>
          <w:noProof/>
        </w:rPr>
        <w:t xml:space="preserve">. </w:t>
      </w:r>
      <w:r>
        <w:rPr>
          <w:rFonts w:ascii="Times New Roman" w:hAnsi="Times New Roman"/>
          <w:noProof/>
          <w:sz w:val="24"/>
          <w:szCs w:val="24"/>
        </w:rPr>
        <w:t xml:space="preserv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La gestion des conséquences du </w:t>
      </w:r>
      <w:r>
        <w:rPr>
          <w:rFonts w:ascii="Times New Roman" w:hAnsi="Times New Roman"/>
          <w:noProof/>
          <w:sz w:val="24"/>
          <w:szCs w:val="24"/>
        </w:rPr>
        <w:t>changement démographique à long terme présente de nombreuses facettes: la façon dont nous gérons notre santé publique, nos budgets publics ou notre vie publique, mais aussi la façon dont nous abordons des questions telles que la solitude, les soins dans la</w:t>
      </w:r>
      <w:r>
        <w:rPr>
          <w:rFonts w:ascii="Times New Roman" w:hAnsi="Times New Roman"/>
          <w:noProof/>
          <w:sz w:val="24"/>
          <w:szCs w:val="24"/>
        </w:rPr>
        <w:t xml:space="preserve"> communauté et l’accès aux services essentiels. La prise en compte de ces aspects sera importante pour le succès de la relance et déterminera la vitesse et la mesure dans laquelle nous serons en mesure de reconstruire notre quotidien, nos réseaux sociaux e</w:t>
      </w:r>
      <w:r>
        <w:rPr>
          <w:rFonts w:ascii="Times New Roman" w:hAnsi="Times New Roman"/>
          <w:noProof/>
          <w:sz w:val="24"/>
          <w:szCs w:val="24"/>
        </w:rPr>
        <w:t xml:space="preserve">t nos économies. À plus long terme, c’est l’occasion pour l’Europe de </w:t>
      </w:r>
      <w:r>
        <w:rPr>
          <w:rFonts w:ascii="Times New Roman" w:hAnsi="Times New Roman"/>
          <w:b/>
          <w:noProof/>
          <w:sz w:val="24"/>
          <w:szCs w:val="24"/>
        </w:rPr>
        <w:t>construire une société plus juste et plus résiliente</w:t>
      </w:r>
      <w:r>
        <w:rPr>
          <w:rFonts w:ascii="Times New Roman" w:hAnsi="Times New Roman"/>
          <w:noProof/>
          <w:sz w:val="24"/>
          <w:szCs w:val="24"/>
        </w:rPr>
        <w:t>.</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Nous ne devons jamais sous-estimer les dommages causés par la crise ni la nécessité de faire face à tous les types de pertes. </w:t>
      </w:r>
      <w:r>
        <w:rPr>
          <w:rFonts w:ascii="Times New Roman" w:hAnsi="Times New Roman"/>
          <w:noProof/>
          <w:sz w:val="24"/>
        </w:rPr>
        <w:t>Dans c</w:t>
      </w:r>
      <w:r>
        <w:rPr>
          <w:rFonts w:ascii="Times New Roman" w:hAnsi="Times New Roman"/>
          <w:noProof/>
          <w:sz w:val="24"/>
        </w:rPr>
        <w:t xml:space="preserve">e contexte, il peut paraître contradictoire de dire que </w:t>
      </w:r>
      <w:r>
        <w:rPr>
          <w:rFonts w:ascii="Times New Roman" w:hAnsi="Times New Roman"/>
          <w:b/>
          <w:noProof/>
          <w:sz w:val="24"/>
        </w:rPr>
        <w:t>les Européens vivent en général plus longtemps, en meilleure santé et de façon plus sûre</w:t>
      </w:r>
      <w:r>
        <w:rPr>
          <w:rFonts w:ascii="Times New Roman" w:hAnsi="Times New Roman"/>
          <w:noProof/>
          <w:sz w:val="24"/>
        </w:rPr>
        <w:t>.</w:t>
      </w:r>
      <w:r>
        <w:rPr>
          <w:rFonts w:ascii="Times New Roman" w:hAnsi="Times New Roman"/>
          <w:noProof/>
          <w:sz w:val="24"/>
          <w:szCs w:val="24"/>
        </w:rPr>
        <w:t xml:space="preserve"> Toutefois, à plus long terme, c’est encore la réalité et nous devons être fiers des progrès considérables acco</w:t>
      </w:r>
      <w:r>
        <w:rPr>
          <w:rFonts w:ascii="Times New Roman" w:hAnsi="Times New Roman"/>
          <w:noProof/>
          <w:sz w:val="24"/>
          <w:szCs w:val="24"/>
        </w:rPr>
        <w:t>mplis au cours des dernières décennies pour y parvenir. Les systèmes de santé et de protection sociale de l’Europe sont les plus avancés au niveau mondial. Associés à la compétence et au sacrifice de tant de travailleurs de première ligne, ils ont contribu</w:t>
      </w:r>
      <w:r>
        <w:rPr>
          <w:rFonts w:ascii="Times New Roman" w:hAnsi="Times New Roman"/>
          <w:noProof/>
          <w:sz w:val="24"/>
          <w:szCs w:val="24"/>
        </w:rPr>
        <w:t xml:space="preserve">é à sauver d’innombrables vies depuis le début de la crise. Toutefois, la pression à laquelle ils ont été soumis, en particulier dans les zones où la population est âgée, a montré qu’il était nécessaire de les soutenir davantage.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Grâce à ces progrès, notr</w:t>
      </w:r>
      <w:r>
        <w:rPr>
          <w:rFonts w:ascii="Times New Roman" w:hAnsi="Times New Roman"/>
          <w:noProof/>
          <w:sz w:val="24"/>
          <w:szCs w:val="24"/>
        </w:rPr>
        <w:t>e qualité de vie reste unique et nos sociétés figurent parmi les plus équitables dans le monde, même si des inégalités subsistent. La population européenne vieillit et nous choisissons généralement de vivre au sein de ménages plus réduits. Nous nous déplaç</w:t>
      </w:r>
      <w:r>
        <w:rPr>
          <w:rFonts w:ascii="Times New Roman" w:hAnsi="Times New Roman"/>
          <w:noProof/>
          <w:sz w:val="24"/>
          <w:szCs w:val="24"/>
        </w:rPr>
        <w:t xml:space="preserve">ons de plus en plus, travaillons plus longtemps, apprenons davantage et changeons plus souvent d’emploi. Ces tendances influent toutes de manière importante sur notre société, et certaines d’entre elles peuvent avoir été des facteurs dans la façon dont le </w:t>
      </w:r>
      <w:r>
        <w:rPr>
          <w:rFonts w:ascii="Times New Roman" w:hAnsi="Times New Roman"/>
          <w:noProof/>
          <w:sz w:val="24"/>
          <w:szCs w:val="24"/>
        </w:rPr>
        <w:t xml:space="preserve">virus s’est implanté et propagé dans certains pays, qu’il s’agisse du vieillissement de la population, de la composition des ménages ou de la densité de population.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Il est souvent préférable d’aborder ces questions aux niveaux local et régional. Il appara</w:t>
      </w:r>
      <w:r>
        <w:rPr>
          <w:rFonts w:ascii="Times New Roman" w:hAnsi="Times New Roman"/>
          <w:noProof/>
          <w:sz w:val="24"/>
          <w:szCs w:val="24"/>
        </w:rPr>
        <w:t>ît ainsi que le changement démographique varie souvent de manière significative entre différentes régions d’un même pays.</w:t>
      </w:r>
      <w:r>
        <w:rPr>
          <w:rFonts w:ascii="Times New Roman" w:hAnsi="Times New Roman"/>
          <w:b/>
          <w:noProof/>
          <w:sz w:val="24"/>
          <w:szCs w:val="24"/>
        </w:rPr>
        <w:t xml:space="preserve"> </w:t>
      </w:r>
      <w:r>
        <w:rPr>
          <w:rFonts w:ascii="Times New Roman" w:hAnsi="Times New Roman"/>
          <w:noProof/>
          <w:sz w:val="24"/>
          <w:szCs w:val="24"/>
        </w:rPr>
        <w:t>Certaines régions sont confrontées au double défi d’un faible revenu et d’un déclin rapide de leur population. Ces régions, principale</w:t>
      </w:r>
      <w:r>
        <w:rPr>
          <w:rFonts w:ascii="Times New Roman" w:hAnsi="Times New Roman"/>
          <w:noProof/>
          <w:sz w:val="24"/>
          <w:szCs w:val="24"/>
        </w:rPr>
        <w:t xml:space="preserve">ment rurales, abritant 31 millions de personnes, les enjeux sont de taille. </w:t>
      </w:r>
      <w:r>
        <w:rPr>
          <w:rFonts w:ascii="Times New Roman" w:hAnsi="Times New Roman"/>
          <w:b/>
          <w:noProof/>
          <w:sz w:val="24"/>
          <w:szCs w:val="24"/>
        </w:rPr>
        <w:t xml:space="preserve">L’Europe s’efforcera d’améliorer les conditions de vie et de réduire les disparités. </w:t>
      </w:r>
      <w:r>
        <w:rPr>
          <w:rFonts w:ascii="Times New Roman" w:hAnsi="Times New Roman"/>
          <w:noProof/>
          <w:sz w:val="24"/>
          <w:szCs w:val="24"/>
        </w:rPr>
        <w:t>Il s’agit de s’assurer que les besoins des citoyens soient satisfaits et qu’il existe des persp</w:t>
      </w:r>
      <w:r>
        <w:rPr>
          <w:rFonts w:ascii="Times New Roman" w:hAnsi="Times New Roman"/>
          <w:noProof/>
          <w:sz w:val="24"/>
          <w:szCs w:val="24"/>
        </w:rPr>
        <w:t>ectives et des possibilités d’emploi là où ils vivent. Cela concerne l’accès aux soins de santé, l’accueil des enfants et l’enseignement, ainsi que d’autres services locaux essentiels, tels que les bureaux de poste, les bibliothèques ou les transports.</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Si </w:t>
      </w:r>
      <w:r>
        <w:rPr>
          <w:rFonts w:ascii="Times New Roman" w:hAnsi="Times New Roman"/>
          <w:noProof/>
          <w:sz w:val="24"/>
          <w:szCs w:val="24"/>
        </w:rPr>
        <w:t>l’évolution démographique n’est pas chose nouvelle, la différence qu’elle suppose dans nos vies est ressentie plus intensément. La réaction à ce changement sera d’autant plus importante que l’Europe se lance sur la voie de la reprise. Le maintien de l’atte</w:t>
      </w:r>
      <w:r>
        <w:rPr>
          <w:rFonts w:ascii="Times New Roman" w:hAnsi="Times New Roman"/>
          <w:noProof/>
          <w:sz w:val="24"/>
          <w:szCs w:val="24"/>
        </w:rPr>
        <w:t>ntion sur la double transition écologique et numérique contribuera à fournir bon nombre des solutions innovantes et durables dont nous avons besoin pour faire face aux conséquences de l’évolution démographique.</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L’évolution démographique influe également su</w:t>
      </w:r>
      <w:r>
        <w:rPr>
          <w:rFonts w:ascii="Times New Roman" w:hAnsi="Times New Roman"/>
          <w:b/>
          <w:noProof/>
          <w:sz w:val="24"/>
          <w:szCs w:val="24"/>
        </w:rPr>
        <w:t xml:space="preserve">r la place de l’Europe dans le monde. </w:t>
      </w:r>
      <w:r>
        <w:rPr>
          <w:rFonts w:ascii="Times New Roman" w:hAnsi="Times New Roman"/>
          <w:noProof/>
          <w:sz w:val="24"/>
          <w:szCs w:val="24"/>
        </w:rPr>
        <w:t xml:space="preserve">Étant donné que la part de la population européenne dans le monde ne cesse de diminuer, la nécessité pour l’UE de parler d’une seule voix et d’agir de concert, en mobilisant l’ensemble de ses forces et de sa diversité </w:t>
      </w:r>
      <w:r>
        <w:rPr>
          <w:rFonts w:ascii="Times New Roman" w:hAnsi="Times New Roman"/>
          <w:noProof/>
          <w:sz w:val="24"/>
          <w:szCs w:val="24"/>
        </w:rPr>
        <w:t>collectives, devient d’autant plus importante. Il convient également de voir cette nécessité à la lumière des changements démographiques majeurs observés dans notre voisinage et dans le monde entier, qui auront une incidence directe sur l’Europe elle-même.</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Le présent rapport présente les moteurs de l’évolution démographique et les conséquences qui sont les leurs en Europe</w:t>
      </w:r>
      <w:r>
        <w:rPr>
          <w:rStyle w:val="FootnoteReference"/>
          <w:rFonts w:ascii="Times New Roman" w:hAnsi="Times New Roman" w:cs="Times New Roman"/>
          <w:b/>
          <w:noProof/>
          <w:sz w:val="24"/>
          <w:szCs w:val="24"/>
        </w:rPr>
        <w:footnoteReference w:id="3"/>
      </w:r>
      <w:r>
        <w:rPr>
          <w:rFonts w:ascii="Times New Roman" w:hAnsi="Times New Roman"/>
          <w:b/>
          <w:noProof/>
          <w:sz w:val="24"/>
          <w:szCs w:val="24"/>
        </w:rPr>
        <w:t xml:space="preserve">. </w:t>
      </w:r>
      <w:r>
        <w:rPr>
          <w:rFonts w:ascii="Times New Roman" w:hAnsi="Times New Roman"/>
          <w:noProof/>
          <w:sz w:val="24"/>
          <w:szCs w:val="24"/>
        </w:rPr>
        <w:t>Il contribuera à déterminer la façon d’aider au mieux les citoyens, les régions et les communautés les plus touchés à s’adapter à l’évo</w:t>
      </w:r>
      <w:r>
        <w:rPr>
          <w:rFonts w:ascii="Times New Roman" w:hAnsi="Times New Roman"/>
          <w:noProof/>
          <w:sz w:val="24"/>
          <w:szCs w:val="24"/>
        </w:rPr>
        <w:t>lution des réalités – pendant la crise, pendant la reprise et au-delà. Les travaux de la Commission dans ce domaine ont pour but d’améliorer nos connaissances et notre capacité de prospective afin de pouvoir soutenir ceux qui en ont besoin, tant aujourd’hu</w:t>
      </w:r>
      <w:r>
        <w:rPr>
          <w:rFonts w:ascii="Times New Roman" w:hAnsi="Times New Roman"/>
          <w:noProof/>
          <w:sz w:val="24"/>
          <w:szCs w:val="24"/>
        </w:rPr>
        <w:t>i qu’à l’avenir. Il ne s’agit pas nécessairement d’inverser ou de ralentir l’une ou l’autre tendance; il s’agit de nous doter des outils adéquats pour proposer de nouvelles solutions et soutenir les personnes par le changement.</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En définitive, il s’agit de </w:t>
      </w:r>
      <w:r>
        <w:rPr>
          <w:rFonts w:ascii="Times New Roman" w:hAnsi="Times New Roman"/>
          <w:b/>
          <w:noProof/>
          <w:sz w:val="24"/>
          <w:szCs w:val="24"/>
        </w:rPr>
        <w:t>veiller à ce qu’aucune région ni aucune personne ne soit laissée pour compte</w:t>
      </w:r>
      <w:r>
        <w:rPr>
          <w:rFonts w:ascii="Times New Roman" w:hAnsi="Times New Roman"/>
          <w:noProof/>
          <w:sz w:val="24"/>
          <w:szCs w:val="24"/>
        </w:rPr>
        <w:t>, un sentiment qui peut, à terme, entraîner une perte de confiance dans notre démocratie. C’est la raison pour laquelle la Commission compte, pour la première fois, une vice-présid</w:t>
      </w:r>
      <w:r>
        <w:rPr>
          <w:rFonts w:ascii="Times New Roman" w:hAnsi="Times New Roman"/>
          <w:noProof/>
          <w:sz w:val="24"/>
          <w:szCs w:val="24"/>
        </w:rPr>
        <w:t>ente chargée de la démocratie et de la démographie, et c’est aussi la raison pour laquelle ce thème figurera également à l’agenda de la conférence sur l’avenir de l’Europe, grâce à laquelle les citoyens joueront un rôle de premier plan dans la construction</w:t>
      </w:r>
      <w:r>
        <w:rPr>
          <w:rFonts w:ascii="Times New Roman" w:hAnsi="Times New Roman"/>
          <w:noProof/>
          <w:sz w:val="24"/>
          <w:szCs w:val="24"/>
        </w:rPr>
        <w:t xml:space="preserve"> d’une Union plus résiliente, plus durable et plus juste. Si bon nombre des compétences dans ces domaines sont entre les mains des États membres, la Commission est prête à montrer la voie en recensant les problèmes et en soutenant l’action nationale, régio</w:t>
      </w:r>
      <w:r>
        <w:rPr>
          <w:rFonts w:ascii="Times New Roman" w:hAnsi="Times New Roman"/>
          <w:noProof/>
          <w:sz w:val="24"/>
          <w:szCs w:val="24"/>
        </w:rPr>
        <w:t>nale et locale.</w:t>
      </w:r>
    </w:p>
    <w:p w:rsidR="005F1B1A" w:rsidRDefault="00E84E49">
      <w:pPr>
        <w:pStyle w:val="Heading1"/>
        <w:rPr>
          <w:noProof/>
          <w:color w:val="0070C0"/>
          <w:szCs w:val="24"/>
        </w:rPr>
      </w:pPr>
      <w:bookmarkStart w:id="4" w:name="_Toc32414435"/>
      <w:bookmarkStart w:id="5" w:name="_Toc32444146"/>
      <w:bookmarkStart w:id="6" w:name="_Toc33800394"/>
      <w:bookmarkStart w:id="7" w:name="_Toc43216573"/>
      <w:r>
        <w:rPr>
          <w:noProof/>
          <w:color w:val="000000" w:themeColor="text1"/>
          <w:szCs w:val="24"/>
        </w:rPr>
        <w:t>LES MOTEURS DE L’ÉVOLUTION DÉMOGRAPHIQUE EN EUROPE</w:t>
      </w:r>
      <w:bookmarkEnd w:id="4"/>
      <w:bookmarkEnd w:id="5"/>
      <w:bookmarkEnd w:id="6"/>
      <w:r>
        <w:rPr>
          <w:rStyle w:val="FootnoteReference"/>
          <w:noProof/>
          <w:color w:val="000000" w:themeColor="text1"/>
          <w:szCs w:val="24"/>
        </w:rPr>
        <w:footnoteReference w:id="4"/>
      </w:r>
      <w:bookmarkEnd w:id="7"/>
    </w:p>
    <w:p w:rsidR="005F1B1A" w:rsidRDefault="00E84E49">
      <w:pPr>
        <w:keepLines/>
        <w:shd w:val="clear" w:color="auto" w:fill="FFFFFF"/>
        <w:jc w:val="both"/>
        <w:rPr>
          <w:rFonts w:ascii="Times New Roman" w:hAnsi="Times New Roman" w:cs="Times New Roman"/>
          <w:noProof/>
          <w:sz w:val="24"/>
          <w:szCs w:val="24"/>
        </w:rPr>
      </w:pPr>
      <w:r>
        <w:rPr>
          <w:rFonts w:ascii="Times New Roman" w:hAnsi="Times New Roman"/>
          <w:noProof/>
          <w:sz w:val="24"/>
          <w:szCs w:val="24"/>
        </w:rPr>
        <w:t xml:space="preserve">En tant qu’Européens, nous vivons plus longtemps que jamais et notre population prend de l’âge chaque année. Nous sommes plus nombreux à choisir de vivre, travailler ou étudier dans un </w:t>
      </w:r>
      <w:r>
        <w:rPr>
          <w:rFonts w:ascii="Times New Roman" w:hAnsi="Times New Roman"/>
          <w:noProof/>
          <w:sz w:val="24"/>
          <w:szCs w:val="24"/>
        </w:rPr>
        <w:t>autre pays de l’UE, et la migration vers ou depuis l’Europe ne cesse de fluctuer. De plus en plus d’entre nous vivent aujourd’hui dans des ménages de plus petite taille et nous avons moins d’enfants qu’auparavant. Ces moteurs de l’évolution démographique v</w:t>
      </w:r>
      <w:r>
        <w:rPr>
          <w:rFonts w:ascii="Times New Roman" w:hAnsi="Times New Roman"/>
          <w:noProof/>
          <w:sz w:val="24"/>
          <w:szCs w:val="24"/>
        </w:rPr>
        <w:t>arient en Europe, souvent de manière significative entre les différentes régions d’un même pays</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w:t>
      </w:r>
    </w:p>
    <w:p w:rsidR="005F1B1A" w:rsidRDefault="00E84E49">
      <w:pPr>
        <w:pStyle w:val="Heading2"/>
        <w:keepNext/>
        <w:rPr>
          <w:noProof/>
        </w:rPr>
      </w:pPr>
      <w:bookmarkStart w:id="8" w:name="_Toc32444147"/>
      <w:bookmarkStart w:id="9" w:name="_Toc33800395"/>
      <w:bookmarkStart w:id="10" w:name="_Toc43216574"/>
      <w:r>
        <w:rPr>
          <w:noProof/>
        </w:rPr>
        <w:t>2.1. UNE ESPÉRANCE DE VIE PLUS LONGUE</w:t>
      </w:r>
      <w:bookmarkEnd w:id="8"/>
      <w:bookmarkEnd w:id="9"/>
      <w:bookmarkEnd w:id="10"/>
      <w:r>
        <w:rPr>
          <w:noProof/>
        </w:rPr>
        <w:t xml:space="preserve"> </w:t>
      </w:r>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Les Européens bénéficient d’une vie plus longue, vécue en moyenne plus longtemps en bonne santé</w:t>
      </w:r>
      <w:r>
        <w:rPr>
          <w:rFonts w:ascii="Times New Roman" w:hAnsi="Times New Roman"/>
          <w:noProof/>
          <w:sz w:val="24"/>
          <w:szCs w:val="24"/>
        </w:rPr>
        <w:t xml:space="preserve">. L’espérance de vie à </w:t>
      </w:r>
      <w:r>
        <w:rPr>
          <w:rFonts w:ascii="Times New Roman" w:hAnsi="Times New Roman"/>
          <w:noProof/>
          <w:sz w:val="24"/>
          <w:szCs w:val="24"/>
        </w:rPr>
        <w:t>la naissance a augmenté d’environ dix ans tant pour les hommes que pour les femmes au cours des cinq dernières décennies</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La pandémie a mis au jour les vulnérabilités d’une population vieillissante, mais n’aurait pas modifié cette évolution globalement po</w:t>
      </w:r>
      <w:r>
        <w:rPr>
          <w:rFonts w:ascii="Times New Roman" w:hAnsi="Times New Roman"/>
          <w:noProof/>
          <w:sz w:val="24"/>
          <w:szCs w:val="24"/>
        </w:rPr>
        <w:t xml:space="preserve">sitive de l’espérance de vie. </w:t>
      </w:r>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noProof/>
          <w:sz w:val="24"/>
          <w:szCs w:val="24"/>
        </w:rPr>
        <w:t>En 2070, selon les prévisions</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l’espérance de vie à la naissance devrait atteindre 86,1 ans pour les hommes, contre 78,2 ans en 2018. Pour les femmes, elle est estimée à 90,3 ans, contre 83,7 ans auparavant. Le lieu de vie a</w:t>
      </w:r>
      <w:r>
        <w:rPr>
          <w:rFonts w:ascii="Times New Roman" w:hAnsi="Times New Roman"/>
          <w:noProof/>
          <w:sz w:val="24"/>
          <w:szCs w:val="24"/>
        </w:rPr>
        <w:t xml:space="preserve"> une influence majeure sur l’espérance de vie. Au niveau national, l’espérance de vie à la naissance va de 83,5 ans en Espagne à 75 ans en Bulgarie.</w:t>
      </w:r>
    </w:p>
    <w:p w:rsidR="005F1B1A" w:rsidRDefault="00E84E49">
      <w:pPr>
        <w:shd w:val="clear" w:color="auto" w:fill="FFFFFF"/>
        <w:jc w:val="both"/>
        <w:rPr>
          <w:rFonts w:ascii="Times New Roman" w:hAnsi="Times New Roman" w:cs="Times New Roman"/>
          <w:b/>
          <w:noProof/>
          <w:sz w:val="24"/>
          <w:szCs w:val="24"/>
        </w:rPr>
      </w:pPr>
      <w:r>
        <w:rPr>
          <w:rFonts w:ascii="Times New Roman" w:hAnsi="Times New Roman"/>
          <w:noProof/>
          <w:sz w:val="24"/>
          <w:szCs w:val="24"/>
        </w:rPr>
        <w:t>Il existe des différences entre les femmes et les hommes vivant dans différentes régions de l’UE. Alors que</w:t>
      </w:r>
      <w:r>
        <w:rPr>
          <w:rFonts w:ascii="Times New Roman" w:hAnsi="Times New Roman"/>
          <w:noProof/>
          <w:sz w:val="24"/>
          <w:szCs w:val="24"/>
        </w:rPr>
        <w:t xml:space="preserve"> l’espérance de vie des femmes à la naissance est supérieure de 5,5 ans à celle des hommes dans l’UE-27, le tableau n’est pas le même partout. En Lettonie et en Lituanie, l’écart est de plus de neuf ans, tandis qu’au Danemark, en Irlande, à Chypre, aux Pay</w:t>
      </w:r>
      <w:r>
        <w:rPr>
          <w:rFonts w:ascii="Times New Roman" w:hAnsi="Times New Roman"/>
          <w:noProof/>
          <w:sz w:val="24"/>
          <w:szCs w:val="24"/>
        </w:rPr>
        <w:t>s-Bas et en Suède, il est inférieur à quatre ans.</w:t>
      </w:r>
    </w:p>
    <w:p w:rsidR="005F1B1A" w:rsidRDefault="00E84E49">
      <w:pPr>
        <w:keepNext/>
        <w:keepLines/>
        <w:shd w:val="clear" w:color="auto" w:fill="FFFFFF"/>
        <w:spacing w:after="0"/>
        <w:contextualSpacing/>
        <w:jc w:val="center"/>
        <w:rPr>
          <w:rFonts w:ascii="Times New Roman" w:hAnsi="Times New Roman" w:cs="Times New Roman"/>
          <w:i/>
          <w:noProof/>
          <w:sz w:val="24"/>
          <w:szCs w:val="24"/>
        </w:rPr>
      </w:pPr>
      <w:r>
        <w:rPr>
          <w:rFonts w:ascii="Times New Roman" w:hAnsi="Times New Roman"/>
          <w:b/>
          <w:noProof/>
          <w:sz w:val="24"/>
          <w:szCs w:val="24"/>
        </w:rPr>
        <w:t>Écart de l’espérance de vie à la naissance entre les femmes et les hommes, 2018</w:t>
      </w:r>
    </w:p>
    <w:p w:rsidR="005F1B1A" w:rsidRDefault="00E84E49">
      <w:pPr>
        <w:shd w:val="clear" w:color="auto" w:fill="FFFFFF" w:themeFill="background1"/>
        <w:spacing w:after="0"/>
        <w:jc w:val="center"/>
        <w:rPr>
          <w:rFonts w:ascii="Times New Roman" w:hAnsi="Times New Roman" w:cs="Times New Roman"/>
          <w:b/>
          <w:noProof/>
          <w:sz w:val="24"/>
          <w:szCs w:val="24"/>
        </w:rPr>
      </w:pPr>
      <w:r>
        <w:rPr>
          <w:noProof/>
          <w:lang w:val="fr-BE" w:eastAsia="fr-BE"/>
        </w:rPr>
        <w:drawing>
          <wp:inline distT="0" distB="0" distL="0" distR="0">
            <wp:extent cx="6192520" cy="347744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2520" cy="3477441"/>
                    </a:xfrm>
                    <a:prstGeom prst="rect">
                      <a:avLst/>
                    </a:prstGeom>
                    <a:noFill/>
                    <a:ln>
                      <a:noFill/>
                    </a:ln>
                  </pic:spPr>
                </pic:pic>
              </a:graphicData>
            </a:graphic>
          </wp:inline>
        </w:drawing>
      </w:r>
    </w:p>
    <w:p w:rsidR="005F1B1A" w:rsidRDefault="00E84E49">
      <w:pPr>
        <w:shd w:val="clear" w:color="auto" w:fill="FFFFFF"/>
        <w:spacing w:after="0"/>
        <w:contextualSpacing/>
        <w:rPr>
          <w:rFonts w:ascii="Times New Roman" w:hAnsi="Times New Roman" w:cs="Times New Roman"/>
          <w:noProof/>
          <w:sz w:val="24"/>
          <w:szCs w:val="24"/>
        </w:rPr>
      </w:pPr>
      <w:r>
        <w:rPr>
          <w:rFonts w:ascii="Times New Roman" w:hAnsi="Times New Roman"/>
          <w:i/>
          <w:noProof/>
          <w:sz w:val="24"/>
          <w:szCs w:val="24"/>
        </w:rPr>
        <w:t>Source: Eurostat</w:t>
      </w:r>
    </w:p>
    <w:p w:rsidR="005F1B1A" w:rsidRDefault="005F1B1A">
      <w:pPr>
        <w:shd w:val="clear" w:color="auto" w:fill="FFFFFF"/>
        <w:spacing w:after="0"/>
        <w:contextualSpacing/>
        <w:rPr>
          <w:rFonts w:ascii="Times New Roman" w:hAnsi="Times New Roman" w:cs="Times New Roman"/>
          <w:b/>
          <w:noProof/>
          <w:sz w:val="24"/>
          <w:szCs w:val="24"/>
        </w:rPr>
      </w:pPr>
    </w:p>
    <w:p w:rsidR="005F1B1A" w:rsidRDefault="00E84E49">
      <w:pPr>
        <w:shd w:val="clear" w:color="auto" w:fill="FFFFFF"/>
        <w:spacing w:after="0"/>
        <w:contextualSpacing/>
        <w:jc w:val="both"/>
        <w:rPr>
          <w:rFonts w:ascii="Times New Roman" w:hAnsi="Times New Roman" w:cs="Times New Roman"/>
          <w:noProof/>
          <w:sz w:val="24"/>
          <w:szCs w:val="24"/>
        </w:rPr>
      </w:pPr>
      <w:r>
        <w:rPr>
          <w:rFonts w:ascii="Times New Roman" w:hAnsi="Times New Roman"/>
          <w:b/>
          <w:noProof/>
          <w:sz w:val="24"/>
          <w:szCs w:val="24"/>
        </w:rPr>
        <w:t xml:space="preserve">Nous passons une grande partie de notre vie en bonne santé. </w:t>
      </w:r>
      <w:r>
        <w:rPr>
          <w:rFonts w:ascii="Times New Roman" w:hAnsi="Times New Roman"/>
          <w:noProof/>
          <w:sz w:val="24"/>
          <w:szCs w:val="24"/>
        </w:rPr>
        <w:t>Le nombre d’</w:t>
      </w:r>
      <w:r>
        <w:rPr>
          <w:rFonts w:ascii="Times New Roman" w:hAnsi="Times New Roman"/>
          <w:i/>
          <w:noProof/>
          <w:sz w:val="24"/>
          <w:szCs w:val="24"/>
        </w:rPr>
        <w:t>années de vie en bonne santé</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cons</w:t>
      </w:r>
      <w:r>
        <w:rPr>
          <w:rFonts w:ascii="Times New Roman" w:hAnsi="Times New Roman"/>
          <w:noProof/>
          <w:sz w:val="24"/>
          <w:szCs w:val="24"/>
        </w:rPr>
        <w:t>idérées varie selon le sexe et le pays. Pour l’UE dans son ensemble, le nombre d’années de vie en bonne santé à la naissance, en 2018, était de 64,2 ans pour les femmes et de 63,7 ans pour les hommes</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Une fois de plus, ce nombre varie considérablement sel</w:t>
      </w:r>
      <w:r>
        <w:rPr>
          <w:rFonts w:ascii="Times New Roman" w:hAnsi="Times New Roman"/>
          <w:noProof/>
          <w:sz w:val="24"/>
          <w:szCs w:val="24"/>
        </w:rPr>
        <w:t>on l’endroit où l’on vit. Par exemple, un homme vivant en Suède a en moyenne plus de 73 années de vie en bonne santé, contre 51 pour un homme en Lettonie. Près de la moitié des personnes âgées souffrent d’un handicap</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ce chiffre augmentant à mesure qu’ell</w:t>
      </w:r>
      <w:r>
        <w:rPr>
          <w:rFonts w:ascii="Times New Roman" w:hAnsi="Times New Roman"/>
          <w:noProof/>
          <w:sz w:val="24"/>
          <w:szCs w:val="24"/>
        </w:rPr>
        <w:t>es atteignent des groupes d’âge plus avancé. Elles sont plus susceptibles d’être confrontées à des problèmes de mobilité réduite, et leur qualité de vie dépend de la manière dont nos sociétés et l’environnement sont ouverts et accessibles à tous.</w:t>
      </w:r>
    </w:p>
    <w:p w:rsidR="005F1B1A" w:rsidRDefault="005F1B1A">
      <w:pPr>
        <w:shd w:val="clear" w:color="auto" w:fill="FFFFFF"/>
        <w:spacing w:after="0"/>
        <w:contextualSpacing/>
        <w:rPr>
          <w:rFonts w:ascii="Times New Roman" w:hAnsi="Times New Roman" w:cs="Times New Roman"/>
          <w:b/>
          <w:noProof/>
          <w:sz w:val="24"/>
          <w:szCs w:val="24"/>
        </w:rPr>
      </w:pPr>
    </w:p>
    <w:p w:rsidR="005F1B1A" w:rsidRDefault="00E84E49">
      <w:pPr>
        <w:keepNext/>
        <w:shd w:val="clear" w:color="auto" w:fill="FFFFFF"/>
        <w:spacing w:after="0"/>
        <w:contextualSpacing/>
        <w:jc w:val="center"/>
        <w:rPr>
          <w:rFonts w:ascii="Times New Roman" w:hAnsi="Times New Roman" w:cs="Times New Roman"/>
          <w:b/>
          <w:noProof/>
          <w:sz w:val="24"/>
          <w:szCs w:val="24"/>
        </w:rPr>
      </w:pPr>
      <w:r>
        <w:rPr>
          <w:rFonts w:ascii="Times New Roman" w:hAnsi="Times New Roman"/>
          <w:b/>
          <w:noProof/>
          <w:sz w:val="24"/>
          <w:szCs w:val="24"/>
        </w:rPr>
        <w:t>Années d</w:t>
      </w:r>
      <w:r>
        <w:rPr>
          <w:rFonts w:ascii="Times New Roman" w:hAnsi="Times New Roman"/>
          <w:b/>
          <w:noProof/>
          <w:sz w:val="24"/>
          <w:szCs w:val="24"/>
        </w:rPr>
        <w:t>e vie en bonne santé à la naissance, 2018</w:t>
      </w:r>
    </w:p>
    <w:p w:rsidR="005F1B1A" w:rsidRDefault="00E84E49">
      <w:pPr>
        <w:shd w:val="clear" w:color="auto" w:fill="FFFFFF"/>
        <w:jc w:val="center"/>
        <w:rPr>
          <w:rFonts w:ascii="Times New Roman" w:hAnsi="Times New Roman" w:cs="Times New Roman"/>
          <w:noProof/>
          <w:sz w:val="24"/>
          <w:szCs w:val="24"/>
        </w:rPr>
      </w:pPr>
      <w:r>
        <w:rPr>
          <w:noProof/>
          <w:lang w:val="fr-BE" w:eastAsia="fr-BE"/>
        </w:rPr>
        <w:drawing>
          <wp:inline distT="0" distB="0" distL="0" distR="0">
            <wp:extent cx="6192520" cy="49031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2520" cy="4903168"/>
                    </a:xfrm>
                    <a:prstGeom prst="rect">
                      <a:avLst/>
                    </a:prstGeom>
                    <a:noFill/>
                    <a:ln>
                      <a:noFill/>
                    </a:ln>
                  </pic:spPr>
                </pic:pic>
              </a:graphicData>
            </a:graphic>
          </wp:inline>
        </w:drawing>
      </w:r>
    </w:p>
    <w:p w:rsidR="005F1B1A" w:rsidRDefault="00E84E49">
      <w:pPr>
        <w:shd w:val="clear" w:color="auto" w:fill="FFFFFF"/>
        <w:rPr>
          <w:rFonts w:ascii="Times New Roman" w:hAnsi="Times New Roman" w:cs="Times New Roman"/>
          <w:noProof/>
          <w:sz w:val="24"/>
          <w:szCs w:val="24"/>
        </w:rPr>
      </w:pPr>
      <w:r>
        <w:rPr>
          <w:rFonts w:ascii="Times New Roman" w:hAnsi="Times New Roman"/>
          <w:i/>
          <w:noProof/>
          <w:sz w:val="24"/>
          <w:szCs w:val="24"/>
        </w:rPr>
        <w:t>Source: Eurostat</w:t>
      </w:r>
    </w:p>
    <w:p w:rsidR="005F1B1A" w:rsidRDefault="00E84E49">
      <w:pPr>
        <w:keepNext/>
        <w:keepLines/>
        <w:shd w:val="clear" w:color="auto" w:fill="FFFFFF"/>
        <w:spacing w:after="0"/>
        <w:ind w:left="2160" w:firstLine="720"/>
        <w:rPr>
          <w:rFonts w:ascii="Times New Roman" w:hAnsi="Times New Roman"/>
          <w:b/>
          <w:noProof/>
          <w:sz w:val="24"/>
          <w:szCs w:val="24"/>
        </w:rPr>
      </w:pPr>
      <w:r>
        <w:rPr>
          <w:rFonts w:ascii="Times New Roman" w:hAnsi="Times New Roman"/>
          <w:b/>
          <w:noProof/>
          <w:sz w:val="24"/>
          <w:szCs w:val="24"/>
        </w:rPr>
        <w:t>Espérance de vie à la naissance par région</w:t>
      </w:r>
      <w:r>
        <w:rPr>
          <w:rFonts w:ascii="Times New Roman" w:hAnsi="Times New Roman" w:cs="Times New Roman"/>
          <w:b/>
          <w:noProof/>
          <w:sz w:val="24"/>
          <w:szCs w:val="24"/>
          <w:vertAlign w:val="superscript"/>
        </w:rPr>
        <w:footnoteReference w:id="11"/>
      </w:r>
      <w:r>
        <w:rPr>
          <w:rFonts w:ascii="Times New Roman" w:hAnsi="Times New Roman"/>
          <w:b/>
          <w:noProof/>
          <w:sz w:val="24"/>
          <w:szCs w:val="24"/>
        </w:rPr>
        <w:t>, 2018</w:t>
      </w:r>
    </w:p>
    <w:p w:rsidR="005F1B1A" w:rsidRDefault="00E84E49">
      <w:pPr>
        <w:spacing w:after="0"/>
        <w:jc w:val="center"/>
        <w:rPr>
          <w:rFonts w:ascii="Times New Roman" w:hAnsi="Times New Roman" w:cs="Times New Roman"/>
          <w:b/>
          <w:noProof/>
          <w:color w:val="0070C0"/>
          <w:sz w:val="24"/>
          <w:szCs w:val="24"/>
        </w:rPr>
      </w:pPr>
      <w:bookmarkStart w:id="11" w:name="_Toc32414436"/>
      <w:bookmarkStart w:id="12" w:name="_Toc32444148"/>
      <w:r>
        <w:rPr>
          <w:noProof/>
          <w:lang w:val="fr-BE" w:eastAsia="fr-BE"/>
        </w:rPr>
        <w:drawing>
          <wp:inline distT="0" distB="0" distL="0" distR="0">
            <wp:extent cx="4412787" cy="4667416"/>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3125" cy="4678351"/>
                    </a:xfrm>
                    <a:prstGeom prst="rect">
                      <a:avLst/>
                    </a:prstGeom>
                    <a:noFill/>
                    <a:ln>
                      <a:noFill/>
                    </a:ln>
                  </pic:spPr>
                </pic:pic>
              </a:graphicData>
            </a:graphic>
          </wp:inline>
        </w:drawing>
      </w:r>
    </w:p>
    <w:p w:rsidR="005F1B1A" w:rsidRDefault="005F1B1A">
      <w:pPr>
        <w:spacing w:after="0"/>
        <w:jc w:val="center"/>
        <w:rPr>
          <w:rFonts w:ascii="Times New Roman" w:hAnsi="Times New Roman" w:cs="Times New Roman"/>
          <w:b/>
          <w:noProof/>
          <w:color w:val="0070C0"/>
          <w:sz w:val="24"/>
          <w:szCs w:val="24"/>
        </w:rPr>
      </w:pPr>
    </w:p>
    <w:p w:rsidR="005F1B1A" w:rsidRDefault="00E84E49">
      <w:pPr>
        <w:keepNext/>
        <w:keepLines/>
        <w:shd w:val="clear" w:color="auto" w:fill="FFFFFF"/>
        <w:spacing w:after="0"/>
        <w:rPr>
          <w:rFonts w:ascii="Times New Roman" w:hAnsi="Times New Roman" w:cs="Times New Roman"/>
          <w:noProof/>
          <w:sz w:val="24"/>
          <w:szCs w:val="24"/>
          <w:lang w:val="fr-BE"/>
        </w:rPr>
      </w:pPr>
      <w:bookmarkStart w:id="13" w:name="_Toc33800396"/>
      <w:r>
        <w:rPr>
          <w:rFonts w:ascii="Times New Roman" w:hAnsi="Times New Roman" w:cs="Times New Roman"/>
          <w:noProof/>
          <w:sz w:val="24"/>
          <w:szCs w:val="24"/>
          <w:lang w:val="fr-BE"/>
        </w:rPr>
        <w:t xml:space="preserve">Espérance de vie par région NUTS2, 2018 </w:t>
      </w:r>
    </w:p>
    <w:p w:rsidR="005F1B1A" w:rsidRDefault="005F1B1A">
      <w:pPr>
        <w:keepNext/>
        <w:keepLines/>
        <w:shd w:val="clear" w:color="auto" w:fill="FFFFFF"/>
        <w:spacing w:after="0"/>
        <w:rPr>
          <w:rFonts w:ascii="Times New Roman" w:hAnsi="Times New Roman" w:cs="Times New Roman"/>
          <w:noProof/>
          <w:sz w:val="24"/>
          <w:szCs w:val="24"/>
          <w:lang w:val="fr-BE"/>
        </w:rPr>
      </w:pPr>
    </w:p>
    <w:p w:rsidR="005F1B1A" w:rsidRDefault="00E84E49">
      <w:pPr>
        <w:keepNext/>
        <w:keepLines/>
        <w:shd w:val="clear" w:color="auto" w:fill="FFFFFF"/>
        <w:spacing w:after="0"/>
        <w:rPr>
          <w:rFonts w:ascii="Times New Roman" w:hAnsi="Times New Roman" w:cs="Times New Roman"/>
          <w:noProof/>
          <w:szCs w:val="24"/>
        </w:rPr>
      </w:pPr>
      <w:r>
        <w:rPr>
          <w:rFonts w:ascii="Times New Roman" w:hAnsi="Times New Roman" w:cs="Times New Roman"/>
          <w:noProof/>
          <w:szCs w:val="24"/>
          <w:lang w:val="fr-BE"/>
        </w:rPr>
        <w:t xml:space="preserve">Espérance de vie à la naissance (en années)  </w:t>
      </w:r>
    </w:p>
    <w:p w:rsidR="005F1B1A" w:rsidRDefault="00E84E49">
      <w:pPr>
        <w:rPr>
          <w:noProof/>
          <w:lang w:val="fr-BE"/>
        </w:rPr>
      </w:pPr>
      <w:r>
        <w:rPr>
          <w:noProof/>
          <w:lang w:val="fr-BE" w:eastAsia="fr-BE"/>
        </w:rPr>
        <w:drawing>
          <wp:anchor distT="0" distB="0" distL="114300" distR="114300" simplePos="0" relativeHeight="251651584" behindDoc="0" locked="0" layoutInCell="1" allowOverlap="1">
            <wp:simplePos x="0" y="0"/>
            <wp:positionH relativeFrom="column">
              <wp:posOffset>3307770</wp:posOffset>
            </wp:positionH>
            <wp:positionV relativeFrom="paragraph">
              <wp:posOffset>885880</wp:posOffset>
            </wp:positionV>
            <wp:extent cx="2676525" cy="7524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76525" cy="752475"/>
                    </a:xfrm>
                    <a:prstGeom prst="rect">
                      <a:avLst/>
                    </a:prstGeom>
                  </pic:spPr>
                </pic:pic>
              </a:graphicData>
            </a:graphic>
          </wp:anchor>
        </w:drawing>
      </w:r>
      <w:r>
        <w:rPr>
          <w:noProof/>
          <w:lang w:val="fr-BE" w:eastAsia="fr-BE"/>
        </w:rPr>
        <w:drawing>
          <wp:anchor distT="0" distB="0" distL="114300" distR="114300" simplePos="0" relativeHeight="251649536" behindDoc="0" locked="0" layoutInCell="1" allowOverlap="1">
            <wp:simplePos x="0" y="0"/>
            <wp:positionH relativeFrom="column">
              <wp:posOffset>2575946</wp:posOffset>
            </wp:positionH>
            <wp:positionV relativeFrom="paragraph">
              <wp:posOffset>302757</wp:posOffset>
            </wp:positionV>
            <wp:extent cx="1619250" cy="2952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19250" cy="295275"/>
                    </a:xfrm>
                    <a:prstGeom prst="rect">
                      <a:avLst/>
                    </a:prstGeom>
                  </pic:spPr>
                </pic:pic>
              </a:graphicData>
            </a:graphic>
          </wp:anchor>
        </w:drawing>
      </w:r>
      <w:r>
        <w:rPr>
          <w:noProof/>
          <w:lang w:val="fr-BE" w:eastAsia="fr-BE"/>
        </w:rPr>
        <w:drawing>
          <wp:inline distT="0" distB="0" distL="0" distR="0">
            <wp:extent cx="1736536" cy="1115336"/>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9520" cy="1117252"/>
                    </a:xfrm>
                    <a:prstGeom prst="rect">
                      <a:avLst/>
                    </a:prstGeom>
                  </pic:spPr>
                </pic:pic>
              </a:graphicData>
            </a:graphic>
          </wp:inline>
        </w:drawing>
      </w:r>
    </w:p>
    <w:p w:rsidR="005F1B1A" w:rsidRDefault="00E84E49">
      <w:pPr>
        <w:rPr>
          <w:rFonts w:ascii="Times New Roman" w:hAnsi="Times New Roman" w:cs="Times New Roman"/>
          <w:b/>
          <w:noProof/>
          <w:sz w:val="24"/>
          <w:szCs w:val="24"/>
        </w:rPr>
      </w:pPr>
      <w:r>
        <w:rPr>
          <w:noProof/>
        </w:rPr>
        <w:br w:type="page"/>
      </w:r>
    </w:p>
    <w:p w:rsidR="005F1B1A" w:rsidRDefault="00E84E49">
      <w:pPr>
        <w:pStyle w:val="Heading2"/>
        <w:keepNext/>
        <w:rPr>
          <w:noProof/>
        </w:rPr>
      </w:pPr>
      <w:bookmarkStart w:id="14" w:name="_Toc43216575"/>
      <w:r>
        <w:rPr>
          <w:noProof/>
        </w:rPr>
        <w:t>2.2. DIMINUTION DES NAISSANCES</w:t>
      </w:r>
      <w:bookmarkEnd w:id="11"/>
      <w:bookmarkEnd w:id="12"/>
      <w:bookmarkEnd w:id="13"/>
      <w:bookmarkEnd w:id="14"/>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noProof/>
          <w:sz w:val="24"/>
          <w:szCs w:val="24"/>
        </w:rPr>
        <w:t xml:space="preserve">À partir des </w:t>
      </w:r>
      <w:r>
        <w:rPr>
          <w:rFonts w:ascii="Times New Roman" w:hAnsi="Times New Roman"/>
          <w:noProof/>
          <w:sz w:val="24"/>
          <w:szCs w:val="24"/>
        </w:rPr>
        <w:t>années 1960 et jusqu’au milieu des années 1990, le nombre moyen de naissances par femme en Europe a diminué</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La moyenne s’est quelque peu relevée dans les années 2000 et s’est ensuite à peu près stabilisée au cours de la décennie qui a suivi. </w:t>
      </w:r>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noProof/>
          <w:sz w:val="24"/>
          <w:szCs w:val="24"/>
        </w:rPr>
        <w:t>En 2018, le</w:t>
      </w:r>
      <w:r>
        <w:rPr>
          <w:rFonts w:ascii="Times New Roman" w:hAnsi="Times New Roman"/>
          <w:noProof/>
          <w:sz w:val="24"/>
          <w:szCs w:val="24"/>
        </w:rPr>
        <w:t xml:space="preserve"> chiffre s’élevait à 1,55 enfant par femme. Il est inférieur à la valeur de 2,1 considérée comme le niveau requis pour garder constante la taille de la population en l’absence de migration. Presque aucune région d’Europe n’a un taux atteignant ce niveau</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xml:space="preserve">, </w:t>
      </w:r>
      <w:r>
        <w:rPr>
          <w:rFonts w:ascii="Times New Roman" w:hAnsi="Times New Roman"/>
          <w:noProof/>
          <w:sz w:val="24"/>
          <w:szCs w:val="24"/>
        </w:rPr>
        <w:t xml:space="preserve">certaines enregistrant même un taux inférieur à 1,25. C’est le cas, par exemple, dans le nord-ouest de la péninsule ibérique, dans le sud-est de l’Italie, en Sardaigne, ainsi que dans certaines régions de Grèce. </w:t>
      </w:r>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noProof/>
          <w:sz w:val="24"/>
          <w:szCs w:val="24"/>
        </w:rPr>
        <w:t>En moyenne, les femmes donnent également na</w:t>
      </w:r>
      <w:r>
        <w:rPr>
          <w:rFonts w:ascii="Times New Roman" w:hAnsi="Times New Roman"/>
          <w:noProof/>
          <w:sz w:val="24"/>
          <w:szCs w:val="24"/>
        </w:rPr>
        <w:t>issance à leurs enfants plus tard dans la vie. Entre 2001 et 2018, l’âge moyen des femmes à l’accouchement dans l’UE est passé de 29,0 à 30,8 ans.</w:t>
      </w:r>
    </w:p>
    <w:p w:rsidR="005F1B1A" w:rsidRDefault="00E84E49">
      <w:pPr>
        <w:keepNext/>
        <w:shd w:val="clear" w:color="auto" w:fill="FFFFFF"/>
        <w:spacing w:after="0" w:line="240" w:lineRule="auto"/>
        <w:ind w:left="1440" w:firstLine="720"/>
        <w:contextualSpacing/>
        <w:rPr>
          <w:rFonts w:ascii="Times New Roman" w:eastAsia="Calibri" w:hAnsi="Times New Roman" w:cs="Times New Roman"/>
          <w:b/>
          <w:noProof/>
          <w:sz w:val="24"/>
          <w:szCs w:val="24"/>
        </w:rPr>
      </w:pPr>
      <w:r>
        <w:rPr>
          <w:rFonts w:ascii="Times New Roman" w:hAnsi="Times New Roman"/>
          <w:b/>
          <w:noProof/>
          <w:sz w:val="24"/>
          <w:szCs w:val="24"/>
        </w:rPr>
        <w:t>Indicateurs de fécondité, UE-27, 2001-2018</w:t>
      </w:r>
    </w:p>
    <w:p w:rsidR="005F1B1A" w:rsidRDefault="00E84E49">
      <w:pPr>
        <w:shd w:val="clear" w:color="auto" w:fill="FFFFFF"/>
        <w:spacing w:after="0" w:line="240" w:lineRule="auto"/>
        <w:contextualSpacing/>
        <w:jc w:val="center"/>
        <w:rPr>
          <w:rFonts w:ascii="Times New Roman" w:eastAsia="Calibri" w:hAnsi="Times New Roman" w:cs="Times New Roman"/>
          <w:noProof/>
          <w:sz w:val="24"/>
          <w:szCs w:val="24"/>
        </w:rPr>
      </w:pPr>
      <w:r>
        <w:rPr>
          <w:noProof/>
          <w:lang w:val="fr-BE" w:eastAsia="fr-BE"/>
        </w:rPr>
        <w:drawing>
          <wp:inline distT="0" distB="0" distL="0" distR="0">
            <wp:extent cx="6192520" cy="380451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520" cy="3804519"/>
                    </a:xfrm>
                    <a:prstGeom prst="rect">
                      <a:avLst/>
                    </a:prstGeom>
                    <a:noFill/>
                    <a:ln>
                      <a:noFill/>
                    </a:ln>
                  </pic:spPr>
                </pic:pic>
              </a:graphicData>
            </a:graphic>
          </wp:inline>
        </w:drawing>
      </w:r>
    </w:p>
    <w:p w:rsidR="005F1B1A" w:rsidRDefault="00E84E49">
      <w:pPr>
        <w:shd w:val="clear" w:color="auto" w:fill="FFFFFF"/>
        <w:spacing w:after="0" w:line="240" w:lineRule="auto"/>
        <w:contextualSpacing/>
        <w:rPr>
          <w:rFonts w:ascii="Times New Roman" w:eastAsia="Calibri" w:hAnsi="Times New Roman" w:cs="Times New Roman"/>
          <w:i/>
          <w:noProof/>
          <w:sz w:val="24"/>
          <w:szCs w:val="24"/>
        </w:rPr>
      </w:pPr>
      <w:r>
        <w:rPr>
          <w:rFonts w:ascii="Times New Roman" w:hAnsi="Times New Roman"/>
          <w:i/>
          <w:noProof/>
          <w:sz w:val="24"/>
          <w:szCs w:val="24"/>
        </w:rPr>
        <w:t>Source: Eurostat</w:t>
      </w:r>
    </w:p>
    <w:p w:rsidR="005F1B1A" w:rsidRDefault="00E84E49">
      <w:pPr>
        <w:keepNext/>
        <w:keepLines/>
        <w:spacing w:after="0" w:line="240" w:lineRule="auto"/>
        <w:jc w:val="center"/>
        <w:rPr>
          <w:rFonts w:ascii="Times New Roman" w:hAnsi="Times New Roman"/>
          <w:b/>
          <w:noProof/>
          <w:sz w:val="24"/>
          <w:szCs w:val="24"/>
        </w:rPr>
      </w:pPr>
      <w:r>
        <w:rPr>
          <w:rFonts w:ascii="Times New Roman" w:hAnsi="Times New Roman"/>
          <w:b/>
          <w:noProof/>
          <w:sz w:val="24"/>
          <w:szCs w:val="24"/>
        </w:rPr>
        <w:t>Taux de fécondité total par région</w:t>
      </w:r>
      <w:r>
        <w:rPr>
          <w:rStyle w:val="FootnoteReference"/>
          <w:rFonts w:ascii="Times New Roman" w:hAnsi="Times New Roman" w:cs="Times New Roman"/>
          <w:b/>
          <w:noProof/>
          <w:sz w:val="24"/>
          <w:szCs w:val="24"/>
        </w:rPr>
        <w:footnoteReference w:id="14"/>
      </w:r>
      <w:r>
        <w:rPr>
          <w:rFonts w:ascii="Times New Roman" w:hAnsi="Times New Roman"/>
          <w:b/>
          <w:noProof/>
          <w:sz w:val="24"/>
          <w:szCs w:val="24"/>
        </w:rPr>
        <w:t>, 2018</w:t>
      </w:r>
    </w:p>
    <w:p w:rsidR="005F1B1A" w:rsidRDefault="00E84E49">
      <w:pPr>
        <w:keepNext/>
        <w:keepLines/>
        <w:spacing w:after="0" w:line="240" w:lineRule="auto"/>
        <w:jc w:val="center"/>
        <w:rPr>
          <w:rFonts w:ascii="Times New Roman" w:hAnsi="Times New Roman" w:cs="Times New Roman"/>
          <w:i/>
          <w:noProof/>
          <w:sz w:val="24"/>
          <w:szCs w:val="24"/>
        </w:rPr>
      </w:pPr>
      <w:r>
        <w:rPr>
          <w:noProof/>
          <w:lang w:val="fr-BE" w:eastAsia="fr-BE"/>
        </w:rPr>
        <w:drawing>
          <wp:inline distT="0" distB="0" distL="0" distR="0">
            <wp:extent cx="4746929" cy="5035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8876" cy="5037646"/>
                    </a:xfrm>
                    <a:prstGeom prst="rect">
                      <a:avLst/>
                    </a:prstGeom>
                  </pic:spPr>
                </pic:pic>
              </a:graphicData>
            </a:graphic>
          </wp:inline>
        </w:drawing>
      </w:r>
    </w:p>
    <w:p w:rsidR="005F1B1A" w:rsidRDefault="00E84E49">
      <w:pPr>
        <w:keepNext/>
        <w:keepLines/>
        <w:spacing w:before="240" w:after="0" w:line="240" w:lineRule="auto"/>
        <w:rPr>
          <w:rFonts w:ascii="Times New Roman" w:hAnsi="Times New Roman"/>
          <w:b/>
          <w:noProof/>
          <w:sz w:val="24"/>
          <w:szCs w:val="24"/>
        </w:rPr>
      </w:pPr>
      <w:r>
        <w:rPr>
          <w:rFonts w:ascii="Times New Roman" w:hAnsi="Times New Roman"/>
          <w:b/>
          <w:noProof/>
          <w:sz w:val="24"/>
          <w:szCs w:val="24"/>
        </w:rPr>
        <w:t>Taux de fécondité total par région NUTS3, 2018</w:t>
      </w:r>
    </w:p>
    <w:p w:rsidR="005F1B1A" w:rsidRDefault="00E84E49">
      <w:pPr>
        <w:keepNext/>
        <w:keepLines/>
        <w:spacing w:before="240" w:after="0" w:line="240" w:lineRule="auto"/>
        <w:rPr>
          <w:rFonts w:ascii="Times New Roman" w:hAnsi="Times New Roman" w:cs="Times New Roman"/>
          <w:noProof/>
          <w:sz w:val="20"/>
          <w:szCs w:val="24"/>
        </w:rPr>
      </w:pPr>
      <w:r>
        <w:rPr>
          <w:rFonts w:ascii="Times New Roman" w:hAnsi="Times New Roman" w:cs="Times New Roman"/>
          <w:noProof/>
          <w:sz w:val="20"/>
          <w:szCs w:val="24"/>
        </w:rPr>
        <w:t>Nombre de naissances vivantes par femme</w:t>
      </w:r>
    </w:p>
    <w:p w:rsidR="005F1B1A" w:rsidRDefault="00E84E49">
      <w:pPr>
        <w:keepNext/>
        <w:keepLines/>
        <w:spacing w:before="240" w:after="0" w:line="240" w:lineRule="auto"/>
        <w:rPr>
          <w:rFonts w:ascii="Times New Roman" w:hAnsi="Times New Roman" w:cs="Times New Roman"/>
          <w:noProof/>
          <w:sz w:val="20"/>
          <w:szCs w:val="24"/>
        </w:rPr>
      </w:pPr>
      <w:r>
        <w:rPr>
          <w:noProof/>
          <w:lang w:val="fr-BE" w:eastAsia="fr-BE"/>
        </w:rPr>
        <w:drawing>
          <wp:inline distT="0" distB="0" distL="0" distR="0">
            <wp:extent cx="6050943" cy="162566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8146" cy="1627599"/>
                    </a:xfrm>
                    <a:prstGeom prst="rect">
                      <a:avLst/>
                    </a:prstGeom>
                  </pic:spPr>
                </pic:pic>
              </a:graphicData>
            </a:graphic>
          </wp:inline>
        </w:drawing>
      </w:r>
    </w:p>
    <w:p w:rsidR="005F1B1A" w:rsidRDefault="00E84E49">
      <w:pPr>
        <w:rPr>
          <w:rFonts w:ascii="Times New Roman" w:hAnsi="Times New Roman" w:cs="Times New Roman"/>
          <w:b/>
          <w:noProof/>
          <w:sz w:val="24"/>
          <w:szCs w:val="24"/>
        </w:rPr>
      </w:pPr>
      <w:bookmarkStart w:id="15" w:name="_Toc32414437"/>
      <w:bookmarkStart w:id="16" w:name="_Toc32444149"/>
      <w:bookmarkStart w:id="17" w:name="_Toc33800397"/>
      <w:r>
        <w:rPr>
          <w:noProof/>
        </w:rPr>
        <w:br w:type="page"/>
      </w:r>
    </w:p>
    <w:p w:rsidR="005F1B1A" w:rsidRDefault="00E84E49">
      <w:pPr>
        <w:pStyle w:val="Heading2"/>
        <w:keepNext/>
        <w:rPr>
          <w:noProof/>
        </w:rPr>
      </w:pPr>
      <w:bookmarkStart w:id="18" w:name="_Toc43216576"/>
      <w:r>
        <w:rPr>
          <w:noProof/>
        </w:rPr>
        <w:t>2.3. UNE POPULATION VIEILLISSANTE</w:t>
      </w:r>
      <w:bookmarkEnd w:id="15"/>
      <w:bookmarkEnd w:id="16"/>
      <w:bookmarkEnd w:id="17"/>
      <w:bookmarkEnd w:id="18"/>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La population européenne vieillit</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L’âge médian</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xml:space="preserve"> de la population de l’UE-27 augmente depuis des années et devrait augmenter à un r</w:t>
      </w:r>
      <w:r>
        <w:rPr>
          <w:rFonts w:ascii="Times New Roman" w:hAnsi="Times New Roman"/>
          <w:noProof/>
          <w:sz w:val="24"/>
          <w:szCs w:val="24"/>
        </w:rPr>
        <w:t>ythme similaire pendant deux décennies encore. L’âge médian pourrait atteindre 49 ans en 2070, soit une hausse d’environ cinq ans par rapport à aujourd’hui.</w:t>
      </w:r>
    </w:p>
    <w:p w:rsidR="005F1B1A" w:rsidRDefault="00E84E49">
      <w:pPr>
        <w:keepNext/>
        <w:spacing w:after="0"/>
        <w:contextualSpacing/>
        <w:jc w:val="center"/>
        <w:rPr>
          <w:rStyle w:val="Strong"/>
          <w:rFonts w:ascii="Times New Roman" w:hAnsi="Times New Roman" w:cs="Times New Roman"/>
          <w:noProof/>
          <w:sz w:val="24"/>
          <w:szCs w:val="24"/>
        </w:rPr>
      </w:pPr>
      <w:r>
        <w:rPr>
          <w:rStyle w:val="Strong"/>
          <w:rFonts w:ascii="Times New Roman" w:hAnsi="Times New Roman"/>
          <w:noProof/>
          <w:sz w:val="24"/>
          <w:szCs w:val="24"/>
        </w:rPr>
        <w:t>Âge médian de la population de l’UE-27, 2001-2070</w:t>
      </w:r>
    </w:p>
    <w:p w:rsidR="005F1B1A" w:rsidRDefault="00E84E49">
      <w:pPr>
        <w:spacing w:after="0"/>
        <w:contextualSpacing/>
        <w:jc w:val="center"/>
        <w:rPr>
          <w:rFonts w:ascii="Times New Roman" w:hAnsi="Times New Roman" w:cs="Times New Roman"/>
          <w:b/>
          <w:noProof/>
          <w:sz w:val="24"/>
          <w:szCs w:val="24"/>
        </w:rPr>
      </w:pPr>
      <w:r>
        <w:rPr>
          <w:noProof/>
          <w:lang w:val="fr-BE" w:eastAsia="fr-BE"/>
        </w:rPr>
        <w:drawing>
          <wp:inline distT="0" distB="0" distL="0" distR="0">
            <wp:extent cx="6192520" cy="3096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2520" cy="3096260"/>
                    </a:xfrm>
                    <a:prstGeom prst="rect">
                      <a:avLst/>
                    </a:prstGeom>
                    <a:noFill/>
                    <a:ln>
                      <a:noFill/>
                    </a:ln>
                  </pic:spPr>
                </pic:pic>
              </a:graphicData>
            </a:graphic>
          </wp:inline>
        </w:drawing>
      </w:r>
    </w:p>
    <w:p w:rsidR="005F1B1A" w:rsidRDefault="00E84E49">
      <w:pPr>
        <w:rPr>
          <w:rFonts w:ascii="Times New Roman" w:hAnsi="Times New Roman" w:cs="Times New Roman"/>
          <w:i/>
          <w:noProof/>
          <w:sz w:val="24"/>
          <w:szCs w:val="24"/>
        </w:rPr>
      </w:pPr>
      <w:r>
        <w:rPr>
          <w:rFonts w:ascii="Times New Roman" w:hAnsi="Times New Roman"/>
          <w:i/>
          <w:noProof/>
          <w:sz w:val="24"/>
          <w:szCs w:val="24"/>
        </w:rPr>
        <w:t xml:space="preserve">Source: Eurostat </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À mesure que notre âge médian</w:t>
      </w:r>
      <w:r>
        <w:rPr>
          <w:rFonts w:ascii="Times New Roman" w:hAnsi="Times New Roman"/>
          <w:b/>
          <w:noProof/>
          <w:sz w:val="24"/>
          <w:szCs w:val="24"/>
        </w:rPr>
        <w:t xml:space="preserve"> augmente, il en va de même pour le nombre et la proportion de personnes dans les groupes plus âgés.</w:t>
      </w:r>
      <w:r>
        <w:rPr>
          <w:rFonts w:ascii="Times New Roman" w:hAnsi="Times New Roman"/>
          <w:noProof/>
          <w:sz w:val="24"/>
          <w:szCs w:val="24"/>
        </w:rPr>
        <w:t xml:space="preserve"> D’ici à 2070, on estime que 30 % des citoyens européens seront âgés de 65 ans et plus, contre environ 20 % aujourd’hui. De 2019 à 2070, la proportion de pe</w:t>
      </w:r>
      <w:r>
        <w:rPr>
          <w:rFonts w:ascii="Times New Roman" w:hAnsi="Times New Roman"/>
          <w:noProof/>
          <w:sz w:val="24"/>
          <w:szCs w:val="24"/>
        </w:rPr>
        <w:t>rsonnes âgées de 80 ans ou plus devrait plus que doubler pour atteindre 13 %</w:t>
      </w:r>
      <w:r>
        <w:rPr>
          <w:rStyle w:val="FootnoteReference"/>
          <w:rFonts w:ascii="Times New Roman" w:hAnsi="Times New Roman" w:cs="Times New Roman"/>
          <w:noProof/>
          <w:sz w:val="24"/>
          <w:szCs w:val="24"/>
        </w:rPr>
        <w:footnoteReference w:id="16"/>
      </w:r>
      <w:r>
        <w:rPr>
          <w:rFonts w:ascii="Times New Roman" w:hAnsi="Times New Roman"/>
          <w:noProof/>
          <w:sz w:val="24"/>
          <w:szCs w:val="24"/>
        </w:rPr>
        <w:t xml:space="preserve">. </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Dans le même temps, la population en âge de travailler (20-64 ans)</w:t>
      </w:r>
      <w:r>
        <w:rPr>
          <w:rStyle w:val="FootnoteReference"/>
          <w:rFonts w:ascii="Times New Roman" w:hAnsi="Times New Roman" w:cs="Times New Roman"/>
          <w:b/>
          <w:noProof/>
          <w:sz w:val="24"/>
          <w:szCs w:val="24"/>
        </w:rPr>
        <w:footnoteReference w:id="17"/>
      </w:r>
      <w:r>
        <w:rPr>
          <w:rFonts w:ascii="Times New Roman" w:hAnsi="Times New Roman"/>
          <w:b/>
          <w:noProof/>
          <w:sz w:val="24"/>
          <w:szCs w:val="24"/>
        </w:rPr>
        <w:t xml:space="preserve"> devrait diminuer</w:t>
      </w:r>
      <w:r>
        <w:rPr>
          <w:rFonts w:ascii="Times New Roman" w:hAnsi="Times New Roman"/>
          <w:noProof/>
          <w:sz w:val="24"/>
          <w:szCs w:val="24"/>
        </w:rPr>
        <w:t>. En 2019, elle représentait 59 % de l’ensemble de la population. D’ici à 2070, elle devrait</w:t>
      </w:r>
      <w:r>
        <w:rPr>
          <w:rFonts w:ascii="Times New Roman" w:hAnsi="Times New Roman"/>
          <w:noProof/>
          <w:sz w:val="24"/>
          <w:szCs w:val="24"/>
        </w:rPr>
        <w:t xml:space="preserve"> être ramenée à 51 %. À cette époque, le nombre d’enfants et de jeunes (âgés de 0 à 19 ans) devrait diminuer de 12,6 millions. </w:t>
      </w:r>
    </w:p>
    <w:p w:rsidR="005F1B1A" w:rsidRDefault="005F1B1A">
      <w:pPr>
        <w:spacing w:after="0"/>
        <w:rPr>
          <w:rStyle w:val="Strong"/>
          <w:rFonts w:ascii="Times New Roman" w:hAnsi="Times New Roman" w:cs="Times New Roman"/>
          <w:noProof/>
          <w:sz w:val="24"/>
          <w:szCs w:val="24"/>
        </w:rPr>
      </w:pPr>
      <w:bookmarkStart w:id="19" w:name="_Toc32414438"/>
    </w:p>
    <w:p w:rsidR="005F1B1A" w:rsidRDefault="00E84E49">
      <w:pPr>
        <w:rPr>
          <w:rStyle w:val="Strong"/>
          <w:rFonts w:ascii="Times New Roman" w:hAnsi="Times New Roman" w:cs="Times New Roman"/>
          <w:noProof/>
          <w:sz w:val="24"/>
          <w:szCs w:val="24"/>
        </w:rPr>
      </w:pPr>
      <w:r>
        <w:rPr>
          <w:noProof/>
        </w:rPr>
        <w:br w:type="page"/>
      </w:r>
    </w:p>
    <w:p w:rsidR="005F1B1A" w:rsidRDefault="00E84E49">
      <w:pPr>
        <w:keepNext/>
        <w:spacing w:after="0"/>
        <w:jc w:val="center"/>
        <w:rPr>
          <w:rFonts w:ascii="Times New Roman" w:hAnsi="Times New Roman"/>
          <w:noProof/>
          <w:sz w:val="24"/>
        </w:rPr>
      </w:pPr>
      <w:r>
        <w:rPr>
          <w:rStyle w:val="Strong"/>
          <w:rFonts w:ascii="Times New Roman" w:hAnsi="Times New Roman"/>
          <w:noProof/>
          <w:sz w:val="24"/>
          <w:szCs w:val="24"/>
        </w:rPr>
        <w:t>Population par groupes d’âge, UE-27, 2001-2070</w:t>
      </w:r>
      <w:r>
        <w:rPr>
          <w:noProof/>
          <w:lang w:val="fr-BE" w:eastAsia="fr-BE"/>
        </w:rPr>
        <w:drawing>
          <wp:inline distT="0" distB="0" distL="0" distR="0">
            <wp:extent cx="6127614" cy="3553691"/>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7191" cy="3565044"/>
                    </a:xfrm>
                    <a:prstGeom prst="rect">
                      <a:avLst/>
                    </a:prstGeom>
                    <a:noFill/>
                  </pic:spPr>
                </pic:pic>
              </a:graphicData>
            </a:graphic>
          </wp:inline>
        </w:drawing>
      </w:r>
    </w:p>
    <w:p w:rsidR="005F1B1A" w:rsidRDefault="00E84E49">
      <w:pPr>
        <w:spacing w:after="0"/>
        <w:rPr>
          <w:rFonts w:ascii="Times New Roman" w:hAnsi="Times New Roman" w:cs="Times New Roman"/>
          <w:i/>
          <w:noProof/>
          <w:sz w:val="24"/>
          <w:szCs w:val="24"/>
        </w:rPr>
      </w:pPr>
      <w:r>
        <w:rPr>
          <w:rFonts w:ascii="Times New Roman" w:hAnsi="Times New Roman"/>
          <w:i/>
          <w:noProof/>
          <w:sz w:val="24"/>
          <w:szCs w:val="24"/>
        </w:rPr>
        <w:t xml:space="preserve">Source: Eurostat </w:t>
      </w:r>
    </w:p>
    <w:p w:rsidR="005F1B1A" w:rsidRDefault="005F1B1A">
      <w:pPr>
        <w:pStyle w:val="Heading2"/>
        <w:rPr>
          <w:noProof/>
        </w:rPr>
      </w:pPr>
      <w:bookmarkStart w:id="20" w:name="_Toc32444150"/>
    </w:p>
    <w:p w:rsidR="005F1B1A" w:rsidRDefault="00E84E49">
      <w:pPr>
        <w:pStyle w:val="Heading2"/>
        <w:keepNext/>
        <w:rPr>
          <w:noProof/>
        </w:rPr>
      </w:pPr>
      <w:bookmarkStart w:id="21" w:name="_Toc33800398"/>
      <w:bookmarkStart w:id="22" w:name="_Toc43216577"/>
      <w:r>
        <w:rPr>
          <w:noProof/>
        </w:rPr>
        <w:t>2.4. DES MÉNAGES PLUS RÉDUITS</w:t>
      </w:r>
      <w:bookmarkEnd w:id="19"/>
      <w:bookmarkEnd w:id="20"/>
      <w:bookmarkEnd w:id="21"/>
      <w:bookmarkEnd w:id="22"/>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 xml:space="preserve">À mesure que le nombre de </w:t>
      </w:r>
      <w:r>
        <w:rPr>
          <w:rFonts w:ascii="Times New Roman" w:hAnsi="Times New Roman"/>
          <w:b/>
          <w:noProof/>
          <w:sz w:val="24"/>
          <w:szCs w:val="24"/>
        </w:rPr>
        <w:t>ménages en Europe augmente, leur taille moyenne diminue</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En 2019, l’Europe comptait 195 millions de ménages, soit une augmentation de 13 millions depuis 2010. En moyenne, la taille de ces ménages diminue. En 2010, le ménage comptait en moyenne 2,4 personne</w:t>
      </w:r>
      <w:r>
        <w:rPr>
          <w:rFonts w:ascii="Times New Roman" w:hAnsi="Times New Roman"/>
          <w:noProof/>
          <w:sz w:val="24"/>
          <w:szCs w:val="24"/>
        </w:rPr>
        <w:t>s. Au cours de la dernière décennie, cette moyenne a diminué lentement pour, en 2019, ne compter plus que 2,3 personnes.</w:t>
      </w:r>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Environ un tiers de l’ensemble des ménages se compose d’une seule personne</w:t>
      </w:r>
      <w:r>
        <w:rPr>
          <w:rFonts w:ascii="Times New Roman" w:hAnsi="Times New Roman"/>
          <w:noProof/>
          <w:sz w:val="24"/>
          <w:szCs w:val="24"/>
        </w:rPr>
        <w:t>, soit une augmentation de 19 % depuis 2010. La tendance géné</w:t>
      </w:r>
      <w:r>
        <w:rPr>
          <w:rFonts w:ascii="Times New Roman" w:hAnsi="Times New Roman"/>
          <w:noProof/>
          <w:sz w:val="24"/>
          <w:szCs w:val="24"/>
        </w:rPr>
        <w:t>rale est aux ménages composés de couples sans enfants, de personnes vivant seules et de parents isolés. Dans la majorité des ménages, il n’y a pas d’enfants tandis que les ménages monoparentaux ont augmenté de 13 % depuis 2010. Ces modèles peuvent égalemen</w:t>
      </w:r>
      <w:r>
        <w:rPr>
          <w:rFonts w:ascii="Times New Roman" w:hAnsi="Times New Roman"/>
          <w:noProof/>
          <w:sz w:val="24"/>
          <w:szCs w:val="24"/>
        </w:rPr>
        <w:t>t jouer un rôle dans le contexte de la pandémie, où les structures des ménages ont pu avoir une incidence sur la propagation du virus.</w:t>
      </w:r>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noProof/>
          <w:sz w:val="24"/>
          <w:szCs w:val="24"/>
        </w:rPr>
        <w:t xml:space="preserve">Alors que l’Europe vieillit, </w:t>
      </w:r>
      <w:r>
        <w:rPr>
          <w:rFonts w:ascii="Times New Roman" w:hAnsi="Times New Roman"/>
          <w:b/>
          <w:noProof/>
          <w:sz w:val="24"/>
          <w:szCs w:val="24"/>
        </w:rPr>
        <w:t>un nombre croissant de personnes âgées de 65 ans et plus vivront seules</w:t>
      </w:r>
      <w:r>
        <w:rPr>
          <w:rStyle w:val="FootnoteReference"/>
          <w:rFonts w:ascii="Times New Roman" w:hAnsi="Times New Roman" w:cs="Times New Roman"/>
          <w:noProof/>
          <w:sz w:val="24"/>
          <w:szCs w:val="24"/>
        </w:rPr>
        <w:footnoteReference w:id="18"/>
      </w:r>
      <w:r>
        <w:rPr>
          <w:rFonts w:ascii="Times New Roman" w:hAnsi="Times New Roman"/>
          <w:noProof/>
          <w:sz w:val="24"/>
          <w:szCs w:val="24"/>
        </w:rPr>
        <w:t>. Cela vaut en parti</w:t>
      </w:r>
      <w:r>
        <w:rPr>
          <w:rFonts w:ascii="Times New Roman" w:hAnsi="Times New Roman"/>
          <w:noProof/>
          <w:sz w:val="24"/>
          <w:szCs w:val="24"/>
        </w:rPr>
        <w:t>culier pour les femmes. En 2019, la proportion de femmes âgées vivant seules était de 40 %, soit plus du double de celle des hommes.</w:t>
      </w:r>
    </w:p>
    <w:p w:rsidR="005F1B1A" w:rsidRDefault="00E84E49">
      <w:pPr>
        <w:keepNext/>
        <w:keepLines/>
        <w:spacing w:after="0"/>
        <w:contextualSpacing/>
        <w:jc w:val="center"/>
        <w:rPr>
          <w:rFonts w:ascii="Times New Roman" w:hAnsi="Times New Roman" w:cs="Times New Roman"/>
          <w:i/>
          <w:noProof/>
          <w:sz w:val="24"/>
          <w:szCs w:val="24"/>
        </w:rPr>
      </w:pPr>
      <w:r>
        <w:rPr>
          <w:rFonts w:ascii="Times New Roman" w:hAnsi="Times New Roman"/>
          <w:b/>
          <w:noProof/>
          <w:sz w:val="24"/>
          <w:szCs w:val="24"/>
        </w:rPr>
        <w:t>Ménages avec enfants, UE-27, 2010-2019</w:t>
      </w:r>
      <w:r>
        <w:rPr>
          <w:rFonts w:ascii="Times New Roman" w:hAnsi="Times New Roman"/>
          <w:noProof/>
          <w:sz w:val="24"/>
          <w:szCs w:val="24"/>
        </w:rPr>
        <w:t xml:space="preserve"> </w:t>
      </w:r>
      <w:r>
        <w:rPr>
          <w:rFonts w:ascii="Times New Roman" w:hAnsi="Times New Roman"/>
          <w:i/>
          <w:noProof/>
          <w:sz w:val="24"/>
          <w:szCs w:val="24"/>
        </w:rPr>
        <w:t>(en millions)</w:t>
      </w:r>
    </w:p>
    <w:p w:rsidR="005F1B1A" w:rsidRDefault="00E84E49">
      <w:pPr>
        <w:spacing w:after="0"/>
        <w:contextualSpacing/>
        <w:rPr>
          <w:rFonts w:ascii="Times New Roman" w:hAnsi="Times New Roman" w:cs="Times New Roman"/>
          <w:noProof/>
          <w:sz w:val="24"/>
          <w:szCs w:val="24"/>
        </w:rPr>
      </w:pPr>
      <w:r>
        <w:rPr>
          <w:noProof/>
          <w:lang w:val="fr-BE" w:eastAsia="fr-BE"/>
        </w:rPr>
        <w:drawing>
          <wp:inline distT="0" distB="0" distL="0" distR="0">
            <wp:extent cx="6192520" cy="38485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3848548"/>
                    </a:xfrm>
                    <a:prstGeom prst="rect">
                      <a:avLst/>
                    </a:prstGeom>
                    <a:noFill/>
                    <a:ln>
                      <a:noFill/>
                    </a:ln>
                  </pic:spPr>
                </pic:pic>
              </a:graphicData>
            </a:graphic>
          </wp:inline>
        </w:drawing>
      </w:r>
    </w:p>
    <w:p w:rsidR="005F1B1A" w:rsidRDefault="00E84E49">
      <w:pPr>
        <w:spacing w:after="0"/>
        <w:contextualSpacing/>
        <w:rPr>
          <w:rFonts w:ascii="Times New Roman" w:hAnsi="Times New Roman"/>
          <w:i/>
          <w:noProof/>
          <w:sz w:val="24"/>
        </w:rPr>
      </w:pPr>
      <w:r>
        <w:rPr>
          <w:rFonts w:ascii="Times New Roman" w:hAnsi="Times New Roman"/>
          <w:i/>
          <w:noProof/>
          <w:sz w:val="24"/>
        </w:rPr>
        <w:t>Source: Eurostat</w:t>
      </w:r>
    </w:p>
    <w:p w:rsidR="005F1B1A" w:rsidRDefault="005F1B1A">
      <w:pPr>
        <w:pStyle w:val="Text2"/>
        <w:rPr>
          <w:noProof/>
          <w:lang w:val="fr-BE"/>
        </w:rPr>
      </w:pPr>
    </w:p>
    <w:p w:rsidR="005F1B1A" w:rsidRDefault="00E84E49">
      <w:pPr>
        <w:pStyle w:val="Heading2"/>
        <w:keepNext/>
        <w:rPr>
          <w:noProof/>
        </w:rPr>
      </w:pPr>
      <w:bookmarkStart w:id="23" w:name="_Toc32414439"/>
      <w:bookmarkStart w:id="24" w:name="_Toc32444151"/>
      <w:bookmarkStart w:id="25" w:name="_Toc33800399"/>
      <w:bookmarkStart w:id="26" w:name="_Toc43216578"/>
      <w:r>
        <w:rPr>
          <w:noProof/>
        </w:rPr>
        <w:t xml:space="preserve">2.5. </w:t>
      </w:r>
      <w:bookmarkEnd w:id="23"/>
      <w:bookmarkEnd w:id="24"/>
      <w:bookmarkEnd w:id="25"/>
      <w:r>
        <w:rPr>
          <w:noProof/>
        </w:rPr>
        <w:t>UNE EUROPE PLUS MOBILE</w:t>
      </w:r>
      <w:bookmarkEnd w:id="26"/>
    </w:p>
    <w:p w:rsidR="005F1B1A" w:rsidRDefault="00E84E49">
      <w:pPr>
        <w:pStyle w:val="xmsonormal"/>
        <w:spacing w:line="276" w:lineRule="auto"/>
        <w:jc w:val="both"/>
        <w:rPr>
          <w:rFonts w:ascii="Times New Roman" w:hAnsi="Times New Roman" w:cs="Times New Roman"/>
          <w:noProof/>
          <w:sz w:val="24"/>
          <w:szCs w:val="24"/>
        </w:rPr>
      </w:pPr>
      <w:r>
        <w:rPr>
          <w:rFonts w:ascii="Times New Roman" w:hAnsi="Times New Roman"/>
          <w:b/>
          <w:noProof/>
          <w:sz w:val="24"/>
          <w:szCs w:val="24"/>
        </w:rPr>
        <w:t>La circulation des per</w:t>
      </w:r>
      <w:r>
        <w:rPr>
          <w:rFonts w:ascii="Times New Roman" w:hAnsi="Times New Roman"/>
          <w:b/>
          <w:noProof/>
          <w:sz w:val="24"/>
          <w:szCs w:val="24"/>
        </w:rPr>
        <w:t>sonnes, tant à l’intérieur qu’à l’extérieur des frontières de l’Europe, est un moteur essentiel de l’évolution démographique</w:t>
      </w:r>
      <w:r>
        <w:rPr>
          <w:rFonts w:ascii="Times New Roman" w:hAnsi="Times New Roman"/>
          <w:noProof/>
          <w:sz w:val="24"/>
          <w:szCs w:val="24"/>
        </w:rPr>
        <w:t xml:space="preserve">. </w:t>
      </w:r>
    </w:p>
    <w:p w:rsidR="005F1B1A" w:rsidRDefault="00E84E49">
      <w:pPr>
        <w:pStyle w:val="xmsonormal"/>
        <w:pBdr>
          <w:top w:val="single" w:sz="4" w:space="1" w:color="auto"/>
          <w:left w:val="single" w:sz="4" w:space="4" w:color="auto"/>
          <w:bottom w:val="single" w:sz="4" w:space="1" w:color="auto"/>
          <w:right w:val="single" w:sz="4" w:space="4" w:color="auto"/>
        </w:pBdr>
        <w:shd w:val="clear" w:color="auto" w:fill="F2F2F2"/>
        <w:spacing w:line="276" w:lineRule="auto"/>
        <w:jc w:val="both"/>
        <w:rPr>
          <w:rFonts w:ascii="Times New Roman" w:hAnsi="Times New Roman" w:cs="Times New Roman"/>
          <w:noProof/>
          <w:sz w:val="24"/>
          <w:szCs w:val="24"/>
        </w:rPr>
      </w:pPr>
      <w:r>
        <w:rPr>
          <w:rFonts w:ascii="Times New Roman" w:hAnsi="Times New Roman"/>
          <w:b/>
          <w:noProof/>
          <w:sz w:val="24"/>
          <w:szCs w:val="24"/>
        </w:rPr>
        <w:t xml:space="preserve">Certaines personnes franchissent les frontières extérieures de l’UE pour entrer en </w:t>
      </w:r>
      <w:r>
        <w:rPr>
          <w:rFonts w:ascii="Times New Roman" w:hAnsi="Times New Roman"/>
          <w:noProof/>
          <w:sz w:val="24"/>
          <w:szCs w:val="24"/>
        </w:rPr>
        <w:t xml:space="preserve">Europe ou en sortir. En 2018, 2,4 millions de </w:t>
      </w:r>
      <w:r>
        <w:rPr>
          <w:rFonts w:ascii="Times New Roman" w:hAnsi="Times New Roman"/>
          <w:noProof/>
          <w:sz w:val="24"/>
          <w:szCs w:val="24"/>
        </w:rPr>
        <w:t>personnes ont immigré dans l’UE-27, tandis que 1,1 million de personnes ont émigré vers un pays n’appartenant pas à l’UE-27</w:t>
      </w:r>
      <w:r>
        <w:rPr>
          <w:rStyle w:val="FootnoteReference"/>
          <w:rFonts w:ascii="Times New Roman" w:hAnsi="Times New Roman" w:cs="Times New Roman"/>
          <w:noProof/>
          <w:sz w:val="24"/>
          <w:szCs w:val="24"/>
          <w:lang w:val="en-GB"/>
        </w:rPr>
        <w:footnoteReference w:id="19"/>
      </w:r>
      <w:r>
        <w:rPr>
          <w:rFonts w:ascii="Times New Roman" w:hAnsi="Times New Roman"/>
          <w:noProof/>
          <w:sz w:val="24"/>
          <w:szCs w:val="24"/>
        </w:rPr>
        <w:t xml:space="preserve">. Grâce à la libre circulation des personnes en Europe, </w:t>
      </w:r>
      <w:r>
        <w:rPr>
          <w:rFonts w:ascii="Times New Roman" w:hAnsi="Times New Roman"/>
          <w:b/>
          <w:noProof/>
          <w:sz w:val="24"/>
          <w:szCs w:val="24"/>
        </w:rPr>
        <w:t>de nombreuses personnes choisissent de se déplacer au sein de l’UE</w:t>
      </w:r>
      <w:r>
        <w:rPr>
          <w:rFonts w:ascii="Times New Roman" w:hAnsi="Times New Roman"/>
          <w:noProof/>
          <w:sz w:val="24"/>
          <w:szCs w:val="24"/>
        </w:rPr>
        <w:t xml:space="preserve">. Ces </w:t>
      </w:r>
      <w:r>
        <w:rPr>
          <w:rFonts w:ascii="Times New Roman" w:hAnsi="Times New Roman"/>
          <w:noProof/>
          <w:sz w:val="24"/>
          <w:szCs w:val="24"/>
        </w:rPr>
        <w:t>mouvements n’ont pas d’effet sur la taille ou la structure des âges de l’UE dans son ensemble, mais ont un effet significatif aux niveaux national, régional et local. En 2018, 1,4 million de personnes ont déménagé dans un autre État membre. Ce groupe compr</w:t>
      </w:r>
      <w:r>
        <w:rPr>
          <w:rFonts w:ascii="Times New Roman" w:hAnsi="Times New Roman"/>
          <w:noProof/>
          <w:sz w:val="24"/>
          <w:szCs w:val="24"/>
        </w:rPr>
        <w:t>end également les ressortissants de pays tiers vivant en Europe.</w:t>
      </w:r>
    </w:p>
    <w:p w:rsidR="005F1B1A" w:rsidRDefault="00E84E49">
      <w:pPr>
        <w:pStyle w:val="xmsonormal"/>
        <w:spacing w:line="276" w:lineRule="auto"/>
        <w:jc w:val="both"/>
        <w:rPr>
          <w:rFonts w:ascii="Times New Roman" w:hAnsi="Times New Roman" w:cs="Times New Roman"/>
          <w:noProof/>
          <w:sz w:val="24"/>
          <w:szCs w:val="24"/>
        </w:rPr>
      </w:pPr>
      <w:r>
        <w:rPr>
          <w:rFonts w:ascii="Times New Roman" w:hAnsi="Times New Roman"/>
          <w:noProof/>
          <w:sz w:val="24"/>
          <w:szCs w:val="24"/>
        </w:rPr>
        <w:t>Au 1</w:t>
      </w:r>
      <w:r>
        <w:rPr>
          <w:rFonts w:ascii="Times New Roman" w:hAnsi="Times New Roman"/>
          <w:noProof/>
          <w:sz w:val="24"/>
          <w:szCs w:val="24"/>
          <w:vertAlign w:val="superscript"/>
        </w:rPr>
        <w:t>er</w:t>
      </w:r>
      <w:r>
        <w:rPr>
          <w:rFonts w:ascii="Times New Roman" w:hAnsi="Times New Roman"/>
          <w:noProof/>
          <w:sz w:val="24"/>
          <w:szCs w:val="24"/>
        </w:rPr>
        <w:t> janvier 2019, la population de l’UE-27 comptait 21,8 millions de ressortissants de pays tiers, soit 4,9 % de la population. 13,3 millions de citoyens de l’UE vivaient dans un autre pay</w:t>
      </w:r>
      <w:r>
        <w:rPr>
          <w:rFonts w:ascii="Times New Roman" w:hAnsi="Times New Roman"/>
          <w:noProof/>
          <w:sz w:val="24"/>
          <w:szCs w:val="24"/>
        </w:rPr>
        <w:t>s de l’UE.</w:t>
      </w:r>
    </w:p>
    <w:p w:rsidR="005F1B1A" w:rsidRDefault="00E84E49">
      <w:pPr>
        <w:pStyle w:val="xmsonormal"/>
        <w:spacing w:line="276" w:lineRule="auto"/>
        <w:jc w:val="both"/>
        <w:rPr>
          <w:rFonts w:ascii="Times New Roman" w:hAnsi="Times New Roman"/>
          <w:noProof/>
          <w:sz w:val="24"/>
        </w:rPr>
      </w:pPr>
      <w:r>
        <w:rPr>
          <w:rFonts w:ascii="Times New Roman" w:hAnsi="Times New Roman"/>
          <w:b/>
          <w:noProof/>
          <w:sz w:val="24"/>
          <w:szCs w:val="24"/>
        </w:rPr>
        <w:t>La taille annuelle de ces flux peut changer, mais les tendances à long terme sont relativement stables</w:t>
      </w:r>
      <w:r>
        <w:rPr>
          <w:rFonts w:ascii="Times New Roman" w:hAnsi="Times New Roman"/>
          <w:noProof/>
          <w:sz w:val="24"/>
          <w:szCs w:val="24"/>
        </w:rPr>
        <w:t xml:space="preserve">. Au cours des 35 dernières années, l’Europe a été un continent d’immigration nette. Depuis le milieu des années 1980, chaque année, le nombre </w:t>
      </w:r>
      <w:r>
        <w:rPr>
          <w:rFonts w:ascii="Times New Roman" w:hAnsi="Times New Roman"/>
          <w:noProof/>
          <w:sz w:val="24"/>
          <w:szCs w:val="24"/>
        </w:rPr>
        <w:t>de personnes qui entrent dans l’UE est plus élevé que le nombre de personnes qui la quittent, ce qui se traduit par une migration nette positive.</w:t>
      </w:r>
    </w:p>
    <w:p w:rsidR="005F1B1A" w:rsidRDefault="00E84E49">
      <w:pPr>
        <w:pStyle w:val="xmsonormal"/>
        <w:spacing w:line="276" w:lineRule="auto"/>
        <w:jc w:val="both"/>
        <w:rPr>
          <w:rFonts w:ascii="Times New Roman" w:hAnsi="Times New Roman" w:cs="Times New Roman"/>
          <w:noProof/>
          <w:sz w:val="24"/>
          <w:szCs w:val="24"/>
        </w:rPr>
      </w:pPr>
      <w:r>
        <w:rPr>
          <w:rFonts w:ascii="Times New Roman" w:hAnsi="Times New Roman"/>
          <w:noProof/>
          <w:sz w:val="24"/>
          <w:szCs w:val="24"/>
        </w:rPr>
        <w:t xml:space="preserve">Il reste à voir comment des mesures d’urgence limitant la mobilité des personnes auront une incidence sur les </w:t>
      </w:r>
      <w:r>
        <w:rPr>
          <w:rFonts w:ascii="Times New Roman" w:hAnsi="Times New Roman"/>
          <w:noProof/>
          <w:sz w:val="24"/>
          <w:szCs w:val="24"/>
        </w:rPr>
        <w:t>schémas de mobilité et les préférences à plus long terme. Il s’agit notamment de savoir si les personnes qui ont perdu leur emploi et leurs moyens de subsistance en un lieu sont susceptibles de chercher des opportunités ailleurs.</w:t>
      </w:r>
    </w:p>
    <w:p w:rsidR="005F1B1A" w:rsidRDefault="005F1B1A">
      <w:pPr>
        <w:pStyle w:val="xmsonormal"/>
        <w:spacing w:line="276" w:lineRule="auto"/>
        <w:jc w:val="both"/>
        <w:rPr>
          <w:rFonts w:ascii="Times New Roman" w:hAnsi="Times New Roman" w:cs="Times New Roman"/>
          <w:noProof/>
          <w:sz w:val="24"/>
          <w:szCs w:val="24"/>
          <w:lang w:val="fr-BE"/>
        </w:rPr>
      </w:pPr>
    </w:p>
    <w:p w:rsidR="005F1B1A" w:rsidRDefault="00E84E49">
      <w:pPr>
        <w:keepNext/>
        <w:shd w:val="clear" w:color="auto" w:fill="FFFFFF"/>
        <w:spacing w:after="0"/>
        <w:jc w:val="center"/>
        <w:rPr>
          <w:rFonts w:ascii="Times New Roman" w:hAnsi="Times New Roman" w:cs="Times New Roman"/>
          <w:i/>
          <w:noProof/>
          <w:sz w:val="24"/>
          <w:szCs w:val="24"/>
          <w:lang w:val="fr-BE"/>
        </w:rPr>
      </w:pPr>
      <w:r>
        <w:rPr>
          <w:rFonts w:ascii="Times New Roman" w:hAnsi="Times New Roman"/>
          <w:b/>
          <w:noProof/>
          <w:sz w:val="24"/>
          <w:szCs w:val="24"/>
        </w:rPr>
        <w:t>Migration nette, UE-27, 1</w:t>
      </w:r>
      <w:r>
        <w:rPr>
          <w:rFonts w:ascii="Times New Roman" w:hAnsi="Times New Roman"/>
          <w:b/>
          <w:noProof/>
          <w:sz w:val="24"/>
          <w:szCs w:val="24"/>
        </w:rPr>
        <w:t>961-2018</w:t>
      </w:r>
      <w:r>
        <w:rPr>
          <w:noProof/>
          <w:lang w:val="fr-BE" w:eastAsia="fr-BE"/>
        </w:rPr>
        <w:drawing>
          <wp:inline distT="0" distB="0" distL="0" distR="0">
            <wp:extent cx="6192520" cy="4338517"/>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2520" cy="4338517"/>
                    </a:xfrm>
                    <a:prstGeom prst="rect">
                      <a:avLst/>
                    </a:prstGeom>
                    <a:noFill/>
                    <a:ln>
                      <a:noFill/>
                    </a:ln>
                  </pic:spPr>
                </pic:pic>
              </a:graphicData>
            </a:graphic>
          </wp:inline>
        </w:drawing>
      </w:r>
    </w:p>
    <w:p w:rsidR="005F1B1A" w:rsidRDefault="00E84E49">
      <w:pPr>
        <w:shd w:val="clear" w:color="auto" w:fill="FFFFFF"/>
        <w:spacing w:after="0"/>
        <w:rPr>
          <w:rFonts w:ascii="Times New Roman" w:hAnsi="Times New Roman" w:cs="Times New Roman"/>
          <w:i/>
          <w:noProof/>
          <w:sz w:val="24"/>
          <w:szCs w:val="24"/>
        </w:rPr>
      </w:pPr>
      <w:r>
        <w:rPr>
          <w:rFonts w:ascii="Times New Roman" w:hAnsi="Times New Roman"/>
          <w:i/>
          <w:noProof/>
          <w:sz w:val="24"/>
          <w:szCs w:val="24"/>
        </w:rPr>
        <w:t>Source: Eurostat  </w:t>
      </w:r>
    </w:p>
    <w:p w:rsidR="005F1B1A" w:rsidRDefault="005F1B1A">
      <w:pPr>
        <w:shd w:val="clear" w:color="auto" w:fill="FFFFFF"/>
        <w:spacing w:after="0"/>
        <w:rPr>
          <w:rFonts w:ascii="Times New Roman" w:hAnsi="Times New Roman" w:cs="Times New Roman"/>
          <w:i/>
          <w:noProof/>
          <w:sz w:val="24"/>
          <w:szCs w:val="24"/>
          <w:lang w:val="fr-BE"/>
        </w:rPr>
      </w:pPr>
    </w:p>
    <w:p w:rsidR="005F1B1A" w:rsidRDefault="00E84E49">
      <w:pPr>
        <w:pStyle w:val="Heading2"/>
        <w:keepNext/>
        <w:rPr>
          <w:noProof/>
        </w:rPr>
      </w:pPr>
      <w:bookmarkStart w:id="27" w:name="_Toc32414440"/>
      <w:bookmarkStart w:id="28" w:name="_Toc32444152"/>
      <w:bookmarkStart w:id="29" w:name="_Toc33800400"/>
      <w:bookmarkStart w:id="30" w:name="_Toc43216579"/>
      <w:r>
        <w:rPr>
          <w:noProof/>
        </w:rPr>
        <w:t xml:space="preserve">2.6. </w:t>
      </w:r>
      <w:bookmarkEnd w:id="27"/>
      <w:bookmarkEnd w:id="28"/>
      <w:r>
        <w:rPr>
          <w:noProof/>
        </w:rPr>
        <w:t>UNE DÉMOGRAPHIE EN ÉVOLUTION</w:t>
      </w:r>
      <w:bookmarkEnd w:id="29"/>
      <w:bookmarkEnd w:id="30"/>
      <w:r>
        <w:rPr>
          <w:noProof/>
        </w:rPr>
        <w:t xml:space="preserve"> </w:t>
      </w:r>
    </w:p>
    <w:p w:rsidR="005F1B1A" w:rsidRDefault="00E84E49">
      <w:pPr>
        <w:shd w:val="clear" w:color="auto" w:fill="FFFFFF"/>
        <w:jc w:val="both"/>
        <w:rPr>
          <w:rFonts w:ascii="Times New Roman" w:hAnsi="Times New Roman" w:cs="Times New Roman"/>
          <w:noProof/>
          <w:sz w:val="24"/>
          <w:szCs w:val="24"/>
        </w:rPr>
      </w:pPr>
      <w:r>
        <w:rPr>
          <w:rFonts w:ascii="Times New Roman" w:hAnsi="Times New Roman"/>
          <w:b/>
          <w:noProof/>
          <w:sz w:val="24"/>
          <w:szCs w:val="24"/>
        </w:rPr>
        <w:t xml:space="preserve">La population européenne a connu une croissance constante au fil du temps. </w:t>
      </w:r>
      <w:r>
        <w:rPr>
          <w:rFonts w:ascii="Times New Roman" w:hAnsi="Times New Roman"/>
          <w:noProof/>
          <w:sz w:val="24"/>
          <w:szCs w:val="24"/>
        </w:rPr>
        <w:t xml:space="preserve">Dans l’UE-27, la population totale a augmenté d’un quart depuis 1960, pour se situer à un peu moins de 447 millions </w:t>
      </w:r>
      <w:r>
        <w:rPr>
          <w:rFonts w:ascii="Times New Roman" w:hAnsi="Times New Roman"/>
          <w:noProof/>
          <w:sz w:val="24"/>
          <w:szCs w:val="24"/>
        </w:rPr>
        <w:t>d’habitants en 2019. Toutefois, on observe des différences entre les pays. Alors que la Belgique, l’Irlande, Chypre, le Luxembourg, Malte et la Suède ont connu une augmentation relativement constante, la Bulgarie, la Croatie, la Lettonie, la Lituanie et la</w:t>
      </w:r>
      <w:r>
        <w:rPr>
          <w:rFonts w:ascii="Times New Roman" w:hAnsi="Times New Roman"/>
          <w:noProof/>
          <w:sz w:val="24"/>
          <w:szCs w:val="24"/>
        </w:rPr>
        <w:t xml:space="preserve"> Roumanie ont vu leur population diminuer après 1990</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w:t>
      </w:r>
    </w:p>
    <w:p w:rsidR="005F1B1A" w:rsidRDefault="00E84E49">
      <w:pPr>
        <w:jc w:val="both"/>
        <w:rPr>
          <w:rFonts w:ascii="Times New Roman" w:hAnsi="Times New Roman" w:cs="Times New Roman"/>
          <w:b/>
          <w:noProof/>
          <w:sz w:val="24"/>
          <w:szCs w:val="24"/>
        </w:rPr>
      </w:pPr>
      <w:r>
        <w:rPr>
          <w:rFonts w:ascii="Times New Roman" w:hAnsi="Times New Roman"/>
          <w:b/>
          <w:noProof/>
          <w:sz w:val="24"/>
          <w:szCs w:val="24"/>
        </w:rPr>
        <w:t>La tendance générale à la croissance de la population devrait se poursuivre, mais pas pendant longtemps</w:t>
      </w:r>
      <w:r>
        <w:rPr>
          <w:rFonts w:ascii="Times New Roman" w:hAnsi="Times New Roman"/>
          <w:b/>
          <w:noProof/>
          <w:sz w:val="24"/>
        </w:rPr>
        <w:t xml:space="preserve">. </w:t>
      </w:r>
      <w:r>
        <w:rPr>
          <w:rFonts w:ascii="Times New Roman" w:hAnsi="Times New Roman"/>
          <w:noProof/>
          <w:sz w:val="24"/>
          <w:szCs w:val="24"/>
        </w:rPr>
        <w:t xml:space="preserve">Depuis 2012, le nombre de décès dans l’UE-27 a dépassé le nombre de naissances. Cela signifie </w:t>
      </w:r>
      <w:r>
        <w:rPr>
          <w:rFonts w:ascii="Times New Roman" w:hAnsi="Times New Roman"/>
          <w:noProof/>
          <w:sz w:val="24"/>
          <w:szCs w:val="24"/>
        </w:rPr>
        <w:t>qu’en l’absence de migration nette positive, la population européenne aurait déjà commencé à diminuer.</w:t>
      </w:r>
      <w:r>
        <w:rPr>
          <w:rFonts w:ascii="Times New Roman" w:hAnsi="Times New Roman"/>
          <w:b/>
          <w:noProof/>
          <w:sz w:val="24"/>
          <w:szCs w:val="24"/>
        </w:rPr>
        <w:t xml:space="preserve"> </w:t>
      </w:r>
    </w:p>
    <w:p w:rsidR="005F1B1A" w:rsidRDefault="00E84E49">
      <w:pPr>
        <w:jc w:val="both"/>
        <w:rPr>
          <w:rFonts w:ascii="Times New Roman" w:hAnsi="Times New Roman" w:cs="Times New Roman"/>
          <w:b/>
          <w:noProof/>
          <w:sz w:val="24"/>
          <w:szCs w:val="24"/>
        </w:rPr>
      </w:pPr>
      <w:r>
        <w:rPr>
          <w:rFonts w:ascii="Times New Roman" w:hAnsi="Times New Roman"/>
          <w:noProof/>
          <w:sz w:val="24"/>
          <w:szCs w:val="24"/>
        </w:rPr>
        <w:t>Les projections</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 xml:space="preserve"> montrent que la taille de la population totale de l’Europe restera relativement stable au cours des deux prochaines décennies, puis com</w:t>
      </w:r>
      <w:r>
        <w:rPr>
          <w:rFonts w:ascii="Times New Roman" w:hAnsi="Times New Roman"/>
          <w:noProof/>
          <w:sz w:val="24"/>
          <w:szCs w:val="24"/>
        </w:rPr>
        <w:t xml:space="preserve">mencera à diminuer. </w:t>
      </w:r>
      <w:r>
        <w:rPr>
          <w:rFonts w:ascii="Times New Roman" w:hAnsi="Times New Roman"/>
          <w:b/>
          <w:noProof/>
          <w:sz w:val="24"/>
        </w:rPr>
        <w:t>Elle devrait atteindre un plateau d’environ 449 millions de personnes avant 2025, puis diminuer progressivement après 2030</w:t>
      </w:r>
      <w:r>
        <w:rPr>
          <w:rFonts w:ascii="Times New Roman" w:hAnsi="Times New Roman"/>
          <w:noProof/>
          <w:sz w:val="24"/>
        </w:rPr>
        <w:t xml:space="preserve"> pour se situer à 424 millions d’ici 2070, soit une réduction de 5 % sur 50 ans.</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Certains États membres devraient </w:t>
      </w:r>
      <w:r>
        <w:rPr>
          <w:rFonts w:ascii="Times New Roman" w:hAnsi="Times New Roman"/>
          <w:noProof/>
          <w:sz w:val="24"/>
          <w:szCs w:val="24"/>
        </w:rPr>
        <w:t>avoir une population en déclin sur toute la période allant jusqu’en 2070, à savoir la Bulgarie, la Grèce, la Croatie, l’Italie, la Lettonie, la Lituanie, la Hongrie, la Pologne et la Roumanie. Certains devraient connaître une croissance démographique jusqu</w:t>
      </w:r>
      <w:r>
        <w:rPr>
          <w:rFonts w:ascii="Times New Roman" w:hAnsi="Times New Roman"/>
          <w:noProof/>
          <w:sz w:val="24"/>
          <w:szCs w:val="24"/>
        </w:rPr>
        <w:t>’en 2070: le Danemark, l’Irlande, Chypre, le Luxembourg, Malte et la Suède. D’autres devraient connaître une croissance initiale, suivie d’un déclin, notamment la Belgique, la Tchéquie, l’Estonie, l’Espagne, la France, l’Allemagne, les Pays-Bas, l’Autriche</w:t>
      </w:r>
      <w:r>
        <w:rPr>
          <w:rFonts w:ascii="Times New Roman" w:hAnsi="Times New Roman"/>
          <w:noProof/>
          <w:sz w:val="24"/>
          <w:szCs w:val="24"/>
        </w:rPr>
        <w:t>, le Portugal, la Slovénie, la Slovaquie et la Finlande.</w:t>
      </w:r>
      <w:bookmarkStart w:id="31" w:name="_Toc32414441"/>
    </w:p>
    <w:p w:rsidR="005F1B1A" w:rsidRDefault="00E84E49">
      <w:pPr>
        <w:keepNext/>
        <w:spacing w:after="0" w:line="240" w:lineRule="auto"/>
        <w:contextualSpacing/>
        <w:jc w:val="center"/>
        <w:rPr>
          <w:rFonts w:ascii="Times New Roman" w:eastAsia="Calibri" w:hAnsi="Times New Roman" w:cs="Times New Roman"/>
          <w:b/>
          <w:bCs/>
          <w:noProof/>
          <w:sz w:val="24"/>
          <w:szCs w:val="24"/>
        </w:rPr>
      </w:pPr>
      <w:r>
        <w:rPr>
          <w:rFonts w:ascii="Times New Roman" w:hAnsi="Times New Roman"/>
          <w:b/>
          <w:bCs/>
          <w:noProof/>
          <w:sz w:val="24"/>
          <w:szCs w:val="24"/>
        </w:rPr>
        <w:t>Total de la population et évolution annuelle de la population, UE-27, 1960-2070</w:t>
      </w:r>
    </w:p>
    <w:p w:rsidR="005F1B1A" w:rsidRDefault="00E84E49">
      <w:pPr>
        <w:spacing w:after="0" w:line="240" w:lineRule="auto"/>
        <w:contextualSpacing/>
        <w:rPr>
          <w:rFonts w:ascii="Times New Roman" w:eastAsia="Calibri" w:hAnsi="Times New Roman" w:cs="Times New Roman"/>
          <w:i/>
          <w:noProof/>
          <w:sz w:val="24"/>
          <w:szCs w:val="24"/>
        </w:rPr>
      </w:pPr>
      <w:r>
        <w:rPr>
          <w:noProof/>
          <w:lang w:val="fr-BE" w:eastAsia="fr-BE"/>
        </w:rPr>
        <w:drawing>
          <wp:inline distT="0" distB="0" distL="0" distR="0">
            <wp:extent cx="6192520" cy="328994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20" cy="3289947"/>
                    </a:xfrm>
                    <a:prstGeom prst="rect">
                      <a:avLst/>
                    </a:prstGeom>
                    <a:noFill/>
                    <a:ln>
                      <a:noFill/>
                    </a:ln>
                  </pic:spPr>
                </pic:pic>
              </a:graphicData>
            </a:graphic>
          </wp:inline>
        </w:drawing>
      </w:r>
    </w:p>
    <w:p w:rsidR="005F1B1A" w:rsidRDefault="00E84E49">
      <w:pPr>
        <w:spacing w:after="0" w:line="240" w:lineRule="auto"/>
        <w:contextualSpacing/>
        <w:rPr>
          <w:rFonts w:ascii="Times New Roman" w:eastAsia="Calibri" w:hAnsi="Times New Roman" w:cs="Times New Roman"/>
          <w:b/>
          <w:i/>
          <w:noProof/>
          <w:sz w:val="24"/>
          <w:szCs w:val="24"/>
          <w:u w:val="single"/>
        </w:rPr>
      </w:pPr>
      <w:r>
        <w:rPr>
          <w:rFonts w:ascii="Times New Roman" w:hAnsi="Times New Roman"/>
          <w:i/>
          <w:noProof/>
          <w:sz w:val="24"/>
          <w:szCs w:val="24"/>
        </w:rPr>
        <w:t xml:space="preserve">Source: Eurostat  </w:t>
      </w:r>
    </w:p>
    <w:p w:rsidR="005F1B1A" w:rsidRDefault="00E84E49">
      <w:pPr>
        <w:shd w:val="clear" w:color="auto" w:fill="FFFFFF"/>
        <w:rPr>
          <w:rFonts w:ascii="Times New Roman" w:hAnsi="Times New Roman" w:cs="Times New Roman"/>
          <w:noProof/>
          <w:sz w:val="24"/>
          <w:szCs w:val="24"/>
        </w:rPr>
      </w:pPr>
      <w:r>
        <w:rPr>
          <w:noProof/>
        </w:rPr>
        <w:br w:type="page"/>
      </w:r>
    </w:p>
    <w:p w:rsidR="005F1B1A" w:rsidRDefault="00E84E49">
      <w:pPr>
        <w:pStyle w:val="Heading1"/>
        <w:rPr>
          <w:noProof/>
        </w:rPr>
      </w:pPr>
      <w:bookmarkStart w:id="32" w:name="_Toc33643876"/>
      <w:bookmarkStart w:id="33" w:name="_Toc33643877"/>
      <w:bookmarkStart w:id="34" w:name="_Toc33643878"/>
      <w:bookmarkStart w:id="35" w:name="_Toc33800401"/>
      <w:bookmarkStart w:id="36" w:name="_Toc43216580"/>
      <w:bookmarkEnd w:id="31"/>
      <w:bookmarkEnd w:id="32"/>
      <w:bookmarkEnd w:id="33"/>
      <w:bookmarkEnd w:id="34"/>
      <w:r>
        <w:rPr>
          <w:noProof/>
        </w:rPr>
        <w:t>LES CONSÉQUENCES DE L’ÉVOLUTION DÉMOGRAPHIQUE</w:t>
      </w:r>
      <w:bookmarkEnd w:id="35"/>
      <w:r>
        <w:rPr>
          <w:noProof/>
        </w:rPr>
        <w:t xml:space="preserve"> SUR NOTRE ÉCONOMIE SOCIALE DE MARCHÉ</w:t>
      </w:r>
      <w:bookmarkEnd w:id="36"/>
    </w:p>
    <w:p w:rsidR="005F1B1A" w:rsidRDefault="00E84E49">
      <w:pPr>
        <w:spacing w:after="120"/>
        <w:jc w:val="both"/>
        <w:rPr>
          <w:rFonts w:ascii="Times New Roman" w:hAnsi="Times New Roman" w:cs="Times New Roman"/>
          <w:noProof/>
          <w:color w:val="000000"/>
          <w:sz w:val="24"/>
          <w:szCs w:val="24"/>
          <w:shd w:val="clear" w:color="auto" w:fill="FFFFFF"/>
        </w:rPr>
      </w:pPr>
      <w:r>
        <w:rPr>
          <w:rFonts w:ascii="Times New Roman" w:hAnsi="Times New Roman"/>
          <w:noProof/>
          <w:sz w:val="24"/>
          <w:szCs w:val="24"/>
          <w:shd w:val="clear" w:color="auto" w:fill="FFFFFF"/>
        </w:rPr>
        <w:t xml:space="preserve">Les </w:t>
      </w:r>
      <w:r>
        <w:rPr>
          <w:rFonts w:ascii="Times New Roman" w:hAnsi="Times New Roman"/>
          <w:noProof/>
          <w:sz w:val="24"/>
          <w:szCs w:val="24"/>
          <w:shd w:val="clear" w:color="auto" w:fill="FFFFFF"/>
        </w:rPr>
        <w:t>conséquences de l’évolution démographique de l’Europe peuvent se faire sentir dans tous les pans de notre économie et de notre société.</w:t>
      </w:r>
      <w:r>
        <w:rPr>
          <w:rFonts w:ascii="Times New Roman" w:hAnsi="Times New Roman"/>
          <w:noProof/>
          <w:color w:val="000000"/>
          <w:sz w:val="24"/>
          <w:szCs w:val="24"/>
          <w:shd w:val="clear" w:color="auto" w:fill="FFFFFF"/>
        </w:rPr>
        <w:t xml:space="preserve"> Cette situation est devenue évidente ces derniers mois, avec de grands pans de l’économie mis à l’arrêt et des mesures d</w:t>
      </w:r>
      <w:r>
        <w:rPr>
          <w:rFonts w:ascii="Times New Roman" w:hAnsi="Times New Roman"/>
          <w:noProof/>
          <w:color w:val="000000"/>
          <w:sz w:val="24"/>
          <w:szCs w:val="24"/>
          <w:shd w:val="clear" w:color="auto" w:fill="FFFFFF"/>
        </w:rPr>
        <w:t xml:space="preserve">e distanciation sociale nécessaires influant sur notre vie quotidienne. </w:t>
      </w:r>
      <w:r>
        <w:rPr>
          <w:rFonts w:ascii="Times New Roman" w:hAnsi="Times New Roman"/>
          <w:noProof/>
          <w:sz w:val="24"/>
          <w:shd w:val="clear" w:color="auto" w:fill="FFFFFF"/>
        </w:rPr>
        <w:t>Elle a des implications pour l’avenir de nos systèmes de santé et de bien-être, de nos budgets, et de nos besoins en matière de logement et d’infrastructures.</w:t>
      </w:r>
      <w:r>
        <w:rPr>
          <w:rFonts w:ascii="Times New Roman" w:hAnsi="Times New Roman"/>
          <w:noProof/>
          <w:color w:val="000000"/>
          <w:sz w:val="24"/>
          <w:shd w:val="clear" w:color="auto" w:fill="FFFFFF"/>
        </w:rPr>
        <w:t xml:space="preserve"> </w:t>
      </w:r>
      <w:r>
        <w:rPr>
          <w:rFonts w:ascii="Times New Roman" w:hAnsi="Times New Roman"/>
          <w:noProof/>
          <w:color w:val="000000"/>
          <w:sz w:val="24"/>
          <w:szCs w:val="24"/>
          <w:shd w:val="clear" w:color="auto" w:fill="FFFFFF"/>
        </w:rPr>
        <w:t>Nos villes et nos zones u</w:t>
      </w:r>
      <w:r>
        <w:rPr>
          <w:rFonts w:ascii="Times New Roman" w:hAnsi="Times New Roman"/>
          <w:noProof/>
          <w:color w:val="000000"/>
          <w:sz w:val="24"/>
          <w:szCs w:val="24"/>
          <w:shd w:val="clear" w:color="auto" w:fill="FFFFFF"/>
        </w:rPr>
        <w:t>rbaines deviendront potentiellement plus densément peuplées et les zones rurales seront confrontées à leurs propres défis. Nos carrières continueront de changer et nous devrons trouver des solutions pour faire en sorte que l’Europe reste compétitive face à</w:t>
      </w:r>
      <w:r>
        <w:rPr>
          <w:rFonts w:ascii="Times New Roman" w:hAnsi="Times New Roman"/>
          <w:noProof/>
          <w:color w:val="000000"/>
          <w:sz w:val="24"/>
          <w:szCs w:val="24"/>
          <w:shd w:val="clear" w:color="auto" w:fill="FFFFFF"/>
        </w:rPr>
        <w:t xml:space="preserve"> la diminution de la population en âge de travailler. </w:t>
      </w:r>
    </w:p>
    <w:p w:rsidR="005F1B1A" w:rsidRDefault="00E84E49">
      <w:pPr>
        <w:spacing w:after="120"/>
        <w:jc w:val="both"/>
        <w:rPr>
          <w:rFonts w:ascii="Times New Roman" w:hAnsi="Times New Roman" w:cs="Times New Roman"/>
          <w:noProof/>
          <w:color w:val="000000"/>
          <w:sz w:val="24"/>
          <w:szCs w:val="24"/>
          <w:shd w:val="clear" w:color="auto" w:fill="FFFFFF"/>
        </w:rPr>
      </w:pPr>
      <w:r>
        <w:rPr>
          <w:rFonts w:ascii="Times New Roman" w:hAnsi="Times New Roman"/>
          <w:noProof/>
          <w:color w:val="000000"/>
          <w:sz w:val="24"/>
          <w:szCs w:val="24"/>
          <w:shd w:val="clear" w:color="auto" w:fill="FFFFFF"/>
        </w:rPr>
        <w:t>La structure économique et démographique d’un pays sera un facteur de sa rapidité et de sa capacité à se rétablir. L’évolution démographique à long terme et les besoins de reprise coïncideront égalemen</w:t>
      </w:r>
      <w:r>
        <w:rPr>
          <w:rFonts w:ascii="Times New Roman" w:hAnsi="Times New Roman"/>
          <w:noProof/>
          <w:color w:val="000000"/>
          <w:sz w:val="24"/>
          <w:szCs w:val="24"/>
          <w:shd w:val="clear" w:color="auto" w:fill="FFFFFF"/>
        </w:rPr>
        <w:t>t sur d’autres points. Cela va de la nécessité d’améliorer la résilience de nos systèmes de soins de santé et de longue durée à celle de veiller à ce que nos zones urbaines et rurales puissent faire face à la densité de la population ou à un manque de serv</w:t>
      </w:r>
      <w:r>
        <w:rPr>
          <w:rFonts w:ascii="Times New Roman" w:hAnsi="Times New Roman"/>
          <w:noProof/>
          <w:color w:val="000000"/>
          <w:sz w:val="24"/>
          <w:szCs w:val="24"/>
          <w:shd w:val="clear" w:color="auto" w:fill="FFFFFF"/>
        </w:rPr>
        <w:t>ices.</w:t>
      </w:r>
    </w:p>
    <w:p w:rsidR="005F1B1A" w:rsidRDefault="00E84E49">
      <w:pPr>
        <w:rPr>
          <w:rFonts w:ascii="Times New Roman" w:hAnsi="Times New Roman"/>
          <w:noProof/>
          <w:sz w:val="24"/>
          <w:szCs w:val="24"/>
        </w:rPr>
      </w:pPr>
      <w:r>
        <w:rPr>
          <w:rFonts w:ascii="Times New Roman" w:hAnsi="Times New Roman"/>
          <w:noProof/>
          <w:sz w:val="24"/>
          <w:szCs w:val="24"/>
        </w:rPr>
        <w:t>La facilité pour la reprise et la résilience de la Commission fournira un soutien financier à grande échelle afin de rendre les économies des États membres plus résilientes et mieux préparées face à l’avenir, notamment sur le plan de l’évolution démo</w:t>
      </w:r>
      <w:r>
        <w:rPr>
          <w:rFonts w:ascii="Times New Roman" w:hAnsi="Times New Roman"/>
          <w:noProof/>
          <w:sz w:val="24"/>
          <w:szCs w:val="24"/>
        </w:rPr>
        <w:t xml:space="preserve">graphique. Les priorités d’investissement seront conformes aux défis recensés dans les recommandations par pays dans le cadre du Semestre européen.  </w:t>
      </w:r>
      <w:bookmarkStart w:id="37" w:name="_Toc33800402"/>
    </w:p>
    <w:p w:rsidR="005F1B1A" w:rsidRDefault="00E84E49">
      <w:pPr>
        <w:rPr>
          <w:rFonts w:ascii="Times New Roman" w:hAnsi="Times New Roman" w:cs="Times New Roman"/>
          <w:b/>
          <w:noProof/>
          <w:sz w:val="24"/>
          <w:szCs w:val="24"/>
        </w:rPr>
      </w:pPr>
      <w:r>
        <w:rPr>
          <w:rFonts w:ascii="Times New Roman" w:hAnsi="Times New Roman" w:cs="Times New Roman"/>
          <w:b/>
          <w:noProof/>
          <w:sz w:val="24"/>
          <w:szCs w:val="24"/>
        </w:rPr>
        <w:br w:type="page"/>
      </w:r>
    </w:p>
    <w:p w:rsidR="005F1B1A" w:rsidRDefault="00E84E49">
      <w:pPr>
        <w:pStyle w:val="Heading2"/>
        <w:rPr>
          <w:noProof/>
        </w:rPr>
      </w:pPr>
      <w:bookmarkStart w:id="38" w:name="_Toc43216581"/>
      <w:r>
        <w:rPr>
          <w:noProof/>
        </w:rPr>
        <w:t xml:space="preserve">3.1. </w:t>
      </w:r>
      <w:bookmarkEnd w:id="37"/>
      <w:r>
        <w:rPr>
          <w:noProof/>
        </w:rPr>
        <w:t>PERSONNES, TRAVAIL ET COMPÉTENCES</w:t>
      </w:r>
      <w:bookmarkEnd w:id="38"/>
    </w:p>
    <w:p w:rsidR="005F1B1A" w:rsidRDefault="00E84E49">
      <w:pPr>
        <w:jc w:val="both"/>
        <w:rPr>
          <w:rFonts w:ascii="Times New Roman" w:hAnsi="Times New Roman" w:cs="Times New Roman"/>
          <w:b/>
          <w:noProof/>
          <w:sz w:val="24"/>
          <w:szCs w:val="24"/>
        </w:rPr>
      </w:pPr>
      <w:r>
        <w:rPr>
          <w:rFonts w:ascii="Times New Roman" w:hAnsi="Times New Roman"/>
          <w:b/>
          <w:noProof/>
          <w:sz w:val="24"/>
          <w:szCs w:val="24"/>
        </w:rPr>
        <w:t xml:space="preserve">L’incidence du vieillissement de la population sur le marché du travail est de plus en plus prononcée. </w:t>
      </w:r>
      <w:r>
        <w:rPr>
          <w:rFonts w:ascii="Times New Roman" w:hAnsi="Times New Roman"/>
          <w:noProof/>
          <w:sz w:val="24"/>
          <w:szCs w:val="24"/>
        </w:rPr>
        <w:t>La population de l’UE-27 en âge de travailler diminue depuis une décennie et devrait diminuer de 18 % d’ici à 2070. La situation varie considérablement d</w:t>
      </w:r>
      <w:r>
        <w:rPr>
          <w:rFonts w:ascii="Times New Roman" w:hAnsi="Times New Roman"/>
          <w:noProof/>
          <w:sz w:val="24"/>
          <w:szCs w:val="24"/>
        </w:rPr>
        <w:t>’un État membre à l’autre et d’une région à l’autre.</w:t>
      </w:r>
    </w:p>
    <w:p w:rsidR="005F1B1A" w:rsidRDefault="00E84E49">
      <w:pPr>
        <w:spacing w:after="0"/>
        <w:jc w:val="center"/>
        <w:rPr>
          <w:rFonts w:ascii="Times New Roman" w:hAnsi="Times New Roman"/>
          <w:b/>
          <w:noProof/>
          <w:sz w:val="24"/>
          <w:szCs w:val="24"/>
        </w:rPr>
      </w:pPr>
      <w:r>
        <w:rPr>
          <w:rFonts w:ascii="Times New Roman" w:hAnsi="Times New Roman"/>
          <w:b/>
          <w:noProof/>
          <w:sz w:val="24"/>
          <w:szCs w:val="24"/>
        </w:rPr>
        <w:t>Évolution de la population âgée de 20 à 64 ans par région</w:t>
      </w:r>
      <w:r>
        <w:rPr>
          <w:rFonts w:ascii="Times New Roman" w:hAnsi="Times New Roman" w:cs="Times New Roman"/>
          <w:b/>
          <w:bCs/>
          <w:noProof/>
          <w:sz w:val="24"/>
          <w:szCs w:val="24"/>
          <w:vertAlign w:val="superscript"/>
        </w:rPr>
        <w:footnoteReference w:id="22"/>
      </w:r>
      <w:r>
        <w:rPr>
          <w:rFonts w:ascii="Times New Roman" w:hAnsi="Times New Roman"/>
          <w:b/>
          <w:noProof/>
          <w:sz w:val="24"/>
          <w:szCs w:val="24"/>
        </w:rPr>
        <w:t>, 2020-2030</w:t>
      </w:r>
    </w:p>
    <w:p w:rsidR="005F1B1A" w:rsidRDefault="00E84E49">
      <w:pPr>
        <w:jc w:val="center"/>
        <w:rPr>
          <w:rFonts w:ascii="Times New Roman" w:hAnsi="Times New Roman" w:cs="Times New Roman"/>
          <w:noProof/>
          <w:sz w:val="24"/>
          <w:szCs w:val="24"/>
        </w:rPr>
      </w:pPr>
      <w:r>
        <w:rPr>
          <w:noProof/>
          <w:lang w:val="fr-BE" w:eastAsia="fr-BE"/>
        </w:rPr>
        <w:drawing>
          <wp:inline distT="0" distB="0" distL="0" distR="0">
            <wp:extent cx="4317559" cy="4624004"/>
            <wp:effectExtent l="0" t="0" r="698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616" cy="4627278"/>
                    </a:xfrm>
                    <a:prstGeom prst="rect">
                      <a:avLst/>
                    </a:prstGeom>
                    <a:noFill/>
                    <a:ln>
                      <a:noFill/>
                    </a:ln>
                  </pic:spPr>
                </pic:pic>
              </a:graphicData>
            </a:graphic>
          </wp:inline>
        </w:drawing>
      </w:r>
    </w:p>
    <w:p w:rsidR="005F1B1A" w:rsidRDefault="00E84E49">
      <w:pPr>
        <w:spacing w:after="160"/>
        <w:rPr>
          <w:rFonts w:ascii="Times New Roman" w:hAnsi="Times New Roman"/>
          <w:noProof/>
          <w:sz w:val="24"/>
          <w:szCs w:val="24"/>
        </w:rPr>
      </w:pPr>
      <w:r>
        <w:rPr>
          <w:rFonts w:ascii="Times New Roman" w:hAnsi="Times New Roman"/>
          <w:noProof/>
          <w:sz w:val="24"/>
          <w:szCs w:val="24"/>
        </w:rPr>
        <w:t>Évolution de la population âgée de 20-64 ans par région NUTS3, 2020-2030</w:t>
      </w:r>
    </w:p>
    <w:p w:rsidR="005F1B1A" w:rsidRDefault="00E84E49">
      <w:pPr>
        <w:spacing w:after="160"/>
        <w:rPr>
          <w:rFonts w:ascii="Times New Roman" w:hAnsi="Times New Roman" w:cs="Times New Roman"/>
          <w:noProof/>
          <w:sz w:val="24"/>
          <w:szCs w:val="24"/>
          <w:lang w:val="fr-BE"/>
        </w:rPr>
      </w:pPr>
      <w:r>
        <w:rPr>
          <w:rFonts w:ascii="Times New Roman" w:hAnsi="Times New Roman" w:cs="Times New Roman"/>
          <w:noProof/>
          <w:sz w:val="24"/>
          <w:szCs w:val="24"/>
          <w:lang w:val="fr-BE"/>
        </w:rPr>
        <w:t>Variation totale (en %)</w:t>
      </w:r>
    </w:p>
    <w:p w:rsidR="005F1B1A" w:rsidRDefault="00E84E49">
      <w:pPr>
        <w:spacing w:after="160"/>
        <w:rPr>
          <w:noProof/>
          <w:sz w:val="18"/>
        </w:rPr>
      </w:pPr>
      <w:r>
        <w:rPr>
          <w:noProof/>
          <w:lang w:val="fr-BE" w:eastAsia="fr-BE"/>
        </w:rPr>
        <w:drawing>
          <wp:inline distT="0" distB="0" distL="0" distR="0">
            <wp:extent cx="2152650" cy="1133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2650" cy="1133475"/>
                    </a:xfrm>
                    <a:prstGeom prst="rect">
                      <a:avLst/>
                    </a:prstGeom>
                  </pic:spPr>
                </pic:pic>
              </a:graphicData>
            </a:graphic>
          </wp:inline>
        </w:drawing>
      </w:r>
      <w:r>
        <w:rPr>
          <w:noProof/>
          <w:sz w:val="18"/>
        </w:rPr>
        <w:t xml:space="preserve"> </w:t>
      </w:r>
      <w:r>
        <w:rPr>
          <w:noProof/>
        </w:rPr>
        <w:t xml:space="preserve"> </w:t>
      </w:r>
      <w:r>
        <w:rPr>
          <w:noProof/>
          <w:lang w:val="fr-BE" w:eastAsia="fr-BE"/>
        </w:rPr>
        <w:drawing>
          <wp:inline distT="0" distB="0" distL="0" distR="0">
            <wp:extent cx="2066925" cy="514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6925" cy="514350"/>
                    </a:xfrm>
                    <a:prstGeom prst="rect">
                      <a:avLst/>
                    </a:prstGeom>
                  </pic:spPr>
                </pic:pic>
              </a:graphicData>
            </a:graphic>
          </wp:inline>
        </w:drawing>
      </w:r>
    </w:p>
    <w:p w:rsidR="005F1B1A" w:rsidRDefault="00E84E49">
      <w:pPr>
        <w:rPr>
          <w:rFonts w:ascii="Segoe UI" w:hAnsi="Segoe UI" w:cs="Segoe UI"/>
          <w:bCs/>
          <w:noProof/>
          <w:sz w:val="18"/>
          <w:lang w:val="fr-BE"/>
        </w:rPr>
      </w:pPr>
      <w:r>
        <w:rPr>
          <w:rFonts w:ascii="Segoe UI" w:hAnsi="Segoe UI" w:cs="Segoe UI"/>
          <w:bCs/>
          <w:noProof/>
          <w:sz w:val="18"/>
          <w:lang w:val="fr-BE"/>
        </w:rPr>
        <w:t xml:space="preserve">Source : DG REGIO, sur la </w:t>
      </w:r>
      <w:r>
        <w:rPr>
          <w:rFonts w:ascii="Segoe UI" w:hAnsi="Segoe UI" w:cs="Segoe UI"/>
          <w:bCs/>
          <w:noProof/>
          <w:sz w:val="18"/>
          <w:lang w:val="fr-BE"/>
        </w:rPr>
        <w:t>base des projections d’Eurostat</w:t>
      </w:r>
    </w:p>
    <w:p w:rsidR="005F1B1A" w:rsidRDefault="005F1B1A">
      <w:pPr>
        <w:jc w:val="center"/>
        <w:rPr>
          <w:rFonts w:ascii="Times New Roman" w:hAnsi="Times New Roman" w:cs="Times New Roman"/>
          <w:noProof/>
          <w:sz w:val="24"/>
          <w:szCs w:val="24"/>
          <w:lang w:val="fr-BE"/>
        </w:rPr>
      </w:pPr>
    </w:p>
    <w:p w:rsidR="005F1B1A" w:rsidRDefault="00E84E49">
      <w:pPr>
        <w:spacing w:after="0"/>
        <w:jc w:val="both"/>
        <w:rPr>
          <w:rFonts w:ascii="Times New Roman" w:hAnsi="Times New Roman" w:cs="Times New Roman"/>
          <w:noProof/>
          <w:sz w:val="24"/>
          <w:szCs w:val="24"/>
        </w:rPr>
      </w:pPr>
      <w:r>
        <w:rPr>
          <w:rFonts w:ascii="Times New Roman" w:hAnsi="Times New Roman"/>
          <w:noProof/>
          <w:sz w:val="24"/>
          <w:szCs w:val="24"/>
        </w:rPr>
        <w:t xml:space="preserve">Selon les projections économiques de 2018, </w:t>
      </w:r>
      <w:r>
        <w:rPr>
          <w:rFonts w:ascii="Times New Roman" w:hAnsi="Times New Roman"/>
          <w:b/>
          <w:noProof/>
          <w:sz w:val="24"/>
          <w:szCs w:val="24"/>
        </w:rPr>
        <w:t>le nombre de personnes occupées pourrait culminer à environ 2020</w:t>
      </w:r>
      <w:r>
        <w:rPr>
          <w:rFonts w:ascii="Times New Roman" w:hAnsi="Times New Roman"/>
          <w:noProof/>
          <w:sz w:val="24"/>
          <w:szCs w:val="24"/>
        </w:rPr>
        <w:t>, suivi d’une baisse constante au cours des décennies suivantes</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S’il est trop tôt pour dire si la crise actuelle v</w:t>
      </w:r>
      <w:r>
        <w:rPr>
          <w:rFonts w:ascii="Times New Roman" w:hAnsi="Times New Roman"/>
          <w:noProof/>
          <w:sz w:val="24"/>
          <w:szCs w:val="24"/>
        </w:rPr>
        <w:t>a changer les projections à long terme, les premières estimations réalisées depuis le début de la pandémie</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prévoient des contractions significatives de l’emploi. En fonction de la manière dont le virus se propage, il pourrait en résulter un nombre encore </w:t>
      </w:r>
      <w:r>
        <w:rPr>
          <w:rFonts w:ascii="Times New Roman" w:hAnsi="Times New Roman"/>
          <w:noProof/>
          <w:sz w:val="24"/>
          <w:szCs w:val="24"/>
        </w:rPr>
        <w:t xml:space="preserve">plus faible de personnes actives simultanément. Lutter contre le chômage, en particulier des jeunes, et attirer davantage de personnes sur les marchés du travail deviendront donc un défi encore plus pressant. </w:t>
      </w:r>
    </w:p>
    <w:p w:rsidR="005F1B1A" w:rsidRDefault="005F1B1A">
      <w:pPr>
        <w:spacing w:after="0"/>
        <w:jc w:val="both"/>
        <w:rPr>
          <w:rFonts w:ascii="Times New Roman" w:hAnsi="Times New Roman" w:cs="Times New Roman"/>
          <w:noProof/>
          <w:sz w:val="24"/>
          <w:szCs w:val="24"/>
        </w:rPr>
      </w:pPr>
    </w:p>
    <w:p w:rsidR="005F1B1A" w:rsidRDefault="00E84E49">
      <w:pPr>
        <w:spacing w:after="0"/>
        <w:jc w:val="both"/>
        <w:rPr>
          <w:rFonts w:ascii="Times New Roman" w:hAnsi="Times New Roman" w:cs="Times New Roman"/>
          <w:noProof/>
          <w:sz w:val="24"/>
          <w:szCs w:val="24"/>
        </w:rPr>
      </w:pPr>
      <w:r>
        <w:rPr>
          <w:rFonts w:ascii="Times New Roman" w:hAnsi="Times New Roman"/>
          <w:noProof/>
          <w:sz w:val="24"/>
          <w:szCs w:val="24"/>
        </w:rPr>
        <w:t xml:space="preserve">Il est également clair que l’incidence d’une </w:t>
      </w:r>
      <w:r>
        <w:rPr>
          <w:rFonts w:ascii="Times New Roman" w:hAnsi="Times New Roman"/>
          <w:noProof/>
          <w:sz w:val="24"/>
          <w:szCs w:val="24"/>
        </w:rPr>
        <w:t>population en âge de travailler plus réduite sera beaucoup plus forte et beaucoup plus rapide, à moins que et jusqu’à ce que davantage de personnes actuellement sous-représentées sur le marché du travail rejoignent celui-ci ou y participent davantage.</w:t>
      </w:r>
    </w:p>
    <w:p w:rsidR="005F1B1A" w:rsidRDefault="005F1B1A">
      <w:pPr>
        <w:spacing w:after="0"/>
        <w:jc w:val="both"/>
        <w:rPr>
          <w:rFonts w:ascii="Times New Roman" w:hAnsi="Times New Roman" w:cs="Times New Roman"/>
          <w:noProof/>
          <w:sz w:val="24"/>
          <w:szCs w:val="24"/>
        </w:rPr>
      </w:pPr>
    </w:p>
    <w:p w:rsidR="005F1B1A" w:rsidRDefault="00E84E49">
      <w:pPr>
        <w:keepNext/>
        <w:spacing w:after="0"/>
        <w:jc w:val="center"/>
        <w:rPr>
          <w:rFonts w:ascii="Times New Roman" w:hAnsi="Times New Roman" w:cs="Times New Roman"/>
          <w:b/>
          <w:noProof/>
          <w:sz w:val="24"/>
          <w:szCs w:val="24"/>
        </w:rPr>
      </w:pPr>
      <w:r>
        <w:rPr>
          <w:rFonts w:ascii="Times New Roman" w:hAnsi="Times New Roman"/>
          <w:b/>
          <w:noProof/>
          <w:sz w:val="24"/>
          <w:szCs w:val="24"/>
        </w:rPr>
        <w:t>Pop</w:t>
      </w:r>
      <w:r>
        <w:rPr>
          <w:rFonts w:ascii="Times New Roman" w:hAnsi="Times New Roman"/>
          <w:b/>
          <w:noProof/>
          <w:sz w:val="24"/>
          <w:szCs w:val="24"/>
        </w:rPr>
        <w:t>ulation en âge de travailler (20-64 ans), UE-27, 2001-2070</w:t>
      </w:r>
    </w:p>
    <w:p w:rsidR="005F1B1A" w:rsidRDefault="00E84E49">
      <w:pPr>
        <w:spacing w:after="0"/>
        <w:jc w:val="center"/>
        <w:rPr>
          <w:rFonts w:ascii="Times New Roman" w:hAnsi="Times New Roman" w:cs="Times New Roman"/>
          <w:noProof/>
          <w:sz w:val="24"/>
          <w:szCs w:val="24"/>
        </w:rPr>
      </w:pPr>
      <w:r>
        <w:rPr>
          <w:noProof/>
          <w:lang w:val="fr-BE" w:eastAsia="fr-BE"/>
        </w:rPr>
        <w:drawing>
          <wp:inline distT="0" distB="0" distL="0" distR="0">
            <wp:extent cx="6192520" cy="3185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2520" cy="3185160"/>
                    </a:xfrm>
                    <a:prstGeom prst="rect">
                      <a:avLst/>
                    </a:prstGeom>
                  </pic:spPr>
                </pic:pic>
              </a:graphicData>
            </a:graphic>
          </wp:inline>
        </w:drawing>
      </w:r>
    </w:p>
    <w:p w:rsidR="005F1B1A" w:rsidRDefault="00E84E49">
      <w:pPr>
        <w:spacing w:after="0"/>
        <w:contextualSpacing/>
        <w:rPr>
          <w:rFonts w:ascii="Times New Roman" w:hAnsi="Times New Roman" w:cs="Times New Roman"/>
          <w:i/>
          <w:noProof/>
          <w:sz w:val="24"/>
          <w:szCs w:val="24"/>
        </w:rPr>
      </w:pPr>
      <w:r>
        <w:rPr>
          <w:rFonts w:ascii="Times New Roman" w:hAnsi="Times New Roman"/>
          <w:i/>
          <w:noProof/>
          <w:sz w:val="24"/>
        </w:rPr>
        <w:t>Source: Eurostat</w:t>
      </w:r>
    </w:p>
    <w:p w:rsidR="005F1B1A" w:rsidRDefault="005F1B1A">
      <w:pPr>
        <w:spacing w:after="0"/>
        <w:jc w:val="both"/>
        <w:rPr>
          <w:rFonts w:ascii="Times New Roman" w:hAnsi="Times New Roman" w:cs="Times New Roman"/>
          <w:noProof/>
          <w:sz w:val="24"/>
          <w:szCs w:val="24"/>
        </w:rPr>
      </w:pPr>
    </w:p>
    <w:p w:rsidR="005F1B1A" w:rsidRDefault="00E84E49">
      <w:pPr>
        <w:pStyle w:val="Heading2"/>
        <w:keepNext/>
        <w:rPr>
          <w:noProof/>
        </w:rPr>
      </w:pPr>
      <w:bookmarkStart w:id="39" w:name="_Toc33800403"/>
      <w:bookmarkStart w:id="40" w:name="_Toc32414443"/>
      <w:bookmarkStart w:id="41" w:name="_Toc32444154"/>
      <w:bookmarkStart w:id="42" w:name="_Toc43216582"/>
      <w:r>
        <w:rPr>
          <w:noProof/>
        </w:rPr>
        <w:t>3.1.1 UN MARCHÉ DU TRAVAIL PLUS VASTE ET PLUS INCLUSIF</w:t>
      </w:r>
      <w:bookmarkEnd w:id="39"/>
      <w:bookmarkEnd w:id="40"/>
      <w:bookmarkEnd w:id="41"/>
      <w:bookmarkEnd w:id="42"/>
    </w:p>
    <w:p w:rsidR="005F1B1A" w:rsidRDefault="00E84E49">
      <w:pPr>
        <w:spacing w:after="0"/>
        <w:jc w:val="both"/>
        <w:rPr>
          <w:rFonts w:ascii="Times New Roman" w:hAnsi="Times New Roman" w:cs="Times New Roman"/>
          <w:bCs/>
          <w:noProof/>
          <w:sz w:val="24"/>
          <w:szCs w:val="24"/>
        </w:rPr>
      </w:pPr>
      <w:r>
        <w:rPr>
          <w:rFonts w:ascii="Times New Roman" w:hAnsi="Times New Roman"/>
          <w:bCs/>
          <w:noProof/>
          <w:sz w:val="24"/>
          <w:szCs w:val="24"/>
        </w:rPr>
        <w:t xml:space="preserve">La diminution de la population en âge de travailler met en exergue la nécessité pour l’Europe et son marché du travail de </w:t>
      </w:r>
      <w:r>
        <w:rPr>
          <w:rFonts w:ascii="Times New Roman" w:hAnsi="Times New Roman"/>
          <w:bCs/>
          <w:noProof/>
          <w:sz w:val="24"/>
          <w:szCs w:val="24"/>
        </w:rPr>
        <w:t>tirer parti de tous ses points forts, talents et diversité.</w:t>
      </w:r>
    </w:p>
    <w:p w:rsidR="005F1B1A" w:rsidRDefault="005F1B1A">
      <w:pPr>
        <w:spacing w:after="0"/>
        <w:jc w:val="both"/>
        <w:rPr>
          <w:rFonts w:ascii="Times New Roman" w:hAnsi="Times New Roman" w:cs="Times New Roman"/>
          <w:b/>
          <w:noProof/>
          <w:sz w:val="24"/>
          <w:szCs w:val="24"/>
        </w:rPr>
      </w:pPr>
    </w:p>
    <w:p w:rsidR="005F1B1A" w:rsidRDefault="00E84E49">
      <w:pPr>
        <w:spacing w:after="160"/>
        <w:jc w:val="both"/>
        <w:rPr>
          <w:rFonts w:ascii="Times New Roman" w:hAnsi="Times New Roman" w:cs="Times New Roman"/>
          <w:noProof/>
          <w:sz w:val="24"/>
          <w:szCs w:val="24"/>
        </w:rPr>
      </w:pPr>
      <w:r>
        <w:rPr>
          <w:rFonts w:ascii="Times New Roman" w:hAnsi="Times New Roman"/>
          <w:b/>
          <w:noProof/>
          <w:sz w:val="24"/>
          <w:szCs w:val="24"/>
        </w:rPr>
        <w:t>Le renforcement du taux d’emploi des femmes sera d’une importance primordiale.</w:t>
      </w:r>
      <w:r>
        <w:rPr>
          <w:rFonts w:ascii="Times New Roman" w:hAnsi="Times New Roman"/>
          <w:noProof/>
          <w:sz w:val="24"/>
          <w:szCs w:val="24"/>
        </w:rPr>
        <w:t xml:space="preserve"> L’écart entre les hommes et les femmes en matière d’emploi s’élevait à 12 % en 2019. Cet écart est d’autant plus mar</w:t>
      </w:r>
      <w:r>
        <w:rPr>
          <w:rFonts w:ascii="Times New Roman" w:hAnsi="Times New Roman"/>
          <w:noProof/>
          <w:sz w:val="24"/>
          <w:szCs w:val="24"/>
        </w:rPr>
        <w:t>qué lorsque l’on prend en compte la différence importante dans le recours au travail à temps partiel entre les hommes et les femmes. En 2019, environ trois femmes sur dix travaillaient à temps partiel, soit près de quatre fois plus que les hommes. De telle</w:t>
      </w:r>
      <w:r>
        <w:rPr>
          <w:rFonts w:ascii="Times New Roman" w:hAnsi="Times New Roman"/>
          <w:noProof/>
          <w:sz w:val="24"/>
          <w:szCs w:val="24"/>
        </w:rPr>
        <w:t>s situations ont pu être ressenties avec davantage d’acuité au cours de la pandémie, lorsque les soins aux personnes âgées, aux personnes handicapées ou aux enfants ont dû être organisés à titre privé et que leur charge a largement été supportée par les fe</w:t>
      </w:r>
      <w:r>
        <w:rPr>
          <w:rFonts w:ascii="Times New Roman" w:hAnsi="Times New Roman"/>
          <w:noProof/>
          <w:sz w:val="24"/>
          <w:szCs w:val="24"/>
        </w:rPr>
        <w:t>mmes. L’absence de services formels de soins de longue durée adéquats, de possibilités de travail flexibles et de mesures d’incitation pour les seconds pourvoyeurs de revenus dans certains États membres contribue à renforcer ce constat.</w:t>
      </w:r>
    </w:p>
    <w:p w:rsidR="005F1B1A" w:rsidRDefault="00E84E49">
      <w:pPr>
        <w:spacing w:after="0"/>
        <w:jc w:val="both"/>
        <w:rPr>
          <w:rFonts w:ascii="Times New Roman" w:hAnsi="Times New Roman" w:cs="Times New Roman"/>
          <w:noProof/>
          <w:sz w:val="24"/>
          <w:szCs w:val="24"/>
        </w:rPr>
      </w:pPr>
      <w:r>
        <w:rPr>
          <w:rFonts w:ascii="Times New Roman" w:hAnsi="Times New Roman"/>
          <w:noProof/>
          <w:sz w:val="24"/>
          <w:szCs w:val="24"/>
        </w:rPr>
        <w:t xml:space="preserve">Le défi de la </w:t>
      </w:r>
      <w:r>
        <w:rPr>
          <w:rFonts w:ascii="Times New Roman" w:hAnsi="Times New Roman"/>
          <w:b/>
          <w:noProof/>
          <w:sz w:val="24"/>
          <w:szCs w:val="24"/>
        </w:rPr>
        <w:t>conci</w:t>
      </w:r>
      <w:r>
        <w:rPr>
          <w:rFonts w:ascii="Times New Roman" w:hAnsi="Times New Roman"/>
          <w:b/>
          <w:noProof/>
          <w:sz w:val="24"/>
          <w:szCs w:val="24"/>
        </w:rPr>
        <w:t>liation de la vie professionnelle et de la vie familiale</w:t>
      </w:r>
      <w:r>
        <w:rPr>
          <w:rFonts w:ascii="Times New Roman" w:hAnsi="Times New Roman"/>
          <w:noProof/>
          <w:sz w:val="24"/>
          <w:szCs w:val="24"/>
        </w:rPr>
        <w:t xml:space="preserve"> est au cœur du problème. En 2019, le taux d’emploi des femmes ayant des enfants de moins de 6 ans était inférieur de près de 14 points de pourcentage à celui des femmes sans enfant. En outre, la rému</w:t>
      </w:r>
      <w:r>
        <w:rPr>
          <w:rFonts w:ascii="Times New Roman" w:hAnsi="Times New Roman"/>
          <w:noProof/>
          <w:sz w:val="24"/>
          <w:szCs w:val="24"/>
        </w:rPr>
        <w:t xml:space="preserve">nération du travail des femmes est toujours inférieure à celle des hommes, l’écart de rémunération entre les hommes et les femmes étant actuellement de 14,8 %. La Commission aborde ces questions dans le cadre de ses travaux sur l’égalité et la nouvelle </w:t>
      </w:r>
      <w:r>
        <w:rPr>
          <w:rFonts w:ascii="Times New Roman" w:hAnsi="Times New Roman"/>
          <w:b/>
          <w:noProof/>
          <w:sz w:val="24"/>
          <w:szCs w:val="24"/>
        </w:rPr>
        <w:t>str</w:t>
      </w:r>
      <w:r>
        <w:rPr>
          <w:rFonts w:ascii="Times New Roman" w:hAnsi="Times New Roman"/>
          <w:b/>
          <w:noProof/>
          <w:sz w:val="24"/>
          <w:szCs w:val="24"/>
        </w:rPr>
        <w:t>atégie de l’UE en faveur de l’égalité entre les hommes et les femmes (2020-2025)</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w:t>
      </w:r>
    </w:p>
    <w:p w:rsidR="005F1B1A" w:rsidRDefault="005F1B1A">
      <w:pPr>
        <w:spacing w:after="0"/>
        <w:rPr>
          <w:rFonts w:ascii="Times New Roman" w:hAnsi="Times New Roman" w:cs="Times New Roman"/>
          <w:noProof/>
          <w:sz w:val="24"/>
          <w:szCs w:val="24"/>
        </w:rPr>
      </w:pPr>
    </w:p>
    <w:p w:rsidR="005F1B1A" w:rsidRDefault="00E84E49">
      <w:pPr>
        <w:spacing w:after="0"/>
        <w:jc w:val="both"/>
        <w:rPr>
          <w:rFonts w:ascii="Times New Roman" w:hAnsi="Times New Roman" w:cs="Times New Roman"/>
          <w:noProof/>
          <w:sz w:val="24"/>
          <w:szCs w:val="24"/>
        </w:rPr>
      </w:pPr>
      <w:r>
        <w:rPr>
          <w:rFonts w:ascii="Times New Roman" w:hAnsi="Times New Roman"/>
          <w:b/>
          <w:noProof/>
          <w:sz w:val="24"/>
          <w:szCs w:val="24"/>
        </w:rPr>
        <w:t>La réalisation de nouveaux progrès dans l’insertion des travailleurs âgés dans l’emploi serait également utile</w:t>
      </w:r>
      <w:r>
        <w:rPr>
          <w:rFonts w:ascii="Times New Roman" w:hAnsi="Times New Roman"/>
          <w:noProof/>
          <w:sz w:val="24"/>
          <w:szCs w:val="24"/>
        </w:rPr>
        <w:t>. En 2019, le taux d’emploi des travailleurs âgés (de 55 à 64 </w:t>
      </w:r>
      <w:r>
        <w:rPr>
          <w:rFonts w:ascii="Times New Roman" w:hAnsi="Times New Roman"/>
          <w:noProof/>
          <w:sz w:val="24"/>
          <w:szCs w:val="24"/>
        </w:rPr>
        <w:t>ans) s’élevait à 59,1 % pour l’UE-27, contre 44,1 % en 2009. La réalisation de nouveaux progrès nécessiterait des politiques qui permettent aux personnes de travailler plus longtemps, de rester en bonne santé et de maintenir leurs compétences à jour, ainsi</w:t>
      </w:r>
      <w:r>
        <w:rPr>
          <w:rFonts w:ascii="Times New Roman" w:hAnsi="Times New Roman"/>
          <w:noProof/>
          <w:sz w:val="24"/>
          <w:szCs w:val="24"/>
        </w:rPr>
        <w:t xml:space="preserve"> que de reconnaître les nouvelles compétences et qualifications. À moyen terme, le vieillissement de la population exigera probablement qu’un plus grand nombre de personnes travaillent plus longtemps. Le prochain </w:t>
      </w:r>
      <w:r>
        <w:rPr>
          <w:rFonts w:ascii="Times New Roman" w:hAnsi="Times New Roman"/>
          <w:b/>
          <w:noProof/>
          <w:sz w:val="24"/>
          <w:szCs w:val="24"/>
        </w:rPr>
        <w:t>livre vert sur le vieillissement</w:t>
      </w:r>
      <w:r>
        <w:rPr>
          <w:rFonts w:ascii="Times New Roman" w:hAnsi="Times New Roman"/>
          <w:noProof/>
          <w:sz w:val="24"/>
          <w:szCs w:val="24"/>
        </w:rPr>
        <w:t xml:space="preserve"> se concent</w:t>
      </w:r>
      <w:r>
        <w:rPr>
          <w:rFonts w:ascii="Times New Roman" w:hAnsi="Times New Roman"/>
          <w:noProof/>
          <w:sz w:val="24"/>
          <w:szCs w:val="24"/>
        </w:rPr>
        <w:t xml:space="preserve">rera sur cette question de manière plus approfondie, en tenant pleinement compte des vulnérabilités apparues au cours de la pandémie. </w:t>
      </w:r>
    </w:p>
    <w:p w:rsidR="005F1B1A" w:rsidRDefault="005F1B1A">
      <w:pPr>
        <w:spacing w:after="0"/>
        <w:jc w:val="both"/>
        <w:rPr>
          <w:rFonts w:ascii="Times New Roman" w:hAnsi="Times New Roman" w:cs="Times New Roman"/>
          <w:noProof/>
          <w:sz w:val="24"/>
          <w:szCs w:val="24"/>
        </w:rPr>
      </w:pPr>
    </w:p>
    <w:p w:rsidR="005F1B1A" w:rsidRDefault="00E84E49">
      <w:pPr>
        <w:spacing w:after="0"/>
        <w:jc w:val="both"/>
        <w:rPr>
          <w:rFonts w:ascii="Times New Roman" w:hAnsi="Times New Roman" w:cs="Times New Roman"/>
          <w:noProof/>
          <w:sz w:val="24"/>
          <w:szCs w:val="24"/>
        </w:rPr>
      </w:pPr>
      <w:r>
        <w:rPr>
          <w:rFonts w:ascii="Times New Roman" w:hAnsi="Times New Roman"/>
          <w:noProof/>
          <w:sz w:val="24"/>
          <w:szCs w:val="24"/>
        </w:rPr>
        <w:t>Il restera essentiel d’</w:t>
      </w:r>
      <w:r>
        <w:rPr>
          <w:rFonts w:ascii="Times New Roman" w:hAnsi="Times New Roman"/>
          <w:b/>
          <w:noProof/>
          <w:sz w:val="24"/>
          <w:szCs w:val="24"/>
        </w:rPr>
        <w:t>investir dans les qualifications des personnes ayant un faible niveau d’éducation</w:t>
      </w:r>
      <w:r>
        <w:rPr>
          <w:rFonts w:ascii="Times New Roman" w:hAnsi="Times New Roman"/>
          <w:noProof/>
          <w:sz w:val="24"/>
          <w:szCs w:val="24"/>
        </w:rPr>
        <w:t>. Plus de 10 % d</w:t>
      </w:r>
      <w:r>
        <w:rPr>
          <w:rFonts w:ascii="Times New Roman" w:hAnsi="Times New Roman"/>
          <w:noProof/>
          <w:sz w:val="24"/>
          <w:szCs w:val="24"/>
        </w:rPr>
        <w:t>es jeunes âgés de 18 à 24 ans quittent l’éducation ou la formation avec des qualifications faibles ou nulles, et ce taux dépasse 20 % dans les régions ultrapériphériques. Parmi ces «jeunes ayant quitté prématurément l’école», 45 % occupent un emploi. Les t</w:t>
      </w:r>
      <w:r>
        <w:rPr>
          <w:rFonts w:ascii="Times New Roman" w:hAnsi="Times New Roman"/>
          <w:noProof/>
          <w:sz w:val="24"/>
          <w:szCs w:val="24"/>
        </w:rPr>
        <w:t xml:space="preserve">ravaux visant à faire de l’espace européen de l’éducation une réalité d’ici 2025, à réorganiser l’Espace européen de la recherche et à soutenir l’emploi des jeunes constitueront des outils importants pour rétablir l’équilibre. </w:t>
      </w:r>
    </w:p>
    <w:p w:rsidR="005F1B1A" w:rsidRDefault="005F1B1A">
      <w:pPr>
        <w:spacing w:after="0"/>
        <w:rPr>
          <w:rFonts w:ascii="Times New Roman" w:hAnsi="Times New Roman" w:cs="Times New Roman"/>
          <w:noProof/>
          <w:sz w:val="24"/>
          <w:szCs w:val="24"/>
        </w:rPr>
      </w:pPr>
    </w:p>
    <w:p w:rsidR="005F1B1A" w:rsidRDefault="00E84E49">
      <w:pPr>
        <w:spacing w:after="0"/>
        <w:jc w:val="both"/>
        <w:rPr>
          <w:rFonts w:ascii="Times New Roman" w:hAnsi="Times New Roman" w:cs="Times New Roman"/>
          <w:noProof/>
          <w:sz w:val="24"/>
          <w:szCs w:val="24"/>
        </w:rPr>
      </w:pPr>
      <w:r>
        <w:rPr>
          <w:rFonts w:ascii="Times New Roman" w:hAnsi="Times New Roman"/>
          <w:b/>
          <w:noProof/>
          <w:sz w:val="24"/>
          <w:szCs w:val="24"/>
        </w:rPr>
        <w:t>Amener un plus grand nombre</w:t>
      </w:r>
      <w:r>
        <w:rPr>
          <w:rFonts w:ascii="Times New Roman" w:hAnsi="Times New Roman"/>
          <w:b/>
          <w:noProof/>
          <w:sz w:val="24"/>
          <w:szCs w:val="24"/>
        </w:rPr>
        <w:t xml:space="preserve"> de personnes issues de différents milieux sur le marché du travail</w:t>
      </w:r>
      <w:r>
        <w:rPr>
          <w:rFonts w:ascii="Times New Roman" w:hAnsi="Times New Roman"/>
          <w:noProof/>
          <w:sz w:val="24"/>
          <w:szCs w:val="24"/>
        </w:rPr>
        <w:t xml:space="preserve"> contribuerait à accroître encore le taux d’emploi. Le taux d’emploi des personnes nées en dehors de l’UE est inférieur de 9,6 points de pourcentage à celui des personnes nées dans l’UE et </w:t>
      </w:r>
      <w:r>
        <w:rPr>
          <w:rFonts w:ascii="Times New Roman" w:hAnsi="Times New Roman"/>
          <w:noProof/>
          <w:sz w:val="24"/>
          <w:szCs w:val="24"/>
        </w:rPr>
        <w:t xml:space="preserve">est particulièrement faible chez les femmes. La situation des ressortissants de pays tiers est similaire. </w:t>
      </w:r>
    </w:p>
    <w:p w:rsidR="005F1B1A" w:rsidRDefault="005F1B1A">
      <w:pPr>
        <w:spacing w:after="0"/>
        <w:jc w:val="both"/>
        <w:rPr>
          <w:rFonts w:ascii="Times New Roman" w:hAnsi="Times New Roman" w:cs="Times New Roman"/>
          <w:noProof/>
          <w:sz w:val="24"/>
          <w:szCs w:val="24"/>
        </w:rPr>
      </w:pPr>
    </w:p>
    <w:p w:rsidR="005F1B1A" w:rsidRDefault="00E84E49">
      <w:pPr>
        <w:spacing w:after="0"/>
        <w:jc w:val="both"/>
        <w:rPr>
          <w:rFonts w:ascii="Times New Roman" w:hAnsi="Times New Roman" w:cs="Times New Roman"/>
          <w:noProof/>
          <w:sz w:val="24"/>
          <w:szCs w:val="24"/>
        </w:rPr>
      </w:pPr>
      <w:r>
        <w:rPr>
          <w:rFonts w:ascii="Times New Roman" w:hAnsi="Times New Roman"/>
          <w:b/>
          <w:noProof/>
          <w:sz w:val="24"/>
          <w:szCs w:val="24"/>
        </w:rPr>
        <w:t>L’ouverture du marché du travail aux personnes handicapées</w:t>
      </w:r>
      <w:r>
        <w:rPr>
          <w:rFonts w:ascii="Times New Roman" w:hAnsi="Times New Roman"/>
          <w:noProof/>
          <w:sz w:val="24"/>
          <w:szCs w:val="24"/>
        </w:rPr>
        <w:t xml:space="preserve"> contribuerait à une société plus juste et à faire face aux conséquences de l’évolution dé</w:t>
      </w:r>
      <w:r>
        <w:rPr>
          <w:rFonts w:ascii="Times New Roman" w:hAnsi="Times New Roman"/>
          <w:noProof/>
          <w:sz w:val="24"/>
          <w:szCs w:val="24"/>
        </w:rPr>
        <w:t>mographique. Toutefois, le taux d’emploi des personnes handicapées dans l’UE est faible en raison des nombreux obstacles auxquels elles sont confrontées, y compris la discrimination et le manque d’accessibilité sur le lieu de travail, ainsi qu’en matière d</w:t>
      </w:r>
      <w:r>
        <w:rPr>
          <w:rFonts w:ascii="Times New Roman" w:hAnsi="Times New Roman"/>
          <w:noProof/>
          <w:sz w:val="24"/>
          <w:szCs w:val="24"/>
        </w:rPr>
        <w:t>e logement et d’éducation de haute qualité. Ces obstacles peuvent s’expliquer par des perceptions négatives et par une réticence injuste à engager des personnes handicapées.</w:t>
      </w:r>
    </w:p>
    <w:p w:rsidR="005F1B1A" w:rsidRDefault="005F1B1A">
      <w:pPr>
        <w:spacing w:after="0"/>
        <w:jc w:val="both"/>
        <w:rPr>
          <w:rFonts w:ascii="Times New Roman" w:hAnsi="Times New Roman" w:cs="Times New Roman"/>
          <w:b/>
          <w:noProof/>
          <w:sz w:val="24"/>
          <w:szCs w:val="24"/>
        </w:rPr>
      </w:pPr>
    </w:p>
    <w:p w:rsidR="005F1B1A" w:rsidRDefault="00E84E49">
      <w:pPr>
        <w:spacing w:after="0"/>
        <w:jc w:val="both"/>
        <w:rPr>
          <w:rFonts w:ascii="Times New Roman" w:hAnsi="Times New Roman" w:cs="Times New Roman"/>
          <w:noProof/>
          <w:sz w:val="24"/>
          <w:szCs w:val="24"/>
        </w:rPr>
      </w:pPr>
      <w:r>
        <w:rPr>
          <w:rFonts w:ascii="Times New Roman" w:hAnsi="Times New Roman"/>
          <w:b/>
          <w:noProof/>
          <w:sz w:val="24"/>
          <w:szCs w:val="24"/>
        </w:rPr>
        <w:t>Disposer d’un marché du travail plus vaste et plus inclusif</w:t>
      </w:r>
      <w:r>
        <w:rPr>
          <w:rFonts w:ascii="Times New Roman" w:hAnsi="Times New Roman"/>
          <w:noProof/>
          <w:sz w:val="24"/>
          <w:szCs w:val="24"/>
        </w:rPr>
        <w:t xml:space="preserve"> signifie lutter contr</w:t>
      </w:r>
      <w:r>
        <w:rPr>
          <w:rFonts w:ascii="Times New Roman" w:hAnsi="Times New Roman"/>
          <w:noProof/>
          <w:sz w:val="24"/>
          <w:szCs w:val="24"/>
        </w:rPr>
        <w:t>e toutes les formes de discrimination fondées sur le sexe, la race ou l’origine ethnique, la religion ou les convictions, un handicap, l’âge ou l’orientation sexuelle. Les acteurs de l’économie sociale et les entreprises peuvent jouer un rôle important dan</w:t>
      </w:r>
      <w:r>
        <w:rPr>
          <w:rFonts w:ascii="Times New Roman" w:hAnsi="Times New Roman"/>
          <w:noProof/>
          <w:sz w:val="24"/>
          <w:szCs w:val="24"/>
        </w:rPr>
        <w:t xml:space="preserve">s la promotion d’un marché du travail plus inclusif, au bénéfice des travailleurs et des communautés locales.  </w:t>
      </w:r>
    </w:p>
    <w:p w:rsidR="005F1B1A" w:rsidRDefault="005F1B1A">
      <w:pPr>
        <w:spacing w:after="0"/>
        <w:jc w:val="both"/>
        <w:rPr>
          <w:rFonts w:ascii="Times New Roman" w:hAnsi="Times New Roman" w:cs="Times New Roman"/>
          <w:noProof/>
          <w:sz w:val="24"/>
          <w:szCs w:val="24"/>
        </w:rPr>
      </w:pPr>
    </w:p>
    <w:p w:rsidR="005F1B1A" w:rsidRDefault="00E84E49">
      <w:pPr>
        <w:pStyle w:val="Heading2"/>
        <w:keepNext/>
        <w:rPr>
          <w:noProof/>
        </w:rPr>
      </w:pPr>
      <w:bookmarkStart w:id="43" w:name="_Toc43216583"/>
      <w:r>
        <w:rPr>
          <w:noProof/>
        </w:rPr>
        <w:t xml:space="preserve">3.1.2. </w:t>
      </w:r>
      <w:bookmarkStart w:id="44" w:name="_Toc33800404"/>
      <w:r>
        <w:rPr>
          <w:noProof/>
        </w:rPr>
        <w:t>LA PRODUCTIVITÉ PAR L’ACQUISITION DE COMPÉTENCES</w:t>
      </w:r>
      <w:bookmarkEnd w:id="44"/>
      <w:r>
        <w:rPr>
          <w:noProof/>
        </w:rPr>
        <w:t xml:space="preserve"> ET L’ÉDUCATION</w:t>
      </w:r>
      <w:bookmarkEnd w:id="43"/>
    </w:p>
    <w:p w:rsidR="005F1B1A" w:rsidRDefault="00E84E49">
      <w:pPr>
        <w:keepLines/>
        <w:jc w:val="both"/>
        <w:rPr>
          <w:rFonts w:ascii="Times New Roman" w:hAnsi="Times New Roman" w:cs="Times New Roman"/>
          <w:b/>
          <w:iCs/>
          <w:noProof/>
          <w:sz w:val="24"/>
          <w:szCs w:val="24"/>
        </w:rPr>
      </w:pPr>
      <w:r>
        <w:rPr>
          <w:rFonts w:ascii="Times New Roman" w:hAnsi="Times New Roman"/>
          <w:b/>
          <w:iCs/>
          <w:noProof/>
          <w:sz w:val="24"/>
          <w:szCs w:val="24"/>
        </w:rPr>
        <w:t>Étant donné que le réservoir des actifs commence à diminuer, la résilien</w:t>
      </w:r>
      <w:r>
        <w:rPr>
          <w:rFonts w:ascii="Times New Roman" w:hAnsi="Times New Roman"/>
          <w:b/>
          <w:iCs/>
          <w:noProof/>
          <w:sz w:val="24"/>
          <w:szCs w:val="24"/>
        </w:rPr>
        <w:t>ce économique et la croissance de la productivité seront d’autant plus importantes</w:t>
      </w:r>
      <w:r>
        <w:rPr>
          <w:rFonts w:ascii="Times New Roman" w:hAnsi="Times New Roman"/>
          <w:iCs/>
          <w:noProof/>
          <w:sz w:val="24"/>
          <w:szCs w:val="24"/>
        </w:rPr>
        <w:t xml:space="preserve">. Cela sera également important pour une reprise durable après la crise. Avant l’épidémie de coronavirus, les projections de la Commission ont montré que la stabilisation de </w:t>
      </w:r>
      <w:r>
        <w:rPr>
          <w:rFonts w:ascii="Times New Roman" w:hAnsi="Times New Roman"/>
          <w:iCs/>
          <w:noProof/>
          <w:sz w:val="24"/>
          <w:szCs w:val="24"/>
        </w:rPr>
        <w:t>la croissance du PIB à 1,3 % par an jusqu’en 2070 nécessiterait une croissance de la productivité de la main-d’œuvre de 1,5 % par an en moyenne</w:t>
      </w:r>
      <w:r>
        <w:rPr>
          <w:rStyle w:val="FootnoteReference"/>
          <w:rFonts w:ascii="Times New Roman" w:hAnsi="Times New Roman" w:cs="Times New Roman"/>
          <w:iCs/>
          <w:noProof/>
          <w:sz w:val="24"/>
          <w:szCs w:val="24"/>
        </w:rPr>
        <w:footnoteReference w:id="26"/>
      </w:r>
      <w:r>
        <w:rPr>
          <w:rFonts w:ascii="Times New Roman" w:hAnsi="Times New Roman"/>
          <w:iCs/>
          <w:noProof/>
          <w:sz w:val="24"/>
          <w:szCs w:val="24"/>
        </w:rPr>
        <w:t xml:space="preserve">. Toutefois, la croissance de la productivité a diminué et était estimée à moins de 1 % avant le début de la </w:t>
      </w:r>
      <w:r>
        <w:rPr>
          <w:rFonts w:ascii="Times New Roman" w:hAnsi="Times New Roman"/>
          <w:iCs/>
          <w:noProof/>
          <w:sz w:val="24"/>
          <w:szCs w:val="24"/>
        </w:rPr>
        <w:t>crise.</w:t>
      </w:r>
    </w:p>
    <w:p w:rsidR="005F1B1A" w:rsidRDefault="00E84E49">
      <w:pPr>
        <w:jc w:val="both"/>
        <w:rPr>
          <w:rFonts w:ascii="Times New Roman" w:hAnsi="Times New Roman" w:cs="Times New Roman"/>
          <w:iCs/>
          <w:noProof/>
          <w:sz w:val="24"/>
          <w:szCs w:val="24"/>
        </w:rPr>
      </w:pPr>
      <w:r>
        <w:rPr>
          <w:rFonts w:ascii="Times New Roman" w:hAnsi="Times New Roman"/>
          <w:b/>
          <w:iCs/>
          <w:noProof/>
          <w:sz w:val="24"/>
          <w:szCs w:val="24"/>
        </w:rPr>
        <w:t xml:space="preserve">La transition vers une économie numérique et neutre pour le climat peut contribuer à stimuler la productivité. </w:t>
      </w:r>
      <w:r>
        <w:rPr>
          <w:rFonts w:ascii="Times New Roman" w:hAnsi="Times New Roman"/>
          <w:iCs/>
          <w:noProof/>
          <w:sz w:val="24"/>
          <w:szCs w:val="24"/>
        </w:rPr>
        <w:t xml:space="preserve">La double transition nécessitera la diffusion de l’innovation et de la technologie, avec une économie plus circulaire et numérique créant </w:t>
      </w:r>
      <w:r>
        <w:rPr>
          <w:rFonts w:ascii="Times New Roman" w:hAnsi="Times New Roman"/>
          <w:iCs/>
          <w:noProof/>
          <w:sz w:val="24"/>
          <w:szCs w:val="24"/>
        </w:rPr>
        <w:t>de nouveaux modèles d’entreprise et de nouvelles méthodes de travail. La pandémie et ses conséquences sur notre vie et nos économies ont souligné l’importance de la numérisation dans tous les domaines de l’économie et de la société de l’Union. La double tr</w:t>
      </w:r>
      <w:r>
        <w:rPr>
          <w:rFonts w:ascii="Times New Roman" w:hAnsi="Times New Roman"/>
          <w:iCs/>
          <w:noProof/>
          <w:sz w:val="24"/>
          <w:szCs w:val="24"/>
        </w:rPr>
        <w:t xml:space="preserve">ansition nécessitera également une concurrence et des conditions de concurrence équitables, comme le prévoit la </w:t>
      </w:r>
      <w:r>
        <w:rPr>
          <w:rFonts w:ascii="Times New Roman" w:hAnsi="Times New Roman"/>
          <w:b/>
          <w:iCs/>
          <w:noProof/>
          <w:sz w:val="24"/>
          <w:szCs w:val="24"/>
        </w:rPr>
        <w:t>nouvelle stratégie industrielle pour l’Europe</w:t>
      </w:r>
      <w:r>
        <w:rPr>
          <w:rFonts w:ascii="Times New Roman" w:hAnsi="Times New Roman" w:cs="Times New Roman"/>
          <w:iCs/>
          <w:noProof/>
          <w:sz w:val="24"/>
          <w:szCs w:val="24"/>
          <w:vertAlign w:val="superscript"/>
        </w:rPr>
        <w:footnoteReference w:id="27"/>
      </w:r>
      <w:r>
        <w:rPr>
          <w:rFonts w:ascii="Times New Roman" w:hAnsi="Times New Roman"/>
          <w:iCs/>
          <w:noProof/>
          <w:sz w:val="24"/>
          <w:szCs w:val="24"/>
        </w:rPr>
        <w:t xml:space="preserve"> récemment adoptée. </w:t>
      </w:r>
    </w:p>
    <w:p w:rsidR="005F1B1A" w:rsidRDefault="00E84E49">
      <w:pPr>
        <w:jc w:val="both"/>
        <w:rPr>
          <w:rFonts w:ascii="Times New Roman" w:hAnsi="Times New Roman"/>
          <w:noProof/>
          <w:sz w:val="24"/>
        </w:rPr>
      </w:pPr>
      <w:r>
        <w:rPr>
          <w:rFonts w:ascii="Times New Roman" w:hAnsi="Times New Roman"/>
          <w:iCs/>
          <w:noProof/>
          <w:sz w:val="24"/>
          <w:szCs w:val="24"/>
        </w:rPr>
        <w:t>L’automatisation et de nouvelles technologies plus propres peuvent contribuer</w:t>
      </w:r>
      <w:r>
        <w:rPr>
          <w:rFonts w:ascii="Times New Roman" w:hAnsi="Times New Roman"/>
          <w:iCs/>
          <w:noProof/>
          <w:sz w:val="24"/>
          <w:szCs w:val="24"/>
        </w:rPr>
        <w:t xml:space="preserve"> à stimuler la productivité de la main-d’œuvre à l’avenir. Une transition équitable pour tous sera essentielle pour ceux qui devront apprendre de nouvelles compétences ou changer d’emploi.</w:t>
      </w:r>
      <w:r>
        <w:rPr>
          <w:rFonts w:ascii="Times New Roman" w:hAnsi="Times New Roman"/>
          <w:b/>
          <w:iCs/>
          <w:noProof/>
          <w:sz w:val="24"/>
          <w:szCs w:val="24"/>
        </w:rPr>
        <w:t xml:space="preserve"> </w:t>
      </w:r>
      <w:r>
        <w:rPr>
          <w:rFonts w:ascii="Times New Roman" w:hAnsi="Times New Roman"/>
          <w:iCs/>
          <w:noProof/>
          <w:sz w:val="24"/>
          <w:szCs w:val="24"/>
        </w:rPr>
        <w:t>Dans cet esprit, la Commission a proposé de renforcer le Fonds pour</w:t>
      </w:r>
      <w:r>
        <w:rPr>
          <w:rFonts w:ascii="Times New Roman" w:hAnsi="Times New Roman"/>
          <w:iCs/>
          <w:noProof/>
          <w:sz w:val="24"/>
          <w:szCs w:val="24"/>
        </w:rPr>
        <w:t xml:space="preserve"> une transition juste, afin d’atténuer les incidences socio-économiques de la transition, de soutenir la requalification, d’aider les PME à créer de nouvelles perspectives économiques et d’investir dans la transition vers une énergie propre. </w:t>
      </w:r>
    </w:p>
    <w:p w:rsidR="005F1B1A" w:rsidRDefault="00E84E49">
      <w:pPr>
        <w:jc w:val="both"/>
        <w:rPr>
          <w:rFonts w:ascii="Times New Roman" w:hAnsi="Times New Roman" w:cs="Times New Roman"/>
          <w:iCs/>
          <w:noProof/>
          <w:sz w:val="24"/>
          <w:szCs w:val="24"/>
        </w:rPr>
      </w:pPr>
      <w:r>
        <w:rPr>
          <w:rFonts w:ascii="Times New Roman" w:hAnsi="Times New Roman"/>
          <w:b/>
          <w:iCs/>
          <w:noProof/>
          <w:sz w:val="24"/>
          <w:szCs w:val="24"/>
        </w:rPr>
        <w:t>L’Europe a be</w:t>
      </w:r>
      <w:r>
        <w:rPr>
          <w:rFonts w:ascii="Times New Roman" w:hAnsi="Times New Roman"/>
          <w:b/>
          <w:iCs/>
          <w:noProof/>
          <w:sz w:val="24"/>
          <w:szCs w:val="24"/>
        </w:rPr>
        <w:t>soin d’une main-d’œuvre hautement qualifiée, bien formée et capable de s’adapter</w:t>
      </w:r>
      <w:r>
        <w:rPr>
          <w:rStyle w:val="FootnoteReference"/>
          <w:rFonts w:ascii="Times New Roman" w:hAnsi="Times New Roman" w:cs="Times New Roman"/>
          <w:b/>
          <w:iCs/>
          <w:noProof/>
          <w:sz w:val="24"/>
          <w:szCs w:val="24"/>
        </w:rPr>
        <w:footnoteReference w:id="28"/>
      </w:r>
      <w:r>
        <w:rPr>
          <w:rFonts w:ascii="Times New Roman" w:hAnsi="Times New Roman"/>
          <w:b/>
          <w:iCs/>
          <w:noProof/>
          <w:sz w:val="24"/>
          <w:szCs w:val="24"/>
        </w:rPr>
        <w:t xml:space="preserve">. </w:t>
      </w:r>
      <w:r>
        <w:rPr>
          <w:rFonts w:ascii="Times New Roman" w:hAnsi="Times New Roman"/>
          <w:iCs/>
          <w:noProof/>
          <w:sz w:val="24"/>
          <w:szCs w:val="24"/>
        </w:rPr>
        <w:t>Il sera d’autant plus important de faire de l’éducation et de la formation tout au long de la vie une réalité pour tous. Au cours des prochaines années, des millions d’Europ</w:t>
      </w:r>
      <w:r>
        <w:rPr>
          <w:rFonts w:ascii="Times New Roman" w:hAnsi="Times New Roman"/>
          <w:iCs/>
          <w:noProof/>
          <w:sz w:val="24"/>
          <w:szCs w:val="24"/>
        </w:rPr>
        <w:t xml:space="preserve">éens devront améliorer leurs compétences ou se reconvertir. Il importera également de mieux attirer les compétences et les talents en provenance de l’étranger pour répondre aux besoins du marché du travail. </w:t>
      </w:r>
    </w:p>
    <w:p w:rsidR="005F1B1A" w:rsidRDefault="00E84E49">
      <w:pPr>
        <w:jc w:val="both"/>
        <w:rPr>
          <w:rFonts w:ascii="Times New Roman" w:hAnsi="Times New Roman" w:cs="Times New Roman"/>
          <w:b/>
          <w:iCs/>
          <w:noProof/>
          <w:sz w:val="24"/>
          <w:szCs w:val="24"/>
        </w:rPr>
      </w:pPr>
      <w:r>
        <w:rPr>
          <w:rFonts w:ascii="Times New Roman" w:hAnsi="Times New Roman"/>
          <w:iCs/>
          <w:noProof/>
          <w:sz w:val="24"/>
          <w:szCs w:val="24"/>
        </w:rPr>
        <w:t>À mesure que la double transition s’accélère, l’</w:t>
      </w:r>
      <w:r>
        <w:rPr>
          <w:rFonts w:ascii="Times New Roman" w:hAnsi="Times New Roman"/>
          <w:iCs/>
          <w:noProof/>
          <w:sz w:val="24"/>
          <w:szCs w:val="24"/>
        </w:rPr>
        <w:t>Europe devra veiller à ce que ses compétences suivent le rythme, y compris les compétences écologiques et numériques. Avant la crise, on dénombrait environ un million d’emplois vacants en Europe pour les experts numériques, et 70 % des entreprises indiquai</w:t>
      </w:r>
      <w:r>
        <w:rPr>
          <w:rFonts w:ascii="Times New Roman" w:hAnsi="Times New Roman"/>
          <w:iCs/>
          <w:noProof/>
          <w:sz w:val="24"/>
          <w:szCs w:val="24"/>
        </w:rPr>
        <w:t>ent qu’elles retardaient leurs investissements parce qu’elles ne parvenaient pas à trouver les personnes possédant les compétences requises. En effet, 29 % de la population de l’UE ne disposait que de faibles compétences numériques en 2019, tandis que 15 %</w:t>
      </w:r>
      <w:r>
        <w:rPr>
          <w:rFonts w:ascii="Times New Roman" w:hAnsi="Times New Roman"/>
          <w:iCs/>
          <w:noProof/>
          <w:sz w:val="24"/>
          <w:szCs w:val="24"/>
        </w:rPr>
        <w:t xml:space="preserve"> n’en avaient aucune. La crise a également mis en lumière l’importance des compétences numériques pour les enfants, les étudiants, les enseignants, les formateurs et pour nous tous afin de communiquer et travailler. Elle a montré que bon nombre de citoyens</w:t>
      </w:r>
      <w:r>
        <w:rPr>
          <w:rFonts w:ascii="Times New Roman" w:hAnsi="Times New Roman"/>
          <w:iCs/>
          <w:noProof/>
          <w:sz w:val="24"/>
          <w:szCs w:val="24"/>
        </w:rPr>
        <w:t xml:space="preserve"> n’ont toujours pas accès aux outils nécessaires. La Commission présentera un </w:t>
      </w:r>
      <w:r>
        <w:rPr>
          <w:rFonts w:ascii="Times New Roman" w:hAnsi="Times New Roman"/>
          <w:b/>
          <w:iCs/>
          <w:noProof/>
          <w:sz w:val="24"/>
          <w:szCs w:val="24"/>
        </w:rPr>
        <w:t>plan d’action en matière d’éducation numérique</w:t>
      </w:r>
      <w:r>
        <w:rPr>
          <w:rFonts w:ascii="Times New Roman" w:hAnsi="Times New Roman"/>
          <w:iCs/>
          <w:noProof/>
          <w:sz w:val="24"/>
          <w:szCs w:val="24"/>
        </w:rPr>
        <w:t xml:space="preserve"> afin de mettre en place des mesures concrètes pour relever ces défis.</w:t>
      </w:r>
    </w:p>
    <w:p w:rsidR="005F1B1A" w:rsidRDefault="00E84E49">
      <w:pPr>
        <w:jc w:val="both"/>
        <w:rPr>
          <w:rFonts w:ascii="Times New Roman" w:hAnsi="Times New Roman" w:cs="Times New Roman"/>
          <w:iCs/>
          <w:noProof/>
          <w:sz w:val="24"/>
          <w:szCs w:val="24"/>
        </w:rPr>
      </w:pPr>
      <w:r>
        <w:rPr>
          <w:rFonts w:ascii="Times New Roman" w:hAnsi="Times New Roman"/>
          <w:b/>
          <w:iCs/>
          <w:noProof/>
          <w:sz w:val="24"/>
          <w:szCs w:val="24"/>
        </w:rPr>
        <w:t>La solution consiste à investir dans les personnes et leurs c</w:t>
      </w:r>
      <w:r>
        <w:rPr>
          <w:rFonts w:ascii="Times New Roman" w:hAnsi="Times New Roman"/>
          <w:b/>
          <w:iCs/>
          <w:noProof/>
          <w:sz w:val="24"/>
          <w:szCs w:val="24"/>
        </w:rPr>
        <w:t xml:space="preserve">ompétences et à améliorer l’accès à la formation et à l’éducation. </w:t>
      </w:r>
      <w:r>
        <w:rPr>
          <w:rFonts w:ascii="Times New Roman" w:hAnsi="Times New Roman"/>
          <w:iCs/>
          <w:noProof/>
          <w:sz w:val="24"/>
          <w:szCs w:val="24"/>
        </w:rPr>
        <w:t>Cela nécessitera des actions collectives de la part de l’industrie, des États membres, des partenaires sociaux et d’autres parties prenantes afin de contribuer à l’amélioration et à la reco</w:t>
      </w:r>
      <w:r>
        <w:rPr>
          <w:rFonts w:ascii="Times New Roman" w:hAnsi="Times New Roman"/>
          <w:iCs/>
          <w:noProof/>
          <w:sz w:val="24"/>
          <w:szCs w:val="24"/>
        </w:rPr>
        <w:t>nversion des travailleurs et de débloquer des investissements publics et privés dans la main-d’œuvre. La mise à jour de la stratégie en matière de compétences et la recommandation sur l’enseignement et la formation professionnels constitueront également de</w:t>
      </w:r>
      <w:r>
        <w:rPr>
          <w:rFonts w:ascii="Times New Roman" w:hAnsi="Times New Roman"/>
          <w:iCs/>
          <w:noProof/>
          <w:sz w:val="24"/>
          <w:szCs w:val="24"/>
        </w:rPr>
        <w:t xml:space="preserve">s étapes importantes pour y parvenir. </w:t>
      </w:r>
    </w:p>
    <w:p w:rsidR="005F1B1A" w:rsidRDefault="00E84E49">
      <w:pPr>
        <w:pStyle w:val="Heading2"/>
        <w:keepNext/>
        <w:rPr>
          <w:noProof/>
        </w:rPr>
      </w:pPr>
      <w:bookmarkStart w:id="45" w:name="_Toc32414444"/>
      <w:bookmarkStart w:id="46" w:name="_Toc32444155"/>
      <w:bookmarkStart w:id="47" w:name="_Toc33800405"/>
      <w:bookmarkStart w:id="48" w:name="_Toc43216584"/>
      <w:r>
        <w:rPr>
          <w:noProof/>
        </w:rPr>
        <w:t xml:space="preserve">3.2. </w:t>
      </w:r>
      <w:bookmarkEnd w:id="45"/>
      <w:bookmarkEnd w:id="46"/>
      <w:r>
        <w:rPr>
          <w:noProof/>
        </w:rPr>
        <w:t>SOINS DE SANTÉ ET DE LONGUE DURÉE</w:t>
      </w:r>
      <w:bookmarkEnd w:id="47"/>
      <w:bookmarkEnd w:id="48"/>
    </w:p>
    <w:p w:rsidR="005F1B1A" w:rsidRDefault="00E84E49">
      <w:pPr>
        <w:keepLines/>
        <w:spacing w:after="160"/>
        <w:jc w:val="both"/>
        <w:rPr>
          <w:rFonts w:ascii="Times New Roman" w:hAnsi="Times New Roman" w:cs="Times New Roman"/>
          <w:noProof/>
          <w:sz w:val="24"/>
          <w:szCs w:val="24"/>
        </w:rPr>
      </w:pPr>
      <w:r>
        <w:rPr>
          <w:rFonts w:ascii="Times New Roman" w:hAnsi="Times New Roman"/>
          <w:noProof/>
          <w:sz w:val="24"/>
        </w:rPr>
        <w:t>Les systèmes européens de soins de santé et de soins de longue durée ont été en première ligne tout au long de la pandémie de COVID-19</w:t>
      </w:r>
      <w:r>
        <w:rPr>
          <w:rStyle w:val="FootnoteReference"/>
          <w:rFonts w:ascii="Times New Roman" w:hAnsi="Times New Roman" w:cs="Times New Roman"/>
          <w:noProof/>
          <w:sz w:val="24"/>
          <w:szCs w:val="24"/>
        </w:rPr>
        <w:footnoteReference w:id="29"/>
      </w:r>
      <w:r>
        <w:rPr>
          <w:rFonts w:ascii="Times New Roman" w:hAnsi="Times New Roman"/>
          <w:noProof/>
          <w:sz w:val="24"/>
        </w:rPr>
        <w:t>.</w:t>
      </w:r>
      <w:r>
        <w:rPr>
          <w:rFonts w:ascii="Times New Roman" w:hAnsi="Times New Roman"/>
          <w:noProof/>
          <w:sz w:val="24"/>
          <w:szCs w:val="24"/>
        </w:rPr>
        <w:t xml:space="preserve"> </w:t>
      </w:r>
      <w:r>
        <w:rPr>
          <w:rFonts w:ascii="Times New Roman" w:hAnsi="Times New Roman"/>
          <w:noProof/>
          <w:sz w:val="24"/>
        </w:rPr>
        <w:t xml:space="preserve">Ils ont été mis à rude épreuve dans la </w:t>
      </w:r>
      <w:r>
        <w:rPr>
          <w:rFonts w:ascii="Times New Roman" w:hAnsi="Times New Roman"/>
          <w:noProof/>
          <w:sz w:val="24"/>
        </w:rPr>
        <w:t>lutte contre le virus et étaient déjà soumis à une pression croissante, notamment en raison du vieillissement de notre société.</w:t>
      </w:r>
      <w:r>
        <w:rPr>
          <w:rFonts w:ascii="Times New Roman" w:hAnsi="Times New Roman"/>
          <w:b/>
          <w:noProof/>
          <w:sz w:val="24"/>
          <w:szCs w:val="24"/>
        </w:rPr>
        <w:t xml:space="preserve"> </w:t>
      </w:r>
      <w:r>
        <w:rPr>
          <w:rFonts w:ascii="Times New Roman" w:hAnsi="Times New Roman"/>
          <w:noProof/>
          <w:sz w:val="24"/>
          <w:szCs w:val="24"/>
        </w:rPr>
        <w:t>Cela concerne en particulier les régions qui, selon les projections, devraient connaître une augmentation sensible du nombre des</w:t>
      </w:r>
      <w:r>
        <w:rPr>
          <w:rFonts w:ascii="Times New Roman" w:hAnsi="Times New Roman"/>
          <w:noProof/>
          <w:sz w:val="24"/>
          <w:szCs w:val="24"/>
        </w:rPr>
        <w:t xml:space="preserve"> plus de 65 ans d’ici à 2030.</w:t>
      </w:r>
    </w:p>
    <w:p w:rsidR="005F1B1A" w:rsidRDefault="00E84E49">
      <w:pPr>
        <w:keepNext/>
        <w:spacing w:after="0"/>
        <w:jc w:val="center"/>
        <w:rPr>
          <w:rFonts w:ascii="Times New Roman" w:hAnsi="Times New Roman"/>
          <w:b/>
          <w:noProof/>
          <w:sz w:val="24"/>
        </w:rPr>
      </w:pPr>
      <w:r>
        <w:rPr>
          <w:rFonts w:ascii="Times New Roman" w:hAnsi="Times New Roman"/>
          <w:b/>
          <w:noProof/>
          <w:sz w:val="24"/>
        </w:rPr>
        <w:t>Évolution de la part de la population âgée de 65 ans et plus par région</w:t>
      </w:r>
      <w:r>
        <w:rPr>
          <w:rStyle w:val="FootnoteReference"/>
          <w:rFonts w:ascii="Times New Roman" w:hAnsi="Times New Roman" w:cs="Times New Roman"/>
          <w:b/>
          <w:noProof/>
          <w:sz w:val="24"/>
        </w:rPr>
        <w:footnoteReference w:id="30"/>
      </w:r>
      <w:r>
        <w:rPr>
          <w:rFonts w:ascii="Times New Roman" w:hAnsi="Times New Roman"/>
          <w:b/>
          <w:noProof/>
          <w:sz w:val="24"/>
        </w:rPr>
        <w:t>, 2020-2030</w:t>
      </w:r>
    </w:p>
    <w:p w:rsidR="005F1B1A" w:rsidRDefault="005F1B1A">
      <w:pPr>
        <w:keepNext/>
        <w:spacing w:after="0"/>
        <w:jc w:val="center"/>
        <w:rPr>
          <w:rFonts w:ascii="Times New Roman" w:hAnsi="Times New Roman"/>
          <w:b/>
          <w:noProof/>
          <w:sz w:val="24"/>
        </w:rPr>
      </w:pPr>
    </w:p>
    <w:p w:rsidR="005F1B1A" w:rsidRDefault="00E84E49">
      <w:pPr>
        <w:keepNext/>
        <w:spacing w:after="0"/>
        <w:jc w:val="center"/>
        <w:rPr>
          <w:rFonts w:ascii="Segoe UI" w:hAnsi="Segoe UI" w:cs="Segoe UI"/>
          <w:b/>
          <w:bCs/>
          <w:noProof/>
          <w:lang w:val="fr-BE"/>
        </w:rPr>
      </w:pPr>
      <w:r>
        <w:rPr>
          <w:noProof/>
          <w:lang w:val="fr-BE" w:eastAsia="fr-BE"/>
        </w:rPr>
        <w:drawing>
          <wp:inline distT="0" distB="0" distL="0" distR="0">
            <wp:extent cx="3562184" cy="3825922"/>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70533" cy="3834889"/>
                    </a:xfrm>
                    <a:prstGeom prst="rect">
                      <a:avLst/>
                    </a:prstGeom>
                  </pic:spPr>
                </pic:pic>
              </a:graphicData>
            </a:graphic>
          </wp:inline>
        </w:drawing>
      </w:r>
    </w:p>
    <w:p w:rsidR="005F1B1A" w:rsidRDefault="005F1B1A">
      <w:pPr>
        <w:keepNext/>
        <w:spacing w:after="0"/>
        <w:jc w:val="center"/>
        <w:rPr>
          <w:rFonts w:ascii="Segoe UI" w:hAnsi="Segoe UI" w:cs="Segoe UI"/>
          <w:b/>
          <w:bCs/>
          <w:noProof/>
          <w:lang w:val="fr-BE"/>
        </w:rPr>
      </w:pPr>
    </w:p>
    <w:p w:rsidR="005F1B1A" w:rsidRDefault="00E84E49">
      <w:pPr>
        <w:keepNext/>
        <w:spacing w:after="240"/>
        <w:rPr>
          <w:rFonts w:ascii="Segoe UI" w:hAnsi="Segoe UI" w:cs="Segoe UI"/>
          <w:b/>
          <w:bCs/>
          <w:noProof/>
          <w:lang w:val="fr-BE"/>
        </w:rPr>
      </w:pPr>
      <w:r>
        <w:rPr>
          <w:rFonts w:ascii="Segoe UI" w:hAnsi="Segoe UI" w:cs="Segoe UI"/>
          <w:b/>
          <w:bCs/>
          <w:noProof/>
          <w:lang w:val="fr-BE"/>
        </w:rPr>
        <w:t>Évolution de la part de la population âgée de 65 ans et plus par région NUTS3, 2020-2030</w:t>
      </w:r>
    </w:p>
    <w:p w:rsidR="005F1B1A" w:rsidRDefault="00E84E49">
      <w:pPr>
        <w:spacing w:after="0"/>
        <w:rPr>
          <w:rFonts w:ascii="Segoe UI" w:hAnsi="Segoe UI" w:cs="Segoe UI"/>
          <w:bCs/>
          <w:noProof/>
          <w:sz w:val="20"/>
          <w:lang w:val="fr-BE"/>
        </w:rPr>
      </w:pPr>
      <w:r>
        <w:rPr>
          <w:rFonts w:ascii="Segoe UI" w:hAnsi="Segoe UI" w:cs="Segoe UI"/>
          <w:bCs/>
          <w:noProof/>
          <w:sz w:val="20"/>
          <w:lang w:val="fr-BE"/>
        </w:rPr>
        <w:t>Différence en points de pourcentage</w:t>
      </w:r>
    </w:p>
    <w:p w:rsidR="005F1B1A" w:rsidRDefault="00E84E49">
      <w:pPr>
        <w:rPr>
          <w:rFonts w:ascii="Segoe UI" w:hAnsi="Segoe UI" w:cs="Segoe UI"/>
          <w:b/>
          <w:bCs/>
          <w:noProof/>
          <w:sz w:val="20"/>
        </w:rPr>
      </w:pPr>
      <w:r>
        <w:rPr>
          <w:noProof/>
          <w:lang w:val="fr-BE" w:eastAsia="fr-BE"/>
        </w:rPr>
        <w:drawing>
          <wp:inline distT="0" distB="0" distL="0" distR="0">
            <wp:extent cx="1971675" cy="1381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1675" cy="1381125"/>
                    </a:xfrm>
                    <a:prstGeom prst="rect">
                      <a:avLst/>
                    </a:prstGeom>
                  </pic:spPr>
                </pic:pic>
              </a:graphicData>
            </a:graphic>
          </wp:inline>
        </w:drawing>
      </w:r>
      <w:r>
        <w:rPr>
          <w:rFonts w:ascii="Segoe UI" w:hAnsi="Segoe UI" w:cs="Segoe UI"/>
          <w:b/>
          <w:bCs/>
          <w:noProof/>
          <w:sz w:val="20"/>
          <w:lang w:val="fr-BE"/>
        </w:rPr>
        <w:t xml:space="preserve">  </w:t>
      </w:r>
      <w:r>
        <w:rPr>
          <w:noProof/>
          <w:lang w:val="fr-BE" w:eastAsia="fr-BE"/>
        </w:rPr>
        <w:drawing>
          <wp:inline distT="0" distB="0" distL="0" distR="0">
            <wp:extent cx="2066925" cy="514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6925" cy="514350"/>
                    </a:xfrm>
                    <a:prstGeom prst="rect">
                      <a:avLst/>
                    </a:prstGeom>
                  </pic:spPr>
                </pic:pic>
              </a:graphicData>
            </a:graphic>
          </wp:inline>
        </w:drawing>
      </w:r>
    </w:p>
    <w:p w:rsidR="005F1B1A" w:rsidRDefault="00E84E49">
      <w:pPr>
        <w:rPr>
          <w:rFonts w:ascii="Segoe UI" w:hAnsi="Segoe UI" w:cs="Segoe UI"/>
          <w:b/>
          <w:bCs/>
          <w:noProof/>
          <w:sz w:val="14"/>
          <w:lang w:val="fr-BE"/>
        </w:rPr>
      </w:pPr>
      <w:r>
        <w:rPr>
          <w:rFonts w:ascii="Segoe UI" w:hAnsi="Segoe UI" w:cs="Segoe UI"/>
          <w:b/>
          <w:bCs/>
          <w:noProof/>
          <w:sz w:val="14"/>
          <w:lang w:val="fr-BE"/>
        </w:rPr>
        <w:t>Source :</w:t>
      </w:r>
      <w:r>
        <w:rPr>
          <w:rFonts w:ascii="Segoe UI" w:hAnsi="Segoe UI" w:cs="Segoe UI"/>
          <w:b/>
          <w:bCs/>
          <w:noProof/>
          <w:sz w:val="14"/>
          <w:lang w:val="fr-BE"/>
        </w:rPr>
        <w:t xml:space="preserve"> DG REGIO, sur la base des projections d’Eurostat</w:t>
      </w:r>
    </w:p>
    <w:p w:rsidR="005F1B1A" w:rsidRDefault="005F1B1A">
      <w:pPr>
        <w:spacing w:after="0"/>
        <w:jc w:val="center"/>
        <w:rPr>
          <w:rFonts w:ascii="Times New Roman" w:hAnsi="Times New Roman" w:cs="Times New Roman"/>
          <w:noProof/>
          <w:sz w:val="24"/>
          <w:szCs w:val="24"/>
          <w:lang w:val="fr-BE"/>
        </w:rPr>
      </w:pPr>
    </w:p>
    <w:p w:rsidR="005F1B1A" w:rsidRDefault="00E84E49">
      <w:pPr>
        <w:spacing w:after="160"/>
        <w:jc w:val="both"/>
        <w:rPr>
          <w:rFonts w:ascii="Times New Roman" w:hAnsi="Times New Roman" w:cs="Times New Roman"/>
          <w:noProof/>
          <w:sz w:val="24"/>
          <w:szCs w:val="24"/>
        </w:rPr>
      </w:pPr>
      <w:r>
        <w:rPr>
          <w:rFonts w:ascii="Times New Roman" w:hAnsi="Times New Roman"/>
          <w:noProof/>
          <w:sz w:val="24"/>
          <w:szCs w:val="24"/>
        </w:rPr>
        <w:t>La flambée de coronavirus a mis au jour la vulnérabilité des personnes âgées face aux pandémies et aux autres maladies, notamment parce qu’elles sont plus susceptibles de souffrir déjà d’une maladie sous-jacente. Elle a également mis en exergue la nécessit</w:t>
      </w:r>
      <w:r>
        <w:rPr>
          <w:rFonts w:ascii="Times New Roman" w:hAnsi="Times New Roman"/>
          <w:noProof/>
          <w:sz w:val="24"/>
          <w:szCs w:val="24"/>
        </w:rPr>
        <w:t xml:space="preserve">é de systèmes de santé publique solides et la nécessité de renforcer les capacités des unités de soins intensifs. </w:t>
      </w:r>
    </w:p>
    <w:p w:rsidR="005F1B1A" w:rsidRDefault="00E84E49">
      <w:pPr>
        <w:spacing w:after="160"/>
        <w:jc w:val="both"/>
        <w:rPr>
          <w:rFonts w:ascii="Times New Roman" w:hAnsi="Times New Roman" w:cs="Times New Roman"/>
          <w:noProof/>
          <w:sz w:val="24"/>
          <w:szCs w:val="24"/>
        </w:rPr>
      </w:pPr>
      <w:r>
        <w:rPr>
          <w:rFonts w:ascii="Times New Roman" w:hAnsi="Times New Roman"/>
          <w:noProof/>
          <w:sz w:val="24"/>
          <w:szCs w:val="24"/>
        </w:rPr>
        <w:t>Des systèmes de santé plus résilients nécessitent des investissements et un soutien financier en adéquation avec leur rôle de premier plan. C</w:t>
      </w:r>
      <w:r>
        <w:rPr>
          <w:rFonts w:ascii="Times New Roman" w:hAnsi="Times New Roman"/>
          <w:noProof/>
          <w:sz w:val="24"/>
          <w:szCs w:val="24"/>
        </w:rPr>
        <w:t>’est la raison pour laquelle la Commission a récemment proposé un programme autonome «UE pour la santé» (EU4Health Programme) pour aider les États membres et l’UE à renforcer leurs capacités de préparation et de réaction</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Ce programme contribuera à concré</w:t>
      </w:r>
      <w:r>
        <w:rPr>
          <w:rFonts w:ascii="Times New Roman" w:hAnsi="Times New Roman"/>
          <w:noProof/>
          <w:sz w:val="24"/>
          <w:szCs w:val="24"/>
        </w:rPr>
        <w:t>tiser la vision à long terme de systèmes de santé publique fonctionnels et résilients, notamment en investissant dans la prévention et la surveillance des maladies et en améliorant l’accès aux soins de santé, aux diagnostics et aux traitements pour tous. I</w:t>
      </w:r>
      <w:r>
        <w:rPr>
          <w:rFonts w:ascii="Times New Roman" w:hAnsi="Times New Roman"/>
          <w:noProof/>
          <w:sz w:val="24"/>
          <w:szCs w:val="24"/>
        </w:rPr>
        <w:t>l peut également constituer le point de départ d’un débat sur ce que nous pouvons faire de plus ensemble pour faire face aux crises, mais aussi, plus généralement, dans le secteur de la santé.</w:t>
      </w:r>
    </w:p>
    <w:p w:rsidR="005F1B1A" w:rsidRDefault="00E84E49">
      <w:pPr>
        <w:spacing w:after="160"/>
        <w:jc w:val="both"/>
        <w:rPr>
          <w:rFonts w:ascii="Times New Roman" w:hAnsi="Times New Roman" w:cs="Times New Roman"/>
          <w:i/>
          <w:noProof/>
          <w:sz w:val="24"/>
          <w:szCs w:val="24"/>
        </w:rPr>
      </w:pPr>
      <w:r>
        <w:rPr>
          <w:rFonts w:ascii="Times New Roman" w:hAnsi="Times New Roman"/>
          <w:b/>
          <w:noProof/>
          <w:sz w:val="24"/>
          <w:szCs w:val="24"/>
        </w:rPr>
        <w:t>La charge croissante des maladies chroniques représentera égale</w:t>
      </w:r>
      <w:r>
        <w:rPr>
          <w:rFonts w:ascii="Times New Roman" w:hAnsi="Times New Roman"/>
          <w:b/>
          <w:noProof/>
          <w:sz w:val="24"/>
          <w:szCs w:val="24"/>
        </w:rPr>
        <w:t>ment un défi pour les systèmes de santé en Europe.</w:t>
      </w:r>
      <w:r>
        <w:rPr>
          <w:rFonts w:ascii="Times New Roman" w:hAnsi="Times New Roman"/>
          <w:noProof/>
          <w:sz w:val="24"/>
          <w:szCs w:val="24"/>
        </w:rPr>
        <w:t xml:space="preserve"> Ces maladies représentent déjà, selon les estimations, entre 70 et 80 % des frais de santé</w:t>
      </w:r>
      <w:r>
        <w:rPr>
          <w:rStyle w:val="FootnoteReference"/>
          <w:rFonts w:ascii="Times New Roman" w:hAnsi="Times New Roman" w:cs="Times New Roman"/>
          <w:noProof/>
          <w:sz w:val="24"/>
          <w:szCs w:val="24"/>
        </w:rPr>
        <w:footnoteReference w:id="32"/>
      </w:r>
      <w:r>
        <w:rPr>
          <w:noProof/>
        </w:rPr>
        <w:t>.</w:t>
      </w:r>
      <w:r>
        <w:rPr>
          <w:rFonts w:ascii="Times New Roman" w:hAnsi="Times New Roman"/>
          <w:i/>
          <w:noProof/>
          <w:sz w:val="24"/>
          <w:szCs w:val="24"/>
        </w:rPr>
        <w:t xml:space="preserve"> </w:t>
      </w:r>
      <w:r>
        <w:rPr>
          <w:rFonts w:ascii="Times New Roman" w:hAnsi="Times New Roman"/>
          <w:noProof/>
          <w:sz w:val="24"/>
          <w:szCs w:val="24"/>
        </w:rPr>
        <w:t>À l’heure actuelle, environ 50 millions de citoyens européens souffrent de deux pathologies chroniques ou plus</w:t>
      </w:r>
      <w:r>
        <w:rPr>
          <w:rFonts w:ascii="Times New Roman" w:hAnsi="Times New Roman" w:cs="Times New Roman"/>
          <w:noProof/>
          <w:sz w:val="24"/>
          <w:szCs w:val="24"/>
          <w:vertAlign w:val="superscript"/>
        </w:rPr>
        <w:footnoteReference w:id="33"/>
      </w:r>
      <w:r>
        <w:rPr>
          <w:rFonts w:ascii="Times New Roman" w:hAnsi="Times New Roman"/>
          <w:noProof/>
          <w:sz w:val="24"/>
          <w:szCs w:val="24"/>
        </w:rPr>
        <w:t>,</w:t>
      </w:r>
      <w:r>
        <w:rPr>
          <w:rFonts w:ascii="Times New Roman" w:hAnsi="Times New Roman"/>
          <w:noProof/>
          <w:sz w:val="24"/>
          <w:szCs w:val="24"/>
        </w:rPr>
        <w:t xml:space="preserve"> la plupart d’entre eux ayant plus de 65 ans. Dans le cadre des efforts visant à renforcer la prévention, la stratégie «</w:t>
      </w:r>
      <w:r>
        <w:rPr>
          <w:rFonts w:ascii="Times New Roman" w:hAnsi="Times New Roman"/>
          <w:b/>
          <w:noProof/>
          <w:sz w:val="24"/>
          <w:szCs w:val="24"/>
        </w:rPr>
        <w:t>De la ferme à la table</w:t>
      </w:r>
      <w:r>
        <w:rPr>
          <w:rStyle w:val="FootnoteReference"/>
          <w:rFonts w:ascii="Times New Roman" w:hAnsi="Times New Roman" w:cs="Times New Roman"/>
          <w:b/>
          <w:noProof/>
          <w:sz w:val="24"/>
          <w:szCs w:val="24"/>
        </w:rPr>
        <w:footnoteReference w:id="34"/>
      </w:r>
      <w:r>
        <w:rPr>
          <w:rFonts w:ascii="Times New Roman" w:hAnsi="Times New Roman"/>
          <w:noProof/>
          <w:sz w:val="24"/>
          <w:szCs w:val="24"/>
        </w:rPr>
        <w:t xml:space="preserve">» vise à doter les Européens de plus d’informations et à les aider à faire de meilleurs choix en matière d’alimentation. Compte tenu des risques plus élevés liés aux maladies chroniques, les travaux sur le </w:t>
      </w:r>
      <w:r>
        <w:rPr>
          <w:rFonts w:ascii="Times New Roman" w:hAnsi="Times New Roman"/>
          <w:b/>
          <w:noProof/>
          <w:sz w:val="24"/>
          <w:szCs w:val="24"/>
        </w:rPr>
        <w:t>plan européen de lutte contre le cancer</w:t>
      </w:r>
      <w:r>
        <w:rPr>
          <w:rFonts w:ascii="Times New Roman" w:hAnsi="Times New Roman"/>
          <w:noProof/>
          <w:sz w:val="24"/>
          <w:szCs w:val="24"/>
        </w:rPr>
        <w:t xml:space="preserve"> seront ess</w:t>
      </w:r>
      <w:r>
        <w:rPr>
          <w:rFonts w:ascii="Times New Roman" w:hAnsi="Times New Roman"/>
          <w:noProof/>
          <w:sz w:val="24"/>
          <w:szCs w:val="24"/>
        </w:rPr>
        <w:t>entiels pour notre santé et celle de nos systèmes de santé. Le sport et l’activité physique peuvent également jouer un rôle important dans la prévention et la promotion de la santé.</w:t>
      </w:r>
    </w:p>
    <w:p w:rsidR="005F1B1A" w:rsidRDefault="00E84E49">
      <w:pPr>
        <w:spacing w:after="160"/>
        <w:jc w:val="both"/>
        <w:rPr>
          <w:rFonts w:ascii="Times New Roman" w:hAnsi="Times New Roman" w:cs="Times New Roman"/>
          <w:noProof/>
          <w:sz w:val="24"/>
          <w:szCs w:val="24"/>
        </w:rPr>
      </w:pPr>
      <w:r>
        <w:rPr>
          <w:rFonts w:ascii="Times New Roman" w:hAnsi="Times New Roman"/>
          <w:noProof/>
          <w:sz w:val="24"/>
          <w:szCs w:val="24"/>
        </w:rPr>
        <w:t xml:space="preserve">La demande en personnel professionnel devrait augmenter en fonction de la </w:t>
      </w:r>
      <w:r>
        <w:rPr>
          <w:rFonts w:ascii="Times New Roman" w:hAnsi="Times New Roman"/>
          <w:noProof/>
          <w:sz w:val="24"/>
          <w:szCs w:val="24"/>
        </w:rPr>
        <w:t>demande en soins de santé et en soins de longue durée. Il existe déjà des signes de pénuries de main-d’œuvre</w:t>
      </w:r>
      <w:r>
        <w:rPr>
          <w:rFonts w:ascii="Times New Roman" w:hAnsi="Times New Roman" w:cs="Times New Roman"/>
          <w:iCs/>
          <w:noProof/>
          <w:sz w:val="24"/>
          <w:szCs w:val="24"/>
          <w:vertAlign w:val="superscript"/>
        </w:rPr>
        <w:footnoteReference w:id="35"/>
      </w:r>
      <w:r>
        <w:rPr>
          <w:rFonts w:ascii="Times New Roman" w:hAnsi="Times New Roman"/>
          <w:noProof/>
          <w:sz w:val="24"/>
          <w:szCs w:val="24"/>
        </w:rPr>
        <w:t xml:space="preserve"> dans le secteur de la santé</w:t>
      </w:r>
      <w:r>
        <w:rPr>
          <w:rFonts w:ascii="Times New Roman" w:hAnsi="Times New Roman" w:cs="Times New Roman"/>
          <w:noProof/>
          <w:sz w:val="24"/>
          <w:szCs w:val="24"/>
          <w:vertAlign w:val="superscript"/>
        </w:rPr>
        <w:footnoteReference w:id="36"/>
      </w:r>
      <w:r>
        <w:rPr>
          <w:rFonts w:ascii="Times New Roman" w:hAnsi="Times New Roman"/>
          <w:noProof/>
          <w:sz w:val="24"/>
          <w:szCs w:val="24"/>
        </w:rPr>
        <w:t xml:space="preserve"> et des soins de longue durée. Les travaux en cours de l’OCDE sur le personnel employé dans le secteur des soins de lo</w:t>
      </w:r>
      <w:r>
        <w:rPr>
          <w:rFonts w:ascii="Times New Roman" w:hAnsi="Times New Roman"/>
          <w:noProof/>
          <w:sz w:val="24"/>
          <w:szCs w:val="24"/>
        </w:rPr>
        <w:t>ngue durée</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xml:space="preserve"> soulignent l’importance d’améliorer les conditions de travail dans ce secteur et de rendre les tâches des travailleurs plus attrayantes. Bien que nous ayons assisté à une augmentation du nombre des médecins et des infirmières au cours des dix d</w:t>
      </w:r>
      <w:r>
        <w:rPr>
          <w:rFonts w:ascii="Times New Roman" w:hAnsi="Times New Roman"/>
          <w:noProof/>
          <w:sz w:val="24"/>
          <w:szCs w:val="24"/>
        </w:rPr>
        <w:t xml:space="preserve">ernières années dans presque tous les pays de l’UE, les pénuries de médecins généralistes persistent, en particulier dans les régions rurales et isolées et dans les régions ultrapériphériques. </w:t>
      </w:r>
    </w:p>
    <w:p w:rsidR="005F1B1A" w:rsidRDefault="00E84E49">
      <w:pPr>
        <w:spacing w:after="160"/>
        <w:jc w:val="both"/>
        <w:rPr>
          <w:rFonts w:ascii="Times New Roman" w:hAnsi="Times New Roman" w:cs="Times New Roman"/>
          <w:noProof/>
          <w:sz w:val="24"/>
          <w:szCs w:val="24"/>
        </w:rPr>
      </w:pPr>
      <w:r>
        <w:rPr>
          <w:rFonts w:ascii="Times New Roman" w:hAnsi="Times New Roman"/>
          <w:noProof/>
          <w:sz w:val="24"/>
          <w:szCs w:val="24"/>
        </w:rPr>
        <w:t xml:space="preserve">Le principal défi consiste à </w:t>
      </w:r>
      <w:r>
        <w:rPr>
          <w:rFonts w:ascii="Times New Roman" w:hAnsi="Times New Roman"/>
          <w:b/>
          <w:noProof/>
          <w:sz w:val="24"/>
          <w:szCs w:val="24"/>
        </w:rPr>
        <w:t>répondre à une demande croissante</w:t>
      </w:r>
      <w:r>
        <w:rPr>
          <w:rFonts w:ascii="Times New Roman" w:hAnsi="Times New Roman"/>
          <w:b/>
          <w:noProof/>
          <w:sz w:val="24"/>
          <w:szCs w:val="24"/>
        </w:rPr>
        <w:t xml:space="preserve"> de services de santé et de soins de longue durée suffisants, accessibles, de bonne qualité et abordables, comme le prévoit le socle européen des droits sociaux</w:t>
      </w:r>
      <w:r>
        <w:rPr>
          <w:rFonts w:ascii="Times New Roman" w:hAnsi="Times New Roman"/>
          <w:noProof/>
          <w:sz w:val="24"/>
          <w:szCs w:val="24"/>
        </w:rPr>
        <w:t>. Un niveau élevé de protection de la santé humaine</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xml:space="preserve"> nécessite des infrastructures adéquates, te</w:t>
      </w:r>
      <w:r>
        <w:rPr>
          <w:rFonts w:ascii="Times New Roman" w:hAnsi="Times New Roman"/>
          <w:noProof/>
          <w:sz w:val="24"/>
          <w:szCs w:val="24"/>
        </w:rPr>
        <w:t>lles que des hôpitaux, des établissements de soins de longue durée et des logements adaptés et équipés pour les personnes âgées. Contrairement aux soins de santé, la protection sociale pour les soins de longue durée n’existe pas dans tous les États membres</w:t>
      </w:r>
      <w:r>
        <w:rPr>
          <w:rFonts w:ascii="Times New Roman" w:hAnsi="Times New Roman"/>
          <w:noProof/>
          <w:sz w:val="24"/>
          <w:szCs w:val="24"/>
        </w:rPr>
        <w:t>. Les soins formels de longue durée sont onéreux et sont souvent pris en charge par la personne dans le besoin ou par sa famille. Étant donné que la population européenne vieillit et que la taille des ménages est de plus en plus réduite, cela pourrait deve</w:t>
      </w:r>
      <w:r>
        <w:rPr>
          <w:rFonts w:ascii="Times New Roman" w:hAnsi="Times New Roman"/>
          <w:noProof/>
          <w:sz w:val="24"/>
          <w:szCs w:val="24"/>
        </w:rPr>
        <w:t>nir un défi permanent pour beaucoup d’entre eux.</w:t>
      </w:r>
    </w:p>
    <w:p w:rsidR="005F1B1A" w:rsidRDefault="00E84E49">
      <w:pPr>
        <w:spacing w:after="160"/>
        <w:jc w:val="both"/>
        <w:rPr>
          <w:rFonts w:ascii="Times New Roman" w:hAnsi="Times New Roman" w:cs="Times New Roman"/>
          <w:noProof/>
          <w:sz w:val="24"/>
          <w:szCs w:val="24"/>
        </w:rPr>
      </w:pPr>
      <w:r>
        <w:rPr>
          <w:rFonts w:ascii="Times New Roman" w:hAnsi="Times New Roman"/>
          <w:b/>
          <w:noProof/>
          <w:sz w:val="24"/>
          <w:szCs w:val="24"/>
        </w:rPr>
        <w:t>L’émergence d’une «</w:t>
      </w:r>
      <w:r>
        <w:rPr>
          <w:rFonts w:ascii="Times New Roman" w:hAnsi="Times New Roman"/>
          <w:b/>
          <w:i/>
          <w:noProof/>
          <w:sz w:val="24"/>
          <w:szCs w:val="24"/>
        </w:rPr>
        <w:t>économie des seniors</w:t>
      </w:r>
      <w:r>
        <w:rPr>
          <w:rFonts w:ascii="Times New Roman" w:hAnsi="Times New Roman"/>
          <w:b/>
          <w:noProof/>
          <w:sz w:val="24"/>
          <w:szCs w:val="24"/>
        </w:rPr>
        <w:t xml:space="preserve">» peut offrir des possibilités aux secteurs des soins de santé et de longue durée. </w:t>
      </w:r>
      <w:r>
        <w:rPr>
          <w:rFonts w:ascii="Times New Roman" w:hAnsi="Times New Roman"/>
          <w:noProof/>
          <w:sz w:val="24"/>
          <w:szCs w:val="24"/>
        </w:rPr>
        <w:t>Elle peut constituer un moteur de l’innovation pour contribuer à fournir des services</w:t>
      </w:r>
      <w:r>
        <w:rPr>
          <w:rFonts w:ascii="Times New Roman" w:hAnsi="Times New Roman"/>
          <w:noProof/>
          <w:sz w:val="24"/>
          <w:szCs w:val="24"/>
        </w:rPr>
        <w:t xml:space="preserve"> de soins de qualité de manière plus efficace. La numérisation peut offrir aux personnes âgées la possibilité de contrôler de manière autonome leur état de santé. L’incidence des technologies numériques dans le domaine des soins de santé peut se traduire p</w:t>
      </w:r>
      <w:r>
        <w:rPr>
          <w:rFonts w:ascii="Times New Roman" w:hAnsi="Times New Roman"/>
          <w:noProof/>
          <w:sz w:val="24"/>
          <w:szCs w:val="24"/>
        </w:rPr>
        <w:t>ar un gain sur trois tableaux: amélioration de la qualité de la vie, efficacité accrue des soins de santé et de longue durée, et croissance du marché et développement de l’industrie</w:t>
      </w:r>
      <w:r>
        <w:rPr>
          <w:rFonts w:ascii="Times New Roman" w:hAnsi="Times New Roman" w:cs="Times New Roman"/>
          <w:noProof/>
          <w:sz w:val="24"/>
          <w:szCs w:val="24"/>
          <w:vertAlign w:val="superscript"/>
        </w:rPr>
        <w:footnoteReference w:id="39"/>
      </w:r>
      <w:r>
        <w:rPr>
          <w:rFonts w:ascii="Times New Roman" w:hAnsi="Times New Roman"/>
          <w:noProof/>
          <w:sz w:val="24"/>
          <w:szCs w:val="24"/>
        </w:rPr>
        <w:t xml:space="preserve">. La recherche et l’innovation seront essentielles à cet égard. </w:t>
      </w:r>
    </w:p>
    <w:p w:rsidR="005F1B1A" w:rsidRDefault="00E84E49">
      <w:pPr>
        <w:pStyle w:val="Heading2"/>
        <w:keepNext/>
        <w:rPr>
          <w:noProof/>
        </w:rPr>
      </w:pPr>
      <w:bookmarkStart w:id="49" w:name="_Toc32414445"/>
      <w:bookmarkStart w:id="50" w:name="_Toc32444156"/>
      <w:bookmarkStart w:id="51" w:name="_Toc33800406"/>
      <w:bookmarkStart w:id="52" w:name="_Toc43216585"/>
      <w:r>
        <w:rPr>
          <w:noProof/>
        </w:rPr>
        <w:t xml:space="preserve">3.3. </w:t>
      </w:r>
      <w:bookmarkEnd w:id="49"/>
      <w:bookmarkEnd w:id="50"/>
      <w:bookmarkEnd w:id="51"/>
      <w:r>
        <w:rPr>
          <w:noProof/>
        </w:rPr>
        <w:t>L’IN</w:t>
      </w:r>
      <w:r>
        <w:rPr>
          <w:noProof/>
        </w:rPr>
        <w:t>CIDENCE SUR LES BUDGETS PUBLICS</w:t>
      </w:r>
      <w:bookmarkEnd w:id="52"/>
    </w:p>
    <w:p w:rsidR="005F1B1A" w:rsidRDefault="00E84E49">
      <w:pPr>
        <w:keepLines/>
        <w:jc w:val="both"/>
        <w:rPr>
          <w:rFonts w:ascii="Times New Roman" w:hAnsi="Times New Roman" w:cs="Times New Roman"/>
          <w:b/>
          <w:noProof/>
          <w:sz w:val="24"/>
          <w:szCs w:val="24"/>
        </w:rPr>
      </w:pPr>
      <w:r>
        <w:rPr>
          <w:rFonts w:ascii="Times New Roman" w:hAnsi="Times New Roman"/>
          <w:b/>
          <w:noProof/>
          <w:sz w:val="24"/>
          <w:szCs w:val="24"/>
        </w:rPr>
        <w:t>Une Europe plus âgée, dotée d’une main-d’œuvre plus réduite, devrait accroître la pression sur les budgets publics</w:t>
      </w:r>
      <w:r>
        <w:rPr>
          <w:rFonts w:ascii="Times New Roman" w:hAnsi="Times New Roman"/>
          <w:noProof/>
          <w:sz w:val="24"/>
          <w:szCs w:val="24"/>
        </w:rPr>
        <w:t>, alors que les efforts de reprise nécessitent un financement important. Avant la crise, le coût total du viei</w:t>
      </w:r>
      <w:r>
        <w:rPr>
          <w:rFonts w:ascii="Times New Roman" w:hAnsi="Times New Roman"/>
          <w:noProof/>
          <w:sz w:val="24"/>
          <w:szCs w:val="24"/>
        </w:rPr>
        <w:t>llissement</w:t>
      </w:r>
      <w:r>
        <w:rPr>
          <w:rFonts w:ascii="Times New Roman" w:hAnsi="Times New Roman" w:cs="Times New Roman"/>
          <w:noProof/>
          <w:sz w:val="24"/>
          <w:szCs w:val="24"/>
          <w:vertAlign w:val="superscript"/>
        </w:rPr>
        <w:footnoteReference w:id="40"/>
      </w:r>
      <w:r>
        <w:rPr>
          <w:rFonts w:ascii="Times New Roman" w:hAnsi="Times New Roman"/>
          <w:noProof/>
          <w:sz w:val="24"/>
          <w:szCs w:val="24"/>
        </w:rPr>
        <w:t xml:space="preserve"> dans l’UE devait représenter 26,6 % du PIB d’ici à 2070.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L’Europe sera confrontée à un défi majeur en ce qui concerne le financement de ses dépenses liées à l’âge, d’une manière qui soit également </w:t>
      </w:r>
      <w:r>
        <w:rPr>
          <w:rFonts w:ascii="Times New Roman" w:hAnsi="Times New Roman"/>
          <w:b/>
          <w:noProof/>
          <w:sz w:val="24"/>
          <w:szCs w:val="24"/>
        </w:rPr>
        <w:t>équitable entre les générations</w:t>
      </w:r>
      <w:r>
        <w:rPr>
          <w:rFonts w:ascii="Times New Roman" w:hAnsi="Times New Roman"/>
          <w:noProof/>
          <w:sz w:val="24"/>
          <w:szCs w:val="24"/>
        </w:rPr>
        <w:t xml:space="preserve">. En effet, le </w:t>
      </w:r>
      <w:r>
        <w:rPr>
          <w:rFonts w:ascii="Times New Roman" w:hAnsi="Times New Roman"/>
          <w:noProof/>
          <w:sz w:val="24"/>
          <w:szCs w:val="24"/>
        </w:rPr>
        <w:t>rapport entre les impôts et les cotisations de sécurité sociale, d’une part, et les bénéficiaires d’une pension ou d’une rente, d’autre part, diminue rapidement. En 2019, il y avait en moyenne 2,9 personnes en âge de travailler pour une personne de plus de</w:t>
      </w:r>
      <w:r>
        <w:rPr>
          <w:rFonts w:ascii="Times New Roman" w:hAnsi="Times New Roman"/>
          <w:noProof/>
          <w:sz w:val="24"/>
          <w:szCs w:val="24"/>
        </w:rPr>
        <w:t xml:space="preserve"> 65 ans. En 2070, ce ratio devrait tomber à 1,7. </w:t>
      </w:r>
    </w:p>
    <w:p w:rsidR="005F1B1A" w:rsidRDefault="00E84E49">
      <w:pPr>
        <w:jc w:val="both"/>
        <w:rPr>
          <w:rFonts w:ascii="Times New Roman" w:hAnsi="Times New Roman" w:cs="Times New Roman"/>
          <w:i/>
          <w:noProof/>
          <w:sz w:val="24"/>
          <w:szCs w:val="24"/>
        </w:rPr>
      </w:pPr>
      <w:r>
        <w:rPr>
          <w:rFonts w:ascii="Times New Roman" w:hAnsi="Times New Roman"/>
          <w:noProof/>
          <w:sz w:val="24"/>
          <w:szCs w:val="24"/>
        </w:rPr>
        <w:t xml:space="preserve">Alors que la plupart des dépenses liées à l’âge seront consacrées à la santé et aux soins de longue durée, les dépenses liées aux retraites publiques devraient également augmenter par rapport au PIB jusqu’en 2040. Grâce à l’incidence des </w:t>
      </w:r>
      <w:r>
        <w:rPr>
          <w:rFonts w:ascii="Times New Roman" w:hAnsi="Times New Roman"/>
          <w:b/>
          <w:noProof/>
          <w:sz w:val="24"/>
          <w:szCs w:val="24"/>
        </w:rPr>
        <w:t>réformes substanti</w:t>
      </w:r>
      <w:r>
        <w:rPr>
          <w:rFonts w:ascii="Times New Roman" w:hAnsi="Times New Roman"/>
          <w:b/>
          <w:noProof/>
          <w:sz w:val="24"/>
          <w:szCs w:val="24"/>
        </w:rPr>
        <w:t>elles des régimes de retraite dans la plupart des États membres</w:t>
      </w:r>
      <w:r>
        <w:rPr>
          <w:rFonts w:ascii="Times New Roman" w:hAnsi="Times New Roman"/>
          <w:noProof/>
          <w:sz w:val="24"/>
          <w:szCs w:val="24"/>
        </w:rPr>
        <w:t>, il est estimé que ces dépenses devraient ensuite augmenter plus lentement que le PIB, pour revenir approximativement à la même proportion du PIB qu’en 2016, bien que, dans un certain nombre d</w:t>
      </w:r>
      <w:r>
        <w:rPr>
          <w:rFonts w:ascii="Times New Roman" w:hAnsi="Times New Roman"/>
          <w:noProof/>
          <w:sz w:val="24"/>
          <w:szCs w:val="24"/>
        </w:rPr>
        <w:t xml:space="preserve">’États membres, les récentes réformes des régimes de retraite conduiront à des dépenses plus élevées dans le domaine des retraites. </w:t>
      </w:r>
      <w:r>
        <w:rPr>
          <w:rFonts w:ascii="Times New Roman" w:hAnsi="Times New Roman"/>
          <w:b/>
          <w:noProof/>
          <w:sz w:val="24"/>
          <w:szCs w:val="24"/>
        </w:rPr>
        <w:t>Les décideurs politiques doivent faire face à un degré élevé d’incertitude</w:t>
      </w:r>
      <w:r>
        <w:rPr>
          <w:rFonts w:ascii="Times New Roman" w:hAnsi="Times New Roman"/>
          <w:noProof/>
          <w:sz w:val="24"/>
          <w:szCs w:val="24"/>
        </w:rPr>
        <w:t xml:space="preserve"> lorsqu’ils conçoivent des solutions à ces questio</w:t>
      </w:r>
      <w:r>
        <w:rPr>
          <w:rFonts w:ascii="Times New Roman" w:hAnsi="Times New Roman"/>
          <w:noProof/>
          <w:sz w:val="24"/>
          <w:szCs w:val="24"/>
        </w:rPr>
        <w:t>ns. La façon dont les dépenses publiques évolueront dépend non seulement des tendances démographiques, mais aussi d’autres facteurs tels que le progrès technologique dans les diagnostics, les traitements, les produits pharmaceutiques et les dispositifs méd</w:t>
      </w:r>
      <w:r>
        <w:rPr>
          <w:rFonts w:ascii="Times New Roman" w:hAnsi="Times New Roman"/>
          <w:noProof/>
          <w:sz w:val="24"/>
          <w:szCs w:val="24"/>
        </w:rPr>
        <w:t>icaux, ou encore l’augmentation de la demande en soins de santé et de longue durée publics</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Tous ces éléments entraînent des coûts supplémentaires à moyen et à long terme. À politique inchangée, une pression croissante sera également exercée sur les dépen</w:t>
      </w:r>
      <w:r>
        <w:rPr>
          <w:rFonts w:ascii="Times New Roman" w:hAnsi="Times New Roman"/>
          <w:noProof/>
          <w:sz w:val="24"/>
          <w:szCs w:val="24"/>
        </w:rPr>
        <w:t xml:space="preserve">ses privées, dans la mesure où les personnes recevant des soins de longue durée pourraient avoir à supporter une part plus importante des coûts totaux.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La plupart des projections existantes fonctionnent principalement en fixant à 65 ans l’âge limite maxim</w:t>
      </w:r>
      <w:r>
        <w:rPr>
          <w:rFonts w:ascii="Times New Roman" w:hAnsi="Times New Roman"/>
          <w:noProof/>
          <w:sz w:val="24"/>
          <w:szCs w:val="24"/>
        </w:rPr>
        <w:t>al de ceux appartenant au groupe de population en âge de travailler. Toutefois, à l’avenir, un plus grand nombre de personnes continueront d’occuper un emploi plus tard dans la vie. La fixation d’une limite supérieure modifie considérablement les projectio</w:t>
      </w:r>
      <w:r>
        <w:rPr>
          <w:rFonts w:ascii="Times New Roman" w:hAnsi="Times New Roman"/>
          <w:noProof/>
          <w:sz w:val="24"/>
          <w:szCs w:val="24"/>
        </w:rPr>
        <w:t>ns. Toutefois, toutes les données montrent l’importance de bonnes conditions de travail, de solides systèmes de santé publique, d’un apprentissage tout au long de la vie et de la poursuite des investissements dans les compétences et l’éducation.</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La pauvret</w:t>
      </w:r>
      <w:r>
        <w:rPr>
          <w:rFonts w:ascii="Times New Roman" w:hAnsi="Times New Roman"/>
          <w:b/>
          <w:noProof/>
          <w:sz w:val="24"/>
          <w:szCs w:val="24"/>
        </w:rPr>
        <w:t>é des personnes âgées risque d’être de plus en plus préoccupante à mesure que l’évolution démographique se poursuit</w:t>
      </w:r>
      <w:r>
        <w:rPr>
          <w:rFonts w:ascii="Times New Roman" w:hAnsi="Times New Roman"/>
          <w:noProof/>
          <w:sz w:val="24"/>
          <w:szCs w:val="24"/>
        </w:rPr>
        <w:t>. Aujourd’hui, la majorité des retraités perçoivent un revenu issu des pensions qui leur permet de maintenir leur niveau de vie et les protèg</w:t>
      </w:r>
      <w:r>
        <w:rPr>
          <w:rFonts w:ascii="Times New Roman" w:hAnsi="Times New Roman"/>
          <w:noProof/>
          <w:sz w:val="24"/>
          <w:szCs w:val="24"/>
        </w:rPr>
        <w:t>e contre la pauvreté des personnes âgées</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Cela ne signifie pas que la pauvreté des personnes âgées a été éradiquée chez les plus de 64 ans. En 2018, dans l’UE-27, 15,5 % des personnes âgées de 65 ans ou plus étaient exposées au risque de pauvreté</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 xml:space="preserve">Les </w:t>
      </w:r>
      <w:r>
        <w:rPr>
          <w:rFonts w:ascii="Times New Roman" w:hAnsi="Times New Roman"/>
          <w:b/>
          <w:noProof/>
          <w:sz w:val="24"/>
          <w:szCs w:val="24"/>
        </w:rPr>
        <w:t>femmes sont plus susceptibles d’être touchées par la pauvreté des personnes âgées.</w:t>
      </w:r>
      <w:r>
        <w:rPr>
          <w:rFonts w:ascii="Times New Roman" w:hAnsi="Times New Roman"/>
          <w:b/>
          <w:noProof/>
          <w:sz w:val="24"/>
        </w:rPr>
        <w:t xml:space="preserve"> </w:t>
      </w:r>
      <w:r>
        <w:rPr>
          <w:rFonts w:ascii="Times New Roman" w:hAnsi="Times New Roman"/>
          <w:noProof/>
          <w:sz w:val="24"/>
          <w:szCs w:val="24"/>
        </w:rPr>
        <w:t>En effet, elles ont tendance à avoir des taux d’emploi plus faibles, à compter davantage d’interruptions de carrière, à avoir des salaires plus faibles et à travailler davan</w:t>
      </w:r>
      <w:r>
        <w:rPr>
          <w:rFonts w:ascii="Times New Roman" w:hAnsi="Times New Roman"/>
          <w:noProof/>
          <w:sz w:val="24"/>
          <w:szCs w:val="24"/>
        </w:rPr>
        <w:t>tage à temps partiel</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xml:space="preserve"> et dans le cadre d’un travail temporaire</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 xml:space="preserve">. Les femmes perçoivent des pensions mensuelles d’environ un tiers inférieures à celles des hommes, alors qu’elles ont une espérance de vie plus longue. </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 xml:space="preserve">Les personnes handicapées, qui sont un </w:t>
      </w:r>
      <w:r>
        <w:rPr>
          <w:rFonts w:ascii="Times New Roman" w:hAnsi="Times New Roman"/>
          <w:b/>
          <w:noProof/>
          <w:sz w:val="24"/>
          <w:szCs w:val="24"/>
        </w:rPr>
        <w:t xml:space="preserve">groupe à risque élevé de pauvreté, peuvent être confrontées à des risques supplémentaires. </w:t>
      </w:r>
      <w:r>
        <w:rPr>
          <w:rFonts w:ascii="Times New Roman" w:hAnsi="Times New Roman"/>
          <w:noProof/>
          <w:sz w:val="24"/>
          <w:szCs w:val="24"/>
        </w:rPr>
        <w:t>Les personnes en âge de travailler qui souffrent d’un handicap peuvent souvent bénéficier de prestations et d’un soutien spécifiques. Toutefois, lorsqu’elles atteign</w:t>
      </w:r>
      <w:r>
        <w:rPr>
          <w:rFonts w:ascii="Times New Roman" w:hAnsi="Times New Roman"/>
          <w:noProof/>
          <w:sz w:val="24"/>
          <w:szCs w:val="24"/>
        </w:rPr>
        <w:t xml:space="preserve">ent l’âge de la retraite, elles peuvent ne plus être éligibles, ce qui peut constituer une cause supplémentaire de pauvreté ou d’exclusion sociale. </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 xml:space="preserve">Dans le même temps, une population plus âgée offre également de nouvelles perspectives pour nos économies. </w:t>
      </w:r>
      <w:r>
        <w:rPr>
          <w:rFonts w:ascii="Times New Roman" w:hAnsi="Times New Roman"/>
          <w:noProof/>
          <w:sz w:val="24"/>
          <w:szCs w:val="24"/>
        </w:rPr>
        <w:t>Les consommateurs plus âgés représentent une part importante de l’économie et la consommation des personnes âgées de plus de 50 ans dans l’UE s’élevait à 3,7 milliards d’euros en 2015. Elle devrait augmenter d’environ 5 % par an, pour atteindre 5,7 milliar</w:t>
      </w:r>
      <w:r>
        <w:rPr>
          <w:rFonts w:ascii="Times New Roman" w:hAnsi="Times New Roman"/>
          <w:noProof/>
          <w:sz w:val="24"/>
          <w:szCs w:val="24"/>
        </w:rPr>
        <w:t>ds d’euros d’ici à 2025. Le livre vert de la Commission sur le vieillissement portera également sur la manière dont nous pouvons tirer le meilleur parti de ces possibilités.</w:t>
      </w:r>
      <w:r>
        <w:rPr>
          <w:rFonts w:ascii="Times New Roman" w:hAnsi="Times New Roman"/>
          <w:b/>
          <w:noProof/>
          <w:sz w:val="24"/>
          <w:szCs w:val="24"/>
        </w:rPr>
        <w:t xml:space="preserve"> </w:t>
      </w:r>
    </w:p>
    <w:p w:rsidR="005F1B1A" w:rsidRDefault="00E84E49">
      <w:pPr>
        <w:pStyle w:val="Heading2"/>
        <w:keepNext/>
        <w:rPr>
          <w:b w:val="0"/>
          <w:noProof/>
        </w:rPr>
      </w:pPr>
      <w:bookmarkStart w:id="53" w:name="_Toc32414446"/>
      <w:bookmarkStart w:id="54" w:name="_Toc32444157"/>
      <w:bookmarkStart w:id="55" w:name="_Toc33800407"/>
      <w:bookmarkStart w:id="56" w:name="_Toc35516330"/>
      <w:bookmarkStart w:id="57" w:name="_Toc36563276"/>
      <w:bookmarkStart w:id="58" w:name="_Toc43216586"/>
      <w:r>
        <w:rPr>
          <w:rStyle w:val="Heading2Char"/>
          <w:b/>
          <w:noProof/>
        </w:rPr>
        <w:t xml:space="preserve">3.4. </w:t>
      </w:r>
      <w:bookmarkEnd w:id="53"/>
      <w:bookmarkEnd w:id="54"/>
      <w:bookmarkEnd w:id="55"/>
      <w:bookmarkEnd w:id="56"/>
      <w:r>
        <w:rPr>
          <w:rStyle w:val="Heading2Char"/>
          <w:b/>
          <w:noProof/>
        </w:rPr>
        <w:t>LA DIMENSION RÉGIONALE ET LOCALE</w:t>
      </w:r>
      <w:r>
        <w:rPr>
          <w:b w:val="0"/>
          <w:noProof/>
          <w:vertAlign w:val="superscript"/>
          <w:lang w:val="en-GB"/>
        </w:rPr>
        <w:footnoteReference w:id="46"/>
      </w:r>
      <w:bookmarkEnd w:id="57"/>
      <w:bookmarkEnd w:id="58"/>
    </w:p>
    <w:p w:rsidR="005F1B1A" w:rsidRDefault="00E84E49">
      <w:pPr>
        <w:keepLines/>
        <w:jc w:val="both"/>
        <w:rPr>
          <w:rFonts w:ascii="Times New Roman" w:hAnsi="Times New Roman" w:cs="Times New Roman"/>
          <w:noProof/>
          <w:sz w:val="24"/>
          <w:szCs w:val="24"/>
        </w:rPr>
      </w:pPr>
      <w:r>
        <w:rPr>
          <w:rFonts w:ascii="Times New Roman" w:hAnsi="Times New Roman"/>
          <w:b/>
          <w:noProof/>
          <w:sz w:val="24"/>
          <w:szCs w:val="24"/>
        </w:rPr>
        <w:t>Différentes régions sont touchées différem</w:t>
      </w:r>
      <w:r>
        <w:rPr>
          <w:rFonts w:ascii="Times New Roman" w:hAnsi="Times New Roman"/>
          <w:b/>
          <w:noProof/>
          <w:sz w:val="24"/>
          <w:szCs w:val="24"/>
        </w:rPr>
        <w:t>ment par l’évolution démographique.</w:t>
      </w:r>
      <w:r>
        <w:rPr>
          <w:rFonts w:ascii="Times New Roman" w:hAnsi="Times New Roman"/>
          <w:noProof/>
          <w:sz w:val="24"/>
          <w:szCs w:val="24"/>
        </w:rPr>
        <w:t xml:space="preserve"> Certaines d’entre elles ont une population relativement âgée, avec un âge médian supérieur à 50 ans, tandis que dans d’autres, il est inférieur à 42,5 ans, comme au Luxembourg, à Chypre, en Irlande, au sud de l’Espagne, </w:t>
      </w:r>
      <w:r>
        <w:rPr>
          <w:rFonts w:ascii="Times New Roman" w:hAnsi="Times New Roman"/>
          <w:noProof/>
          <w:sz w:val="24"/>
          <w:szCs w:val="24"/>
        </w:rPr>
        <w:t>en Pologne, au nord de la Roumanie, en Slovaquie et au sud de la Suède (ou dans certaines régions de ces pays).</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Au niveau régional, les mouvements de population ont également une incidence considérable sur le profil démographique de la région. Cette incide</w:t>
      </w:r>
      <w:r>
        <w:rPr>
          <w:rFonts w:ascii="Times New Roman" w:hAnsi="Times New Roman"/>
          <w:noProof/>
          <w:sz w:val="24"/>
          <w:szCs w:val="24"/>
        </w:rPr>
        <w:t xml:space="preserve">nce se fait intensément sentir dans les endroits où ce sont principalement les jeunes qui partent. </w:t>
      </w:r>
      <w:r>
        <w:rPr>
          <w:rFonts w:ascii="Times New Roman" w:hAnsi="Times New Roman"/>
          <w:bCs/>
          <w:noProof/>
          <w:sz w:val="24"/>
          <w:szCs w:val="24"/>
        </w:rPr>
        <w:t xml:space="preserve">Ces mouvements ont également des répercussions sur la population totale d’une région. </w:t>
      </w:r>
      <w:r>
        <w:rPr>
          <w:rFonts w:ascii="Times New Roman" w:hAnsi="Times New Roman"/>
          <w:noProof/>
          <w:sz w:val="24"/>
          <w:szCs w:val="24"/>
        </w:rPr>
        <w:t>65 % de la population de l’UE vit dans une région qui a connu une augme</w:t>
      </w:r>
      <w:r>
        <w:rPr>
          <w:rFonts w:ascii="Times New Roman" w:hAnsi="Times New Roman"/>
          <w:noProof/>
          <w:sz w:val="24"/>
          <w:szCs w:val="24"/>
        </w:rPr>
        <w:t>ntation de la population entre 2011 et 2019. Pour certaines, le déclin de la population est une tendance prolongée, souvent sur plusieurs décennies, et davantage de régions pourraient connaître un déclin démographique au cours de la prochaine décennie et a</w:t>
      </w:r>
      <w:r>
        <w:rPr>
          <w:rFonts w:ascii="Times New Roman" w:hAnsi="Times New Roman"/>
          <w:noProof/>
          <w:sz w:val="24"/>
          <w:szCs w:val="24"/>
        </w:rPr>
        <w:t xml:space="preserve">u-delà.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Afin d’éviter une aggravation de cette situation à la suite de la pandémie, la Commission a proposé de consacrer des ressources supplémentaires à la politique de cohésion pour les mesures de réparation des dommages et de relance à la suite de la c</w:t>
      </w:r>
      <w:r>
        <w:rPr>
          <w:rFonts w:ascii="Times New Roman" w:hAnsi="Times New Roman"/>
          <w:noProof/>
          <w:sz w:val="24"/>
          <w:szCs w:val="24"/>
        </w:rPr>
        <w:t>rise au moyen d’une nouvelle initiative appelée REACT-EU</w:t>
      </w:r>
      <w:r>
        <w:rPr>
          <w:rStyle w:val="FootnoteReference"/>
          <w:rFonts w:ascii="Times New Roman" w:hAnsi="Times New Roman" w:cs="Times New Roman"/>
          <w:noProof/>
          <w:sz w:val="24"/>
          <w:szCs w:val="24"/>
        </w:rPr>
        <w:footnoteReference w:id="47"/>
      </w:r>
      <w:r>
        <w:rPr>
          <w:rFonts w:ascii="Times New Roman" w:hAnsi="Times New Roman"/>
          <w:noProof/>
          <w:sz w:val="24"/>
          <w:szCs w:val="24"/>
        </w:rPr>
        <w:t>. L’instrument de relance proposé, dénommé Next Generation EU, prévoit un soutien supplémentaire pour assurer le financement de mesures clés de réparation des dommages dus à la crise et pour soutenir</w:t>
      </w:r>
      <w:r>
        <w:rPr>
          <w:rFonts w:ascii="Times New Roman" w:hAnsi="Times New Roman"/>
          <w:noProof/>
          <w:sz w:val="24"/>
          <w:szCs w:val="24"/>
        </w:rPr>
        <w:t xml:space="preserve"> les travailleurs et les PME, les systèmes de santé et les transitions écologique et numérique dans les régions. En outre, le programme de développement rural de l’UE jouera un rôle essentiel dans le soutien à la reprise.</w:t>
      </w:r>
    </w:p>
    <w:p w:rsidR="005F1B1A" w:rsidRDefault="00E84E49">
      <w:pPr>
        <w:keepNext/>
        <w:spacing w:after="0"/>
        <w:jc w:val="center"/>
        <w:rPr>
          <w:rFonts w:ascii="Times New Roman" w:hAnsi="Times New Roman"/>
          <w:b/>
          <w:noProof/>
          <w:sz w:val="24"/>
          <w:szCs w:val="24"/>
        </w:rPr>
      </w:pPr>
      <w:r>
        <w:rPr>
          <w:rFonts w:ascii="Times New Roman" w:hAnsi="Times New Roman"/>
          <w:b/>
          <w:noProof/>
          <w:sz w:val="24"/>
          <w:szCs w:val="24"/>
        </w:rPr>
        <w:t xml:space="preserve">Variation de la population totale </w:t>
      </w:r>
      <w:r>
        <w:rPr>
          <w:rFonts w:ascii="Times New Roman" w:hAnsi="Times New Roman"/>
          <w:b/>
          <w:noProof/>
          <w:sz w:val="24"/>
          <w:szCs w:val="24"/>
        </w:rPr>
        <w:t>par région</w:t>
      </w:r>
      <w:r>
        <w:rPr>
          <w:rFonts w:ascii="Times New Roman" w:hAnsi="Times New Roman" w:cs="Times New Roman"/>
          <w:b/>
          <w:noProof/>
          <w:sz w:val="24"/>
          <w:szCs w:val="24"/>
          <w:vertAlign w:val="superscript"/>
        </w:rPr>
        <w:footnoteReference w:id="48"/>
      </w:r>
      <w:r>
        <w:rPr>
          <w:rFonts w:ascii="Times New Roman" w:hAnsi="Times New Roman"/>
          <w:b/>
          <w:noProof/>
          <w:sz w:val="24"/>
          <w:szCs w:val="24"/>
        </w:rPr>
        <w:t>, 2011-2019</w:t>
      </w:r>
    </w:p>
    <w:p w:rsidR="005F1B1A" w:rsidRDefault="00E84E49">
      <w:pPr>
        <w:jc w:val="center"/>
        <w:rPr>
          <w:rFonts w:ascii="Times New Roman" w:hAnsi="Times New Roman" w:cs="Times New Roman"/>
          <w:noProof/>
          <w:sz w:val="24"/>
          <w:szCs w:val="24"/>
        </w:rPr>
      </w:pPr>
      <w:r>
        <w:rPr>
          <w:noProof/>
          <w:lang w:val="fr-BE" w:eastAsia="fr-BE"/>
        </w:rPr>
        <w:drawing>
          <wp:inline distT="0" distB="0" distL="0" distR="0">
            <wp:extent cx="4023360" cy="43113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7819" cy="4316110"/>
                    </a:xfrm>
                    <a:prstGeom prst="rect">
                      <a:avLst/>
                    </a:prstGeom>
                  </pic:spPr>
                </pic:pic>
              </a:graphicData>
            </a:graphic>
          </wp:inline>
        </w:drawing>
      </w:r>
    </w:p>
    <w:p w:rsidR="005F1B1A" w:rsidRDefault="00E84E49">
      <w:pPr>
        <w:keepNext/>
        <w:rPr>
          <w:rFonts w:ascii="Times New Roman" w:hAnsi="Times New Roman" w:cs="Times New Roman"/>
          <w:noProof/>
          <w:sz w:val="24"/>
          <w:szCs w:val="24"/>
          <w:lang w:val="fr-BE"/>
        </w:rPr>
      </w:pPr>
      <w:r>
        <w:rPr>
          <w:rFonts w:ascii="Times New Roman" w:hAnsi="Times New Roman" w:cs="Times New Roman"/>
          <w:noProof/>
          <w:sz w:val="24"/>
          <w:szCs w:val="24"/>
          <w:lang w:val="fr-BE"/>
        </w:rPr>
        <w:t>Variation de la population totale dans les régions NUTS3, 2011-2019</w:t>
      </w:r>
    </w:p>
    <w:p w:rsidR="005F1B1A" w:rsidRDefault="00E84E49">
      <w:pPr>
        <w:keepNext/>
        <w:rPr>
          <w:rFonts w:ascii="Times New Roman" w:hAnsi="Times New Roman" w:cs="Times New Roman"/>
          <w:noProof/>
          <w:sz w:val="24"/>
          <w:szCs w:val="24"/>
          <w:lang w:val="fr-BE"/>
        </w:rPr>
      </w:pPr>
      <w:r>
        <w:rPr>
          <w:rFonts w:ascii="Times New Roman" w:hAnsi="Times New Roman" w:cs="Times New Roman"/>
          <w:noProof/>
          <w:sz w:val="24"/>
          <w:szCs w:val="24"/>
          <w:lang w:val="fr-BE"/>
        </w:rPr>
        <w:t xml:space="preserve">(Variation totale (en %) </w:t>
      </w:r>
    </w:p>
    <w:p w:rsidR="005F1B1A" w:rsidRDefault="00E84E49">
      <w:pPr>
        <w:keepNext/>
        <w:rPr>
          <w:rFonts w:ascii="Times New Roman" w:hAnsi="Times New Roman" w:cs="Times New Roman"/>
          <w:b/>
          <w:noProof/>
          <w:sz w:val="24"/>
          <w:szCs w:val="24"/>
        </w:rPr>
      </w:pPr>
      <w:r>
        <w:rPr>
          <w:noProof/>
          <w:lang w:val="fr-BE" w:eastAsia="fr-BE"/>
        </w:rPr>
        <w:drawing>
          <wp:anchor distT="0" distB="0" distL="114300" distR="114300" simplePos="0" relativeHeight="251660800" behindDoc="0" locked="0" layoutInCell="1" allowOverlap="1">
            <wp:simplePos x="0" y="0"/>
            <wp:positionH relativeFrom="column">
              <wp:posOffset>2750406</wp:posOffset>
            </wp:positionH>
            <wp:positionV relativeFrom="paragraph">
              <wp:posOffset>1809750</wp:posOffset>
            </wp:positionV>
            <wp:extent cx="847725" cy="22860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47725" cy="228600"/>
                    </a:xfrm>
                    <a:prstGeom prst="rect">
                      <a:avLst/>
                    </a:prstGeom>
                  </pic:spPr>
                </pic:pic>
              </a:graphicData>
            </a:graphic>
          </wp:anchor>
        </w:drawing>
      </w:r>
      <w:r>
        <w:rPr>
          <w:rFonts w:ascii="Times New Roman" w:hAnsi="Times New Roman" w:cs="Times New Roman"/>
          <w:noProof/>
          <w:sz w:val="24"/>
          <w:szCs w:val="24"/>
          <w:lang w:val="fr-BE" w:eastAsia="fr-BE"/>
        </w:rPr>
        <w:drawing>
          <wp:anchor distT="0" distB="0" distL="114300" distR="114300" simplePos="0" relativeHeight="251654656" behindDoc="0" locked="0" layoutInCell="1" allowOverlap="1">
            <wp:simplePos x="0" y="0"/>
            <wp:positionH relativeFrom="column">
              <wp:posOffset>1955662</wp:posOffset>
            </wp:positionH>
            <wp:positionV relativeFrom="paragraph">
              <wp:posOffset>132246</wp:posOffset>
            </wp:positionV>
            <wp:extent cx="858520" cy="2387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8520" cy="238760"/>
                    </a:xfrm>
                    <a:prstGeom prst="rect">
                      <a:avLst/>
                    </a:prstGeom>
                    <a:noFill/>
                    <a:ln>
                      <a:noFill/>
                    </a:ln>
                  </pic:spPr>
                </pic:pic>
              </a:graphicData>
            </a:graphic>
          </wp:anchor>
        </w:drawing>
      </w:r>
      <w:r>
        <w:rPr>
          <w:noProof/>
          <w:lang w:val="fr-BE" w:eastAsia="fr-BE"/>
        </w:rPr>
        <w:drawing>
          <wp:inline distT="0" distB="0" distL="0" distR="0">
            <wp:extent cx="1000125" cy="1657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0125" cy="1657350"/>
                    </a:xfrm>
                    <a:prstGeom prst="rect">
                      <a:avLst/>
                    </a:prstGeom>
                  </pic:spPr>
                </pic:pic>
              </a:graphicData>
            </a:graphic>
          </wp:inline>
        </w:drawing>
      </w:r>
      <w:r>
        <w:rPr>
          <w:noProof/>
          <w:lang w:val="fr-BE" w:eastAsia="fr-BE"/>
        </w:rPr>
        <w:drawing>
          <wp:inline distT="0" distB="0" distL="0" distR="0">
            <wp:extent cx="2676525" cy="752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525" cy="752475"/>
                    </a:xfrm>
                    <a:prstGeom prst="rect">
                      <a:avLst/>
                    </a:prstGeom>
                  </pic:spPr>
                </pic:pic>
              </a:graphicData>
            </a:graphic>
          </wp:inline>
        </w:drawing>
      </w:r>
    </w:p>
    <w:p w:rsidR="005F1B1A" w:rsidRDefault="00E84E49">
      <w:pPr>
        <w:rPr>
          <w:rFonts w:ascii="Times New Roman" w:hAnsi="Times New Roman" w:cs="Times New Roman"/>
          <w:noProof/>
          <w:sz w:val="18"/>
          <w:szCs w:val="24"/>
          <w:lang w:val="fr-BE"/>
        </w:rPr>
      </w:pPr>
      <w:r>
        <w:rPr>
          <w:rFonts w:ascii="Times New Roman" w:hAnsi="Times New Roman" w:cs="Times New Roman"/>
          <w:noProof/>
          <w:sz w:val="18"/>
          <w:szCs w:val="24"/>
        </w:rPr>
        <w:t>Source: DG REGIO basée sur les sources EUROSTAT                  et les données CCR (base de données ARDECO</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 xml:space="preserve">L’évolution démographique est différente dans les régions urbaines et rurales. </w:t>
      </w:r>
      <w:r>
        <w:rPr>
          <w:rFonts w:ascii="Times New Roman" w:hAnsi="Times New Roman"/>
          <w:noProof/>
          <w:sz w:val="24"/>
          <w:szCs w:val="24"/>
        </w:rPr>
        <w:t>Les régions de l’UE appartiennent à des catégories différentes, selon qu’elles sont de nature plus urbaine ou plus rurale ou encore intermédiaire. Chacune de ces trois catégorie</w:t>
      </w:r>
      <w:r>
        <w:rPr>
          <w:rFonts w:ascii="Times New Roman" w:hAnsi="Times New Roman"/>
          <w:noProof/>
          <w:sz w:val="24"/>
          <w:szCs w:val="24"/>
        </w:rPr>
        <w:t xml:space="preserve">s possède ses propres caractéristiques. La taille et la densité de population des zones habitées diminuent, des régions urbaines aux régions intermédiaires et rurales. Au cours de la pandémie, la densité de population et la catégorie de la région semblent </w:t>
      </w:r>
      <w:r>
        <w:rPr>
          <w:rFonts w:ascii="Times New Roman" w:hAnsi="Times New Roman"/>
          <w:noProof/>
          <w:sz w:val="24"/>
          <w:szCs w:val="24"/>
        </w:rPr>
        <w:t>avoir été un facteur dans la propagation du virus. On estime que le virus est arrivé plus tôt dans les régions urbaines et s’y est propagé plus rapidement que dans les régions rurales et intermédiaires</w:t>
      </w:r>
      <w:r>
        <w:rPr>
          <w:rStyle w:val="FootnoteReference"/>
          <w:rFonts w:ascii="Times New Roman" w:hAnsi="Times New Roman" w:cs="Times New Roman"/>
          <w:noProof/>
          <w:sz w:val="24"/>
          <w:szCs w:val="24"/>
        </w:rPr>
        <w:footnoteReference w:id="49"/>
      </w:r>
      <w:r>
        <w:rPr>
          <w:rFonts w:ascii="Times New Roman" w:hAnsi="Times New Roman"/>
          <w:noProof/>
          <w:sz w:val="24"/>
          <w:szCs w:val="24"/>
        </w:rPr>
        <w:t xml:space="preserve">. </w:t>
      </w:r>
    </w:p>
    <w:p w:rsidR="005F1B1A" w:rsidRDefault="005F1B1A">
      <w:pPr>
        <w:jc w:val="both"/>
        <w:rPr>
          <w:rFonts w:ascii="Times New Roman" w:hAnsi="Times New Roman" w:cs="Times New Roman"/>
          <w:noProof/>
          <w:sz w:val="24"/>
          <w:szCs w:val="24"/>
        </w:rPr>
      </w:pPr>
    </w:p>
    <w:p w:rsidR="005F1B1A" w:rsidRDefault="00E84E49">
      <w:pPr>
        <w:keepNext/>
        <w:jc w:val="center"/>
        <w:rPr>
          <w:rFonts w:ascii="Times New Roman" w:hAnsi="Times New Roman" w:cs="Times New Roman"/>
          <w:b/>
          <w:noProof/>
          <w:sz w:val="24"/>
          <w:szCs w:val="24"/>
        </w:rPr>
      </w:pPr>
      <w:r>
        <w:rPr>
          <w:rFonts w:ascii="Times New Roman" w:hAnsi="Times New Roman"/>
          <w:b/>
          <w:noProof/>
          <w:sz w:val="24"/>
          <w:szCs w:val="24"/>
        </w:rPr>
        <w:t xml:space="preserve">Population de l’UE-27 par typologie régionale </w:t>
      </w:r>
      <w:r>
        <w:rPr>
          <w:rFonts w:ascii="Times New Roman" w:hAnsi="Times New Roman"/>
          <w:b/>
          <w:noProof/>
          <w:sz w:val="24"/>
          <w:szCs w:val="24"/>
        </w:rPr>
        <w:t>urbaine-rurale, 2019</w:t>
      </w:r>
    </w:p>
    <w:p w:rsidR="005F1B1A" w:rsidRDefault="00E84E49">
      <w:pPr>
        <w:jc w:val="center"/>
        <w:rPr>
          <w:rFonts w:ascii="Times New Roman" w:hAnsi="Times New Roman" w:cs="Times New Roman"/>
          <w:noProof/>
          <w:sz w:val="24"/>
          <w:szCs w:val="24"/>
        </w:rPr>
      </w:pPr>
      <w:r>
        <w:rPr>
          <w:noProof/>
          <w:lang w:val="fr-BE" w:eastAsia="fr-BE"/>
        </w:rPr>
        <w:drawing>
          <wp:inline distT="0" distB="0" distL="0" distR="0">
            <wp:extent cx="2924175" cy="2733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733675"/>
                    </a:xfrm>
                    <a:prstGeom prst="rect">
                      <a:avLst/>
                    </a:prstGeom>
                    <a:noFill/>
                    <a:ln>
                      <a:noFill/>
                    </a:ln>
                  </pic:spPr>
                </pic:pic>
              </a:graphicData>
            </a:graphic>
          </wp:inline>
        </w:drawing>
      </w:r>
    </w:p>
    <w:p w:rsidR="005F1B1A" w:rsidRDefault="00E84E49">
      <w:pPr>
        <w:jc w:val="both"/>
        <w:rPr>
          <w:rFonts w:ascii="Times New Roman" w:hAnsi="Times New Roman" w:cs="Times New Roman"/>
          <w:i/>
          <w:noProof/>
          <w:sz w:val="24"/>
          <w:szCs w:val="24"/>
        </w:rPr>
      </w:pPr>
      <w:r>
        <w:rPr>
          <w:rFonts w:ascii="Times New Roman" w:hAnsi="Times New Roman"/>
          <w:i/>
          <w:noProof/>
          <w:sz w:val="24"/>
          <w:szCs w:val="24"/>
        </w:rPr>
        <w:t>Source: Eurostat</w:t>
      </w:r>
    </w:p>
    <w:p w:rsidR="005F1B1A" w:rsidRDefault="005F1B1A">
      <w:pPr>
        <w:jc w:val="both"/>
        <w:rPr>
          <w:rFonts w:ascii="Times New Roman" w:hAnsi="Times New Roman" w:cs="Times New Roman"/>
          <w:noProof/>
          <w:sz w:val="24"/>
          <w:szCs w:val="24"/>
        </w:rPr>
      </w:pP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Dans les régions rurales, la population a baissé de 0,8 million entre 2014 et 2019.</w:t>
      </w:r>
      <w:r>
        <w:rPr>
          <w:rFonts w:ascii="Times New Roman" w:hAnsi="Times New Roman"/>
          <w:noProof/>
          <w:sz w:val="24"/>
          <w:szCs w:val="24"/>
        </w:rPr>
        <w:t xml:space="preserve"> Toutefois, cela n’est qu’une partie de l’histoire. Dans certains États membres, ces régions ont progressé de plus de 0,2 % par an, </w:t>
      </w:r>
      <w:r>
        <w:rPr>
          <w:rFonts w:ascii="Times New Roman" w:hAnsi="Times New Roman"/>
          <w:noProof/>
          <w:sz w:val="24"/>
          <w:szCs w:val="24"/>
        </w:rPr>
        <w:t>alors que dans d’autres, elles ont diminué selon un même pourcentage. Dans huit États membres, les régions rurales perdent leur population depuis 1991: les trois États baltes, la Bulgarie, la Croatie, la Hongrie, le Portugal et la Roumanie. Des travaux réc</w:t>
      </w:r>
      <w:r>
        <w:rPr>
          <w:rFonts w:ascii="Times New Roman" w:hAnsi="Times New Roman"/>
          <w:noProof/>
          <w:sz w:val="24"/>
          <w:szCs w:val="24"/>
        </w:rPr>
        <w:t>ents de l’OCDE montrent que les régions proches des villes tendent à croître, tandis que les régions plus éloignées</w:t>
      </w:r>
      <w:r>
        <w:rPr>
          <w:rFonts w:ascii="Times New Roman" w:hAnsi="Times New Roman" w:cs="Times New Roman"/>
          <w:noProof/>
          <w:sz w:val="24"/>
          <w:szCs w:val="24"/>
          <w:vertAlign w:val="superscript"/>
        </w:rPr>
        <w:footnoteReference w:id="50"/>
      </w:r>
      <w:r>
        <w:rPr>
          <w:rFonts w:ascii="Times New Roman" w:hAnsi="Times New Roman"/>
          <w:noProof/>
          <w:sz w:val="24"/>
          <w:szCs w:val="24"/>
        </w:rPr>
        <w:t xml:space="preserve"> ont tendance à se dépeupler.</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Les régions urbaines de l’UE présentent un tableau différent: leur population a augmenté de 3,8 millions au co</w:t>
      </w:r>
      <w:r>
        <w:rPr>
          <w:rFonts w:ascii="Times New Roman" w:hAnsi="Times New Roman"/>
          <w:b/>
          <w:noProof/>
          <w:sz w:val="24"/>
          <w:szCs w:val="24"/>
        </w:rPr>
        <w:t>urs de la même période</w:t>
      </w:r>
      <w:r>
        <w:rPr>
          <w:rFonts w:ascii="Times New Roman" w:hAnsi="Times New Roman"/>
          <w:noProof/>
          <w:sz w:val="24"/>
          <w:szCs w:val="24"/>
        </w:rPr>
        <w:t>. Toutefois, en Lettonie et en Grèce, elle a chuté respectivement de 0,3 % et de 0,6 %. 22 % de la population urbaine vivait dans une région qui a perdu de sa population entre 2014 et 2019. Dans quatorze États membres, toutes les régi</w:t>
      </w:r>
      <w:r>
        <w:rPr>
          <w:rFonts w:ascii="Times New Roman" w:hAnsi="Times New Roman"/>
          <w:noProof/>
          <w:sz w:val="24"/>
          <w:szCs w:val="24"/>
        </w:rPr>
        <w:t xml:space="preserve">ons urbaines ont gagné en population. </w:t>
      </w:r>
    </w:p>
    <w:p w:rsidR="005F1B1A" w:rsidRDefault="00E84E49">
      <w:pPr>
        <w:pStyle w:val="Heading3"/>
        <w:keepNext/>
        <w:rPr>
          <w:noProof/>
        </w:rPr>
      </w:pPr>
      <w:bookmarkStart w:id="59" w:name="_Toc32414447"/>
      <w:bookmarkStart w:id="60" w:name="_Toc32444158"/>
      <w:bookmarkStart w:id="61" w:name="_Toc33800409"/>
      <w:bookmarkStart w:id="62" w:name="_Toc35516332"/>
      <w:bookmarkStart w:id="63" w:name="_Toc36563277"/>
      <w:bookmarkStart w:id="64" w:name="_Toc43216587"/>
      <w:r>
        <w:rPr>
          <w:noProof/>
        </w:rPr>
        <w:t xml:space="preserve">3.4.1. </w:t>
      </w:r>
      <w:bookmarkEnd w:id="59"/>
      <w:bookmarkEnd w:id="60"/>
      <w:bookmarkEnd w:id="61"/>
      <w:bookmarkEnd w:id="62"/>
      <w:r>
        <w:rPr>
          <w:noProof/>
        </w:rPr>
        <w:t>QUALITÉ DE VIE, INFRASTRUCTURE ET ACCÈS AUX SERVICES</w:t>
      </w:r>
      <w:bookmarkEnd w:id="63"/>
      <w:bookmarkEnd w:id="64"/>
    </w:p>
    <w:p w:rsidR="005F1B1A" w:rsidRDefault="00E84E49">
      <w:pPr>
        <w:keepLines/>
        <w:jc w:val="both"/>
        <w:rPr>
          <w:rFonts w:ascii="Times New Roman" w:hAnsi="Times New Roman" w:cs="Times New Roman"/>
          <w:noProof/>
          <w:sz w:val="24"/>
          <w:szCs w:val="24"/>
        </w:rPr>
      </w:pPr>
      <w:r>
        <w:rPr>
          <w:rFonts w:ascii="Times New Roman" w:hAnsi="Times New Roman"/>
          <w:noProof/>
          <w:sz w:val="24"/>
          <w:szCs w:val="24"/>
        </w:rPr>
        <w:t>Chaque partie de l’Europe cherche à fournir des services et des infrastructures pour répondre aux besoins de sa population. Si la population augmente ou dimi</w:t>
      </w:r>
      <w:r>
        <w:rPr>
          <w:rFonts w:ascii="Times New Roman" w:hAnsi="Times New Roman"/>
          <w:noProof/>
          <w:sz w:val="24"/>
          <w:szCs w:val="24"/>
        </w:rPr>
        <w:t xml:space="preserve">nue, les services et les infrastructures doivent être adaptés en conséquence, que ce soit dans les domaines des transports, du numérique, du logement, des écoles, des soins de santé et des soins de longue durée, et de l’intégration sociale.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L’incidence de</w:t>
      </w:r>
      <w:r>
        <w:rPr>
          <w:rFonts w:ascii="Times New Roman" w:hAnsi="Times New Roman"/>
          <w:noProof/>
          <w:sz w:val="24"/>
          <w:szCs w:val="24"/>
        </w:rPr>
        <w:t xml:space="preserve"> l’évolution démographique sur une région déterminée dépend en grande partie du rythme et de l’ampleur de la variation de la population, ainsi que de la question de savoir si une région a les moyens de faire face à ce changement.</w:t>
      </w:r>
      <w:r>
        <w:rPr>
          <w:rFonts w:ascii="Times New Roman" w:hAnsi="Times New Roman"/>
          <w:b/>
          <w:noProof/>
          <w:sz w:val="24"/>
          <w:szCs w:val="24"/>
        </w:rPr>
        <w:t xml:space="preserve"> </w:t>
      </w:r>
      <w:r>
        <w:rPr>
          <w:rFonts w:ascii="Times New Roman" w:hAnsi="Times New Roman"/>
          <w:bCs/>
          <w:noProof/>
          <w:sz w:val="24"/>
          <w:szCs w:val="24"/>
        </w:rPr>
        <w:t>La plupart des régions qui</w:t>
      </w:r>
      <w:r>
        <w:rPr>
          <w:rFonts w:ascii="Times New Roman" w:hAnsi="Times New Roman"/>
          <w:bCs/>
          <w:noProof/>
          <w:sz w:val="24"/>
          <w:szCs w:val="24"/>
        </w:rPr>
        <w:t xml:space="preserve"> connaissent une croissance démographique rapide ont un PIB par habitant supérieur à la moyenne de l’UE, tandis que les régions qui connaissent un déclin rapide de la population ont tendance à avoir un PIB par habitant relativement faible. </w:t>
      </w:r>
      <w:r>
        <w:rPr>
          <w:rFonts w:ascii="Times New Roman" w:hAnsi="Times New Roman"/>
          <w:noProof/>
          <w:sz w:val="24"/>
          <w:szCs w:val="24"/>
        </w:rPr>
        <w:t xml:space="preserve">Les régions qui </w:t>
      </w:r>
      <w:r>
        <w:rPr>
          <w:rFonts w:ascii="Times New Roman" w:hAnsi="Times New Roman"/>
          <w:noProof/>
          <w:sz w:val="24"/>
          <w:szCs w:val="24"/>
        </w:rPr>
        <w:t>ont un faible niveau de revenus et connaissent une évolution rapide de la population sont confrontées à la situation la plus difficile.</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31 millions de personnes, soit 7 % de la population de l’UE, vivent dans une région confrontée au </w:t>
      </w:r>
      <w:r>
        <w:rPr>
          <w:rFonts w:ascii="Times New Roman" w:hAnsi="Times New Roman"/>
          <w:b/>
          <w:i/>
          <w:noProof/>
          <w:sz w:val="24"/>
          <w:szCs w:val="24"/>
        </w:rPr>
        <w:t>double défi</w:t>
      </w:r>
      <w:r>
        <w:rPr>
          <w:rFonts w:ascii="Times New Roman" w:hAnsi="Times New Roman"/>
          <w:b/>
          <w:noProof/>
          <w:sz w:val="24"/>
          <w:szCs w:val="24"/>
        </w:rPr>
        <w:t xml:space="preserve"> du déclin </w:t>
      </w:r>
      <w:r>
        <w:rPr>
          <w:rFonts w:ascii="Times New Roman" w:hAnsi="Times New Roman"/>
          <w:b/>
          <w:noProof/>
          <w:sz w:val="24"/>
          <w:szCs w:val="24"/>
        </w:rPr>
        <w:t>rapide de la population et du faible PIB par habitant</w:t>
      </w:r>
      <w:r>
        <w:rPr>
          <w:rFonts w:ascii="Times New Roman" w:hAnsi="Times New Roman"/>
          <w:noProof/>
          <w:sz w:val="24"/>
          <w:szCs w:val="24"/>
        </w:rPr>
        <w:t>. Nombre de ces régions sont situées dans les États baltes, la Bulgarie, la Croatie, la Hongrie, le Portugal et la Roumanie. Sont également dans cette situation certaines régions de la Grèce et de l’Espa</w:t>
      </w:r>
      <w:r>
        <w:rPr>
          <w:rFonts w:ascii="Times New Roman" w:hAnsi="Times New Roman"/>
          <w:noProof/>
          <w:sz w:val="24"/>
          <w:szCs w:val="24"/>
        </w:rPr>
        <w:t xml:space="preserve">gne, ainsi que quelques régions de l’est de l’Allemagne, de la France et de la Pologne.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La prise en compte de l’incidence des changements démographiques locaux et régionaux doit prendre ce qui pousse les personnes à se rendre dans une région ou à la </w:t>
      </w:r>
      <w:r>
        <w:rPr>
          <w:rFonts w:ascii="Times New Roman" w:hAnsi="Times New Roman"/>
          <w:noProof/>
          <w:sz w:val="24"/>
          <w:szCs w:val="24"/>
        </w:rPr>
        <w:t>quitter en considération. Il s’agit souvent d’une question de possibilités d’emploi et de qualité de vie. La qualité de vie dans une région donnée peut être influencée par de nombreux facteurs différents, qu’il s’agisse de l’environnement naturel, de l’acc</w:t>
      </w:r>
      <w:r>
        <w:rPr>
          <w:rFonts w:ascii="Times New Roman" w:hAnsi="Times New Roman"/>
          <w:noProof/>
          <w:sz w:val="24"/>
          <w:szCs w:val="24"/>
        </w:rPr>
        <w:t>ès aux services (par exemple, la garde d’enfants, l’accessibilité pour les personnes handicapées, une éducation de qualité, des soins de santé, des soins de longue durée, le logement, des loisirs et des services culturels) ou de la disponibilité et de la q</w:t>
      </w:r>
      <w:r>
        <w:rPr>
          <w:rFonts w:ascii="Times New Roman" w:hAnsi="Times New Roman"/>
          <w:noProof/>
          <w:sz w:val="24"/>
          <w:szCs w:val="24"/>
        </w:rPr>
        <w:t>ualité de l’infrastructure (routes, rail, fourniture d’énergie, accès à l’internet).</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L’accessibilité et la connectivité deviendront plus importantes pour les perspectives d’une région.</w:t>
      </w:r>
      <w:r>
        <w:rPr>
          <w:rFonts w:ascii="Times New Roman" w:hAnsi="Times New Roman"/>
          <w:noProof/>
          <w:sz w:val="24"/>
          <w:szCs w:val="24"/>
        </w:rPr>
        <w:t xml:space="preserve"> Elles ont une influence sur les perspectives économiques de la région e</w:t>
      </w:r>
      <w:r>
        <w:rPr>
          <w:rFonts w:ascii="Times New Roman" w:hAnsi="Times New Roman"/>
          <w:noProof/>
          <w:sz w:val="24"/>
          <w:szCs w:val="24"/>
        </w:rPr>
        <w:t>t son offre potentielle d’emplois attrayants. Alors que l’Europe se lance dans sa transition verte, la nécessité d’un transport public propre, fréquent, accessible et abordable jouera un rôle de plus en plus important dans l’attractivité d’une région. Étan</w:t>
      </w:r>
      <w:r>
        <w:rPr>
          <w:rFonts w:ascii="Times New Roman" w:hAnsi="Times New Roman"/>
          <w:noProof/>
          <w:sz w:val="24"/>
          <w:szCs w:val="24"/>
        </w:rPr>
        <w:t>t donné que l’Europe devient de plus en plus numérique, les citoyens espèrent un accès de haute qualité au haut débit de la prochaine génération. L’accès au haut débit de la prochaine génération peut contribuer à combler le fossé entre les zones urbaines e</w:t>
      </w:r>
      <w:r>
        <w:rPr>
          <w:rFonts w:ascii="Times New Roman" w:hAnsi="Times New Roman"/>
          <w:noProof/>
          <w:sz w:val="24"/>
          <w:szCs w:val="24"/>
        </w:rPr>
        <w:t>t les zones rurales dans le domaine numérique.</w:t>
      </w:r>
    </w:p>
    <w:p w:rsidR="005F1B1A" w:rsidRDefault="00E84E49">
      <w:pPr>
        <w:keepNext/>
        <w:jc w:val="center"/>
        <w:rPr>
          <w:rFonts w:ascii="Times New Roman" w:hAnsi="Times New Roman" w:cs="Times New Roman"/>
          <w:b/>
          <w:noProof/>
          <w:sz w:val="24"/>
          <w:szCs w:val="24"/>
        </w:rPr>
      </w:pPr>
      <w:r>
        <w:rPr>
          <w:rFonts w:ascii="Times New Roman" w:hAnsi="Times New Roman"/>
          <w:b/>
          <w:noProof/>
          <w:sz w:val="24"/>
          <w:szCs w:val="24"/>
        </w:rPr>
        <w:t>Couverture de l’accès au haut débit de nouvelle génération</w:t>
      </w:r>
    </w:p>
    <w:p w:rsidR="005F1B1A" w:rsidRDefault="00E84E49">
      <w:pPr>
        <w:jc w:val="both"/>
        <w:rPr>
          <w:rFonts w:ascii="Times New Roman" w:hAnsi="Times New Roman" w:cs="Times New Roman"/>
          <w:noProof/>
          <w:sz w:val="24"/>
          <w:szCs w:val="24"/>
        </w:rPr>
      </w:pPr>
      <w:r>
        <w:rPr>
          <w:noProof/>
          <w:lang w:val="fr-BE" w:eastAsia="fr-BE"/>
        </w:rPr>
        <w:drawing>
          <wp:inline distT="0" distB="0" distL="0" distR="0">
            <wp:extent cx="6192520" cy="206851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2520" cy="2068510"/>
                    </a:xfrm>
                    <a:prstGeom prst="rect">
                      <a:avLst/>
                    </a:prstGeom>
                    <a:noFill/>
                    <a:ln>
                      <a:noFill/>
                    </a:ln>
                  </pic:spPr>
                </pic:pic>
              </a:graphicData>
            </a:graphic>
          </wp:inline>
        </w:drawing>
      </w:r>
    </w:p>
    <w:p w:rsidR="005F1B1A" w:rsidRDefault="00E84E49">
      <w:pPr>
        <w:jc w:val="both"/>
        <w:rPr>
          <w:rFonts w:ascii="Times New Roman" w:hAnsi="Times New Roman"/>
          <w:noProof/>
          <w:sz w:val="24"/>
          <w:szCs w:val="24"/>
        </w:rPr>
      </w:pPr>
      <w:r>
        <w:rPr>
          <w:rFonts w:ascii="Times New Roman" w:hAnsi="Times New Roman"/>
          <w:b/>
          <w:noProof/>
          <w:sz w:val="24"/>
          <w:szCs w:val="24"/>
        </w:rPr>
        <w:t>Les investissements dans les infrastructures et les services constituent un élément essentiel de la solution</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Les </w:t>
      </w:r>
      <w:r>
        <w:rPr>
          <w:rFonts w:ascii="Times New Roman" w:hAnsi="Times New Roman"/>
          <w:bCs/>
          <w:noProof/>
          <w:sz w:val="24"/>
          <w:szCs w:val="24"/>
        </w:rPr>
        <w:t>infrastructures</w:t>
      </w:r>
      <w:r>
        <w:rPr>
          <w:rFonts w:ascii="Times New Roman" w:hAnsi="Times New Roman"/>
          <w:noProof/>
          <w:sz w:val="24"/>
          <w:szCs w:val="24"/>
        </w:rPr>
        <w:t xml:space="preserve"> impliquent de nomb</w:t>
      </w:r>
      <w:r>
        <w:rPr>
          <w:rFonts w:ascii="Times New Roman" w:hAnsi="Times New Roman"/>
          <w:noProof/>
          <w:sz w:val="24"/>
          <w:szCs w:val="24"/>
        </w:rPr>
        <w:t>reuses dimensions différentes, notamment la disponibilité des services numériques (y compris l’accès aux technologies de l’information et de la communication et la couverture 5G), les services d’éducation et de soins de santé, ainsi que les loisirs et la c</w:t>
      </w:r>
      <w:r>
        <w:rPr>
          <w:rFonts w:ascii="Times New Roman" w:hAnsi="Times New Roman"/>
          <w:noProof/>
          <w:sz w:val="24"/>
          <w:szCs w:val="24"/>
        </w:rPr>
        <w:t xml:space="preserve">ulture. </w:t>
      </w:r>
    </w:p>
    <w:p w:rsidR="005F1B1A" w:rsidRDefault="00E84E49">
      <w:pPr>
        <w:rPr>
          <w:noProof/>
        </w:rPr>
      </w:pPr>
      <w:r>
        <w:rPr>
          <w:noProof/>
        </w:rPr>
        <w:br w:type="page"/>
      </w:r>
    </w:p>
    <w:p w:rsidR="005F1B1A" w:rsidRDefault="00E84E49">
      <w:pPr>
        <w:keepNext/>
        <w:spacing w:before="120" w:after="120"/>
        <w:jc w:val="center"/>
        <w:rPr>
          <w:rFonts w:ascii="Times New Roman" w:hAnsi="Times New Roman"/>
          <w:b/>
          <w:noProof/>
          <w:sz w:val="24"/>
          <w:szCs w:val="24"/>
        </w:rPr>
      </w:pPr>
      <w:r>
        <w:rPr>
          <w:rFonts w:ascii="Times New Roman" w:hAnsi="Times New Roman"/>
          <w:b/>
          <w:noProof/>
          <w:sz w:val="24"/>
          <w:szCs w:val="24"/>
        </w:rPr>
        <w:t>Accessibilité par chemin de fer par région</w:t>
      </w:r>
      <w:r>
        <w:rPr>
          <w:rFonts w:ascii="Times New Roman" w:hAnsi="Times New Roman" w:cs="Times New Roman"/>
          <w:b/>
          <w:noProof/>
          <w:sz w:val="24"/>
          <w:szCs w:val="24"/>
          <w:vertAlign w:val="superscript"/>
        </w:rPr>
        <w:footnoteReference w:id="51"/>
      </w:r>
      <w:r>
        <w:rPr>
          <w:rFonts w:ascii="Times New Roman" w:hAnsi="Times New Roman"/>
          <w:b/>
          <w:noProof/>
          <w:sz w:val="24"/>
          <w:szCs w:val="24"/>
        </w:rPr>
        <w:t>, 2014</w:t>
      </w:r>
    </w:p>
    <w:p w:rsidR="005F1B1A" w:rsidRDefault="00E84E49">
      <w:pPr>
        <w:jc w:val="center"/>
        <w:rPr>
          <w:rFonts w:ascii="Times New Roman" w:hAnsi="Times New Roman" w:cs="Times New Roman"/>
          <w:noProof/>
          <w:sz w:val="24"/>
          <w:szCs w:val="24"/>
        </w:rPr>
      </w:pPr>
      <w:r>
        <w:rPr>
          <w:noProof/>
          <w:lang w:val="fr-BE" w:eastAsia="fr-BE"/>
        </w:rPr>
        <w:drawing>
          <wp:inline distT="0" distB="0" distL="0" distR="0">
            <wp:extent cx="4071068" cy="450093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72970" cy="4503035"/>
                    </a:xfrm>
                    <a:prstGeom prst="rect">
                      <a:avLst/>
                    </a:prstGeom>
                  </pic:spPr>
                </pic:pic>
              </a:graphicData>
            </a:graphic>
          </wp:inline>
        </w:drawing>
      </w:r>
    </w:p>
    <w:p w:rsidR="005F1B1A" w:rsidRDefault="00E84E49">
      <w:pPr>
        <w:rPr>
          <w:rFonts w:ascii="Times New Roman" w:hAnsi="Times New Roman"/>
          <w:b/>
          <w:noProof/>
          <w:sz w:val="24"/>
          <w:szCs w:val="24"/>
        </w:rPr>
      </w:pPr>
      <w:r>
        <w:rPr>
          <w:rFonts w:ascii="Times New Roman" w:hAnsi="Times New Roman"/>
          <w:b/>
          <w:noProof/>
          <w:sz w:val="24"/>
          <w:szCs w:val="24"/>
        </w:rPr>
        <w:t>Accessibilité par chemin de fer ( durée optimale de déplacement) dans les régions NUTS3, 2014</w:t>
      </w:r>
    </w:p>
    <w:p w:rsidR="005F1B1A" w:rsidRDefault="00E84E49">
      <w:pPr>
        <w:rPr>
          <w:rFonts w:ascii="Times New Roman" w:hAnsi="Times New Roman" w:cs="Times New Roman"/>
          <w:noProof/>
          <w:sz w:val="24"/>
          <w:szCs w:val="24"/>
          <w:lang w:val="fr-BE"/>
        </w:rPr>
      </w:pPr>
      <w:r>
        <w:rPr>
          <w:rFonts w:ascii="Times New Roman" w:hAnsi="Times New Roman" w:cs="Times New Roman"/>
          <w:noProof/>
          <w:sz w:val="24"/>
          <w:szCs w:val="24"/>
          <w:lang w:val="fr-BE"/>
        </w:rPr>
        <w:t xml:space="preserve">Population accessible pour un déplacement de 1h30 (en milliers d’habitants) </w:t>
      </w:r>
    </w:p>
    <w:p w:rsidR="005F1B1A" w:rsidRDefault="005F1B1A">
      <w:pPr>
        <w:rPr>
          <w:rFonts w:ascii="Times New Roman" w:hAnsi="Times New Roman" w:cs="Times New Roman"/>
          <w:noProof/>
          <w:sz w:val="24"/>
          <w:szCs w:val="24"/>
          <w:lang w:val="fr-BE"/>
        </w:rPr>
      </w:pPr>
    </w:p>
    <w:p w:rsidR="005F1B1A" w:rsidRDefault="00E84E49">
      <w:pPr>
        <w:rPr>
          <w:rFonts w:ascii="Times New Roman" w:hAnsi="Times New Roman" w:cs="Times New Roman"/>
          <w:noProof/>
          <w:sz w:val="24"/>
          <w:szCs w:val="24"/>
          <w:lang w:val="fr-BE"/>
        </w:rPr>
      </w:pPr>
      <w:r>
        <w:rPr>
          <w:noProof/>
          <w:lang w:val="fr-BE" w:eastAsia="fr-BE"/>
        </w:rPr>
        <w:drawing>
          <wp:inline distT="0" distB="0" distL="0" distR="0">
            <wp:extent cx="1762125" cy="942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62125" cy="942975"/>
                    </a:xfrm>
                    <a:prstGeom prst="rect">
                      <a:avLst/>
                    </a:prstGeom>
                  </pic:spPr>
                </pic:pic>
              </a:graphicData>
            </a:graphic>
          </wp:inline>
        </w:drawing>
      </w:r>
      <w:r>
        <w:rPr>
          <w:rFonts w:ascii="Times New Roman" w:hAnsi="Times New Roman" w:cs="Times New Roman"/>
          <w:noProof/>
          <w:sz w:val="24"/>
          <w:szCs w:val="24"/>
          <w:lang w:val="fr-BE"/>
        </w:rPr>
        <w:t xml:space="preserve">  </w:t>
      </w:r>
      <w:r>
        <w:rPr>
          <w:noProof/>
          <w:lang w:val="fr-BE" w:eastAsia="fr-BE"/>
        </w:rPr>
        <w:drawing>
          <wp:inline distT="0" distB="0" distL="0" distR="0">
            <wp:extent cx="2657475" cy="619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7475" cy="619125"/>
                    </a:xfrm>
                    <a:prstGeom prst="rect">
                      <a:avLst/>
                    </a:prstGeom>
                  </pic:spPr>
                </pic:pic>
              </a:graphicData>
            </a:graphic>
          </wp:inline>
        </w:drawing>
      </w:r>
    </w:p>
    <w:p w:rsidR="005F1B1A" w:rsidRDefault="00E84E49">
      <w:pPr>
        <w:rPr>
          <w:rFonts w:ascii="Times New Roman" w:hAnsi="Times New Roman" w:cs="Times New Roman"/>
          <w:noProof/>
          <w:szCs w:val="24"/>
          <w:lang w:val="fr-BE"/>
        </w:rPr>
      </w:pPr>
      <w:r>
        <w:rPr>
          <w:rFonts w:ascii="Times New Roman" w:hAnsi="Times New Roman" w:cs="Times New Roman"/>
          <w:noProof/>
          <w:szCs w:val="24"/>
          <w:lang w:val="fr-BE"/>
        </w:rPr>
        <w:t xml:space="preserve">Accessibilité sur la base des meilleures options de déplacement disponibles en cas de départ pendant les heures de pointe du matin et du soir </w:t>
      </w:r>
    </w:p>
    <w:p w:rsidR="005F1B1A" w:rsidRDefault="00E84E49">
      <w:pPr>
        <w:rPr>
          <w:rFonts w:ascii="Times New Roman" w:hAnsi="Times New Roman" w:cs="Times New Roman"/>
          <w:noProof/>
          <w:sz w:val="20"/>
          <w:szCs w:val="24"/>
          <w:lang w:val="fr-BE"/>
        </w:rPr>
      </w:pPr>
      <w:r>
        <w:rPr>
          <w:noProof/>
          <w:sz w:val="18"/>
          <w:lang w:val="fr-BE" w:eastAsia="fr-BE"/>
        </w:rPr>
        <w:drawing>
          <wp:anchor distT="0" distB="0" distL="114300" distR="114300" simplePos="0" relativeHeight="251663872" behindDoc="0" locked="0" layoutInCell="1" allowOverlap="1">
            <wp:simplePos x="0" y="0"/>
            <wp:positionH relativeFrom="column">
              <wp:posOffset>539970</wp:posOffset>
            </wp:positionH>
            <wp:positionV relativeFrom="paragraph">
              <wp:posOffset>3810</wp:posOffset>
            </wp:positionV>
            <wp:extent cx="1762125" cy="22860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62125" cy="228600"/>
                    </a:xfrm>
                    <a:prstGeom prst="rect">
                      <a:avLst/>
                    </a:prstGeom>
                  </pic:spPr>
                </pic:pic>
              </a:graphicData>
            </a:graphic>
          </wp:anchor>
        </w:drawing>
      </w:r>
      <w:r>
        <w:rPr>
          <w:rFonts w:ascii="Times New Roman" w:hAnsi="Times New Roman" w:cs="Times New Roman"/>
          <w:noProof/>
          <w:sz w:val="20"/>
          <w:szCs w:val="24"/>
          <w:lang w:val="fr-BE"/>
        </w:rPr>
        <w:t xml:space="preserve">Source : </w:t>
      </w:r>
    </w:p>
    <w:p w:rsidR="005F1B1A" w:rsidRDefault="00E84E49">
      <w:pPr>
        <w:rPr>
          <w:rFonts w:ascii="Times New Roman" w:hAnsi="Times New Roman" w:cs="Times New Roman"/>
          <w:noProof/>
          <w:sz w:val="24"/>
          <w:szCs w:val="24"/>
        </w:rPr>
      </w:pPr>
      <w:r>
        <w:rPr>
          <w:rFonts w:ascii="Times New Roman" w:hAnsi="Times New Roman"/>
          <w:noProof/>
          <w:sz w:val="24"/>
          <w:szCs w:val="24"/>
        </w:rPr>
        <w:t>Les initiatives régionales peuvent améliorer la qualité de vie, l’accès aux services et aux infrastruc</w:t>
      </w:r>
      <w:r>
        <w:rPr>
          <w:rFonts w:ascii="Times New Roman" w:hAnsi="Times New Roman"/>
          <w:noProof/>
          <w:sz w:val="24"/>
          <w:szCs w:val="24"/>
        </w:rPr>
        <w:t>tures et lutter contre les effets négatifs du dépeuplement. Par exemple, les environnements commerciaux locaux peuvent être améliorés grâce à des services de soutien aux entreprises, en encourageant l’innovation et la recherche. Le développement local mené</w:t>
      </w:r>
      <w:r>
        <w:rPr>
          <w:rFonts w:ascii="Times New Roman" w:hAnsi="Times New Roman"/>
          <w:noProof/>
          <w:sz w:val="24"/>
          <w:szCs w:val="24"/>
        </w:rPr>
        <w:t xml:space="preserve"> par les acteurs locaux peut répondre aux besoins des citoyens et améliorer la qualité de vie locale. Un accord rapide sur le prochain budget à long terme de l’UE et sur son instrument pour la relance, Next Generation EU</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permettra de faire en sorte que l</w:t>
      </w:r>
      <w:r>
        <w:rPr>
          <w:rFonts w:ascii="Times New Roman" w:hAnsi="Times New Roman"/>
          <w:noProof/>
          <w:sz w:val="24"/>
          <w:szCs w:val="24"/>
        </w:rPr>
        <w:t xml:space="preserve">es fonds et les programmes de l’UE puissent jouer un rôle important dans le soutien apporté à ces travaux. </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La question essentielle des politiques publiques est de savoir comment élaborer des solutions durables.</w:t>
      </w:r>
      <w:r>
        <w:rPr>
          <w:rFonts w:ascii="Times New Roman" w:hAnsi="Times New Roman"/>
          <w:noProof/>
          <w:sz w:val="24"/>
          <w:szCs w:val="24"/>
        </w:rPr>
        <w:t xml:space="preserve"> Les niveaux régional et local ont montré leu</w:t>
      </w:r>
      <w:r>
        <w:rPr>
          <w:rFonts w:ascii="Times New Roman" w:hAnsi="Times New Roman"/>
          <w:noProof/>
          <w:sz w:val="24"/>
          <w:szCs w:val="24"/>
        </w:rPr>
        <w:t>r capacité à innover et à gérer les changements démographiques de manière intelligente. Il sera essentiel de tirer parti de cette expérience pour partager les bonnes pratiques et élaborer des idées, des produits ou des services innovants.</w:t>
      </w:r>
    </w:p>
    <w:p w:rsidR="005F1B1A" w:rsidRDefault="00E84E49">
      <w:pPr>
        <w:jc w:val="both"/>
        <w:rPr>
          <w:rFonts w:ascii="Times New Roman" w:hAnsi="Times New Roman" w:cs="Times New Roman"/>
          <w:b/>
          <w:noProof/>
          <w:sz w:val="24"/>
          <w:szCs w:val="24"/>
        </w:rPr>
      </w:pPr>
      <w:r>
        <w:rPr>
          <w:rFonts w:ascii="Times New Roman" w:hAnsi="Times New Roman"/>
          <w:b/>
          <w:noProof/>
          <w:sz w:val="24"/>
          <w:szCs w:val="24"/>
        </w:rPr>
        <w:t xml:space="preserve">Toute réponse politique pour relever les défis au niveau régional doit tenir compte de la situation sur le terrain. </w:t>
      </w:r>
      <w:r>
        <w:rPr>
          <w:rFonts w:ascii="Times New Roman" w:hAnsi="Times New Roman"/>
          <w:noProof/>
          <w:sz w:val="24"/>
          <w:szCs w:val="24"/>
        </w:rPr>
        <w:t>Cette situation reflète le fait que la situation est différente d’un pays à l’autre et au sein de chaque pays, avec une plus grande fracture</w:t>
      </w:r>
      <w:r>
        <w:rPr>
          <w:rFonts w:ascii="Times New Roman" w:hAnsi="Times New Roman"/>
          <w:noProof/>
          <w:sz w:val="24"/>
          <w:szCs w:val="24"/>
        </w:rPr>
        <w:t xml:space="preserve"> entre les zones urbaines et les zones rurales dans certains domaines et des tendances contraires dans d’autres pays. En 2018, la part de la population exposée au risque de pauvreté était particulièrement élevée chez les personnes vivant dans des villes d’</w:t>
      </w:r>
      <w:r>
        <w:rPr>
          <w:rFonts w:ascii="Times New Roman" w:hAnsi="Times New Roman"/>
          <w:noProof/>
          <w:sz w:val="24"/>
          <w:szCs w:val="24"/>
        </w:rPr>
        <w:t>une grande partie de l’Europe occidentale, alors que dans les régions orientales et méridionales de l’UE, cela concernait les habitants des zones rurales.</w:t>
      </w:r>
      <w:r>
        <w:rPr>
          <w:rFonts w:ascii="Times New Roman" w:hAnsi="Times New Roman"/>
          <w:b/>
          <w:noProof/>
          <w:sz w:val="24"/>
          <w:szCs w:val="24"/>
        </w:rPr>
        <w:t xml:space="preserv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Dans les villes, l’utilisation de l’énergie, des transports et du sol est plus efficace. Il est plus</w:t>
      </w:r>
      <w:r>
        <w:rPr>
          <w:rFonts w:ascii="Times New Roman" w:hAnsi="Times New Roman"/>
          <w:noProof/>
          <w:sz w:val="24"/>
          <w:szCs w:val="24"/>
        </w:rPr>
        <w:t xml:space="preserve"> facile d’organiser et de maintenir les infrastructures publiques, telles que les transports publics ou l’accès à l’internet, et l’accès aux ser</w:t>
      </w:r>
      <w:bookmarkStart w:id="65" w:name="_GoBack"/>
      <w:bookmarkEnd w:id="65"/>
      <w:r>
        <w:rPr>
          <w:rFonts w:ascii="Times New Roman" w:hAnsi="Times New Roman"/>
          <w:noProof/>
          <w:sz w:val="24"/>
          <w:szCs w:val="24"/>
        </w:rPr>
        <w:t>vices sociaux, par exemple dans le secteur des soins. La mise en adéquation de l’offre et de la demande de compé</w:t>
      </w:r>
      <w:r>
        <w:rPr>
          <w:rFonts w:ascii="Times New Roman" w:hAnsi="Times New Roman"/>
          <w:noProof/>
          <w:sz w:val="24"/>
          <w:szCs w:val="24"/>
        </w:rPr>
        <w:t xml:space="preserve">tences tend à être plus aisée, ce qui entraîne une hausse de la productivité et des revenus par habitant. Les villes bénéficient d’un meilleur accès à une éducation de qualité, y compris à un plus grand nombre d’établissements d’enseignement supérieur, ce </w:t>
      </w:r>
      <w:r>
        <w:rPr>
          <w:rFonts w:ascii="Times New Roman" w:hAnsi="Times New Roman"/>
          <w:noProof/>
          <w:sz w:val="24"/>
          <w:szCs w:val="24"/>
        </w:rPr>
        <w:t>qui peut contribuer à générer des innovations</w:t>
      </w:r>
      <w:r>
        <w:rPr>
          <w:rFonts w:ascii="Times New Roman" w:hAnsi="Times New Roman" w:cs="Times New Roman"/>
          <w:noProof/>
          <w:sz w:val="24"/>
          <w:szCs w:val="24"/>
          <w:vertAlign w:val="superscript"/>
        </w:rPr>
        <w:footnoteReference w:id="53"/>
      </w:r>
      <w:r>
        <w:rPr>
          <w:rFonts w:ascii="Times New Roman" w:hAnsi="Times New Roman"/>
          <w:noProof/>
          <w:sz w:val="24"/>
          <w:szCs w:val="24"/>
        </w:rPr>
        <w:t xml:space="preserv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D’un autre côté, </w:t>
      </w:r>
      <w:r>
        <w:rPr>
          <w:rFonts w:ascii="Times New Roman" w:hAnsi="Times New Roman"/>
          <w:b/>
          <w:noProof/>
          <w:sz w:val="24"/>
          <w:szCs w:val="24"/>
        </w:rPr>
        <w:t>les taux de croissance démographique élevés dans les villes doivent être bien gérés pour éviter une augmentation supplémentaire des coûts liés à la congestion, à la pollution et au logement</w:t>
      </w:r>
      <w:r>
        <w:rPr>
          <w:rFonts w:ascii="Times New Roman" w:hAnsi="Times New Roman" w:cs="Times New Roman"/>
          <w:noProof/>
          <w:sz w:val="24"/>
          <w:szCs w:val="24"/>
          <w:vertAlign w:val="superscript"/>
        </w:rPr>
        <w:footnoteReference w:id="54"/>
      </w:r>
      <w:r>
        <w:rPr>
          <w:rFonts w:ascii="Times New Roman" w:hAnsi="Times New Roman"/>
          <w:noProof/>
          <w:sz w:val="24"/>
          <w:szCs w:val="24"/>
        </w:rPr>
        <w:t>. Les villes devront également adapter leurs services dans des domaines tels que les soins de santé et la mobilité, ainsi que les infrastructures publiques, le logement, l’éducation et la politique sociale pour répondre aux évolutions démographiques. Compt</w:t>
      </w:r>
      <w:r>
        <w:rPr>
          <w:rFonts w:ascii="Times New Roman" w:hAnsi="Times New Roman"/>
          <w:noProof/>
          <w:sz w:val="24"/>
          <w:szCs w:val="24"/>
        </w:rPr>
        <w:t>e tenu du lien étroit qui existe entre le vieillissement et le handicap, il s’agit également d’améliorer l’accessibilité, notamment en ce qui concerne les produits, les services et les infrastructures.</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Les zones rurales disposent de terrains en abondance e</w:t>
      </w:r>
      <w:r>
        <w:rPr>
          <w:rFonts w:ascii="Times New Roman" w:hAnsi="Times New Roman"/>
          <w:b/>
          <w:noProof/>
          <w:sz w:val="24"/>
          <w:szCs w:val="24"/>
        </w:rPr>
        <w:t>t bénéficient d’un coût de la vie moins élevé ainsi que de faibles niveaux de pollution atmosphérique</w:t>
      </w:r>
      <w:r>
        <w:rPr>
          <w:rFonts w:ascii="Times New Roman" w:hAnsi="Times New Roman"/>
          <w:noProof/>
          <w:sz w:val="24"/>
          <w:szCs w:val="24"/>
        </w:rPr>
        <w:t>. Toutefois, elles sont également confrontées à un certain nombre de défis, notamment en ce qui concerne la garantie d’un accès satisfaisant aux services p</w:t>
      </w:r>
      <w:r>
        <w:rPr>
          <w:rFonts w:ascii="Times New Roman" w:hAnsi="Times New Roman"/>
          <w:noProof/>
          <w:sz w:val="24"/>
          <w:szCs w:val="24"/>
        </w:rPr>
        <w:t>ublics et privés. Les zones rurales confrontées à une forte réduction de population peuvent être confrontées à un abandon des terres et à un risque accru d’incendies de forêt</w:t>
      </w:r>
      <w:r>
        <w:rPr>
          <w:rFonts w:ascii="Times New Roman" w:hAnsi="Times New Roman" w:cs="Times New Roman"/>
          <w:noProof/>
          <w:sz w:val="24"/>
          <w:szCs w:val="24"/>
          <w:vertAlign w:val="superscript"/>
        </w:rPr>
        <w:footnoteReference w:id="55"/>
      </w:r>
      <w:r>
        <w:rPr>
          <w:rFonts w:ascii="Times New Roman" w:hAnsi="Times New Roman"/>
          <w:noProof/>
          <w:sz w:val="24"/>
          <w:szCs w:val="24"/>
        </w:rPr>
        <w:t xml:space="preserve"> et, de manière générale, il devient alors plus difficile d’attirer de nouveaux i</w:t>
      </w:r>
      <w:r>
        <w:rPr>
          <w:rFonts w:ascii="Times New Roman" w:hAnsi="Times New Roman"/>
          <w:noProof/>
          <w:sz w:val="24"/>
          <w:szCs w:val="24"/>
        </w:rPr>
        <w:t xml:space="preserve">nvestissements. La diminution du nombre de jeunes agriculteurs et l’importance du «renouvellement des générations» sont une source de préoccupation. </w:t>
      </w:r>
    </w:p>
    <w:p w:rsidR="005F1B1A" w:rsidRDefault="00E84E49">
      <w:pPr>
        <w:jc w:val="both"/>
        <w:rPr>
          <w:rFonts w:ascii="Times New Roman" w:hAnsi="Times New Roman" w:cs="Times New Roman"/>
          <w:noProof/>
          <w:sz w:val="24"/>
          <w:szCs w:val="24"/>
        </w:rPr>
      </w:pPr>
      <w:r>
        <w:rPr>
          <w:rFonts w:ascii="Times New Roman" w:hAnsi="Times New Roman"/>
          <w:bCs/>
          <w:noProof/>
          <w:sz w:val="24"/>
          <w:szCs w:val="24"/>
        </w:rPr>
        <w:t>Une question essentielle pour les zones rurales est de savoir si elles sont proches d’une ville ou éloigné</w:t>
      </w:r>
      <w:r>
        <w:rPr>
          <w:rFonts w:ascii="Times New Roman" w:hAnsi="Times New Roman"/>
          <w:bCs/>
          <w:noProof/>
          <w:sz w:val="24"/>
          <w:szCs w:val="24"/>
        </w:rPr>
        <w:t xml:space="preserve">es de toute zone urbaine fonctionnelle. </w:t>
      </w:r>
      <w:r>
        <w:rPr>
          <w:rFonts w:ascii="Times New Roman" w:hAnsi="Times New Roman"/>
          <w:noProof/>
          <w:sz w:val="24"/>
          <w:szCs w:val="24"/>
        </w:rPr>
        <w:t>Les zones rurales proches d’une ville peuvent avoir des interactions fréquentes avec cette ville. Les habitants peuvent travailler dans la ville, mais vivre à l’extérieur, en faisant les trajets entre leur domicile e</w:t>
      </w:r>
      <w:r>
        <w:rPr>
          <w:rFonts w:ascii="Times New Roman" w:hAnsi="Times New Roman"/>
          <w:noProof/>
          <w:sz w:val="24"/>
          <w:szCs w:val="24"/>
        </w:rPr>
        <w:t>t leur lieu de travail tous les jours. Ce modèle comporte des exigences spécifiques, par exemple en matière de transport. Il peut s’agir, par exemple, d’une répartition spécifique des tâches avec la ville offrant un accès aux hôpitaux, y compris aux person</w:t>
      </w:r>
      <w:r>
        <w:rPr>
          <w:rFonts w:ascii="Times New Roman" w:hAnsi="Times New Roman"/>
          <w:noProof/>
          <w:sz w:val="24"/>
          <w:szCs w:val="24"/>
        </w:rPr>
        <w:t>nes vivant dans la zone rurale située à proximité.</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D’autre part, certaines zones rurales ne se trouvent pas à proximité d’une ville plus grande. Dans ce cas, le développement rural est confronté à des défis différents, par exemple la prépondérance du secte</w:t>
      </w:r>
      <w:r>
        <w:rPr>
          <w:rFonts w:ascii="Times New Roman" w:hAnsi="Times New Roman"/>
          <w:noProof/>
          <w:sz w:val="24"/>
          <w:szCs w:val="24"/>
        </w:rPr>
        <w:t>ur primaire et les chaînes de valeur associées</w:t>
      </w:r>
      <w:r>
        <w:rPr>
          <w:rFonts w:ascii="Times New Roman" w:hAnsi="Times New Roman" w:cs="Times New Roman"/>
          <w:noProof/>
          <w:sz w:val="24"/>
          <w:szCs w:val="24"/>
          <w:vertAlign w:val="superscript"/>
        </w:rPr>
        <w:footnoteReference w:id="56"/>
      </w:r>
      <w:r>
        <w:rPr>
          <w:rFonts w:ascii="Times New Roman" w:hAnsi="Times New Roman"/>
          <w:noProof/>
          <w:sz w:val="24"/>
          <w:szCs w:val="24"/>
        </w:rPr>
        <w:t xml:space="preserve"> ou une croissance démographique et économique plus faible</w:t>
      </w:r>
      <w:r>
        <w:rPr>
          <w:rFonts w:ascii="Times New Roman" w:hAnsi="Times New Roman" w:cs="Times New Roman"/>
          <w:noProof/>
          <w:sz w:val="24"/>
          <w:szCs w:val="24"/>
          <w:vertAlign w:val="superscript"/>
        </w:rPr>
        <w:footnoteReference w:id="57"/>
      </w:r>
      <w:r>
        <w:rPr>
          <w:rFonts w:ascii="Times New Roman" w:hAnsi="Times New Roman"/>
          <w:noProof/>
          <w:sz w:val="24"/>
          <w:szCs w:val="24"/>
        </w:rPr>
        <w:t>. Le déclin économique dans certaines régions n’est pas seulement un défi pour la cohésion territoriale, mais peut également conduire à une géographie</w:t>
      </w:r>
      <w:r>
        <w:rPr>
          <w:rFonts w:ascii="Times New Roman" w:hAnsi="Times New Roman"/>
          <w:noProof/>
          <w:sz w:val="24"/>
          <w:szCs w:val="24"/>
        </w:rPr>
        <w:t xml:space="preserve"> du mécontentement. Si les personnes commencent à se sentir laissées pour compte, elles peuvent perdre confiance dans l’équité de notre économie et de nos institutions démocratiques.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Toutes ces questions seront abordées dans le cadre d’une </w:t>
      </w:r>
      <w:r>
        <w:rPr>
          <w:rFonts w:ascii="Times New Roman" w:hAnsi="Times New Roman"/>
          <w:b/>
          <w:noProof/>
          <w:sz w:val="24"/>
          <w:szCs w:val="24"/>
        </w:rPr>
        <w:t>vision à long t</w:t>
      </w:r>
      <w:r>
        <w:rPr>
          <w:rFonts w:ascii="Times New Roman" w:hAnsi="Times New Roman"/>
          <w:b/>
          <w:noProof/>
          <w:sz w:val="24"/>
          <w:szCs w:val="24"/>
        </w:rPr>
        <w:t>erme de la Commission pour les zones rurales</w:t>
      </w:r>
      <w:r>
        <w:rPr>
          <w:rFonts w:ascii="Times New Roman" w:hAnsi="Times New Roman"/>
          <w:noProof/>
          <w:sz w:val="24"/>
          <w:szCs w:val="24"/>
        </w:rPr>
        <w:t>, qui sera présentée l’année prochaine, à la suite d’une vaste consultation publique et en tenant compte des différents aspects mis en évidence par la pandémie de COVID-19.</w:t>
      </w:r>
    </w:p>
    <w:p w:rsidR="005F1B1A" w:rsidRDefault="00E84E49">
      <w:pPr>
        <w:pStyle w:val="Heading2"/>
        <w:keepNext/>
        <w:rPr>
          <w:noProof/>
        </w:rPr>
      </w:pPr>
      <w:bookmarkStart w:id="66" w:name="_Toc43216588"/>
      <w:r>
        <w:rPr>
          <w:noProof/>
        </w:rPr>
        <w:t>4.</w:t>
      </w:r>
      <w:r>
        <w:rPr>
          <w:noProof/>
        </w:rPr>
        <w:tab/>
        <w:t>DOUBLES TRANSITIONS ET ÉVOLUTION DÉM</w:t>
      </w:r>
      <w:r>
        <w:rPr>
          <w:noProof/>
        </w:rPr>
        <w:t>OGRAPHIQUE</w:t>
      </w:r>
      <w:bookmarkEnd w:id="66"/>
    </w:p>
    <w:p w:rsidR="005F1B1A" w:rsidRDefault="00E84E49">
      <w:pPr>
        <w:keepLines/>
        <w:jc w:val="both"/>
        <w:rPr>
          <w:rFonts w:ascii="Times New Roman" w:hAnsi="Times New Roman" w:cs="Times New Roman"/>
          <w:noProof/>
          <w:sz w:val="24"/>
          <w:szCs w:val="24"/>
        </w:rPr>
      </w:pPr>
      <w:r>
        <w:rPr>
          <w:rFonts w:ascii="Times New Roman" w:hAnsi="Times New Roman"/>
          <w:b/>
          <w:noProof/>
          <w:sz w:val="24"/>
          <w:szCs w:val="24"/>
        </w:rPr>
        <w:t xml:space="preserve">L’évolution démographique et la double transition écologique et numérique auront souvent une incidence réciproque ou s’accéléreront mutuellement. </w:t>
      </w:r>
      <w:r>
        <w:rPr>
          <w:rFonts w:ascii="Times New Roman" w:hAnsi="Times New Roman"/>
          <w:noProof/>
          <w:sz w:val="24"/>
          <w:szCs w:val="24"/>
        </w:rPr>
        <w:t>La prospective stratégique peut être un outil important pour recenser et prévoir les défis qui infl</w:t>
      </w:r>
      <w:r>
        <w:rPr>
          <w:rFonts w:ascii="Times New Roman" w:hAnsi="Times New Roman"/>
          <w:noProof/>
          <w:sz w:val="24"/>
          <w:szCs w:val="24"/>
        </w:rPr>
        <w:t xml:space="preserve">ueront sur chacune de ces transitions ainsi que pour mieux préparer les politiques qui permettront d’y faire face ensemble.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Les pressions exercées à l’échelle mondiale par l’évolution démographique sont susceptibles d’être exacerbées par les effets du cha</w:t>
      </w:r>
      <w:r>
        <w:rPr>
          <w:rFonts w:ascii="Times New Roman" w:hAnsi="Times New Roman"/>
          <w:noProof/>
          <w:sz w:val="24"/>
          <w:szCs w:val="24"/>
        </w:rPr>
        <w:t>ngement climatique et de la dégradation de l’environnement. Le statu quo signifierait une augmentation considérable et simultanée du besoin en nourriture, en énergie et en eau au niveau mondial au cours des prochaines décennies: 60 % de denrées alimentaire</w:t>
      </w:r>
      <w:r>
        <w:rPr>
          <w:rFonts w:ascii="Times New Roman" w:hAnsi="Times New Roman"/>
          <w:noProof/>
          <w:sz w:val="24"/>
          <w:szCs w:val="24"/>
        </w:rPr>
        <w:t>s en plus, 50 % d’énergie en plus et 40 % d’eau en plus d’ici à 2050</w:t>
      </w:r>
      <w:r>
        <w:rPr>
          <w:rFonts w:ascii="Times New Roman" w:hAnsi="Times New Roman" w:cs="Times New Roman"/>
          <w:noProof/>
          <w:sz w:val="24"/>
          <w:szCs w:val="24"/>
          <w:vertAlign w:val="superscript"/>
        </w:rPr>
        <w:footnoteReference w:id="58"/>
      </w:r>
      <w:r>
        <w:rPr>
          <w:rFonts w:ascii="Times New Roman" w:hAnsi="Times New Roman"/>
          <w:noProof/>
          <w:sz w:val="24"/>
          <w:szCs w:val="24"/>
        </w:rPr>
        <w:t xml:space="preserv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Comme le prévoit le pacte vert pour l’Europe et la loi sur le climat</w:t>
      </w:r>
      <w:r>
        <w:rPr>
          <w:rStyle w:val="FootnoteReference"/>
          <w:rFonts w:ascii="Times New Roman" w:hAnsi="Times New Roman" w:cs="Times New Roman"/>
          <w:noProof/>
          <w:sz w:val="24"/>
          <w:szCs w:val="24"/>
        </w:rPr>
        <w:footnoteReference w:id="59"/>
      </w:r>
      <w:r>
        <w:rPr>
          <w:rFonts w:ascii="Times New Roman" w:hAnsi="Times New Roman"/>
          <w:noProof/>
          <w:sz w:val="24"/>
          <w:szCs w:val="24"/>
        </w:rPr>
        <w:t>, l’Europe passera à une économie neutre sur le plan climatique et efficace dans l’utilisation des ressources au co</w:t>
      </w:r>
      <w:r>
        <w:rPr>
          <w:rFonts w:ascii="Times New Roman" w:hAnsi="Times New Roman"/>
          <w:noProof/>
          <w:sz w:val="24"/>
          <w:szCs w:val="24"/>
        </w:rPr>
        <w:t xml:space="preserve">urs de la même période. Cela renforce la nécessité d’une énergie propre, d’une mobilité durable et intelligente, d’une transition vers une économie plus circulaire et d’un grand pas en avant dans la protection et la restauration de notre biodiversité. Les </w:t>
      </w:r>
      <w:r>
        <w:rPr>
          <w:rFonts w:ascii="Times New Roman" w:hAnsi="Times New Roman"/>
          <w:noProof/>
          <w:sz w:val="24"/>
          <w:szCs w:val="24"/>
        </w:rPr>
        <w:t xml:space="preserve">mesures de confinement adoptées récemment en raison de la pandémie de COVID-19 nous ont montré l’importance des espaces verts urbains pour notre bien-être physique et mental. De nombreuses villes européennes ont également pris des mesures pour faire de la </w:t>
      </w:r>
      <w:r>
        <w:rPr>
          <w:rFonts w:ascii="Times New Roman" w:hAnsi="Times New Roman"/>
          <w:noProof/>
          <w:sz w:val="24"/>
          <w:szCs w:val="24"/>
        </w:rPr>
        <w:t>mobilité active, telle que la marche et le vélo, une option plus sûre et plus attrayante au cours de la pandémie. Pour faciliter ces travaux, la Commission mettra en place en 2021 une plateforme de l’Union pour l’écologisation urbaine dans le cadre d’un no</w:t>
      </w:r>
      <w:r>
        <w:rPr>
          <w:rFonts w:ascii="Times New Roman" w:hAnsi="Times New Roman"/>
          <w:noProof/>
          <w:sz w:val="24"/>
          <w:szCs w:val="24"/>
        </w:rPr>
        <w:t>uvel «accord de ville verte» avec les villes et les maires.</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Les villes étant de plus en plus surpeuplées, les zones urbaines devront poursuivre et intensifier leurs efforts en faveur des espaces verts urbains, qui peuvent également jouer le rôle de puits d</w:t>
      </w:r>
      <w:r>
        <w:rPr>
          <w:rFonts w:ascii="Times New Roman" w:hAnsi="Times New Roman"/>
          <w:noProof/>
          <w:sz w:val="24"/>
          <w:szCs w:val="24"/>
        </w:rPr>
        <w:t xml:space="preserve">e carbone, contribuant ainsi à éliminer les émissions de l’atmosphère. La mise en œuvre du </w:t>
      </w:r>
      <w:r>
        <w:rPr>
          <w:rFonts w:ascii="Times New Roman" w:hAnsi="Times New Roman"/>
          <w:b/>
          <w:noProof/>
          <w:sz w:val="24"/>
          <w:szCs w:val="24"/>
        </w:rPr>
        <w:t>plan d’action en faveur de l’économie circulaire</w:t>
      </w:r>
      <w:r>
        <w:rPr>
          <w:rFonts w:ascii="Times New Roman" w:hAnsi="Times New Roman"/>
          <w:noProof/>
          <w:sz w:val="24"/>
          <w:szCs w:val="24"/>
        </w:rPr>
        <w:t xml:space="preserve"> et de la </w:t>
      </w:r>
      <w:r>
        <w:rPr>
          <w:rFonts w:ascii="Times New Roman" w:hAnsi="Times New Roman"/>
          <w:b/>
          <w:noProof/>
          <w:sz w:val="24"/>
          <w:szCs w:val="24"/>
        </w:rPr>
        <w:t>stratégie de l’UE en faveur de la biodiversité</w:t>
      </w:r>
      <w:r>
        <w:rPr>
          <w:rFonts w:ascii="Times New Roman" w:hAnsi="Times New Roman"/>
          <w:noProof/>
          <w:sz w:val="24"/>
          <w:szCs w:val="24"/>
        </w:rPr>
        <w:t xml:space="preserve"> et de la stratégie «</w:t>
      </w:r>
      <w:r>
        <w:rPr>
          <w:rFonts w:ascii="Times New Roman" w:hAnsi="Times New Roman"/>
          <w:b/>
          <w:noProof/>
          <w:sz w:val="24"/>
          <w:szCs w:val="24"/>
        </w:rPr>
        <w:t>de la ferme à la table</w:t>
      </w:r>
      <w:r>
        <w:rPr>
          <w:rFonts w:ascii="Times New Roman" w:hAnsi="Times New Roman"/>
          <w:noProof/>
          <w:sz w:val="24"/>
          <w:szCs w:val="24"/>
        </w:rPr>
        <w:t xml:space="preserve">» ainsi que la </w:t>
      </w:r>
      <w:r>
        <w:rPr>
          <w:rFonts w:ascii="Times New Roman" w:hAnsi="Times New Roman"/>
          <w:b/>
          <w:noProof/>
          <w:sz w:val="24"/>
          <w:szCs w:val="24"/>
        </w:rPr>
        <w:t>fut</w:t>
      </w:r>
      <w:r>
        <w:rPr>
          <w:rFonts w:ascii="Times New Roman" w:hAnsi="Times New Roman"/>
          <w:b/>
          <w:noProof/>
          <w:sz w:val="24"/>
          <w:szCs w:val="24"/>
        </w:rPr>
        <w:t>ure stratégie révisée de l’UE relative à l’adaptation au changement climatique</w:t>
      </w:r>
      <w:r>
        <w:rPr>
          <w:rFonts w:ascii="Times New Roman" w:hAnsi="Times New Roman"/>
          <w:noProof/>
          <w:sz w:val="24"/>
          <w:szCs w:val="24"/>
        </w:rPr>
        <w:t xml:space="preserve"> abordent bon nombre de ces questions. </w:t>
      </w:r>
    </w:p>
    <w:p w:rsidR="005F1B1A" w:rsidRDefault="00E84E49">
      <w:pPr>
        <w:jc w:val="both"/>
        <w:rPr>
          <w:rFonts w:ascii="Times New Roman" w:hAnsi="Times New Roman" w:cs="Times New Roman"/>
          <w:b/>
          <w:noProof/>
          <w:sz w:val="24"/>
          <w:szCs w:val="24"/>
        </w:rPr>
      </w:pPr>
      <w:r>
        <w:rPr>
          <w:rFonts w:ascii="Times New Roman" w:hAnsi="Times New Roman"/>
          <w:b/>
          <w:noProof/>
          <w:sz w:val="24"/>
          <w:szCs w:val="24"/>
        </w:rPr>
        <w:t>Le changement climatique et la perte de biodiversité devraient influencer de manière significative les schémas migratoires</w:t>
      </w:r>
      <w:r>
        <w:rPr>
          <w:rFonts w:ascii="Times New Roman" w:hAnsi="Times New Roman"/>
          <w:noProof/>
          <w:sz w:val="24"/>
          <w:szCs w:val="24"/>
        </w:rPr>
        <w:t xml:space="preserve">. En effet, les </w:t>
      </w:r>
      <w:r>
        <w:rPr>
          <w:rFonts w:ascii="Times New Roman" w:hAnsi="Times New Roman"/>
          <w:noProof/>
          <w:sz w:val="24"/>
          <w:szCs w:val="24"/>
        </w:rPr>
        <w:t>changements dans l’environnement, tels que la désertification, l’acidification des océans et l’érosion côtière, ont une incidence directe sur les moyens de subsistance des personnes et leur capacité à survivre dans leurs lieux d’origine</w:t>
      </w:r>
      <w:r>
        <w:rPr>
          <w:rFonts w:ascii="Times New Roman" w:hAnsi="Times New Roman" w:cs="Times New Roman"/>
          <w:noProof/>
          <w:sz w:val="24"/>
          <w:szCs w:val="24"/>
          <w:vertAlign w:val="superscript"/>
        </w:rPr>
        <w:footnoteReference w:id="60"/>
      </w:r>
      <w:r>
        <w:rPr>
          <w:rFonts w:ascii="Times New Roman" w:hAnsi="Times New Roman"/>
          <w:noProof/>
          <w:sz w:val="24"/>
          <w:szCs w:val="24"/>
        </w:rPr>
        <w:t>. Selon les prévisi</w:t>
      </w:r>
      <w:r>
        <w:rPr>
          <w:rFonts w:ascii="Times New Roman" w:hAnsi="Times New Roman"/>
          <w:noProof/>
          <w:sz w:val="24"/>
          <w:szCs w:val="24"/>
        </w:rPr>
        <w:t>ons, cette tendance ne fera que se poursuivre au fur et à mesure de l’accentuation des conséquences du changement climatique. Selon la Banque mondiale, jusqu’à 143 millions de personnes en Afrique subsaharienne, en Asie du Sud et en Amérique latine pourrai</w:t>
      </w:r>
      <w:r>
        <w:rPr>
          <w:rFonts w:ascii="Times New Roman" w:hAnsi="Times New Roman"/>
          <w:noProof/>
          <w:sz w:val="24"/>
          <w:szCs w:val="24"/>
        </w:rPr>
        <w:t>ent être déplacées à l’intérieur de leur propre pays d’ici à 2050 si aucune action pour le climat n’est entreprise</w:t>
      </w:r>
      <w:r>
        <w:rPr>
          <w:rFonts w:ascii="Times New Roman" w:hAnsi="Times New Roman" w:cs="Times New Roman"/>
          <w:noProof/>
          <w:sz w:val="24"/>
          <w:szCs w:val="24"/>
          <w:vertAlign w:val="superscript"/>
        </w:rPr>
        <w:footnoteReference w:id="61"/>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Cela renforce la nécessité pour l’Europe d’être le chef de file mondial des mesures en faveur du climat et de l’environnement, notamment pa</w:t>
      </w:r>
      <w:r>
        <w:rPr>
          <w:rFonts w:ascii="Times New Roman" w:hAnsi="Times New Roman"/>
          <w:noProof/>
          <w:sz w:val="24"/>
          <w:szCs w:val="24"/>
        </w:rPr>
        <w:t xml:space="preserve">r la mise en œuvre du pacte vert pour l’Europe et par le renforcement de sa diplomatie du pacte vert dans l’ensemble de ses politiques et de ses partenariats.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La révolution numérique et la diffusion rapide de l’internet ont déjà modifié la vie et les habi</w:t>
      </w:r>
      <w:r>
        <w:rPr>
          <w:rFonts w:ascii="Times New Roman" w:hAnsi="Times New Roman"/>
          <w:noProof/>
          <w:sz w:val="24"/>
          <w:szCs w:val="24"/>
        </w:rPr>
        <w:t>tudes des citoyens. La numérisation peut stimuler la productivité et la croissance économique, mais un accès inégal à l’internet génère une fracture numérique qui devient une dimension importante de l’inégalité. En outre, des compétences numériques insuffi</w:t>
      </w:r>
      <w:r>
        <w:rPr>
          <w:rFonts w:ascii="Times New Roman" w:hAnsi="Times New Roman"/>
          <w:noProof/>
          <w:sz w:val="24"/>
          <w:szCs w:val="24"/>
        </w:rPr>
        <w:t>santes et une forte divergence entre les niveaux de compétences entre les pays et les régions ainsi qu’un manque d’accessibilité pourraient aggraver cette fracture.</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La crise actuelle a souligné l’urgence de faire de cette transition numérique une réalité p</w:t>
      </w:r>
      <w:r>
        <w:rPr>
          <w:rFonts w:ascii="Times New Roman" w:hAnsi="Times New Roman"/>
          <w:noProof/>
          <w:sz w:val="24"/>
          <w:szCs w:val="24"/>
        </w:rPr>
        <w:t>our tous aussi vite que possible: avec les mesures de distanciation physique imposées dans toute l’Europe, de nombreuses personnes ont dû travailler à domicile ou recourir à l’internet ou à des applications mobiles pour garder un contact social avec des me</w:t>
      </w:r>
      <w:r>
        <w:rPr>
          <w:rFonts w:ascii="Times New Roman" w:hAnsi="Times New Roman"/>
          <w:noProof/>
          <w:sz w:val="24"/>
          <w:szCs w:val="24"/>
        </w:rPr>
        <w:t xml:space="preserve">mbres de leur famille et leurs amis. L’accès à l’internet rapide et fiable et la possibilité d’utiliser des outils numériques sont devenus d’autant plus essentiels pour les entreprises, les travailleurs et les travailleurs indépendants.   </w:t>
      </w:r>
    </w:p>
    <w:p w:rsidR="005F1B1A" w:rsidRDefault="00E84E49">
      <w:pPr>
        <w:pStyle w:val="Heading2"/>
        <w:keepNext/>
        <w:rPr>
          <w:noProof/>
        </w:rPr>
      </w:pPr>
      <w:bookmarkStart w:id="67" w:name="_Toc33643888"/>
      <w:bookmarkStart w:id="68" w:name="_Toc33800411"/>
      <w:bookmarkStart w:id="69" w:name="_Toc36563279"/>
      <w:bookmarkStart w:id="70" w:name="_Toc43216589"/>
      <w:bookmarkStart w:id="71" w:name="_Toc32414448"/>
      <w:bookmarkEnd w:id="67"/>
      <w:r>
        <w:rPr>
          <w:noProof/>
        </w:rPr>
        <w:t xml:space="preserve">5. </w:t>
      </w:r>
      <w:r>
        <w:rPr>
          <w:noProof/>
        </w:rPr>
        <w:tab/>
        <w:t>LA GÉOPOLITI</w:t>
      </w:r>
      <w:r>
        <w:rPr>
          <w:noProof/>
        </w:rPr>
        <w:t>QUE DÉMOGRAPHIQUE: L’EUROPE DANS LE MONDE</w:t>
      </w:r>
      <w:bookmarkEnd w:id="68"/>
      <w:bookmarkEnd w:id="69"/>
      <w:bookmarkEnd w:id="70"/>
    </w:p>
    <w:bookmarkEnd w:id="71"/>
    <w:p w:rsidR="005F1B1A" w:rsidRDefault="00E84E49">
      <w:pPr>
        <w:keepLines/>
        <w:jc w:val="both"/>
        <w:rPr>
          <w:rFonts w:ascii="Times New Roman" w:hAnsi="Times New Roman" w:cs="Times New Roman"/>
          <w:noProof/>
          <w:sz w:val="24"/>
          <w:szCs w:val="24"/>
        </w:rPr>
      </w:pPr>
      <w:r>
        <w:rPr>
          <w:rFonts w:ascii="Times New Roman" w:hAnsi="Times New Roman"/>
          <w:noProof/>
          <w:sz w:val="24"/>
          <w:szCs w:val="24"/>
        </w:rPr>
        <w:t>L’évolution démographique a également des conséquences sur les perspectives géopolitiques et la position de l’Europe dans le monde. La population et la dimension économique jouent un rôle important dans les structu</w:t>
      </w:r>
      <w:r>
        <w:rPr>
          <w:rFonts w:ascii="Times New Roman" w:hAnsi="Times New Roman"/>
          <w:noProof/>
          <w:sz w:val="24"/>
          <w:szCs w:val="24"/>
        </w:rPr>
        <w:t>res de pouvoir au niveau mondial. Étant donné que les nations européennes deviennent de plus en plus petites et moins puissantes sur le plan économique par rapport à d’autres économies émergentes, la nécessité pour l’Union européenne d’user de tout son poi</w:t>
      </w:r>
      <w:r>
        <w:rPr>
          <w:rFonts w:ascii="Times New Roman" w:hAnsi="Times New Roman"/>
          <w:noProof/>
          <w:sz w:val="24"/>
          <w:szCs w:val="24"/>
        </w:rPr>
        <w:t xml:space="preserve">ds collectif devient d’autant plus importante. Dans le même temps, ainsi que nous le constatons durant la pandémie, un virus ne connaît pas de frontières et pose des défis communs à de nombreuses régions du monde. </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La part de l’Europe dans la population mo</w:t>
      </w:r>
      <w:r>
        <w:rPr>
          <w:rFonts w:ascii="Times New Roman" w:hAnsi="Times New Roman"/>
          <w:b/>
          <w:noProof/>
          <w:sz w:val="24"/>
          <w:szCs w:val="24"/>
        </w:rPr>
        <w:t>ndiale diminue</w:t>
      </w:r>
      <w:r>
        <w:rPr>
          <w:rFonts w:ascii="Times New Roman" w:hAnsi="Times New Roman"/>
          <w:noProof/>
          <w:sz w:val="24"/>
          <w:szCs w:val="24"/>
        </w:rPr>
        <w:t>. En 1960, la population de l’UE-27 représentait environ 12 % de la population mondiale. Elle est tombée à environ 6 % aujourd’hui et devrait tomber à moins de 4 % d’ici à 2070. L’autre évolution notable est l’augmentation de la part de l’Afr</w:t>
      </w:r>
      <w:r>
        <w:rPr>
          <w:rFonts w:ascii="Times New Roman" w:hAnsi="Times New Roman"/>
          <w:noProof/>
          <w:sz w:val="24"/>
          <w:szCs w:val="24"/>
        </w:rPr>
        <w:t>ique dans la population mondiale: elle passerait de 9 % à 32 %, tandis que la part de la population asiatique diminuerait quelque peu</w:t>
      </w:r>
      <w:r>
        <w:rPr>
          <w:rFonts w:ascii="Times New Roman" w:hAnsi="Times New Roman" w:cs="Times New Roman"/>
          <w:noProof/>
          <w:sz w:val="24"/>
          <w:szCs w:val="24"/>
          <w:vertAlign w:val="superscript"/>
        </w:rPr>
        <w:footnoteReference w:id="62"/>
      </w:r>
      <w:r>
        <w:rPr>
          <w:rFonts w:ascii="Times New Roman" w:hAnsi="Times New Roman"/>
          <w:noProof/>
          <w:sz w:val="24"/>
          <w:szCs w:val="24"/>
        </w:rPr>
        <w:t>.</w:t>
      </w:r>
    </w:p>
    <w:p w:rsidR="005F1B1A" w:rsidRDefault="00E84E49">
      <w:pPr>
        <w:keepNext/>
        <w:ind w:firstLine="720"/>
        <w:jc w:val="center"/>
        <w:rPr>
          <w:rFonts w:ascii="Times New Roman" w:hAnsi="Times New Roman" w:cs="Times New Roman"/>
          <w:b/>
          <w:noProof/>
          <w:sz w:val="24"/>
          <w:szCs w:val="24"/>
        </w:rPr>
      </w:pPr>
      <w:r>
        <w:rPr>
          <w:rFonts w:ascii="Times New Roman" w:hAnsi="Times New Roman"/>
          <w:b/>
          <w:bCs/>
          <w:noProof/>
          <w:sz w:val="24"/>
          <w:szCs w:val="24"/>
        </w:rPr>
        <w:t>Population mondiale par continent, 1960-2070</w:t>
      </w:r>
      <w:r>
        <w:rPr>
          <w:rFonts w:ascii="Times New Roman" w:hAnsi="Times New Roman"/>
          <w:b/>
          <w:bCs/>
          <w:noProof/>
          <w:sz w:val="24"/>
          <w:szCs w:val="24"/>
        </w:rPr>
        <w:cr/>
      </w:r>
      <w:r>
        <w:rPr>
          <w:rFonts w:ascii="Times New Roman" w:hAnsi="Times New Roman"/>
          <w:b/>
          <w:bCs/>
          <w:noProof/>
          <w:sz w:val="24"/>
          <w:szCs w:val="24"/>
        </w:rPr>
        <w:br/>
      </w:r>
      <w:r>
        <w:rPr>
          <w:noProof/>
          <w:lang w:val="fr-BE" w:eastAsia="fr-BE"/>
        </w:rPr>
        <w:drawing>
          <wp:inline distT="0" distB="0" distL="0" distR="0">
            <wp:extent cx="6192520" cy="38305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2520" cy="3830581"/>
                    </a:xfrm>
                    <a:prstGeom prst="rect">
                      <a:avLst/>
                    </a:prstGeom>
                    <a:noFill/>
                    <a:ln>
                      <a:noFill/>
                    </a:ln>
                  </pic:spPr>
                </pic:pic>
              </a:graphicData>
            </a:graphic>
          </wp:inline>
        </w:drawing>
      </w:r>
    </w:p>
    <w:p w:rsidR="005F1B1A" w:rsidRDefault="00E84E49">
      <w:pPr>
        <w:jc w:val="both"/>
        <w:rPr>
          <w:rFonts w:ascii="Times New Roman" w:hAnsi="Times New Roman" w:cs="Times New Roman"/>
          <w:i/>
          <w:noProof/>
          <w:sz w:val="24"/>
          <w:szCs w:val="24"/>
        </w:rPr>
      </w:pPr>
      <w:r>
        <w:rPr>
          <w:rFonts w:ascii="Times New Roman" w:hAnsi="Times New Roman"/>
          <w:i/>
          <w:noProof/>
          <w:sz w:val="24"/>
          <w:szCs w:val="24"/>
        </w:rPr>
        <w:t>Source: Nations unies, Département des affaires économiques et sociales,</w:t>
      </w:r>
      <w:r>
        <w:rPr>
          <w:rFonts w:ascii="Times New Roman" w:hAnsi="Times New Roman"/>
          <w:i/>
          <w:noProof/>
          <w:sz w:val="24"/>
          <w:szCs w:val="24"/>
        </w:rPr>
        <w:t xml:space="preserve"> division de la population (2019). </w:t>
      </w:r>
    </w:p>
    <w:p w:rsidR="005F1B1A" w:rsidRDefault="00E84E49">
      <w:pPr>
        <w:jc w:val="both"/>
        <w:rPr>
          <w:rFonts w:ascii="Times New Roman" w:hAnsi="Times New Roman" w:cs="Times New Roman"/>
          <w:b/>
          <w:noProof/>
          <w:sz w:val="24"/>
          <w:szCs w:val="24"/>
        </w:rPr>
      </w:pPr>
      <w:r>
        <w:rPr>
          <w:rFonts w:ascii="Times New Roman" w:hAnsi="Times New Roman"/>
          <w:b/>
          <w:noProof/>
          <w:sz w:val="24"/>
          <w:szCs w:val="24"/>
        </w:rPr>
        <w:t xml:space="preserve">L’Europe n’est pas le seul continent qui vieillit, mais elle est la plus âgée en moyenne. </w:t>
      </w:r>
      <w:r>
        <w:rPr>
          <w:rFonts w:ascii="Times New Roman" w:hAnsi="Times New Roman"/>
          <w:noProof/>
          <w:sz w:val="24"/>
          <w:szCs w:val="24"/>
        </w:rPr>
        <w:t>Si l’on compare la tendance en Europe à celle d’autres régions du monde, il apparaît clairement que d’autres continents passent pa</w:t>
      </w:r>
      <w:r>
        <w:rPr>
          <w:rFonts w:ascii="Times New Roman" w:hAnsi="Times New Roman"/>
          <w:noProof/>
          <w:sz w:val="24"/>
          <w:szCs w:val="24"/>
        </w:rPr>
        <w:t xml:space="preserve">r un processus similaire de vieillissement, bien qu’avec un décalage par rapport à l’Europe. Les projections montrent que l’âge moyen de la population en Afrique augmentera également avec le temps, mais qu’elle devrait rester le plus jeune continent d’ici </w:t>
      </w:r>
      <w:r>
        <w:rPr>
          <w:rFonts w:ascii="Times New Roman" w:hAnsi="Times New Roman"/>
          <w:noProof/>
          <w:sz w:val="24"/>
          <w:szCs w:val="24"/>
        </w:rPr>
        <w:t xml:space="preserve">à 2070. </w:t>
      </w:r>
    </w:p>
    <w:p w:rsidR="005F1B1A" w:rsidRDefault="00E84E49">
      <w:pPr>
        <w:keepNext/>
        <w:jc w:val="center"/>
        <w:rPr>
          <w:rFonts w:ascii="Times New Roman" w:hAnsi="Times New Roman" w:cs="Times New Roman"/>
          <w:b/>
          <w:noProof/>
          <w:sz w:val="24"/>
          <w:szCs w:val="24"/>
        </w:rPr>
      </w:pPr>
      <w:r>
        <w:rPr>
          <w:rFonts w:ascii="Times New Roman" w:hAnsi="Times New Roman"/>
          <w:b/>
          <w:noProof/>
          <w:sz w:val="24"/>
          <w:szCs w:val="24"/>
        </w:rPr>
        <w:t>Âge médian de la population mondiale par continent, 1960-2070</w:t>
      </w:r>
    </w:p>
    <w:p w:rsidR="005F1B1A" w:rsidRDefault="00E84E49">
      <w:pPr>
        <w:jc w:val="center"/>
        <w:rPr>
          <w:rFonts w:ascii="Times New Roman" w:hAnsi="Times New Roman" w:cs="Times New Roman"/>
          <w:noProof/>
          <w:sz w:val="24"/>
          <w:szCs w:val="24"/>
        </w:rPr>
      </w:pPr>
      <w:r>
        <w:rPr>
          <w:noProof/>
          <w:lang w:val="fr-BE" w:eastAsia="fr-BE"/>
        </w:rPr>
        <w:drawing>
          <wp:inline distT="0" distB="0" distL="0" distR="0">
            <wp:extent cx="6192520" cy="353430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2520" cy="3534304"/>
                    </a:xfrm>
                    <a:prstGeom prst="rect">
                      <a:avLst/>
                    </a:prstGeom>
                    <a:noFill/>
                    <a:ln>
                      <a:noFill/>
                    </a:ln>
                  </pic:spPr>
                </pic:pic>
              </a:graphicData>
            </a:graphic>
          </wp:inline>
        </w:drawing>
      </w:r>
    </w:p>
    <w:p w:rsidR="005F1B1A" w:rsidRDefault="00E84E49">
      <w:pPr>
        <w:jc w:val="both"/>
        <w:rPr>
          <w:rFonts w:ascii="Times New Roman" w:hAnsi="Times New Roman" w:cs="Times New Roman"/>
          <w:i/>
          <w:noProof/>
          <w:sz w:val="24"/>
          <w:szCs w:val="24"/>
        </w:rPr>
      </w:pPr>
      <w:r>
        <w:rPr>
          <w:rFonts w:ascii="Times New Roman" w:hAnsi="Times New Roman"/>
          <w:i/>
          <w:noProof/>
          <w:sz w:val="24"/>
          <w:szCs w:val="24"/>
        </w:rPr>
        <w:t>Source: Nations unies, Département des affaires économiques et sociales, division de la population (2019).</w:t>
      </w:r>
    </w:p>
    <w:p w:rsidR="005F1B1A" w:rsidRDefault="00E84E49">
      <w:pPr>
        <w:jc w:val="both"/>
        <w:rPr>
          <w:rFonts w:ascii="Times New Roman" w:hAnsi="Times New Roman" w:cs="Times New Roman"/>
          <w:iCs/>
          <w:noProof/>
          <w:sz w:val="24"/>
          <w:szCs w:val="24"/>
        </w:rPr>
      </w:pPr>
      <w:r>
        <w:rPr>
          <w:rFonts w:ascii="Times New Roman" w:hAnsi="Times New Roman"/>
          <w:b/>
          <w:noProof/>
          <w:sz w:val="24"/>
          <w:szCs w:val="24"/>
        </w:rPr>
        <w:t>La part de l’Europe dans le PIB mondial est également en recul.</w:t>
      </w:r>
      <w:r>
        <w:rPr>
          <w:rFonts w:ascii="Times New Roman" w:hAnsi="Times New Roman"/>
          <w:noProof/>
          <w:sz w:val="24"/>
          <w:szCs w:val="24"/>
        </w:rPr>
        <w:t xml:space="preserve"> </w:t>
      </w:r>
      <w:r>
        <w:rPr>
          <w:rFonts w:ascii="Times New Roman" w:hAnsi="Times New Roman"/>
          <w:iCs/>
          <w:noProof/>
          <w:sz w:val="24"/>
          <w:szCs w:val="24"/>
        </w:rPr>
        <w:t xml:space="preserve">En 2004, </w:t>
      </w:r>
      <w:r>
        <w:rPr>
          <w:rFonts w:ascii="Times New Roman" w:hAnsi="Times New Roman"/>
          <w:iCs/>
          <w:noProof/>
          <w:sz w:val="24"/>
          <w:szCs w:val="24"/>
        </w:rPr>
        <w:t>l’Europe représentait 18,3 % du PIB mondial, contre 14,3 % en 2018</w:t>
      </w:r>
      <w:r>
        <w:rPr>
          <w:rStyle w:val="FootnoteReference"/>
          <w:rFonts w:ascii="Times New Roman" w:hAnsi="Times New Roman" w:cs="Times New Roman"/>
          <w:iCs/>
          <w:noProof/>
          <w:sz w:val="24"/>
          <w:szCs w:val="24"/>
        </w:rPr>
        <w:footnoteReference w:id="63"/>
      </w:r>
      <w:r>
        <w:rPr>
          <w:rFonts w:ascii="Times New Roman" w:hAnsi="Times New Roman"/>
          <w:iCs/>
          <w:noProof/>
          <w:sz w:val="24"/>
          <w:szCs w:val="24"/>
        </w:rPr>
        <w:t>. Avec la diminution de la population en âge de travailler, cette tendance risque de perdurer, voire de s’accélérer. Les États membres deviendront des acteurs économiques de moindre importa</w:t>
      </w:r>
      <w:r>
        <w:rPr>
          <w:rFonts w:ascii="Times New Roman" w:hAnsi="Times New Roman"/>
          <w:iCs/>
          <w:noProof/>
          <w:sz w:val="24"/>
          <w:szCs w:val="24"/>
        </w:rPr>
        <w:t>nce, mais, collectivement, l’UE restera un acteur économique, politique et diplomatique de premier plan.</w:t>
      </w:r>
      <w:r>
        <w:rPr>
          <w:noProof/>
        </w:rPr>
        <w:t xml:space="preserve"> </w:t>
      </w:r>
    </w:p>
    <w:p w:rsidR="005F1B1A" w:rsidRDefault="00E84E49">
      <w:pPr>
        <w:jc w:val="both"/>
        <w:rPr>
          <w:rFonts w:ascii="Times New Roman" w:hAnsi="Times New Roman" w:cs="Times New Roman"/>
          <w:iCs/>
          <w:noProof/>
          <w:sz w:val="24"/>
          <w:szCs w:val="24"/>
        </w:rPr>
      </w:pPr>
      <w:r>
        <w:rPr>
          <w:rFonts w:ascii="Times New Roman" w:hAnsi="Times New Roman"/>
          <w:iCs/>
          <w:noProof/>
          <w:sz w:val="24"/>
          <w:szCs w:val="24"/>
        </w:rPr>
        <w:t>L’Europe devra être plus forte, plus unie et plus stratégique dans sa manière de penser, d’agir et de s’exprimer. Nous devrons renforcer les partenari</w:t>
      </w:r>
      <w:r>
        <w:rPr>
          <w:rFonts w:ascii="Times New Roman" w:hAnsi="Times New Roman"/>
          <w:iCs/>
          <w:noProof/>
          <w:sz w:val="24"/>
          <w:szCs w:val="24"/>
        </w:rPr>
        <w:t xml:space="preserve">ats existants et en créer de nouveaux, notamment avec nos partenaires et nos voisins les plus proches. La nouvelle </w:t>
      </w:r>
      <w:r>
        <w:rPr>
          <w:rFonts w:ascii="Times New Roman" w:hAnsi="Times New Roman"/>
          <w:b/>
          <w:iCs/>
          <w:noProof/>
          <w:sz w:val="24"/>
          <w:szCs w:val="24"/>
        </w:rPr>
        <w:t>stratégie globale avec l’Afrique</w:t>
      </w:r>
      <w:r>
        <w:rPr>
          <w:rStyle w:val="FootnoteReference"/>
          <w:rFonts w:ascii="Times New Roman" w:hAnsi="Times New Roman" w:cs="Times New Roman"/>
          <w:b/>
          <w:iCs/>
          <w:noProof/>
          <w:sz w:val="24"/>
          <w:szCs w:val="24"/>
        </w:rPr>
        <w:footnoteReference w:id="64"/>
      </w:r>
      <w:r>
        <w:rPr>
          <w:rFonts w:ascii="Times New Roman" w:hAnsi="Times New Roman"/>
          <w:iCs/>
          <w:noProof/>
          <w:sz w:val="24"/>
          <w:szCs w:val="24"/>
        </w:rPr>
        <w:t xml:space="preserve"> est particulièrement importante, compte tenu des défis démographiques complémentaires auxquels nos continen</w:t>
      </w:r>
      <w:r>
        <w:rPr>
          <w:rFonts w:ascii="Times New Roman" w:hAnsi="Times New Roman"/>
          <w:iCs/>
          <w:noProof/>
          <w:sz w:val="24"/>
          <w:szCs w:val="24"/>
        </w:rPr>
        <w:t xml:space="preserve">ts seront confrontés. La défense de l’ordre mondial fondé sur des règles et de ses institutions, telles que les Nations unies ou l’Organisation mondiale du commerce, et la participation plus active aux structures internationales constitueront des éléments </w:t>
      </w:r>
      <w:r>
        <w:rPr>
          <w:rFonts w:ascii="Times New Roman" w:hAnsi="Times New Roman"/>
          <w:iCs/>
          <w:noProof/>
          <w:sz w:val="24"/>
          <w:szCs w:val="24"/>
        </w:rPr>
        <w:t xml:space="preserve">d’autant plus importants. </w:t>
      </w:r>
    </w:p>
    <w:p w:rsidR="005F1B1A" w:rsidRDefault="00E84E49">
      <w:pPr>
        <w:pStyle w:val="Heading2"/>
        <w:rPr>
          <w:noProof/>
        </w:rPr>
      </w:pPr>
      <w:bookmarkStart w:id="72" w:name="_Toc32414449"/>
      <w:bookmarkStart w:id="73" w:name="_Toc32444050"/>
      <w:bookmarkStart w:id="74" w:name="_Toc32444159"/>
      <w:bookmarkStart w:id="75" w:name="_Toc33800413"/>
      <w:bookmarkStart w:id="76" w:name="_Toc36563280"/>
      <w:bookmarkStart w:id="77" w:name="_Toc43216590"/>
      <w:r>
        <w:rPr>
          <w:noProof/>
        </w:rPr>
        <w:t>CONCLUSIONS ET PERSPECTIVES</w:t>
      </w:r>
      <w:bookmarkEnd w:id="72"/>
      <w:bookmarkEnd w:id="73"/>
      <w:bookmarkEnd w:id="74"/>
      <w:bookmarkEnd w:id="75"/>
      <w:bookmarkEnd w:id="76"/>
      <w:bookmarkEnd w:id="77"/>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En cette période de difficultés et d’incertitude extraordinaires, l’Union européenne, les États membres et leurs régions ont un intérêt commun à faire face aux conséquences de l’évolution démographique</w:t>
      </w:r>
      <w:r>
        <w:rPr>
          <w:rFonts w:ascii="Times New Roman" w:hAnsi="Times New Roman"/>
          <w:noProof/>
          <w:sz w:val="24"/>
          <w:szCs w:val="24"/>
        </w:rPr>
        <w:t>, pour le bien de tous les Européens.</w:t>
      </w:r>
      <w:r>
        <w:rPr>
          <w:rFonts w:ascii="Times New Roman" w:hAnsi="Times New Roman"/>
          <w:b/>
          <w:noProof/>
          <w:sz w:val="24"/>
          <w:szCs w:val="24"/>
        </w:rPr>
        <w:t xml:space="preserve"> </w:t>
      </w:r>
      <w:r>
        <w:rPr>
          <w:rFonts w:ascii="Times New Roman" w:hAnsi="Times New Roman"/>
          <w:noProof/>
          <w:sz w:val="24"/>
          <w:szCs w:val="24"/>
        </w:rPr>
        <w:t>Cet intérêt s’inscrit dans le cadre de la relance de l’Europe et de l’édification d’une Union plus résiliente, plus durable et plus équitable. La voie à suivre dépend d’un certain nombre de questions stratégiques, y co</w:t>
      </w:r>
      <w:r>
        <w:rPr>
          <w:rFonts w:ascii="Times New Roman" w:hAnsi="Times New Roman"/>
          <w:noProof/>
          <w:sz w:val="24"/>
          <w:szCs w:val="24"/>
        </w:rPr>
        <w:t>mpris la manière de stimuler l’innovation et la productivité, la façon d’amener un plus grand nombre de personnes sur le marché du travail, la façon de moderniser les systèmes de santé, la protection sociale et les services sociaux et la façon de lutter co</w:t>
      </w:r>
      <w:r>
        <w:rPr>
          <w:rFonts w:ascii="Times New Roman" w:hAnsi="Times New Roman"/>
          <w:noProof/>
          <w:sz w:val="24"/>
          <w:szCs w:val="24"/>
        </w:rPr>
        <w:t>ntre les disparités territoriales.</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Dans cette optique, et en s’appuyant sur les conclusions du présent rapport, la Commission présentera un </w:t>
      </w:r>
      <w:r>
        <w:rPr>
          <w:rFonts w:ascii="Times New Roman" w:hAnsi="Times New Roman"/>
          <w:b/>
          <w:noProof/>
          <w:sz w:val="24"/>
          <w:szCs w:val="24"/>
        </w:rPr>
        <w:t>livre vert sur le vieillissement</w:t>
      </w:r>
      <w:r>
        <w:rPr>
          <w:rFonts w:ascii="Times New Roman" w:hAnsi="Times New Roman"/>
          <w:noProof/>
          <w:sz w:val="24"/>
          <w:szCs w:val="24"/>
        </w:rPr>
        <w:t xml:space="preserve"> et une </w:t>
      </w:r>
      <w:r>
        <w:rPr>
          <w:rFonts w:ascii="Times New Roman" w:hAnsi="Times New Roman"/>
          <w:b/>
          <w:noProof/>
          <w:sz w:val="24"/>
          <w:szCs w:val="24"/>
        </w:rPr>
        <w:t>vision à long terme pour les zones rurales</w:t>
      </w:r>
      <w:r>
        <w:rPr>
          <w:rFonts w:ascii="Times New Roman" w:hAnsi="Times New Roman"/>
          <w:noProof/>
          <w:sz w:val="24"/>
          <w:szCs w:val="24"/>
        </w:rPr>
        <w:t>. La Commission examinera égalemen</w:t>
      </w:r>
      <w:r>
        <w:rPr>
          <w:rFonts w:ascii="Times New Roman" w:hAnsi="Times New Roman"/>
          <w:noProof/>
          <w:sz w:val="24"/>
          <w:szCs w:val="24"/>
        </w:rPr>
        <w:t xml:space="preserve">t de près d’autres questions soulevées par le présent rapport, telles que la solitude, l’isolement social, la santé mentale, la résilience économique et les soins de santé de longue durée.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Le présent rapport montre également la nécessité d’</w:t>
      </w:r>
      <w:r>
        <w:rPr>
          <w:rFonts w:ascii="Times New Roman" w:hAnsi="Times New Roman"/>
          <w:b/>
          <w:noProof/>
          <w:sz w:val="24"/>
          <w:szCs w:val="24"/>
        </w:rPr>
        <w:t>intégrer des co</w:t>
      </w:r>
      <w:r>
        <w:rPr>
          <w:rFonts w:ascii="Times New Roman" w:hAnsi="Times New Roman"/>
          <w:b/>
          <w:noProof/>
          <w:sz w:val="24"/>
          <w:szCs w:val="24"/>
        </w:rPr>
        <w:t>nsidérations démographiques dans les politiques de l’UE</w:t>
      </w:r>
      <w:r>
        <w:rPr>
          <w:rFonts w:ascii="Times New Roman" w:hAnsi="Times New Roman"/>
          <w:noProof/>
          <w:sz w:val="24"/>
          <w:szCs w:val="24"/>
        </w:rPr>
        <w:t>. La Commission est prête à jouer pleinement son rôle, en utilisant tous les instruments à sa disposition, notamment dans le cadre du prochain budget à long terme de l’UE et de son instrument de relanc</w:t>
      </w:r>
      <w:r>
        <w:rPr>
          <w:rFonts w:ascii="Times New Roman" w:hAnsi="Times New Roman"/>
          <w:noProof/>
          <w:sz w:val="24"/>
          <w:szCs w:val="24"/>
        </w:rPr>
        <w:t>e Next Generation EU. Ses efforts de relance soutiendront la cohésion sociale, l’intégration et l’inclusion, le développement rural, ainsi que l’éducation et la formation. Elle soutiendra les réformes structurelles là où elles seront nécessaires et œuvrera</w:t>
      </w:r>
      <w:r>
        <w:rPr>
          <w:rFonts w:ascii="Times New Roman" w:hAnsi="Times New Roman"/>
          <w:noProof/>
          <w:sz w:val="24"/>
          <w:szCs w:val="24"/>
        </w:rPr>
        <w:t xml:space="preserve"> en faveur d’une viabilité compétitive, tirant le meilleur parti du Semestre européen.</w:t>
      </w:r>
      <w:r>
        <w:rPr>
          <w:rFonts w:ascii="Times New Roman" w:hAnsi="Times New Roman"/>
          <w:i/>
          <w:iCs/>
          <w:noProof/>
          <w:sz w:val="24"/>
          <w:szCs w:val="24"/>
        </w:rPr>
        <w:t xml:space="preserve">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 xml:space="preserve">Dans le même temps, il est clair qu’il n’existe pas d’approche unique. </w:t>
      </w:r>
      <w:r>
        <w:rPr>
          <w:rFonts w:ascii="Times New Roman" w:hAnsi="Times New Roman"/>
          <w:b/>
          <w:noProof/>
          <w:sz w:val="24"/>
          <w:szCs w:val="24"/>
        </w:rPr>
        <w:t>L’élaboration des politiques doit mettre l’accent sur la réalité sur le terrain et réduire les di</w:t>
      </w:r>
      <w:r>
        <w:rPr>
          <w:rFonts w:ascii="Times New Roman" w:hAnsi="Times New Roman"/>
          <w:b/>
          <w:noProof/>
          <w:sz w:val="24"/>
          <w:szCs w:val="24"/>
        </w:rPr>
        <w:t>sparités entre les régions</w:t>
      </w:r>
      <w:r>
        <w:rPr>
          <w:rFonts w:ascii="Times New Roman" w:hAnsi="Times New Roman"/>
          <w:noProof/>
          <w:sz w:val="24"/>
          <w:szCs w:val="24"/>
        </w:rPr>
        <w:t>.</w:t>
      </w:r>
      <w:r>
        <w:rPr>
          <w:rFonts w:ascii="Times New Roman" w:hAnsi="Times New Roman"/>
          <w:iCs/>
          <w:noProof/>
          <w:sz w:val="24"/>
          <w:szCs w:val="24"/>
        </w:rPr>
        <w:t xml:space="preserve"> </w:t>
      </w:r>
      <w:r>
        <w:rPr>
          <w:rFonts w:ascii="Times New Roman" w:hAnsi="Times New Roman"/>
          <w:noProof/>
          <w:sz w:val="24"/>
          <w:szCs w:val="24"/>
        </w:rPr>
        <w:t>Dans cet esprit, la Commission continuera à promouvoir la convergence vers le haut, à assurer une transition juste, à défendre l’équité sociale, l’égalité des chances et la non-discrimination, notamment par le biais du socle eur</w:t>
      </w:r>
      <w:r>
        <w:rPr>
          <w:rFonts w:ascii="Times New Roman" w:hAnsi="Times New Roman"/>
          <w:noProof/>
          <w:sz w:val="24"/>
          <w:szCs w:val="24"/>
        </w:rPr>
        <w:t>opéen des droits sociaux et de la stratégie de l’Union européenne pour l’égalité entre les hommes et les femmes.</w:t>
      </w:r>
    </w:p>
    <w:p w:rsidR="005F1B1A" w:rsidRDefault="00E84E49">
      <w:pPr>
        <w:jc w:val="both"/>
        <w:rPr>
          <w:rFonts w:ascii="Times New Roman" w:hAnsi="Times New Roman" w:cs="Times New Roman"/>
          <w:noProof/>
          <w:sz w:val="24"/>
          <w:szCs w:val="24"/>
        </w:rPr>
      </w:pPr>
      <w:r>
        <w:rPr>
          <w:rFonts w:ascii="Times New Roman" w:hAnsi="Times New Roman"/>
          <w:b/>
          <w:noProof/>
          <w:sz w:val="24"/>
          <w:szCs w:val="24"/>
        </w:rPr>
        <w:t>Le double défi de la démocratie et de la démographie doit être relevé de front</w:t>
      </w:r>
      <w:r>
        <w:rPr>
          <w:rFonts w:ascii="Times New Roman" w:hAnsi="Times New Roman"/>
          <w:noProof/>
          <w:sz w:val="24"/>
          <w:szCs w:val="24"/>
        </w:rPr>
        <w:t>. La transformation démographique pose des défis et ouvre des per</w:t>
      </w:r>
      <w:r>
        <w:rPr>
          <w:rFonts w:ascii="Times New Roman" w:hAnsi="Times New Roman"/>
          <w:noProof/>
          <w:sz w:val="24"/>
          <w:szCs w:val="24"/>
        </w:rPr>
        <w:t>spectives pour notre démocratie, dont certaines ont été mises en lumière par la crise. Si cette transformation est bien gérée, elle contribuera à faire en sorte que nos systèmes de gouvernement et de participation soient dynamiques, résilients, inclusifs e</w:t>
      </w:r>
      <w:r>
        <w:rPr>
          <w:rFonts w:ascii="Times New Roman" w:hAnsi="Times New Roman"/>
          <w:noProof/>
          <w:sz w:val="24"/>
          <w:szCs w:val="24"/>
        </w:rPr>
        <w:t>t représentatifs de la diversité de la société. Nous devons nous attaquer aux causes profondes des problèmes et éviter une «géographie du mécontentement</w:t>
      </w:r>
      <w:r>
        <w:rPr>
          <w:rFonts w:ascii="Times New Roman" w:hAnsi="Times New Roman" w:cs="Times New Roman"/>
          <w:noProof/>
          <w:sz w:val="24"/>
          <w:szCs w:val="24"/>
          <w:vertAlign w:val="superscript"/>
        </w:rPr>
        <w:footnoteReference w:id="65"/>
      </w:r>
      <w:r>
        <w:rPr>
          <w:rFonts w:ascii="Times New Roman" w:hAnsi="Times New Roman"/>
          <w:noProof/>
          <w:sz w:val="24"/>
          <w:szCs w:val="24"/>
        </w:rPr>
        <w:t xml:space="preserve">». La conférence sur l’avenir de l’Europe sera une plateforme essentielle pour écouter, apprendre et </w:t>
      </w:r>
      <w:r>
        <w:rPr>
          <w:rFonts w:ascii="Times New Roman" w:hAnsi="Times New Roman"/>
          <w:noProof/>
          <w:sz w:val="24"/>
          <w:szCs w:val="24"/>
        </w:rPr>
        <w:t>trouver des solutions.</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S’il est trop tôt pour tirer des leçons démographiques étayées de la crise liée à la COVID-19, le site internet spécifique, lancé parallèlement au présent rapport, contribuera, lorsqu’il sera disponible, à l’analyse de données statis</w:t>
      </w:r>
      <w:r>
        <w:rPr>
          <w:rFonts w:ascii="Times New Roman" w:hAnsi="Times New Roman"/>
          <w:noProof/>
          <w:sz w:val="24"/>
          <w:szCs w:val="24"/>
        </w:rPr>
        <w:t xml:space="preserve">tiques comparables à grande échelle dans l’ensemble de l’Union de sorte qu’elles puissent constituer une base fiable pour des réflexions et des décisions politiques éclairées. </w:t>
      </w:r>
    </w:p>
    <w:p w:rsidR="005F1B1A" w:rsidRDefault="00E84E49">
      <w:pPr>
        <w:jc w:val="both"/>
        <w:rPr>
          <w:rFonts w:ascii="Times New Roman" w:hAnsi="Times New Roman" w:cs="Times New Roman"/>
          <w:noProof/>
          <w:sz w:val="24"/>
          <w:szCs w:val="24"/>
        </w:rPr>
      </w:pPr>
      <w:r>
        <w:rPr>
          <w:rFonts w:ascii="Times New Roman" w:hAnsi="Times New Roman"/>
          <w:noProof/>
          <w:sz w:val="24"/>
          <w:szCs w:val="24"/>
        </w:rPr>
        <w:t>En s’appuyant sur</w:t>
      </w:r>
      <w:r>
        <w:rPr>
          <w:rFonts w:ascii="Times New Roman" w:hAnsi="Times New Roman"/>
          <w:b/>
          <w:noProof/>
          <w:sz w:val="24"/>
          <w:szCs w:val="24"/>
        </w:rPr>
        <w:t xml:space="preserve"> le présent rapport, la Commission entamera un dialogue avec l</w:t>
      </w:r>
      <w:r>
        <w:rPr>
          <w:rFonts w:ascii="Times New Roman" w:hAnsi="Times New Roman"/>
          <w:b/>
          <w:noProof/>
          <w:sz w:val="24"/>
          <w:szCs w:val="24"/>
        </w:rPr>
        <w:t>es parties prenantes concernées</w:t>
      </w:r>
      <w:r>
        <w:rPr>
          <w:rFonts w:ascii="Times New Roman" w:hAnsi="Times New Roman"/>
          <w:noProof/>
          <w:sz w:val="24"/>
          <w:szCs w:val="24"/>
        </w:rPr>
        <w:t xml:space="preserve">, notamment au niveau régional, et discutera avec les États membres, les institutions et organes de l’UE, notamment le Comité économique et social européen et le Comité des régions. </w:t>
      </w:r>
    </w:p>
    <w:sectPr w:rsidR="005F1B1A">
      <w:headerReference w:type="even" r:id="rId47"/>
      <w:headerReference w:type="default" r:id="rId48"/>
      <w:footerReference w:type="even" r:id="rId49"/>
      <w:footerReference w:type="default" r:id="rId50"/>
      <w:headerReference w:type="first" r:id="rId51"/>
      <w:footerReference w:type="first" r:id="rId52"/>
      <w:pgSz w:w="11906" w:h="16838"/>
      <w:pgMar w:top="1134" w:right="1077" w:bottom="1134" w:left="1077" w:header="601" w:footer="1077"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089C2" w16cex:dateUtc="2020-06-02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A02FE5" w16cid:durableId="227FB791"/>
  <w16cid:commentId w16cid:paraId="411123E0" w16cid:durableId="227FB792"/>
  <w16cid:commentId w16cid:paraId="257A2B2C" w16cid:durableId="227FB793"/>
  <w16cid:commentId w16cid:paraId="57898443" w16cid:durableId="227FB794"/>
  <w16cid:commentId w16cid:paraId="5D2CCED8" w16cid:durableId="227FB795"/>
  <w16cid:commentId w16cid:paraId="620D67EF" w16cid:durableId="227FB796"/>
  <w16cid:commentId w16cid:paraId="42EDF6F3" w16cid:durableId="227FB797"/>
  <w16cid:commentId w16cid:paraId="6874AD6D" w16cid:durableId="227FB798"/>
  <w16cid:commentId w16cid:paraId="4F575F7B" w16cid:durableId="227FB799"/>
  <w16cid:commentId w16cid:paraId="1C90C26D" w16cid:durableId="227FB79A"/>
  <w16cid:commentId w16cid:paraId="5CA543DD" w16cid:durableId="227FB79B"/>
  <w16cid:commentId w16cid:paraId="6BBB7BB4" w16cid:durableId="227FB79C"/>
  <w16cid:commentId w16cid:paraId="0ED66ACB" w16cid:durableId="227FB79D"/>
  <w16cid:commentId w16cid:paraId="484979A1" w16cid:durableId="227FB79E"/>
  <w16cid:commentId w16cid:paraId="7BC42ADD" w16cid:durableId="227FB79F"/>
  <w16cid:commentId w16cid:paraId="65406D54" w16cid:durableId="227FB7A0"/>
  <w16cid:commentId w16cid:paraId="51CC4654" w16cid:durableId="228089C2"/>
  <w16cid:commentId w16cid:paraId="1F732F68" w16cid:durableId="227FB7A1"/>
  <w16cid:commentId w16cid:paraId="01EF31A1" w16cid:durableId="227FB7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B1A" w:rsidRDefault="00E84E49">
      <w:pPr>
        <w:spacing w:after="0" w:line="240" w:lineRule="auto"/>
      </w:pPr>
      <w:r>
        <w:separator/>
      </w:r>
    </w:p>
  </w:endnote>
  <w:endnote w:type="continuationSeparator" w:id="0">
    <w:p w:rsidR="005F1B1A" w:rsidRDefault="00E84E49">
      <w:pPr>
        <w:spacing w:after="0" w:line="240" w:lineRule="auto"/>
      </w:pPr>
      <w:r>
        <w:continuationSeparator/>
      </w:r>
    </w:p>
  </w:endnote>
  <w:endnote w:type="continuationNotice" w:id="1">
    <w:p w:rsidR="005F1B1A" w:rsidRDefault="005F1B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pitch w:val="variable"/>
    <w:sig w:usb0="00000000"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E84E49">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E84E49">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E84E49">
    <w:pPr>
      <w:pStyle w:val="FooterLine"/>
      <w:jc w:val="center"/>
      <w:rPr>
        <w:sz w:val="20"/>
      </w:rPr>
    </w:pPr>
    <w:r>
      <w:rPr>
        <w:sz w:val="20"/>
      </w:rPr>
      <w:fldChar w:fldCharType="begin"/>
    </w:r>
    <w:r>
      <w:rPr>
        <w:sz w:val="20"/>
      </w:rPr>
      <w:instrText xml:space="preserve"> PAGE   \* MER</w:instrText>
    </w:r>
    <w:r>
      <w:rPr>
        <w:sz w:val="20"/>
      </w:rPr>
      <w:instrText xml:space="preserve">GEFORMAT </w:instrText>
    </w:r>
    <w:r>
      <w:rPr>
        <w:sz w:val="20"/>
      </w:rPr>
      <w:fldChar w:fldCharType="separate"/>
    </w:r>
    <w:r>
      <w:rPr>
        <w:noProof/>
        <w:sz w:val="20"/>
      </w:rPr>
      <w:t>31</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17491"/>
      <w:docPartObj>
        <w:docPartGallery w:val="Page Numbers (Bottom of Page)"/>
        <w:docPartUnique/>
      </w:docPartObj>
    </w:sdtPr>
    <w:sdtEndPr>
      <w:rPr>
        <w:noProof/>
        <w:sz w:val="20"/>
        <w:szCs w:val="20"/>
      </w:rPr>
    </w:sdtEndPr>
    <w:sdtContent>
      <w:p w:rsidR="005F1B1A" w:rsidRDefault="00E84E49">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w:t>
        </w:r>
        <w:r>
          <w:rPr>
            <w:sz w:val="20"/>
            <w:szCs w:val="20"/>
          </w:rPr>
          <w:fldChar w:fldCharType="end"/>
        </w:r>
      </w:p>
    </w:sdtContent>
  </w:sdt>
  <w:p w:rsidR="005F1B1A" w:rsidRDefault="005F1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B1A" w:rsidRDefault="00E84E49">
      <w:pPr>
        <w:spacing w:after="0" w:line="240" w:lineRule="auto"/>
      </w:pPr>
      <w:r>
        <w:separator/>
      </w:r>
    </w:p>
  </w:footnote>
  <w:footnote w:type="continuationSeparator" w:id="0">
    <w:p w:rsidR="005F1B1A" w:rsidRDefault="00E84E49">
      <w:pPr>
        <w:spacing w:after="0" w:line="240" w:lineRule="auto"/>
      </w:pPr>
      <w:r>
        <w:continuationSeparator/>
      </w:r>
    </w:p>
  </w:footnote>
  <w:footnote w:type="continuationNotice" w:id="1">
    <w:p w:rsidR="005F1B1A" w:rsidRDefault="005F1B1A">
      <w:pPr>
        <w:spacing w:after="0" w:line="240" w:lineRule="auto"/>
      </w:pPr>
    </w:p>
  </w:footnote>
  <w:footnote w:id="2">
    <w:p w:rsidR="005F1B1A" w:rsidRDefault="00E84E49">
      <w:pPr>
        <w:pStyle w:val="FootnoteText"/>
      </w:pPr>
      <w:r>
        <w:rPr>
          <w:rStyle w:val="FootnoteReference"/>
        </w:rPr>
        <w:footnoteRef/>
      </w:r>
      <w:r>
        <w:t xml:space="preserve"> COM(2020) 456 final: L’heure de l’Europe: réparer les dommages et préparer l’avenir pour la prochaine génération</w:t>
      </w:r>
    </w:p>
  </w:footnote>
  <w:footnote w:id="3">
    <w:p w:rsidR="005F1B1A" w:rsidRDefault="00E84E49">
      <w:pPr>
        <w:pStyle w:val="FootnoteText"/>
      </w:pPr>
      <w:r>
        <w:rPr>
          <w:rStyle w:val="FootnoteReference"/>
        </w:rPr>
        <w:footnoteRef/>
      </w:r>
      <w:r>
        <w:t xml:space="preserve"> — Le document de travail des services de la Commission (SWD(2020) 109 final) complète le rapport avec des chiffres, cartes et tableaux supplémentaires.</w:t>
      </w:r>
    </w:p>
  </w:footnote>
  <w:footnote w:id="4">
    <w:p w:rsidR="005F1B1A" w:rsidRDefault="00E84E49">
      <w:pPr>
        <w:pStyle w:val="FootnoteText"/>
      </w:pPr>
      <w:r>
        <w:rPr>
          <w:rStyle w:val="FootnoteReference"/>
        </w:rPr>
        <w:footnoteRef/>
      </w:r>
      <w:r>
        <w:t xml:space="preserve"> Dans le présent rapport, sauf indication contraire, les termes Europe et UE font référence à l’UE-27.</w:t>
      </w:r>
    </w:p>
  </w:footnote>
  <w:footnote w:id="5">
    <w:p w:rsidR="005F1B1A" w:rsidRDefault="00E84E49">
      <w:pPr>
        <w:pStyle w:val="FootnoteText"/>
      </w:pPr>
      <w:r>
        <w:rPr>
          <w:rStyle w:val="FootnoteReference"/>
        </w:rPr>
        <w:footnoteRef/>
      </w:r>
      <w:r>
        <w:t xml:space="preserve"> Les données statistiques d’Eurostat utilisées dans le présent rapport sont fondées sur les chiffres tirés de la base de données d’Eurostat en mai 2020.</w:t>
      </w:r>
    </w:p>
  </w:footnote>
  <w:footnote w:id="6">
    <w:p w:rsidR="005F1B1A" w:rsidRDefault="00E84E49">
      <w:pPr>
        <w:pStyle w:val="FootnoteText"/>
      </w:pPr>
      <w:r>
        <w:rPr>
          <w:rStyle w:val="FootnoteReference"/>
        </w:rPr>
        <w:footnoteRef/>
      </w:r>
      <w:r>
        <w:t xml:space="preserve"> Pour de plus amples informations, voir «Statistics Explained» d’Eurostat sur les statistiques de la</w:t>
      </w:r>
      <w:r>
        <w:t xml:space="preserve"> mortalité et de l’espérance de vie: </w:t>
      </w:r>
    </w:p>
    <w:p w:rsidR="005F1B1A" w:rsidRDefault="00E84E49">
      <w:pPr>
        <w:pStyle w:val="FootnoteText"/>
      </w:pPr>
      <w:hyperlink r:id="rId1" w:history="1">
        <w:r>
          <w:rPr>
            <w:rStyle w:val="Hyperlink"/>
          </w:rPr>
          <w:t>https://ec.europa.eu/eurostat/statistics-explained/index.php?title=Mortality_and_life_expectancy_statistics</w:t>
        </w:r>
      </w:hyperlink>
      <w:r>
        <w:t xml:space="preserve"> </w:t>
      </w:r>
    </w:p>
  </w:footnote>
  <w:footnote w:id="7">
    <w:p w:rsidR="005F1B1A" w:rsidRDefault="00E84E49">
      <w:pPr>
        <w:pStyle w:val="FootnoteText"/>
      </w:pPr>
      <w:r>
        <w:rPr>
          <w:rStyle w:val="FootnoteReference"/>
        </w:rPr>
        <w:footnoteRef/>
      </w:r>
      <w:r>
        <w:t xml:space="preserve"> Les projections démographiques sont des scénarios hypothétiques qui envisageraient toutes les éventualités, basés sur des données observées afin </w:t>
      </w:r>
      <w:r>
        <w:t xml:space="preserve">de contribuer à la compréhension de la dynamique de la population. Il est important de noter que les projections ne doivent pas être considérées comme des prévisions. Pour de plus amples informations, voir les projections démographiques d’Eurostat; </w:t>
      </w:r>
      <w:hyperlink r:id="rId2" w:history="1">
        <w:r>
          <w:rPr>
            <w:rStyle w:val="Hyperlink"/>
          </w:rPr>
          <w:t>https://ec.europa.eu/eurostat/fr/web/population-demography-migration-projections/population-projections-data</w:t>
        </w:r>
      </w:hyperlink>
      <w:r>
        <w:t xml:space="preserve"> </w:t>
      </w:r>
    </w:p>
  </w:footnote>
  <w:footnote w:id="8">
    <w:p w:rsidR="005F1B1A" w:rsidRDefault="00E84E49">
      <w:pPr>
        <w:pStyle w:val="FootnoteText"/>
      </w:pPr>
      <w:r>
        <w:rPr>
          <w:rStyle w:val="FootnoteReference"/>
        </w:rPr>
        <w:footnoteRef/>
      </w:r>
      <w:r>
        <w:t xml:space="preserve"> Pour de plus amples inform</w:t>
      </w:r>
      <w:r>
        <w:t xml:space="preserve">ations sur le concept et les données, voir: </w:t>
      </w:r>
      <w:hyperlink r:id="rId3" w:history="1">
        <w:r>
          <w:rPr>
            <w:color w:val="0000FF"/>
            <w:u w:val="single"/>
          </w:rPr>
          <w:t>https://ec.europa.eu/eurostat/statistics-explained/pdfscache/1101.pdf</w:t>
        </w:r>
      </w:hyperlink>
    </w:p>
  </w:footnote>
  <w:footnote w:id="9">
    <w:p w:rsidR="005F1B1A" w:rsidRDefault="00E84E49">
      <w:pPr>
        <w:pStyle w:val="FootnoteText"/>
      </w:pPr>
      <w:r>
        <w:rPr>
          <w:rStyle w:val="FootnoteReference"/>
        </w:rPr>
        <w:footnoteRef/>
      </w:r>
      <w:r>
        <w:t xml:space="preserve"> Pour de plus amples informations, voir State of Health</w:t>
      </w:r>
      <w:r>
        <w:t xml:space="preserve"> in the EU, Panorama de la santé: Europe 2018, OCDE/UE (2018) – </w:t>
      </w:r>
      <w:hyperlink r:id="rId4" w:history="1">
        <w:r>
          <w:rPr>
            <w:rStyle w:val="Hyperlink"/>
          </w:rPr>
          <w:t>https://ec.europa.eu/health/state/glance_fr</w:t>
        </w:r>
      </w:hyperlink>
      <w:r>
        <w:t xml:space="preserve"> </w:t>
      </w:r>
    </w:p>
  </w:footnote>
  <w:footnote w:id="10">
    <w:p w:rsidR="005F1B1A" w:rsidRDefault="00E84E49">
      <w:pPr>
        <w:pStyle w:val="FootnoteText"/>
      </w:pPr>
      <w:r>
        <w:rPr>
          <w:rStyle w:val="FootnoteReference"/>
        </w:rPr>
        <w:footnoteRef/>
      </w:r>
      <w:r>
        <w:t xml:space="preserve"> En 2018, 49 % des personnes âgées de 65 ans ou plus estimaient souffrir d’un handicap</w:t>
      </w:r>
      <w:r>
        <w:t xml:space="preserve"> ou d’une limitation de longue durée de leur activité. (Source: tableau d’Eurostat en ligne hlth_silc_06)</w:t>
      </w:r>
    </w:p>
  </w:footnote>
  <w:footnote w:id="11">
    <w:p w:rsidR="005F1B1A" w:rsidRDefault="00E84E49">
      <w:pPr>
        <w:pStyle w:val="FootnoteText"/>
      </w:pPr>
      <w:r>
        <w:rPr>
          <w:rStyle w:val="FootnoteReference"/>
        </w:rPr>
        <w:footnoteRef/>
      </w:r>
      <w:r>
        <w:t xml:space="preserve"> Trois types de régions sont utilisées dans la nomenclature commune des unités territoriales statistiques (NUTS) Cette carte présente les régions NUT</w:t>
      </w:r>
      <w:r>
        <w:t xml:space="preserve">S2. En moyenne, la population de la région NUTS2 d’un pays compte entre 800 000 et 3 millions de personnes. </w:t>
      </w:r>
    </w:p>
  </w:footnote>
  <w:footnote w:id="12">
    <w:p w:rsidR="005F1B1A" w:rsidRDefault="00E84E49">
      <w:pPr>
        <w:pStyle w:val="FootnoteText"/>
      </w:pPr>
      <w:r>
        <w:rPr>
          <w:rStyle w:val="FootnoteReference"/>
        </w:rPr>
        <w:footnoteRef/>
      </w:r>
      <w:r>
        <w:t xml:space="preserve"> Pour de plus amples informations, voir «Statistics Explained» d’Eurostat sur les statistiques de la fécondité: </w:t>
      </w:r>
    </w:p>
    <w:p w:rsidR="005F1B1A" w:rsidRDefault="00E84E49">
      <w:pPr>
        <w:pStyle w:val="FootnoteText"/>
      </w:pPr>
      <w:hyperlink r:id="rId5" w:history="1">
        <w:r>
          <w:rPr>
            <w:rStyle w:val="Hyperlink"/>
          </w:rPr>
          <w:t>https://ec.europa.eu/eurostat/statistics-explained/index.php?title=Fertility_statistics</w:t>
        </w:r>
      </w:hyperlink>
    </w:p>
  </w:footnote>
  <w:footnote w:id="13">
    <w:p w:rsidR="005F1B1A" w:rsidRDefault="00E84E49">
      <w:pPr>
        <w:pStyle w:val="FootnoteText"/>
      </w:pPr>
      <w:r>
        <w:rPr>
          <w:rStyle w:val="FootnoteReference"/>
        </w:rPr>
        <w:footnoteRef/>
      </w:r>
      <w:r>
        <w:t xml:space="preserve"> Sur les 1 169 régions NUTS-3, seules quatre présentent un taux de fertilité supérieur à 2,1: Ma</w:t>
      </w:r>
      <w:r>
        <w:t>yotte (4,6), Guyane (3,8), La Réunion (2,4) et Melilla (2,3).</w:t>
      </w:r>
    </w:p>
  </w:footnote>
  <w:footnote w:id="14">
    <w:p w:rsidR="005F1B1A" w:rsidRDefault="00E84E49">
      <w:pPr>
        <w:pStyle w:val="FootnoteText"/>
      </w:pPr>
      <w:r>
        <w:rPr>
          <w:rStyle w:val="FootnoteReference"/>
        </w:rPr>
        <w:footnoteRef/>
      </w:r>
      <w:r>
        <w:t xml:space="preserve"> Cette carte présente les régions NUTS3. En moyenne, la population d’une région NUTS3 d’un pays compte entre 150 000 et 800 000 personnes. </w:t>
      </w:r>
    </w:p>
  </w:footnote>
  <w:footnote w:id="15">
    <w:p w:rsidR="005F1B1A" w:rsidRDefault="00E84E49">
      <w:pPr>
        <w:pStyle w:val="FootnoteText"/>
      </w:pPr>
      <w:r>
        <w:rPr>
          <w:rStyle w:val="FootnoteReference"/>
        </w:rPr>
        <w:footnoteRef/>
      </w:r>
      <w:r>
        <w:t xml:space="preserve"> L’âge médian est une mesure large de l’âge d’une po</w:t>
      </w:r>
      <w:r>
        <w:t>pulation: la moitié de la population est plus âgée que l’âge médian, tandis que l’autre moitié est plus jeune.</w:t>
      </w:r>
    </w:p>
  </w:footnote>
  <w:footnote w:id="16">
    <w:p w:rsidR="005F1B1A" w:rsidRDefault="00E84E49">
      <w:pPr>
        <w:pStyle w:val="FootnoteText"/>
      </w:pPr>
      <w:r>
        <w:rPr>
          <w:rStyle w:val="FootnoteReference"/>
        </w:rPr>
        <w:footnoteRef/>
      </w:r>
      <w:r>
        <w:t xml:space="preserve"> Pour de plus amples informations, voir «Statistics Explained» d’Eurostat sur la structure et le vieillissement de la population: </w:t>
      </w:r>
    </w:p>
    <w:p w:rsidR="005F1B1A" w:rsidRDefault="00E84E49">
      <w:pPr>
        <w:pStyle w:val="FootnoteText"/>
        <w:rPr>
          <w:sz w:val="24"/>
          <w:szCs w:val="24"/>
        </w:rPr>
      </w:pPr>
      <w:hyperlink r:id="rId6" w:history="1">
        <w:r>
          <w:rPr>
            <w:rStyle w:val="Hyperlink"/>
          </w:rPr>
          <w:t>https://ec.europa.eu/eurostat/statistics-explained/index.php?title=Population_structure_and_ageing/fr</w:t>
        </w:r>
      </w:hyperlink>
      <w:r>
        <w:t xml:space="preserve"> </w:t>
      </w:r>
    </w:p>
  </w:footnote>
  <w:footnote w:id="17">
    <w:p w:rsidR="005F1B1A" w:rsidRDefault="00E84E49">
      <w:pPr>
        <w:pStyle w:val="FootnoteText"/>
      </w:pPr>
      <w:r>
        <w:rPr>
          <w:rStyle w:val="FootnoteReference"/>
        </w:rPr>
        <w:footnoteRef/>
      </w:r>
      <w:r>
        <w:t xml:space="preserve"> La population en âge de travailler est traditi</w:t>
      </w:r>
      <w:r>
        <w:t>onnellement définie entre 20 et 64 ans. Étant donné que la population vieillit et que davantage de personnes âgées de plus de 65 ans continuent à travailler, cette définition classique pourrait changer.</w:t>
      </w:r>
    </w:p>
  </w:footnote>
  <w:footnote w:id="18">
    <w:p w:rsidR="005F1B1A" w:rsidRDefault="00E84E49">
      <w:pPr>
        <w:pStyle w:val="FootnoteText"/>
        <w:rPr>
          <w:lang w:val="en-US"/>
        </w:rPr>
      </w:pPr>
      <w:r>
        <w:rPr>
          <w:rStyle w:val="FootnoteReference"/>
        </w:rPr>
        <w:footnoteRef/>
      </w:r>
      <w:r>
        <w:rPr>
          <w:lang w:val="en-US"/>
        </w:rPr>
        <w:t xml:space="preserve"> Ageing Europe: Looking at the lives of older people</w:t>
      </w:r>
      <w:r>
        <w:rPr>
          <w:lang w:val="en-US"/>
        </w:rPr>
        <w:t xml:space="preserve"> in the EU, Commission européenne (2019).</w:t>
      </w:r>
    </w:p>
  </w:footnote>
  <w:footnote w:id="19">
    <w:p w:rsidR="005F1B1A" w:rsidRDefault="00E84E49">
      <w:pPr>
        <w:pStyle w:val="FootnoteText"/>
      </w:pPr>
      <w:r>
        <w:rPr>
          <w:rStyle w:val="FootnoteReference"/>
        </w:rPr>
        <w:footnoteRef/>
      </w:r>
      <w:r>
        <w:t xml:space="preserve"> Outre les ressortissants de pays tiers, ces chiffres incluent les citoyens de l’UE qui retournent dans l’UE ou la quittent. Pour de plus amples informations, voir «Statistics Explained» d’Eurostat sur les statist</w:t>
      </w:r>
      <w:r>
        <w:t xml:space="preserve">iques des migrations: </w:t>
      </w:r>
      <w:hyperlink r:id="rId7" w:history="1">
        <w:r>
          <w:rPr>
            <w:rStyle w:val="Hyperlink"/>
          </w:rPr>
          <w:t>https://ec.europa.eu/eurostat/statistics-explained/index.php?title=Migration_and_migrant_population_stat</w:t>
        </w:r>
        <w:r>
          <w:rPr>
            <w:rStyle w:val="Hyperlink"/>
          </w:rPr>
          <w:t>istics/fr</w:t>
        </w:r>
      </w:hyperlink>
      <w:r>
        <w:t xml:space="preserve"> </w:t>
      </w:r>
    </w:p>
    <w:p w:rsidR="005F1B1A" w:rsidRDefault="005F1B1A">
      <w:pPr>
        <w:pStyle w:val="FootnoteText"/>
      </w:pPr>
    </w:p>
  </w:footnote>
  <w:footnote w:id="20">
    <w:p w:rsidR="005F1B1A" w:rsidRDefault="00E84E49">
      <w:pPr>
        <w:pStyle w:val="FootnoteText"/>
      </w:pPr>
      <w:r>
        <w:rPr>
          <w:rStyle w:val="FootnoteReference"/>
        </w:rPr>
        <w:footnoteRef/>
      </w:r>
      <w:r>
        <w:t xml:space="preserve"> Pour de plus amples informations, voir le «Statistics Explained» d’Eurostat sur les statistiques de la population et l’évolution de la population: </w:t>
      </w:r>
    </w:p>
    <w:p w:rsidR="005F1B1A" w:rsidRDefault="00E84E49">
      <w:pPr>
        <w:pStyle w:val="FootnoteText"/>
      </w:pPr>
      <w:hyperlink r:id="rId8" w:history="1">
        <w:r>
          <w:rPr>
            <w:rStyle w:val="Hyperlink"/>
          </w:rPr>
          <w:t>https://ec.europa.eu/eurostat/statistics-explained/index.php?title=Population_and_population_change_statistics</w:t>
        </w:r>
      </w:hyperlink>
      <w:r>
        <w:t xml:space="preserve"> </w:t>
      </w:r>
    </w:p>
  </w:footnote>
  <w:footnote w:id="21">
    <w:p w:rsidR="005F1B1A" w:rsidRDefault="00E84E49">
      <w:pPr>
        <w:pStyle w:val="FootnoteText"/>
      </w:pPr>
      <w:r>
        <w:rPr>
          <w:rStyle w:val="FootnoteReference"/>
        </w:rPr>
        <w:footnoteRef/>
      </w:r>
      <w:r>
        <w:t xml:space="preserve"> En avril 2020, Eurostat a publié des projections démographiques basées sur les données de 2019. Au moment de </w:t>
      </w:r>
      <w:r>
        <w:t xml:space="preserve">la production des données, les conséquences de la pandémie de COVID-19 n’étaient pas connues et n’ont pas été intégrées. Pour de plus amples informations, voir l’article «Statistics Explained» d’Eurostat sur les projections démographiques: </w:t>
      </w:r>
      <w:hyperlink r:id="rId9" w:history="1">
        <w:r>
          <w:rPr>
            <w:rStyle w:val="Hyperlink"/>
          </w:rPr>
          <w:t>https://ec.europa.eu/eurostat/web/population-demography-migration-projections/population-projections-data</w:t>
        </w:r>
      </w:hyperlink>
      <w:r>
        <w:rPr>
          <w:rStyle w:val="Hyperlink"/>
        </w:rPr>
        <w:t>.</w:t>
      </w:r>
      <w:r>
        <w:rPr>
          <w:strike/>
        </w:rPr>
        <w:t xml:space="preserve"> </w:t>
      </w:r>
    </w:p>
  </w:footnote>
  <w:footnote w:id="22">
    <w:p w:rsidR="005F1B1A" w:rsidRDefault="00E84E49">
      <w:pPr>
        <w:pStyle w:val="FootnoteText"/>
      </w:pPr>
      <w:r>
        <w:rPr>
          <w:rStyle w:val="FootnoteReference"/>
        </w:rPr>
        <w:footnoteRef/>
      </w:r>
      <w:r>
        <w:t xml:space="preserve"> Cette carte présente le</w:t>
      </w:r>
      <w:r>
        <w:t>s régions NUTS3. En moyenne, la population d’une région NUTS3 d’un pays compte entre 150 000 et 800 000 personnes. Les données correspondent aux projections régionales d’Eurostat (EUROPOP2013).</w:t>
      </w:r>
    </w:p>
  </w:footnote>
  <w:footnote w:id="23">
    <w:p w:rsidR="005F1B1A" w:rsidRDefault="00E84E49">
      <w:pPr>
        <w:pStyle w:val="FootnoteText"/>
      </w:pPr>
      <w:r>
        <w:rPr>
          <w:rStyle w:val="FootnoteReference"/>
        </w:rPr>
        <w:footnoteRef/>
      </w:r>
      <w:r>
        <w:t xml:space="preserve"> The 2018 Ageing Report: Economic and Budgetary Projections f</w:t>
      </w:r>
      <w:r>
        <w:t>or the EU Member States (2016-2070), Institutional Paper 079, European Commission and Economic Policy Committee (2018).</w:t>
      </w:r>
    </w:p>
  </w:footnote>
  <w:footnote w:id="24">
    <w:p w:rsidR="005F1B1A" w:rsidRDefault="00E84E49">
      <w:pPr>
        <w:pStyle w:val="FootnoteText"/>
      </w:pPr>
      <w:r>
        <w:rPr>
          <w:rStyle w:val="FootnoteReference"/>
        </w:rPr>
        <w:footnoteRef/>
      </w:r>
      <w:r>
        <w:t xml:space="preserve"> Prévisions économiques du printemps 2020 de la Commission, 6.5.2020.</w:t>
      </w:r>
    </w:p>
  </w:footnote>
  <w:footnote w:id="25">
    <w:p w:rsidR="005F1B1A" w:rsidRDefault="00E84E49">
      <w:pPr>
        <w:pStyle w:val="FootnoteText"/>
      </w:pPr>
      <w:r>
        <w:rPr>
          <w:rStyle w:val="FootnoteReference"/>
        </w:rPr>
        <w:footnoteRef/>
      </w:r>
      <w:r>
        <w:t xml:space="preserve"> Vers une Union de l’égalité: La stratégie en faveur de l’égalit</w:t>
      </w:r>
      <w:r>
        <w:t>é entre les hommes et les femmes 2020-2025, adoptée le 5 mars 2020 [COM(2020)152 final].</w:t>
      </w:r>
    </w:p>
  </w:footnote>
  <w:footnote w:id="26">
    <w:p w:rsidR="005F1B1A" w:rsidRDefault="00E84E49">
      <w:pPr>
        <w:pStyle w:val="FootnoteText"/>
        <w:rPr>
          <w:lang w:val="en-US"/>
        </w:rPr>
      </w:pPr>
      <w:r>
        <w:rPr>
          <w:rStyle w:val="FootnoteReference"/>
        </w:rPr>
        <w:footnoteRef/>
      </w:r>
      <w:r>
        <w:rPr>
          <w:lang w:val="en-US"/>
        </w:rPr>
        <w:t xml:space="preserve"> The 2018 Ageing Report: Economic and Budgetary Projections for the EU Member States (2016-2070), Institutional Paper 079, European Commission and Economic Policy Committee (2018)</w:t>
      </w:r>
    </w:p>
  </w:footnote>
  <w:footnote w:id="27">
    <w:p w:rsidR="005F1B1A" w:rsidRDefault="00E84E49">
      <w:pPr>
        <w:pStyle w:val="FootnoteText"/>
      </w:pPr>
      <w:r>
        <w:rPr>
          <w:rStyle w:val="FootnoteReference"/>
        </w:rPr>
        <w:footnoteRef/>
      </w:r>
      <w:r>
        <w:t xml:space="preserve"> Une nouvelle stratégie industrielle pour l’Europe, adoptée le 10 mars 2020</w:t>
      </w:r>
      <w:r>
        <w:t xml:space="preserve"> COM(2020)102 final.</w:t>
      </w:r>
    </w:p>
  </w:footnote>
  <w:footnote w:id="28">
    <w:p w:rsidR="005F1B1A" w:rsidRDefault="00E84E49">
      <w:pPr>
        <w:pStyle w:val="FootnoteText"/>
        <w:rPr>
          <w:lang w:val="en-US"/>
        </w:rPr>
      </w:pPr>
      <w:r>
        <w:rPr>
          <w:rStyle w:val="FootnoteReference"/>
        </w:rPr>
        <w:footnoteRef/>
      </w:r>
      <w:r>
        <w:rPr>
          <w:lang w:val="en-US"/>
        </w:rPr>
        <w:t xml:space="preserve"> Voir, par exemple, Canton, E., Thum-Thysen, A., Voigt, P. (2018) Economists’ musings on human capital investment: How efficient is public</w:t>
      </w:r>
    </w:p>
    <w:p w:rsidR="005F1B1A" w:rsidRDefault="00E84E49">
      <w:pPr>
        <w:pStyle w:val="FootnoteText"/>
        <w:rPr>
          <w:lang w:val="en-US"/>
        </w:rPr>
      </w:pPr>
      <w:r>
        <w:rPr>
          <w:lang w:val="en-US"/>
        </w:rPr>
        <w:t xml:space="preserve">spending on education in EU Member States? European Economy Discussion Paper 81: </w:t>
      </w:r>
    </w:p>
    <w:p w:rsidR="005F1B1A" w:rsidRDefault="00E84E49">
      <w:pPr>
        <w:pStyle w:val="FootnoteText"/>
        <w:rPr>
          <w:lang w:val="en-US"/>
        </w:rPr>
      </w:pPr>
      <w:hyperlink r:id="rId10" w:history="1">
        <w:r>
          <w:rPr>
            <w:rStyle w:val="Hyperlink"/>
            <w:lang w:val="en-US"/>
          </w:rPr>
          <w:t>https://ec.europa.eu/info/publications/economy-finance/economists-musings-human-capital-invest</w:t>
        </w:r>
        <w:r>
          <w:rPr>
            <w:rStyle w:val="Hyperlink"/>
            <w:lang w:val="en-US"/>
          </w:rPr>
          <w:t>ment-how-efficient-public-spending-education-eu-member-states_en</w:t>
        </w:r>
      </w:hyperlink>
      <w:r>
        <w:rPr>
          <w:lang w:val="en-US"/>
        </w:rPr>
        <w:t xml:space="preserve"> </w:t>
      </w:r>
    </w:p>
  </w:footnote>
  <w:footnote w:id="29">
    <w:p w:rsidR="005F1B1A" w:rsidRDefault="00E84E49">
      <w:pPr>
        <w:pStyle w:val="FootnoteText"/>
        <w:rPr>
          <w:lang w:val="en-US"/>
        </w:rPr>
      </w:pPr>
      <w:r>
        <w:rPr>
          <w:rStyle w:val="FootnoteReference"/>
        </w:rPr>
        <w:footnoteRef/>
      </w:r>
      <w:r>
        <w:rPr>
          <w:lang w:val="en-US"/>
        </w:rPr>
        <w:t xml:space="preserve"> </w:t>
      </w:r>
      <w:hyperlink r:id="rId11" w:history="1">
        <w:r>
          <w:rPr>
            <w:rStyle w:val="Hyperlink"/>
            <w:lang w:val="en-US"/>
          </w:rPr>
          <w:t>https://www.ecdc.europa.eu/en/cases-2019-ncov-eueea</w:t>
        </w:r>
      </w:hyperlink>
      <w:r>
        <w:rPr>
          <w:lang w:val="en-US"/>
        </w:rPr>
        <w:t xml:space="preserve"> </w:t>
      </w:r>
    </w:p>
  </w:footnote>
  <w:footnote w:id="30">
    <w:p w:rsidR="005F1B1A" w:rsidRDefault="00E84E49">
      <w:pPr>
        <w:pStyle w:val="FootnoteText"/>
      </w:pPr>
      <w:r>
        <w:rPr>
          <w:rStyle w:val="FootnoteReference"/>
        </w:rPr>
        <w:footnoteRef/>
      </w:r>
      <w:r>
        <w:t xml:space="preserve"> Cette carte présente les régions NUTS3. En moyenne, la population</w:t>
      </w:r>
      <w:r>
        <w:t xml:space="preserve"> d’une région NUTS3 d’un pays compte entre 150 000 et 800 000 personnes. Les données correspondent aux projections régionales d’Eurostat (EUROPOP2013).</w:t>
      </w:r>
    </w:p>
    <w:p w:rsidR="005F1B1A" w:rsidRDefault="005F1B1A">
      <w:pPr>
        <w:pStyle w:val="FootnoteText"/>
      </w:pPr>
    </w:p>
  </w:footnote>
  <w:footnote w:id="31">
    <w:p w:rsidR="005F1B1A" w:rsidRDefault="00E84E49">
      <w:pPr>
        <w:pStyle w:val="FootnoteText"/>
      </w:pPr>
      <w:r>
        <w:rPr>
          <w:rStyle w:val="FootnoteReference"/>
        </w:rPr>
        <w:footnoteRef/>
      </w:r>
      <w:r>
        <w:t xml:space="preserve"> Pour de plus amples informations sur l’UE pour la santé (EU4Health), voir: </w:t>
      </w:r>
      <w:hyperlink r:id="rId12" w:history="1">
        <w:r>
          <w:rPr>
            <w:rStyle w:val="Hyperlink"/>
          </w:rPr>
          <w:t>https://ec.europa.eu/health/funding/eu4health_fr</w:t>
        </w:r>
      </w:hyperlink>
      <w:r>
        <w:t xml:space="preserve"> </w:t>
      </w:r>
    </w:p>
  </w:footnote>
  <w:footnote w:id="32">
    <w:p w:rsidR="005F1B1A" w:rsidRDefault="00E84E49">
      <w:pPr>
        <w:pStyle w:val="FootnoteText"/>
      </w:pPr>
      <w:r>
        <w:rPr>
          <w:rStyle w:val="FootnoteReference"/>
        </w:rPr>
        <w:footnoteRef/>
      </w:r>
      <w:r>
        <w:t xml:space="preserve"> </w:t>
      </w:r>
      <w:hyperlink r:id="rId13" w:history="1">
        <w:r>
          <w:rPr>
            <w:rStyle w:val="Hyperlink"/>
          </w:rPr>
          <w:t>https://data.consilium.europa.eu/doc/document/ST-12983-2013-INIT/en/pdf</w:t>
        </w:r>
      </w:hyperlink>
      <w:r>
        <w:t xml:space="preserve"> </w:t>
      </w:r>
    </w:p>
  </w:footnote>
  <w:footnote w:id="33">
    <w:p w:rsidR="005F1B1A" w:rsidRDefault="00E84E49">
      <w:pPr>
        <w:pStyle w:val="FootnoteText"/>
        <w:rPr>
          <w:lang w:val="en-US"/>
        </w:rPr>
      </w:pPr>
      <w:r>
        <w:rPr>
          <w:rStyle w:val="FootnoteReference"/>
        </w:rPr>
        <w:footnoteRef/>
      </w:r>
      <w:r>
        <w:rPr>
          <w:lang w:val="en-US"/>
        </w:rPr>
        <w:t xml:space="preserve"> St</w:t>
      </w:r>
      <w:r>
        <w:rPr>
          <w:lang w:val="en-US"/>
        </w:rPr>
        <w:t>ate of Health in the EU, Country Health Profiles 2019, SHARE survey (2017).</w:t>
      </w:r>
    </w:p>
  </w:footnote>
  <w:footnote w:id="34">
    <w:p w:rsidR="005F1B1A" w:rsidRDefault="00E84E49">
      <w:pPr>
        <w:pStyle w:val="FootnoteText"/>
      </w:pPr>
      <w:r>
        <w:rPr>
          <w:rStyle w:val="FootnoteReference"/>
        </w:rPr>
        <w:footnoteRef/>
      </w:r>
      <w:r>
        <w:t xml:space="preserve"> Pour de plus amples informations, voir: </w:t>
      </w:r>
      <w:hyperlink r:id="rId14" w:history="1">
        <w:r>
          <w:rPr>
            <w:rStyle w:val="Hyperlink"/>
          </w:rPr>
          <w:t>https://ec.europa.eu/food/farm2fork_en</w:t>
        </w:r>
      </w:hyperlink>
      <w:r>
        <w:t xml:space="preserve"> </w:t>
      </w:r>
    </w:p>
  </w:footnote>
  <w:footnote w:id="35">
    <w:p w:rsidR="005F1B1A" w:rsidRDefault="00E84E49">
      <w:pPr>
        <w:pStyle w:val="FootnoteText"/>
      </w:pPr>
      <w:r>
        <w:rPr>
          <w:rStyle w:val="FootnoteReference"/>
        </w:rPr>
        <w:footnoteRef/>
      </w:r>
      <w:r>
        <w:t xml:space="preserve"> Ces pénuries peuvent avoir des causes dif</w:t>
      </w:r>
      <w:r>
        <w:t>férentes, notamment le niveau de rémunération et les conditions de travail.</w:t>
      </w:r>
    </w:p>
  </w:footnote>
  <w:footnote w:id="36">
    <w:p w:rsidR="005F1B1A" w:rsidRDefault="00E84E49">
      <w:pPr>
        <w:pStyle w:val="FootnoteText"/>
      </w:pPr>
      <w:r>
        <w:rPr>
          <w:rStyle w:val="FootnoteReference"/>
        </w:rPr>
        <w:footnoteRef/>
      </w:r>
      <w:r>
        <w:t xml:space="preserve"> State of Health in the EU, Panorama de la santé: Europe 2018, OCDE/UE (2018), p. 178 et 180</w:t>
      </w:r>
    </w:p>
  </w:footnote>
  <w:footnote w:id="37">
    <w:p w:rsidR="005F1B1A" w:rsidRDefault="00E84E49">
      <w:pPr>
        <w:pStyle w:val="FootnoteText"/>
      </w:pPr>
      <w:r>
        <w:rPr>
          <w:rStyle w:val="FootnoteReference"/>
        </w:rPr>
        <w:footnoteRef/>
      </w:r>
      <w:r>
        <w:t xml:space="preserve"> Pour de plus amples informations, voir: </w:t>
      </w:r>
      <w:hyperlink r:id="rId15" w:history="1">
        <w:r>
          <w:rPr>
            <w:rStyle w:val="Hyperlink"/>
          </w:rPr>
          <w:t>https://www.oecd.org/els/health-systems/who-cares-attracting-and-retaining-elderly-care-workers-92c0ef68-en.htm</w:t>
        </w:r>
      </w:hyperlink>
      <w:r>
        <w:t xml:space="preserve"> </w:t>
      </w:r>
    </w:p>
  </w:footnote>
  <w:footnote w:id="38">
    <w:p w:rsidR="005F1B1A" w:rsidRDefault="00E84E49">
      <w:pPr>
        <w:pStyle w:val="FootnoteText"/>
      </w:pPr>
      <w:r>
        <w:rPr>
          <w:rStyle w:val="FootnoteReference"/>
        </w:rPr>
        <w:footnoteRef/>
      </w:r>
      <w:r>
        <w:t xml:space="preserve"> Article 35 de la Charte des droits fondamentaux de l’Union européenne.</w:t>
      </w:r>
    </w:p>
  </w:footnote>
  <w:footnote w:id="39">
    <w:p w:rsidR="005F1B1A" w:rsidRDefault="00E84E49">
      <w:pPr>
        <w:pStyle w:val="FootnoteText"/>
      </w:pPr>
      <w:r>
        <w:rPr>
          <w:rStyle w:val="FootnoteReference"/>
        </w:rPr>
        <w:footnoteRef/>
      </w:r>
      <w:r>
        <w:t xml:space="preserve"> Le «gain sur les trois tableaux» a le soutien du partenariat européen d’innovation pour un vieillissement actif et en bonne santé. Pour de plus amples informations, voir: </w:t>
      </w:r>
      <w:hyperlink r:id="rId16" w:history="1">
        <w:r>
          <w:rPr>
            <w:rStyle w:val="Hyperlink"/>
          </w:rPr>
          <w:t>https://ec.europa.eu/eip/ageing/about-the-partnership_en</w:t>
        </w:r>
      </w:hyperlink>
      <w:r>
        <w:t xml:space="preserve"> </w:t>
      </w:r>
    </w:p>
  </w:footnote>
  <w:footnote w:id="40">
    <w:p w:rsidR="005F1B1A" w:rsidRDefault="00E84E49">
      <w:pPr>
        <w:pStyle w:val="FootnoteText"/>
      </w:pPr>
      <w:r>
        <w:rPr>
          <w:rStyle w:val="FootnoteReference"/>
        </w:rPr>
        <w:footnoteRef/>
      </w:r>
      <w:r>
        <w:t xml:space="preserve"> Dans le rapport de 2018 sur le vieillissement, le coût total du vieillissement est défini comme les dépenses publiques consacrées aux </w:t>
      </w:r>
      <w:r>
        <w:t xml:space="preserve">retraites, aux soins de santé, aux soins de longue durée, à l’éducation et aux allocations de chômage. </w:t>
      </w:r>
    </w:p>
  </w:footnote>
  <w:footnote w:id="41">
    <w:p w:rsidR="005F1B1A" w:rsidRDefault="00E84E49">
      <w:pPr>
        <w:pStyle w:val="FootnoteText"/>
      </w:pPr>
      <w:r>
        <w:rPr>
          <w:rStyle w:val="FootnoteReference"/>
        </w:rPr>
        <w:footnoteRef/>
      </w:r>
      <w:r>
        <w:t xml:space="preserve"> Pour une analyse détaillée des facteurs de croissance des dépenses de soins de santé et de longue durée, voir: Joint Report on Healthcare and Long-Ter</w:t>
      </w:r>
      <w:r>
        <w:t>m Care Systems and Fiscal Sustainability, European Commission and Economic Policy Committee (EPC), 2016.</w:t>
      </w:r>
    </w:p>
  </w:footnote>
  <w:footnote w:id="42">
    <w:p w:rsidR="005F1B1A" w:rsidRDefault="00E84E49">
      <w:pPr>
        <w:pStyle w:val="FootnoteText"/>
      </w:pPr>
      <w:r>
        <w:rPr>
          <w:rStyle w:val="FootnoteReference"/>
        </w:rPr>
        <w:footnoteRef/>
      </w:r>
      <w:r>
        <w:t xml:space="preserve"> La pauvreté des personnes âgées a deux composantes: les personnes dont le revenu est inférieur à 60 % de la médiane nationale et les personnes qui ne</w:t>
      </w:r>
      <w:r>
        <w:t xml:space="preserve"> peuvent pas se permettre au moins quatre éléments essentiels sur dix (voir </w:t>
      </w:r>
      <w:hyperlink r:id="rId17" w:history="1">
        <w:r>
          <w:rPr>
            <w:rStyle w:val="Hyperlink"/>
          </w:rPr>
          <w:t>https://ec.europa.eu/eurostat/statistics-explained/index.php?tit</w:t>
        </w:r>
        <w:r>
          <w:rPr>
            <w:rStyle w:val="Hyperlink"/>
          </w:rPr>
          <w:t>le=Glossary:Material_deprivation/fr</w:t>
        </w:r>
      </w:hyperlink>
      <w:r>
        <w:t>)</w:t>
      </w:r>
    </w:p>
  </w:footnote>
  <w:footnote w:id="43">
    <w:p w:rsidR="005F1B1A" w:rsidRDefault="00E84E49">
      <w:pPr>
        <w:pStyle w:val="FootnoteText"/>
      </w:pPr>
      <w:r>
        <w:rPr>
          <w:rStyle w:val="FootnoteReference"/>
        </w:rPr>
        <w:footnoteRef/>
      </w:r>
      <w:r>
        <w:t xml:space="preserve"> Pour une analyse détaillée de l’incidence de l’évolution démographique sur l’adéquation des retraites: Rapport sur l’adéquation des retraites de 2018: adéquation actuelle et future des revenus des personnes âgées dans</w:t>
      </w:r>
      <w:r>
        <w:t xml:space="preserve"> l’UE, Commission européenne et Comité de la protection sociale (CPS), 2018.</w:t>
      </w:r>
    </w:p>
  </w:footnote>
  <w:footnote w:id="44">
    <w:p w:rsidR="005F1B1A" w:rsidRDefault="00E84E49">
      <w:pPr>
        <w:pStyle w:val="FootnoteText"/>
      </w:pPr>
      <w:r>
        <w:rPr>
          <w:rStyle w:val="FootnoteReference"/>
        </w:rPr>
        <w:footnoteRef/>
      </w:r>
      <w:r>
        <w:t xml:space="preserve"> En 2018, dans l’UE-27, 30,5 % des femmes et 9,2 % des hommes travaillaient à temps partiel (Eurostat, EFT).</w:t>
      </w:r>
    </w:p>
  </w:footnote>
  <w:footnote w:id="45">
    <w:p w:rsidR="005F1B1A" w:rsidRDefault="00E84E49">
      <w:pPr>
        <w:pStyle w:val="FootnoteText"/>
      </w:pPr>
      <w:r>
        <w:rPr>
          <w:rStyle w:val="FootnoteReference"/>
        </w:rPr>
        <w:footnoteRef/>
      </w:r>
      <w:r>
        <w:t xml:space="preserve"> La proportion de contrats temporaires pour les personnes âgées de 1</w:t>
      </w:r>
      <w:r>
        <w:t>5 à 64 ans est restée stable ces dernières années. En 2018, elle représentait 12,1 % de l’emploi total. La proportion de femmes est légèrement plus élevée (13,1 %) que celle des hommes (11,2 %) (Eurostat).</w:t>
      </w:r>
    </w:p>
  </w:footnote>
  <w:footnote w:id="46">
    <w:p w:rsidR="005F1B1A" w:rsidRDefault="00E84E49">
      <w:pPr>
        <w:pStyle w:val="FootnoteText"/>
      </w:pPr>
      <w:r>
        <w:rPr>
          <w:rStyle w:val="FootnoteReference"/>
        </w:rPr>
        <w:footnoteRef/>
      </w:r>
      <w:r>
        <w:t xml:space="preserve"> Le terme «régional» fait référence à NUTS3 et «l</w:t>
      </w:r>
      <w:r>
        <w:t>ocal» aux UAL (unités administratives locales).</w:t>
      </w:r>
    </w:p>
  </w:footnote>
  <w:footnote w:id="47">
    <w:p w:rsidR="005F1B1A" w:rsidRDefault="00E84E49">
      <w:pPr>
        <w:pStyle w:val="FootnoteText"/>
      </w:pPr>
      <w:r>
        <w:rPr>
          <w:rStyle w:val="FootnoteReference"/>
        </w:rPr>
        <w:footnoteRef/>
      </w:r>
      <w:r>
        <w:t xml:space="preserve"> COM(2020) 451 final du 28.5.2020.</w:t>
      </w:r>
    </w:p>
  </w:footnote>
  <w:footnote w:id="48">
    <w:p w:rsidR="005F1B1A" w:rsidRDefault="00E84E49">
      <w:pPr>
        <w:pStyle w:val="FootnoteText"/>
      </w:pPr>
      <w:r>
        <w:rPr>
          <w:rStyle w:val="FootnoteReference"/>
        </w:rPr>
        <w:footnoteRef/>
      </w:r>
      <w:r>
        <w:t xml:space="preserve"> Cette carte présente les régions NUTS3. En moyenne, la population d’une région NUTS3 d’un pays compte entre 150 000 et 800 000 personnes.</w:t>
      </w:r>
    </w:p>
  </w:footnote>
  <w:footnote w:id="49">
    <w:p w:rsidR="005F1B1A" w:rsidRDefault="00E84E49">
      <w:r>
        <w:rPr>
          <w:rStyle w:val="FootnoteReference"/>
        </w:rPr>
        <w:footnoteRef/>
      </w:r>
      <w:r>
        <w:t xml:space="preserve"> </w:t>
      </w:r>
      <w:hyperlink r:id="rId18" w:history="1">
        <w:r>
          <w:rPr>
            <w:rStyle w:val="Hyperlink"/>
            <w:rFonts w:ascii="Times New Roman" w:hAnsi="Times New Roman"/>
            <w:sz w:val="18"/>
            <w:szCs w:val="18"/>
          </w:rPr>
          <w:t>http://publications.jrc.ec.europa.eu/repository/handle/JRC120680</w:t>
        </w:r>
      </w:hyperlink>
      <w:r>
        <w:rPr>
          <w:rStyle w:val="Hyperlink"/>
          <w:rFonts w:ascii="Times New Roman" w:hAnsi="Times New Roman"/>
          <w:sz w:val="18"/>
          <w:szCs w:val="18"/>
        </w:rPr>
        <w:t xml:space="preserve"> </w:t>
      </w:r>
    </w:p>
  </w:footnote>
  <w:footnote w:id="50">
    <w:p w:rsidR="005F1B1A" w:rsidRDefault="00E84E49">
      <w:pPr>
        <w:pStyle w:val="FootnoteText"/>
      </w:pPr>
      <w:r>
        <w:rPr>
          <w:rStyle w:val="FootnoteReference"/>
        </w:rPr>
        <w:footnoteRef/>
      </w:r>
      <w:r>
        <w:t xml:space="preserve"> Pour de plus amples informations, voir: </w:t>
      </w:r>
      <w:hyperlink r:id="rId19" w:tgtFrame="_blank" w:history="1">
        <w:r>
          <w:rPr>
            <w:rStyle w:val="Hyperlink"/>
          </w:rPr>
          <w:t>https://doi.org/10.1787/b902cc00-en</w:t>
        </w:r>
      </w:hyperlink>
    </w:p>
  </w:footnote>
  <w:footnote w:id="51">
    <w:p w:rsidR="005F1B1A" w:rsidRDefault="00E84E49">
      <w:pPr>
        <w:pStyle w:val="FootnoteText"/>
      </w:pPr>
      <w:r>
        <w:rPr>
          <w:rStyle w:val="FootnoteReference"/>
        </w:rPr>
        <w:footnoteRef/>
      </w:r>
      <w:r>
        <w:t xml:space="preserve"> Cette carte présente les régions NUTS3. En moyenne, la population d’une région NUTS3 d’un pays compte entre 150 000 et 800 000 personnes.</w:t>
      </w:r>
      <w:r>
        <w:t xml:space="preserve"> </w:t>
      </w:r>
    </w:p>
  </w:footnote>
  <w:footnote w:id="52">
    <w:p w:rsidR="005F1B1A" w:rsidRDefault="00E84E49">
      <w:pPr>
        <w:pStyle w:val="FootnoteText"/>
      </w:pPr>
      <w:r>
        <w:rPr>
          <w:rStyle w:val="FootnoteReference"/>
        </w:rPr>
        <w:footnoteRef/>
      </w:r>
      <w:r>
        <w:t xml:space="preserve"> Pour de plus amples informations, voir: </w:t>
      </w:r>
      <w:hyperlink r:id="rId20" w:history="1">
        <w:r>
          <w:rPr>
            <w:rStyle w:val="Hyperlink"/>
          </w:rPr>
          <w:t>https://ec.europa.eu/info/publications/mff-legislation_en</w:t>
        </w:r>
      </w:hyperlink>
      <w:r>
        <w:t xml:space="preserve"> </w:t>
      </w:r>
    </w:p>
  </w:footnote>
  <w:footnote w:id="53">
    <w:p w:rsidR="005F1B1A" w:rsidRDefault="00E84E49">
      <w:pPr>
        <w:pStyle w:val="FootnoteText"/>
      </w:pPr>
      <w:r>
        <w:rPr>
          <w:rStyle w:val="FootnoteReference"/>
        </w:rPr>
        <w:footnoteRef/>
      </w:r>
      <w:r>
        <w:t xml:space="preserve"> Pour de plus amples informations, voir: </w:t>
      </w:r>
      <w:hyperlink r:id="rId21" w:history="1">
        <w:r>
          <w:rPr>
            <w:rStyle w:val="Hyperlink"/>
          </w:rPr>
          <w:t>https://ec.europa.eu/regional_policy/en/information/publications/regional-focus/2018/acc</w:t>
        </w:r>
        <w:r>
          <w:rPr>
            <w:rStyle w:val="Hyperlink"/>
          </w:rPr>
          <w:t>ess-to-universities-in-the-eu-a-regional-and-territorial-analysis</w:t>
        </w:r>
      </w:hyperlink>
      <w:r>
        <w:t xml:space="preserve"> </w:t>
      </w:r>
    </w:p>
  </w:footnote>
  <w:footnote w:id="54">
    <w:p w:rsidR="005F1B1A" w:rsidRDefault="00E84E49">
      <w:pPr>
        <w:pStyle w:val="FootnoteText"/>
      </w:pPr>
      <w:r>
        <w:rPr>
          <w:rStyle w:val="FootnoteReference"/>
        </w:rPr>
        <w:footnoteRef/>
      </w:r>
      <w:r>
        <w:t xml:space="preserve"> Pour de plus amples informations, voir: </w:t>
      </w:r>
      <w:hyperlink r:id="rId22" w:anchor="the-chapter" w:history="1">
        <w:r>
          <w:rPr>
            <w:rStyle w:val="Hyperlink"/>
          </w:rPr>
          <w:t>https://urban.jrc.ec.europa.eu/thefutureofcities/ageing#th</w:t>
        </w:r>
        <w:r>
          <w:rPr>
            <w:rStyle w:val="Hyperlink"/>
          </w:rPr>
          <w:t>e-chapter</w:t>
        </w:r>
      </w:hyperlink>
    </w:p>
  </w:footnote>
  <w:footnote w:id="55">
    <w:p w:rsidR="005F1B1A" w:rsidRDefault="00E84E49">
      <w:pPr>
        <w:pStyle w:val="FootnoteText"/>
        <w:rPr>
          <w:lang w:val="en-US"/>
        </w:rPr>
      </w:pPr>
      <w:r>
        <w:rPr>
          <w:rStyle w:val="FootnoteReference"/>
        </w:rPr>
        <w:footnoteRef/>
      </w:r>
      <w:r>
        <w:rPr>
          <w:lang w:val="en-US"/>
        </w:rPr>
        <w:t xml:space="preserve"> Forest fires — Sparking fire smart policies in the EU, Commission européenne (2018). </w:t>
      </w:r>
    </w:p>
  </w:footnote>
  <w:footnote w:id="56">
    <w:p w:rsidR="005F1B1A" w:rsidRDefault="00E84E49">
      <w:pPr>
        <w:pStyle w:val="FootnoteText"/>
        <w:rPr>
          <w:lang w:val="en-US"/>
        </w:rPr>
      </w:pPr>
      <w:r>
        <w:rPr>
          <w:rStyle w:val="FootnoteReference"/>
        </w:rPr>
        <w:footnoteRef/>
      </w:r>
      <w:r>
        <w:rPr>
          <w:lang w:val="en-US"/>
        </w:rPr>
        <w:t xml:space="preserve"> OCDE, 2018. Policy note Rural 3.0 – a framework for rural development. </w:t>
      </w:r>
    </w:p>
    <w:p w:rsidR="005F1B1A" w:rsidRDefault="00E84E49">
      <w:pPr>
        <w:pStyle w:val="FootnoteText"/>
        <w:rPr>
          <w:lang w:val="en-US"/>
        </w:rPr>
      </w:pPr>
      <w:hyperlink r:id="rId23" w:history="1">
        <w:r>
          <w:rPr>
            <w:rStyle w:val="Hyperlink"/>
            <w:lang w:val="en-US"/>
          </w:rPr>
          <w:t>https://www.oecd.org/cfe/regional-policy/Rural-3.0-Policy-Note.pdf</w:t>
        </w:r>
      </w:hyperlink>
      <w:r>
        <w:rPr>
          <w:lang w:val="en-US"/>
        </w:rPr>
        <w:t xml:space="preserve"> </w:t>
      </w:r>
    </w:p>
  </w:footnote>
  <w:footnote w:id="57">
    <w:p w:rsidR="005F1B1A" w:rsidRDefault="00E84E49">
      <w:pPr>
        <w:pStyle w:val="FootnoteText"/>
        <w:rPr>
          <w:lang w:val="en-US"/>
        </w:rPr>
      </w:pPr>
      <w:r>
        <w:rPr>
          <w:rStyle w:val="FootnoteReference"/>
        </w:rPr>
        <w:footnoteRef/>
      </w:r>
      <w:r>
        <w:rPr>
          <w:lang w:val="en-US"/>
        </w:rPr>
        <w:t xml:space="preserve"> </w:t>
      </w:r>
      <w:hyperlink r:id="rId24" w:history="1">
        <w:r>
          <w:rPr>
            <w:rStyle w:val="Hyperlink"/>
            <w:lang w:val="en-US"/>
          </w:rPr>
          <w:t>https://ec.europa.eu/regional_policy/en/information/publications/regional-focus/2008/remote-rural-regions-how-proximity-to-a-city-influences-the-performance-of-rural-regions</w:t>
        </w:r>
      </w:hyperlink>
      <w:r>
        <w:rPr>
          <w:lang w:val="en-US"/>
        </w:rPr>
        <w:t xml:space="preserve"> </w:t>
      </w:r>
    </w:p>
  </w:footnote>
  <w:footnote w:id="58">
    <w:p w:rsidR="005F1B1A" w:rsidRDefault="00E84E49">
      <w:pPr>
        <w:pStyle w:val="FootnoteText"/>
      </w:pPr>
      <w:r>
        <w:rPr>
          <w:rStyle w:val="FootnoteReference"/>
        </w:rPr>
        <w:footnoteRef/>
      </w:r>
      <w:r>
        <w:t xml:space="preserve"> Pour de plus amples informations, voir: </w:t>
      </w:r>
      <w:hyperlink r:id="rId25" w:history="1">
        <w:r>
          <w:rPr>
            <w:rStyle w:val="Hyperlink"/>
          </w:rPr>
          <w:t>http://www.fao.org/global-perspectives-studies/fr</w:t>
        </w:r>
      </w:hyperlink>
      <w:r>
        <w:t xml:space="preserve"> </w:t>
      </w:r>
    </w:p>
  </w:footnote>
  <w:footnote w:id="59">
    <w:p w:rsidR="005F1B1A" w:rsidRDefault="00E84E49">
      <w:pPr>
        <w:pStyle w:val="FootnoteText"/>
      </w:pPr>
      <w:r>
        <w:rPr>
          <w:rStyle w:val="FootnoteReference"/>
        </w:rPr>
        <w:footnoteRef/>
      </w:r>
      <w:r>
        <w:t xml:space="preserve"> Pour de plus amples informations, voir: </w:t>
      </w:r>
      <w:hyperlink r:id="rId26" w:history="1">
        <w:r>
          <w:rPr>
            <w:rStyle w:val="Hyperlink"/>
          </w:rPr>
          <w:t>https://ec.europa.eu/info/strategy/pr</w:t>
        </w:r>
        <w:r>
          <w:rPr>
            <w:rStyle w:val="Hyperlink"/>
          </w:rPr>
          <w:t>iorities-2019-2024/european-green-deal_fr</w:t>
        </w:r>
      </w:hyperlink>
      <w:r>
        <w:rPr>
          <w:color w:val="1F497D"/>
        </w:rPr>
        <w:t xml:space="preserve"> </w:t>
      </w:r>
    </w:p>
  </w:footnote>
  <w:footnote w:id="60">
    <w:p w:rsidR="005F1B1A" w:rsidRDefault="00E84E49">
      <w:pPr>
        <w:pStyle w:val="FootnoteText"/>
      </w:pPr>
      <w:r>
        <w:rPr>
          <w:rStyle w:val="FootnoteReference"/>
        </w:rPr>
        <w:footnoteRef/>
      </w:r>
      <w:r>
        <w:t xml:space="preserve"> Pour de plus amples informations, voir: </w:t>
      </w:r>
      <w:hyperlink r:id="rId27" w:history="1">
        <w:r>
          <w:rPr>
            <w:rStyle w:val="Hyperlink"/>
          </w:rPr>
          <w:t>https://news.un.org/fr/</w:t>
        </w:r>
      </w:hyperlink>
      <w:r>
        <w:t xml:space="preserve"> </w:t>
      </w:r>
    </w:p>
  </w:footnote>
  <w:footnote w:id="61">
    <w:p w:rsidR="005F1B1A" w:rsidRDefault="00E84E49">
      <w:pPr>
        <w:pStyle w:val="FootnoteText"/>
      </w:pPr>
      <w:r>
        <w:rPr>
          <w:rStyle w:val="FootnoteReference"/>
        </w:rPr>
        <w:footnoteRef/>
      </w:r>
      <w:r>
        <w:t xml:space="preserve"> Pour de plus amples informations, voir: </w:t>
      </w:r>
      <w:hyperlink r:id="rId28" w:history="1">
        <w:r>
          <w:rPr>
            <w:rStyle w:val="Hyperlink"/>
          </w:rPr>
          <w:t>https://openknowledge.worldbank.org/handle/10986/29461</w:t>
        </w:r>
      </w:hyperlink>
      <w:r>
        <w:t xml:space="preserve"> </w:t>
      </w:r>
    </w:p>
  </w:footnote>
  <w:footnote w:id="62">
    <w:p w:rsidR="005F1B1A" w:rsidRDefault="00E84E49">
      <w:pPr>
        <w:pStyle w:val="FootnoteText"/>
      </w:pPr>
      <w:r>
        <w:rPr>
          <w:rStyle w:val="FootnoteReference"/>
        </w:rPr>
        <w:footnoteRef/>
      </w:r>
      <w:r>
        <w:t xml:space="preserve"> Pour de plus amples informations sur la révision 2019 des perspectives de la population mondiale des Nations unies, voir: </w:t>
      </w:r>
      <w:hyperlink r:id="rId29" w:history="1">
        <w:r>
          <w:rPr>
            <w:rStyle w:val="Hyperlink"/>
          </w:rPr>
          <w:t>https://population.un.</w:t>
        </w:r>
        <w:r>
          <w:rPr>
            <w:rStyle w:val="Hyperlink"/>
          </w:rPr>
          <w:t>org/wpp/</w:t>
        </w:r>
      </w:hyperlink>
    </w:p>
    <w:p w:rsidR="005F1B1A" w:rsidRDefault="005F1B1A">
      <w:pPr>
        <w:pStyle w:val="FootnoteText"/>
      </w:pPr>
    </w:p>
  </w:footnote>
  <w:footnote w:id="63">
    <w:p w:rsidR="005F1B1A" w:rsidRDefault="00E84E49">
      <w:pPr>
        <w:pStyle w:val="FootnoteText"/>
      </w:pPr>
      <w:r>
        <w:rPr>
          <w:rStyle w:val="FootnoteReference"/>
        </w:rPr>
        <w:footnoteRef/>
      </w:r>
      <w:r>
        <w:t xml:space="preserve"> Source: Données de la Banque mondiale, données relatives à la PPA (parité de pouvoir d’achat) du PIB issues de la base de données: Indicateurs du développement dans le monde.</w:t>
      </w:r>
    </w:p>
  </w:footnote>
  <w:footnote w:id="64">
    <w:p w:rsidR="005F1B1A" w:rsidRDefault="00E84E49">
      <w:pPr>
        <w:pStyle w:val="FootnoteText"/>
      </w:pPr>
      <w:r>
        <w:rPr>
          <w:rStyle w:val="FootnoteReference"/>
        </w:rPr>
        <w:footnoteRef/>
      </w:r>
      <w:r>
        <w:t xml:space="preserve"> JOIN(2020) 4 final du 9.3.2020.</w:t>
      </w:r>
    </w:p>
  </w:footnote>
  <w:footnote w:id="65">
    <w:p w:rsidR="005F1B1A" w:rsidRDefault="00E84E49">
      <w:r>
        <w:rPr>
          <w:rStyle w:val="FootnoteReference"/>
        </w:rPr>
        <w:footnoteRef/>
      </w:r>
      <w:r>
        <w:rPr>
          <w:rFonts w:ascii="Times New Roman" w:hAnsi="Times New Roman"/>
          <w:sz w:val="18"/>
          <w:szCs w:val="18"/>
        </w:rPr>
        <w:t xml:space="preserve"> </w:t>
      </w:r>
      <w:hyperlink r:id="rId30" w:history="1">
        <w:r>
          <w:rPr>
            <w:rStyle w:val="Hyperlink"/>
            <w:rFonts w:ascii="Times New Roman" w:hAnsi="Times New Roman"/>
            <w:sz w:val="18"/>
            <w:szCs w:val="18"/>
          </w:rPr>
          <w:t>https://ec.europa.eu/regional_policy/en/information/publications/working-papers/2018/the-geography-of-eu-discontent</w:t>
        </w:r>
      </w:hyperlink>
      <w:r>
        <w:rPr>
          <w:rFonts w:ascii="Times New Roman" w:hAnsi="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B1A" w:rsidRDefault="005F1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F7"/>
    <w:multiLevelType w:val="multilevel"/>
    <w:tmpl w:val="D486AEA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EFB7115"/>
    <w:multiLevelType w:val="multilevel"/>
    <w:tmpl w:val="9AE2513C"/>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111D315F"/>
    <w:multiLevelType w:val="hybridMultilevel"/>
    <w:tmpl w:val="D9D2F188"/>
    <w:lvl w:ilvl="0" w:tplc="0809000F">
      <w:start w:val="4"/>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0B7201"/>
    <w:multiLevelType w:val="multilevel"/>
    <w:tmpl w:val="76D0A3B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1262685D"/>
    <w:multiLevelType w:val="multilevel"/>
    <w:tmpl w:val="C068DFE4"/>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43D0A16"/>
    <w:multiLevelType w:val="multilevel"/>
    <w:tmpl w:val="C346FAF0"/>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72F0AC5"/>
    <w:multiLevelType w:val="multilevel"/>
    <w:tmpl w:val="E94A4A3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C7B624F"/>
    <w:multiLevelType w:val="multilevel"/>
    <w:tmpl w:val="9D506B74"/>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2C8DFDF8"/>
    <w:multiLevelType w:val="multilevel"/>
    <w:tmpl w:val="886C261E"/>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2D293CE3"/>
    <w:multiLevelType w:val="multilevel"/>
    <w:tmpl w:val="256E4D4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36324F1E"/>
    <w:multiLevelType w:val="multilevel"/>
    <w:tmpl w:val="68AE4384"/>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37CB1E1C"/>
    <w:multiLevelType w:val="multilevel"/>
    <w:tmpl w:val="B60457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3A7730C4"/>
    <w:multiLevelType w:val="multilevel"/>
    <w:tmpl w:val="D6FC2BB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429E662A"/>
    <w:multiLevelType w:val="multilevel"/>
    <w:tmpl w:val="2D4C222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4E1A982C"/>
    <w:multiLevelType w:val="multilevel"/>
    <w:tmpl w:val="DC1A72A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5072619B"/>
    <w:multiLevelType w:val="multilevel"/>
    <w:tmpl w:val="7F3CB8D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53A234F1"/>
    <w:multiLevelType w:val="hybridMultilevel"/>
    <w:tmpl w:val="718EA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977472E"/>
    <w:multiLevelType w:val="multilevel"/>
    <w:tmpl w:val="FCB42ACE"/>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7B0D7648"/>
    <w:multiLevelType w:val="hybridMultilevel"/>
    <w:tmpl w:val="F2624902"/>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7C65145E"/>
    <w:multiLevelType w:val="multilevel"/>
    <w:tmpl w:val="2BF24F5C"/>
    <w:name w:val="EurolookHeading"/>
    <w:lvl w:ilvl="0">
      <w:start w:val="1"/>
      <w:numFmt w:val="decimal"/>
      <w:pStyle w:val="Heading1"/>
      <w:lvlText w:val="%1."/>
      <w:lvlJc w:val="left"/>
      <w:pPr>
        <w:tabs>
          <w:tab w:val="num" w:pos="624"/>
        </w:tabs>
        <w:ind w:left="624" w:hanging="482"/>
      </w:pPr>
      <w:rPr>
        <w:color w:val="auto"/>
        <w:sz w:val="28"/>
      </w:r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20"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0"/>
  </w:num>
  <w:num w:numId="2">
    <w:abstractNumId w:val="10"/>
  </w:num>
  <w:num w:numId="3">
    <w:abstractNumId w:val="7"/>
  </w:num>
  <w:num w:numId="4">
    <w:abstractNumId w:val="11"/>
  </w:num>
  <w:num w:numId="5">
    <w:abstractNumId w:val="15"/>
  </w:num>
  <w:num w:numId="6">
    <w:abstractNumId w:val="17"/>
  </w:num>
  <w:num w:numId="7">
    <w:abstractNumId w:val="1"/>
  </w:num>
  <w:num w:numId="8">
    <w:abstractNumId w:val="6"/>
  </w:num>
  <w:num w:numId="9">
    <w:abstractNumId w:val="13"/>
  </w:num>
  <w:num w:numId="10">
    <w:abstractNumId w:val="3"/>
  </w:num>
  <w:num w:numId="11">
    <w:abstractNumId w:val="4"/>
  </w:num>
  <w:num w:numId="12">
    <w:abstractNumId w:val="5"/>
  </w:num>
  <w:num w:numId="13">
    <w:abstractNumId w:val="8"/>
  </w:num>
  <w:num w:numId="14">
    <w:abstractNumId w:val="12"/>
  </w:num>
  <w:num w:numId="15">
    <w:abstractNumId w:val="14"/>
  </w:num>
  <w:num w:numId="16">
    <w:abstractNumId w:val="19"/>
  </w:num>
  <w:num w:numId="17">
    <w:abstractNumId w:val="9"/>
  </w:num>
  <w:num w:numId="18">
    <w:abstractNumId w:val="20"/>
  </w:num>
  <w:num w:numId="19">
    <w:abstractNumId w:val="2"/>
  </w:num>
  <w:num w:numId="20">
    <w:abstractNumId w:val="1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hideSpellingErrors/>
  <w:hideGrammaticalErrors/>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94F4739-922B-425E-8D9B-7D104B5B2373"/>
    <w:docVar w:name="LW_COVERPAGE_TYPE" w:val="1"/>
    <w:docVar w:name="LW_CROSSREFERENCE" w:val="{SWD(2020) 109 final}"/>
    <w:docVar w:name="LW_DocType" w:val="NORMAL"/>
    <w:docVar w:name="LW_EMISSION" w:val="17.6.2020"/>
    <w:docVar w:name="LW_EMISSION_ISODATE" w:val="2020-06-17"/>
    <w:docVar w:name="LW_EMISSION_LOCATION" w:val="BRX"/>
    <w:docVar w:name="LW_EMISSION_PREFIX" w:val="Bruxelles, le "/>
    <w:docVar w:name="LW_EMISSION_SUFFIX" w:val=" "/>
    <w:docVar w:name="LW_ID_DOCTYPE_NONLW" w:val="CP-008"/>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24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ur les conséquences de l\u8217?évolution démographique_x000d__x000b__x000d__x000d__x000b__x000d__x000d__x000b_"/>
    <w:docVar w:name="LW_TYPE.DOC.CP" w:val="RAPPORT DE LA COMMISSION AU PARLEMENT EUROPÉEN, AU CONSEIL, AU COMITÉ ÉCONOMIQUE ET SOCIAL EUROPÉEN ET AU COMITÉ DES RÉGIONS"/>
  </w:docVars>
  <w:rsids>
    <w:rsidRoot w:val="005F1B1A"/>
    <w:rsid w:val="005F1B1A"/>
    <w:rsid w:val="00E84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0" w:qFormat="1"/>
    <w:lsdException w:name="heading 2" w:semiHidden="1" w:uiPriority="90" w:unhideWhenUsed="1" w:qFormat="1"/>
    <w:lsdException w:name="heading 3" w:semiHidden="1" w:uiPriority="90" w:unhideWhenUsed="1" w:qFormat="1"/>
    <w:lsdException w:name="heading 4" w:semiHidden="1" w:uiPriority="9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Text1"/>
    <w:link w:val="Heading1Char"/>
    <w:uiPriority w:val="90"/>
    <w:qFormat/>
    <w:pPr>
      <w:keepNext/>
      <w:numPr>
        <w:numId w:val="16"/>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Heading2">
    <w:name w:val="heading 2"/>
    <w:basedOn w:val="Normal"/>
    <w:next w:val="Text2"/>
    <w:link w:val="Heading2Char"/>
    <w:uiPriority w:val="90"/>
    <w:qFormat/>
    <w:pPr>
      <w:jc w:val="both"/>
      <w:outlineLvl w:val="1"/>
    </w:pPr>
    <w:rPr>
      <w:rFonts w:ascii="Times New Roman" w:hAnsi="Times New Roman" w:cs="Times New Roman"/>
      <w:b/>
      <w:sz w:val="24"/>
      <w:szCs w:val="24"/>
    </w:rPr>
  </w:style>
  <w:style w:type="paragraph" w:styleId="Heading3">
    <w:name w:val="heading 3"/>
    <w:basedOn w:val="Normal"/>
    <w:next w:val="Text3"/>
    <w:link w:val="Heading3Char"/>
    <w:uiPriority w:val="90"/>
    <w:qFormat/>
    <w:pPr>
      <w:jc w:val="both"/>
      <w:outlineLvl w:val="2"/>
    </w:pPr>
    <w:rPr>
      <w:rFonts w:ascii="Times New Roman" w:hAnsi="Times New Roman" w:cs="Times New Roman"/>
      <w:b/>
      <w:sz w:val="24"/>
      <w:szCs w:val="24"/>
    </w:rPr>
  </w:style>
  <w:style w:type="paragraph" w:styleId="Heading4">
    <w:name w:val="heading 4"/>
    <w:basedOn w:val="Normal"/>
    <w:next w:val="Text4"/>
    <w:link w:val="Heading4Char"/>
    <w:uiPriority w:val="90"/>
    <w:qFormat/>
    <w:pPr>
      <w:keepNext/>
      <w:numPr>
        <w:ilvl w:val="3"/>
        <w:numId w:val="16"/>
      </w:numPr>
      <w:spacing w:after="240" w:line="240" w:lineRule="auto"/>
      <w:jc w:val="both"/>
      <w:outlineLvl w:val="3"/>
    </w:pPr>
    <w:rPr>
      <w:rFonts w:ascii="Times New Roman" w:eastAsia="Times New Roman" w:hAnsi="Times New Roman" w:cs="Times New Roman"/>
      <w:sz w:val="24"/>
      <w:szCs w:val="20"/>
      <w:lang w:eastAsia="en-GB"/>
    </w:rPr>
  </w:style>
  <w:style w:type="paragraph" w:styleId="Heading5">
    <w:name w:val="heading 5"/>
    <w:basedOn w:val="Normal"/>
    <w:next w:val="Normal"/>
    <w:link w:val="Heading5Char"/>
    <w:semiHidden/>
    <w:pPr>
      <w:keepNext/>
      <w:numPr>
        <w:ilvl w:val="4"/>
        <w:numId w:val="16"/>
      </w:numPr>
      <w:spacing w:after="240" w:line="240" w:lineRule="auto"/>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numPr>
        <w:ilvl w:val="5"/>
        <w:numId w:val="16"/>
      </w:numPr>
      <w:spacing w:after="240" w:line="240" w:lineRule="auto"/>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numPr>
        <w:ilvl w:val="6"/>
        <w:numId w:val="16"/>
      </w:numPr>
      <w:spacing w:after="240" w:line="240" w:lineRule="auto"/>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numPr>
        <w:ilvl w:val="7"/>
        <w:numId w:val="16"/>
      </w:numPr>
      <w:spacing w:after="240" w:line="240" w:lineRule="auto"/>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numPr>
        <w:ilvl w:val="8"/>
        <w:numId w:val="16"/>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eastAsia="en-GB"/>
    </w:rPr>
  </w:style>
  <w:style w:type="character" w:customStyle="1" w:styleId="Heading2Char">
    <w:name w:val="Heading 2 Char"/>
    <w:basedOn w:val="DefaultParagraphFont"/>
    <w:link w:val="Heading2"/>
    <w:uiPriority w:val="90"/>
    <w:rPr>
      <w:rFonts w:ascii="Times New Roman" w:hAnsi="Times New Roman" w:cs="Times New Roman"/>
      <w:b/>
      <w:sz w:val="24"/>
      <w:szCs w:val="24"/>
      <w:lang w:val="fr-FR"/>
    </w:rPr>
  </w:style>
  <w:style w:type="character" w:customStyle="1" w:styleId="Heading3Char">
    <w:name w:val="Heading 3 Char"/>
    <w:basedOn w:val="DefaultParagraphFont"/>
    <w:link w:val="Heading3"/>
    <w:uiPriority w:val="90"/>
    <w:rPr>
      <w:rFonts w:ascii="Times New Roman" w:hAnsi="Times New Roman" w:cs="Times New Roman"/>
      <w:b/>
      <w:sz w:val="24"/>
      <w:szCs w:val="24"/>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GB"/>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pPr>
      <w:spacing w:after="240" w:line="240" w:lineRule="auto"/>
      <w:jc w:val="both"/>
    </w:pPr>
    <w:rPr>
      <w:rFonts w:ascii="Times New Roman" w:eastAsia="Times New Roman" w:hAnsi="Times New Roman" w:cs="Times New Roman"/>
      <w:sz w:val="20"/>
      <w:szCs w:val="20"/>
      <w:lang w:eastAsia="en-GB"/>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jc w:val="both"/>
    </w:pPr>
    <w:rPr>
      <w:rFonts w:ascii="Times New Roman" w:eastAsia="Times New Roman" w:hAnsi="Times New Roman" w:cs="Times New Roman"/>
      <w:sz w:val="24"/>
      <w:szCs w:val="20"/>
      <w:lang w:eastAsia="en-GB"/>
    </w:rPr>
  </w:style>
  <w:style w:type="paragraph" w:customStyle="1" w:styleId="FigureTitle">
    <w:name w:val="Figure Title"/>
    <w:basedOn w:val="Normal"/>
    <w:next w:val="FigureBody"/>
    <w:uiPriority w:val="6"/>
    <w:pPr>
      <w:keepNext/>
      <w:spacing w:after="180" w:line="240" w:lineRule="auto"/>
      <w:jc w:val="both"/>
    </w:pPr>
    <w:rPr>
      <w:rFonts w:ascii="Times New Roman" w:eastAsia="Times New Roman" w:hAnsi="Times New Roman" w:cs="Times New Roman"/>
      <w:b/>
      <w:sz w:val="24"/>
      <w:szCs w:val="20"/>
      <w:lang w:eastAsia="en-GB"/>
    </w:rPr>
  </w:style>
  <w:style w:type="paragraph" w:customStyle="1" w:styleId="HistTableHeading">
    <w:name w:val="HistTableHeading"/>
    <w:basedOn w:val="Normal"/>
    <w:next w:val="HistoryTable"/>
    <w:pPr>
      <w:spacing w:before="240" w:after="240" w:line="240" w:lineRule="auto"/>
      <w:jc w:val="center"/>
    </w:pPr>
    <w:rPr>
      <w:rFonts w:ascii="Times New Roman Bold" w:eastAsia="Times New Roman" w:hAnsi="Times New Roman Bold" w:cs="Times New Roman"/>
      <w:b/>
      <w:caps/>
      <w:sz w:val="24"/>
      <w:szCs w:val="20"/>
      <w:lang w:eastAsia="en-GB"/>
    </w:rPr>
  </w:style>
  <w:style w:type="paragraph" w:customStyle="1" w:styleId="HistoryTable">
    <w:name w:val="HistoryTable"/>
    <w:basedOn w:val="Normal"/>
    <w:pPr>
      <w:spacing w:before="60" w:after="60" w:line="240" w:lineRule="auto"/>
    </w:pPr>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line="264" w:lineRule="auto"/>
      <w:jc w:val="both"/>
    </w:pPr>
    <w:rPr>
      <w:rFonts w:ascii="Times New Roman" w:eastAsia="Times New Roman" w:hAnsi="Times New Roman" w:cs="Times New Roman"/>
      <w:sz w:val="16"/>
      <w:szCs w:val="20"/>
      <w:lang w:eastAsia="en-GB"/>
    </w:rPr>
  </w:style>
  <w:style w:type="paragraph" w:customStyle="1" w:styleId="YReferences">
    <w:name w:val="YReferences"/>
    <w:basedOn w:val="Normal"/>
    <w:pPr>
      <w:spacing w:after="480" w:line="240" w:lineRule="auto"/>
      <w:ind w:left="3062" w:hanging="1531"/>
      <w:contextualSpacing/>
      <w:jc w:val="both"/>
    </w:pPr>
    <w:rPr>
      <w:rFonts w:ascii="Times New Roman" w:eastAsia="Times New Roman" w:hAnsi="Times New Roman" w:cs="Times New Roman"/>
      <w:sz w:val="24"/>
      <w:szCs w:val="20"/>
      <w:lang w:eastAsia="en-GB"/>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lang w:eastAsia="en-GB"/>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lang w:eastAsia="en-GB"/>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lang w:eastAsia="en-GB"/>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GB"/>
    </w:rPr>
  </w:style>
  <w:style w:type="paragraph" w:customStyle="1" w:styleId="Enclosures">
    <w:name w:val="Enclosures"/>
    <w:basedOn w:val="Normal"/>
    <w:pPr>
      <w:keepNext/>
      <w:keepLines/>
      <w:tabs>
        <w:tab w:val="left" w:pos="5641"/>
      </w:tabs>
      <w:spacing w:before="480" w:after="0" w:line="240" w:lineRule="auto"/>
      <w:ind w:left="2382" w:hanging="1191"/>
      <w:contextualSpacing/>
    </w:pPr>
    <w:rPr>
      <w:rFonts w:ascii="Times New Roman" w:eastAsia="Times New Roman" w:hAnsi="Times New Roman" w:cs="Times New Roman"/>
      <w:sz w:val="24"/>
      <w:szCs w:val="20"/>
      <w:lang w:eastAsia="en-GB"/>
    </w:rPr>
  </w:style>
  <w:style w:type="paragraph" w:customStyle="1" w:styleId="DoubSign">
    <w:name w:val="DoubSign"/>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SignatureL">
    <w:name w:val="SignatureL"/>
    <w:basedOn w:val="Normal"/>
    <w:next w:val="Enclosures"/>
    <w:pPr>
      <w:tabs>
        <w:tab w:val="left" w:pos="5102"/>
      </w:tabs>
      <w:spacing w:before="1200" w:after="0" w:line="240" w:lineRule="auto"/>
    </w:pPr>
    <w:rPr>
      <w:rFonts w:ascii="Times New Roman" w:eastAsia="Times New Roman" w:hAnsi="Times New Roman" w:cs="Times New Roman"/>
      <w:sz w:val="24"/>
      <w:szCs w:val="20"/>
      <w:lang w:eastAsia="en-GB"/>
    </w:rPr>
  </w:style>
  <w:style w:type="paragraph" w:styleId="Signature">
    <w:name w:val="Signature"/>
    <w:basedOn w:val="Normal"/>
    <w:next w:val="Enclosures"/>
    <w:link w:val="SignatureChar"/>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GB"/>
    </w:rPr>
  </w:style>
  <w:style w:type="paragraph" w:customStyle="1" w:styleId="SectionTitle">
    <w:name w:val="SectionTitle"/>
    <w:basedOn w:val="Normal"/>
    <w:next w:val="Heading1"/>
    <w:uiPriority w:val="90"/>
    <w:qFormat/>
    <w:pPr>
      <w:keepNext/>
      <w:spacing w:after="480" w:line="240" w:lineRule="auto"/>
      <w:jc w:val="center"/>
      <w:outlineLvl w:val="0"/>
    </w:pPr>
    <w:rPr>
      <w:rFonts w:ascii="Times New Roman" w:eastAsia="Times New Roman" w:hAnsi="Times New Roman" w:cs="Times New Roman"/>
      <w:b/>
      <w:smallCaps/>
      <w:sz w:val="28"/>
      <w:szCs w:val="20"/>
      <w:lang w:eastAsia="en-GB"/>
    </w:rPr>
  </w:style>
  <w:style w:type="paragraph" w:customStyle="1" w:styleId="ChapterTitle">
    <w:name w:val="ChapterTitle"/>
    <w:basedOn w:val="Normal"/>
    <w:next w:val="SectionTitle"/>
    <w:uiPriority w:val="90"/>
    <w:qFormat/>
    <w:pPr>
      <w:keepNext/>
      <w:spacing w:after="480" w:line="240" w:lineRule="auto"/>
      <w:jc w:val="center"/>
      <w:outlineLvl w:val="0"/>
    </w:pPr>
    <w:rPr>
      <w:rFonts w:ascii="Times New Roman" w:eastAsia="Times New Roman" w:hAnsi="Times New Roman" w:cs="Times New Roman"/>
      <w:b/>
      <w:sz w:val="32"/>
      <w:szCs w:val="20"/>
      <w:lang w:eastAsia="en-GB"/>
    </w:rPr>
  </w:style>
  <w:style w:type="paragraph" w:customStyle="1" w:styleId="PartTitle">
    <w:name w:val="PartTitle"/>
    <w:basedOn w:val="Normal"/>
    <w:next w:val="ChapterTitle"/>
    <w:uiPriority w:val="90"/>
    <w:qFormat/>
    <w:pPr>
      <w:keepNext/>
      <w:pageBreakBefore/>
      <w:spacing w:after="480" w:line="240" w:lineRule="auto"/>
      <w:jc w:val="center"/>
      <w:outlineLvl w:val="0"/>
    </w:pPr>
    <w:rPr>
      <w:rFonts w:ascii="Times New Roman" w:eastAsia="Times New Roman" w:hAnsi="Times New Roman" w:cs="Times New Roman"/>
      <w:b/>
      <w:sz w:val="36"/>
      <w:szCs w:val="20"/>
      <w:lang w:eastAsia="en-GB"/>
    </w:rPr>
  </w:style>
  <w:style w:type="paragraph" w:customStyle="1" w:styleId="AddressTR">
    <w:name w:val="AddressTR"/>
    <w:basedOn w:val="Normal"/>
    <w:next w:val="Normal"/>
    <w:pPr>
      <w:spacing w:after="720" w:line="240" w:lineRule="auto"/>
      <w:ind w:left="5102"/>
    </w:pPr>
    <w:rPr>
      <w:rFonts w:ascii="Times New Roman" w:eastAsia="Times New Roman" w:hAnsi="Times New Roman" w:cs="Times New Roman"/>
      <w:sz w:val="24"/>
      <w:szCs w:val="20"/>
      <w:lang w:eastAsia="en-GB"/>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lang w:eastAsia="en-GB"/>
    </w:rPr>
  </w:style>
  <w:style w:type="paragraph" w:customStyle="1" w:styleId="Address">
    <w:name w:val="Address"/>
    <w:basedOn w:val="Normal"/>
    <w:pPr>
      <w:spacing w:after="0" w:line="240" w:lineRule="auto"/>
    </w:pPr>
    <w:rPr>
      <w:rFonts w:ascii="Times New Roman" w:eastAsia="Times New Roman" w:hAnsi="Times New Roman" w:cs="Times New Roman"/>
      <w:sz w:val="24"/>
      <w:szCs w:val="20"/>
      <w:lang w:eastAsia="en-GB"/>
    </w:rPr>
  </w:style>
  <w:style w:type="paragraph" w:customStyle="1" w:styleId="Text4">
    <w:name w:val="Text 4"/>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202"/>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pPr>
      <w:spacing w:after="240" w:line="240" w:lineRule="auto"/>
      <w:ind w:left="5102" w:right="-567"/>
      <w:contextualSpacing/>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qFormat/>
    <w:pPr>
      <w:spacing w:after="0" w:line="240" w:lineRule="auto"/>
    </w:pPr>
    <w:rPr>
      <w:rFonts w:ascii="Times New Roman" w:eastAsia="Times New Roman" w:hAnsi="Times New Roman" w:cs="Times New Roman"/>
      <w:sz w:val="18"/>
      <w:szCs w:val="16"/>
      <w:lang w:eastAsia="en-GB"/>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rPr>
      <w:rFonts w:ascii="Times New Roman" w:eastAsia="Times New Roman" w:hAnsi="Times New Roman" w:cs="Times New Roman"/>
      <w:sz w:val="18"/>
      <w:szCs w:val="16"/>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qFormat/>
    <w:rPr>
      <w:rFonts w:ascii="Courier New" w:eastAsia="Times New Roman" w:hAnsi="Courier New" w:cs="Times New Roman"/>
      <w:szCs w:val="20"/>
      <w:lang w:eastAsia="en-GB"/>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outlineLvl w:val="9"/>
    </w:pPr>
    <w:rPr>
      <w:b w:val="0"/>
    </w:rPr>
  </w:style>
  <w:style w:type="paragraph" w:customStyle="1" w:styleId="NumPar3">
    <w:name w:val="NumPar 3"/>
    <w:basedOn w:val="Heading3"/>
    <w:uiPriority w:val="90"/>
    <w:qFormat/>
    <w:pPr>
      <w:outlineLvl w:val="9"/>
    </w:pPr>
    <w:rPr>
      <w:i/>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line="240" w:lineRule="auto"/>
      <w:jc w:val="both"/>
      <w:outlineLvl w:val="0"/>
    </w:pPr>
    <w:rPr>
      <w:rFonts w:ascii="Times New Roman" w:eastAsia="Times New Roman" w:hAnsi="Times New Roman" w:cs="Times New Roman"/>
      <w:b/>
      <w:sz w:val="32"/>
      <w:szCs w:val="20"/>
      <w:lang w:eastAsia="en-GB"/>
    </w:rPr>
  </w:style>
  <w:style w:type="paragraph" w:styleId="TOCHeading">
    <w:name w:val="TOC Heading"/>
    <w:basedOn w:val="Normal"/>
    <w:next w:val="Normal"/>
    <w:uiPriority w:val="39"/>
    <w:qFormat/>
    <w:pPr>
      <w:spacing w:before="240" w:after="240" w:line="240" w:lineRule="auto"/>
      <w:jc w:val="center"/>
    </w:pPr>
    <w:rPr>
      <w:rFonts w:ascii="Times New Roman Bold" w:eastAsia="Times New Roman" w:hAnsi="Times New Roman Bold" w:cs="Times New Roman"/>
      <w:b/>
      <w:caps/>
      <w:sz w:val="24"/>
      <w:szCs w:val="20"/>
      <w:lang w:eastAsia="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eastAsia="en-GB"/>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noProof/>
      <w:sz w:val="24"/>
      <w:szCs w:val="20"/>
      <w:lang w:eastAsia="en-GB"/>
    </w:rPr>
  </w:style>
  <w:style w:type="paragraph" w:styleId="TOC3">
    <w:name w:val="toc 3"/>
    <w:basedOn w:val="Normal"/>
    <w:next w:val="Normal"/>
    <w:uiPriority w:val="39"/>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eastAsia="en-GB"/>
    </w:rPr>
  </w:style>
  <w:style w:type="paragraph" w:styleId="TOC4">
    <w:name w:val="toc 4"/>
    <w:basedOn w:val="Normal"/>
    <w:next w:val="Normal"/>
    <w:uiPriority w:val="39"/>
    <w:pPr>
      <w:tabs>
        <w:tab w:val="right" w:leader="dot" w:pos="8640"/>
      </w:tabs>
      <w:spacing w:before="60" w:after="60" w:line="240" w:lineRule="auto"/>
      <w:ind w:left="2880" w:right="720" w:hanging="964"/>
      <w:jc w:val="both"/>
    </w:pPr>
    <w:rPr>
      <w:rFonts w:ascii="Times New Roman" w:eastAsia="Times New Roman" w:hAnsi="Times New Roman" w:cs="Times New Roman"/>
      <w:noProof/>
      <w:sz w:val="24"/>
      <w:szCs w:val="20"/>
      <w:lang w:eastAsia="en-GB"/>
    </w:rPr>
  </w:style>
  <w:style w:type="paragraph" w:styleId="TOC5">
    <w:name w:val="toc 5"/>
    <w:basedOn w:val="Normal"/>
    <w:next w:val="Normal"/>
    <w:uiPriority w:val="39"/>
    <w:pPr>
      <w:tabs>
        <w:tab w:val="right" w:leader="dot" w:pos="8640"/>
      </w:tabs>
      <w:spacing w:before="240" w:after="120" w:line="240" w:lineRule="auto"/>
      <w:ind w:right="720"/>
      <w:jc w:val="both"/>
    </w:pPr>
    <w:rPr>
      <w:rFonts w:ascii="Times New Roman" w:eastAsia="Times New Roman" w:hAnsi="Times New Roman" w:cs="Times New Roman"/>
      <w:caps/>
      <w:sz w:val="24"/>
      <w:szCs w:val="20"/>
      <w:lang w:eastAsia="en-GB"/>
    </w:rPr>
  </w:style>
  <w:style w:type="paragraph" w:styleId="TOC6">
    <w:name w:val="toc 6"/>
    <w:basedOn w:val="Normal"/>
    <w:next w:val="Normal"/>
    <w:uiPriority w:val="39"/>
    <w:pPr>
      <w:tabs>
        <w:tab w:val="right" w:leader="dot" w:pos="8640"/>
        <w:tab w:val="left" w:pos="2880"/>
      </w:tabs>
      <w:spacing w:before="120" w:after="120" w:line="240" w:lineRule="auto"/>
      <w:ind w:left="1916" w:right="720" w:hanging="1916"/>
      <w:jc w:val="both"/>
    </w:pPr>
    <w:rPr>
      <w:rFonts w:ascii="Times New Roman" w:eastAsia="Times New Roman" w:hAnsi="Times New Roman" w:cs="Times New Roman"/>
      <w:caps/>
      <w:sz w:val="24"/>
      <w:szCs w:val="20"/>
      <w:lang w:eastAsia="en-GB"/>
    </w:rPr>
  </w:style>
  <w:style w:type="paragraph" w:styleId="TOC7">
    <w:name w:val="toc 7"/>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8">
    <w:name w:val="toc 8"/>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TOC9">
    <w:name w:val="toc 9"/>
    <w:basedOn w:val="Normal"/>
    <w:next w:val="Normal"/>
    <w:uiPriority w:val="39"/>
    <w:pPr>
      <w:tabs>
        <w:tab w:val="right" w:leader="dot" w:pos="8640"/>
      </w:tabs>
      <w:spacing w:after="24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15"/>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unhideWhenUsed/>
    <w:pPr>
      <w:numPr>
        <w:ilvl w:val="2"/>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unhideWhenUsed/>
    <w:pPr>
      <w:numPr>
        <w:ilvl w:val="3"/>
        <w:numId w:val="5"/>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unhideWhenUsed/>
    <w:pPr>
      <w:numPr>
        <w:ilvl w:val="2"/>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unhideWhenUsed/>
    <w:pPr>
      <w:numPr>
        <w:ilvl w:val="3"/>
        <w:numId w:val="10"/>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after="240"/>
      <w:ind w:left="5102" w:right="-567"/>
      <w:contextualSpacing/>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7"/>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7"/>
      </w:numPr>
      <w:spacing w:after="240" w:line="360" w:lineRule="auto"/>
      <w:jc w:val="both"/>
    </w:pPr>
    <w:rPr>
      <w:rFonts w:ascii="Times New Roman" w:eastAsia="Times New Roman" w:hAnsi="Times New Roman" w:cs="Times New Roman"/>
      <w:sz w:val="24"/>
      <w:szCs w:val="20"/>
      <w:lang w:eastAsia="en-GB"/>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 BVI fnr,E FNZ,Footnote#"/>
    <w:basedOn w:val="DefaultParagraphFont"/>
    <w:link w:val="AppelnotedebasdepageCharCharCharCharCharCharChar"/>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pPr>
      <w:spacing w:before="100" w:beforeAutospacing="1" w:after="100" w:afterAutospacing="1" w:line="240" w:lineRule="auto"/>
    </w:pPr>
    <w:rPr>
      <w:rFonts w:ascii="Times" w:hAnsi="Times"/>
      <w:sz w:val="20"/>
      <w:szCs w:val="20"/>
    </w:rPr>
  </w:style>
  <w:style w:type="paragraph" w:customStyle="1" w:styleId="s77">
    <w:name w:val="s77"/>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76">
    <w:name w:val="s76"/>
    <w:basedOn w:val="DefaultParagraphFont"/>
  </w:style>
  <w:style w:type="character" w:customStyle="1" w:styleId="s91">
    <w:name w:val="s91"/>
    <w:basedOn w:val="DefaultParagraphFont"/>
  </w:style>
  <w:style w:type="paragraph" w:customStyle="1" w:styleId="TableText">
    <w:name w:val="Table Text"/>
    <w:basedOn w:val="Normal"/>
    <w:uiPriority w:val="90"/>
    <w:qFormat/>
    <w:pPr>
      <w:spacing w:before="60" w:after="60" w:line="264" w:lineRule="auto"/>
      <w:jc w:val="both"/>
    </w:pPr>
    <w:rPr>
      <w:rFonts w:ascii="Times New Roman" w:eastAsia="Times New Roman" w:hAnsi="Times New Roman" w:cs="Times New Roman"/>
      <w:szCs w:val="20"/>
    </w:rPr>
  </w:style>
  <w:style w:type="paragraph" w:customStyle="1" w:styleId="FITTable">
    <w:name w:val="FIT Table"/>
    <w:basedOn w:val="Normal"/>
    <w:pPr>
      <w:spacing w:before="60" w:after="60" w:line="264" w:lineRule="auto"/>
      <w:jc w:val="both"/>
    </w:pPr>
    <w:rPr>
      <w:rFonts w:ascii="Times New Roman" w:eastAsia="Times New Roman" w:hAnsi="Times New Roman" w:cs="Times New Roman"/>
      <w:szCs w:val="20"/>
    </w:rPr>
  </w:style>
  <w:style w:type="paragraph" w:customStyle="1" w:styleId="GlossaryHeading">
    <w:name w:val="GlossaryHeading"/>
    <w:basedOn w:val="Normal"/>
    <w:pPr>
      <w:spacing w:after="480" w:line="264" w:lineRule="auto"/>
      <w:jc w:val="center"/>
      <w:outlineLvl w:val="0"/>
    </w:pPr>
    <w:rPr>
      <w:rFonts w:ascii="Times New Roman Bold" w:eastAsia="Times New Roman" w:hAnsi="Times New Roman Bold" w:cs="Times New Roman"/>
      <w:b/>
      <w:sz w:val="32"/>
      <w:szCs w:val="20"/>
    </w:rPr>
  </w:style>
  <w:style w:type="paragraph" w:customStyle="1" w:styleId="Glossary">
    <w:name w:val="Glossary"/>
    <w:basedOn w:val="Normal"/>
    <w:uiPriority w:val="90"/>
    <w:qFormat/>
    <w:pPr>
      <w:tabs>
        <w:tab w:val="left" w:pos="2835"/>
      </w:tabs>
      <w:spacing w:after="120" w:line="264" w:lineRule="auto"/>
      <w:ind w:left="2835" w:hanging="2835"/>
    </w:pPr>
    <w:rPr>
      <w:rFonts w:ascii="Times New Roman" w:eastAsia="Times New Roman" w:hAnsi="Times New Roman" w:cs="Times New Roman"/>
      <w:szCs w:val="20"/>
    </w:rPr>
  </w:style>
  <w:style w:type="paragraph" w:customStyle="1" w:styleId="Citation">
    <w:name w:val="Citation"/>
    <w:basedOn w:val="Normal"/>
    <w:link w:val="CitationChar"/>
    <w:uiPriority w:val="90"/>
    <w:qFormat/>
    <w:pPr>
      <w:spacing w:after="120" w:line="264" w:lineRule="auto"/>
      <w:ind w:left="454" w:right="454"/>
      <w:jc w:val="both"/>
    </w:pPr>
    <w:rPr>
      <w:rFonts w:ascii="Times New Roman" w:eastAsia="Times New Roman" w:hAnsi="Times New Roman" w:cs="Times New Roman"/>
      <w:i/>
      <w:szCs w:val="20"/>
    </w:rPr>
  </w:style>
  <w:style w:type="character" w:customStyle="1" w:styleId="CitationChar">
    <w:name w:val="Citation Char"/>
    <w:link w:val="Citation"/>
    <w:uiPriority w:val="90"/>
    <w:qFormat/>
    <w:rPr>
      <w:rFonts w:ascii="Times New Roman" w:eastAsia="Times New Roman" w:hAnsi="Times New Roman" w:cs="Times New Roman"/>
      <w:i/>
      <w:szCs w:val="20"/>
    </w:rPr>
  </w:style>
  <w:style w:type="table" w:customStyle="1" w:styleId="PropertiesTable">
    <w:name w:val="Properties Table"/>
    <w:basedOn w:val="TableNormal"/>
    <w:uiPriority w:val="99"/>
    <w:pPr>
      <w:spacing w:after="120" w:line="264" w:lineRule="auto"/>
    </w:pPr>
    <w:rPr>
      <w:rFonts w:ascii="Times New Roman" w:eastAsia="Times New Roman" w:hAnsi="Times New Roman" w:cs="Times New Roman"/>
      <w:sz w:val="24"/>
      <w:szCs w:val="20"/>
    </w:rPr>
    <w:tblPr>
      <w:tblInd w:w="1984" w:type="dxa"/>
    </w:tbl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fr-FR"/>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jc w:val="both"/>
    </w:pPr>
    <w:rPr>
      <w:vertAlign w:val="superscript"/>
    </w:rPr>
  </w:style>
  <w:style w:type="numbering" w:customStyle="1" w:styleId="NoList1">
    <w:name w:val="No List1"/>
    <w:next w:val="NoList"/>
    <w:uiPriority w:val="99"/>
    <w:semiHidden/>
    <w:unhideWhenUsed/>
  </w:style>
  <w:style w:type="paragraph" w:customStyle="1" w:styleId="BVIfnrCharCharCharChar">
    <w:name w:val="BVI fnr Char Char Char Char"/>
    <w:aliases w:val="BVI fnr Car Car Char Char Char Char,BVI fnr Car Char Char Char Char,BVI fnr Car Car Car Car Char Char Char Char"/>
    <w:basedOn w:val="Normal"/>
    <w:uiPriority w:val="99"/>
    <w:pPr>
      <w:spacing w:after="160" w:line="240" w:lineRule="exact"/>
    </w:pPr>
    <w:rPr>
      <w:rFonts w:ascii="Times New Roman" w:eastAsia="Times New Roman" w:hAnsi="Times New Roman" w:cs="Times New Roman"/>
      <w:sz w:val="24"/>
      <w:szCs w:val="20"/>
      <w:vertAlign w:val="superscript"/>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6066">
      <w:bodyDiv w:val="1"/>
      <w:marLeft w:val="0"/>
      <w:marRight w:val="0"/>
      <w:marTop w:val="0"/>
      <w:marBottom w:val="0"/>
      <w:divBdr>
        <w:top w:val="none" w:sz="0" w:space="0" w:color="auto"/>
        <w:left w:val="none" w:sz="0" w:space="0" w:color="auto"/>
        <w:bottom w:val="none" w:sz="0" w:space="0" w:color="auto"/>
        <w:right w:val="none" w:sz="0" w:space="0" w:color="auto"/>
      </w:divBdr>
    </w:div>
    <w:div w:id="47459614">
      <w:bodyDiv w:val="1"/>
      <w:marLeft w:val="0"/>
      <w:marRight w:val="0"/>
      <w:marTop w:val="0"/>
      <w:marBottom w:val="0"/>
      <w:divBdr>
        <w:top w:val="none" w:sz="0" w:space="0" w:color="auto"/>
        <w:left w:val="none" w:sz="0" w:space="0" w:color="auto"/>
        <w:bottom w:val="none" w:sz="0" w:space="0" w:color="auto"/>
        <w:right w:val="none" w:sz="0" w:space="0" w:color="auto"/>
      </w:divBdr>
    </w:div>
    <w:div w:id="258292327">
      <w:bodyDiv w:val="1"/>
      <w:marLeft w:val="0"/>
      <w:marRight w:val="0"/>
      <w:marTop w:val="0"/>
      <w:marBottom w:val="0"/>
      <w:divBdr>
        <w:top w:val="none" w:sz="0" w:space="0" w:color="auto"/>
        <w:left w:val="none" w:sz="0" w:space="0" w:color="auto"/>
        <w:bottom w:val="none" w:sz="0" w:space="0" w:color="auto"/>
        <w:right w:val="none" w:sz="0" w:space="0" w:color="auto"/>
      </w:divBdr>
    </w:div>
    <w:div w:id="396440200">
      <w:bodyDiv w:val="1"/>
      <w:marLeft w:val="0"/>
      <w:marRight w:val="0"/>
      <w:marTop w:val="0"/>
      <w:marBottom w:val="0"/>
      <w:divBdr>
        <w:top w:val="none" w:sz="0" w:space="0" w:color="auto"/>
        <w:left w:val="none" w:sz="0" w:space="0" w:color="auto"/>
        <w:bottom w:val="none" w:sz="0" w:space="0" w:color="auto"/>
        <w:right w:val="none" w:sz="0" w:space="0" w:color="auto"/>
      </w:divBdr>
    </w:div>
    <w:div w:id="514150291">
      <w:bodyDiv w:val="1"/>
      <w:marLeft w:val="0"/>
      <w:marRight w:val="0"/>
      <w:marTop w:val="0"/>
      <w:marBottom w:val="0"/>
      <w:divBdr>
        <w:top w:val="none" w:sz="0" w:space="0" w:color="auto"/>
        <w:left w:val="none" w:sz="0" w:space="0" w:color="auto"/>
        <w:bottom w:val="none" w:sz="0" w:space="0" w:color="auto"/>
        <w:right w:val="none" w:sz="0" w:space="0" w:color="auto"/>
      </w:divBdr>
    </w:div>
    <w:div w:id="526867492">
      <w:bodyDiv w:val="1"/>
      <w:marLeft w:val="0"/>
      <w:marRight w:val="0"/>
      <w:marTop w:val="0"/>
      <w:marBottom w:val="0"/>
      <w:divBdr>
        <w:top w:val="none" w:sz="0" w:space="0" w:color="auto"/>
        <w:left w:val="none" w:sz="0" w:space="0" w:color="auto"/>
        <w:bottom w:val="none" w:sz="0" w:space="0" w:color="auto"/>
        <w:right w:val="none" w:sz="0" w:space="0" w:color="auto"/>
      </w:divBdr>
    </w:div>
    <w:div w:id="1204517692">
      <w:bodyDiv w:val="1"/>
      <w:marLeft w:val="0"/>
      <w:marRight w:val="0"/>
      <w:marTop w:val="0"/>
      <w:marBottom w:val="0"/>
      <w:divBdr>
        <w:top w:val="none" w:sz="0" w:space="0" w:color="auto"/>
        <w:left w:val="none" w:sz="0" w:space="0" w:color="auto"/>
        <w:bottom w:val="none" w:sz="0" w:space="0" w:color="auto"/>
        <w:right w:val="none" w:sz="0" w:space="0" w:color="auto"/>
      </w:divBdr>
    </w:div>
    <w:div w:id="1284843426">
      <w:bodyDiv w:val="1"/>
      <w:marLeft w:val="0"/>
      <w:marRight w:val="0"/>
      <w:marTop w:val="0"/>
      <w:marBottom w:val="0"/>
      <w:divBdr>
        <w:top w:val="none" w:sz="0" w:space="0" w:color="auto"/>
        <w:left w:val="none" w:sz="0" w:space="0" w:color="auto"/>
        <w:bottom w:val="none" w:sz="0" w:space="0" w:color="auto"/>
        <w:right w:val="none" w:sz="0" w:space="0" w:color="auto"/>
      </w:divBdr>
    </w:div>
    <w:div w:id="1311859669">
      <w:bodyDiv w:val="1"/>
      <w:marLeft w:val="0"/>
      <w:marRight w:val="0"/>
      <w:marTop w:val="0"/>
      <w:marBottom w:val="0"/>
      <w:divBdr>
        <w:top w:val="none" w:sz="0" w:space="0" w:color="auto"/>
        <w:left w:val="none" w:sz="0" w:space="0" w:color="auto"/>
        <w:bottom w:val="none" w:sz="0" w:space="0" w:color="auto"/>
        <w:right w:val="none" w:sz="0" w:space="0" w:color="auto"/>
      </w:divBdr>
    </w:div>
    <w:div w:id="1360005866">
      <w:bodyDiv w:val="1"/>
      <w:marLeft w:val="0"/>
      <w:marRight w:val="0"/>
      <w:marTop w:val="0"/>
      <w:marBottom w:val="0"/>
      <w:divBdr>
        <w:top w:val="none" w:sz="0" w:space="0" w:color="auto"/>
        <w:left w:val="none" w:sz="0" w:space="0" w:color="auto"/>
        <w:bottom w:val="none" w:sz="0" w:space="0" w:color="auto"/>
        <w:right w:val="none" w:sz="0" w:space="0" w:color="auto"/>
      </w:divBdr>
    </w:div>
    <w:div w:id="1433012372">
      <w:bodyDiv w:val="1"/>
      <w:marLeft w:val="0"/>
      <w:marRight w:val="0"/>
      <w:marTop w:val="0"/>
      <w:marBottom w:val="0"/>
      <w:divBdr>
        <w:top w:val="none" w:sz="0" w:space="0" w:color="auto"/>
        <w:left w:val="none" w:sz="0" w:space="0" w:color="auto"/>
        <w:bottom w:val="none" w:sz="0" w:space="0" w:color="auto"/>
        <w:right w:val="none" w:sz="0" w:space="0" w:color="auto"/>
      </w:divBdr>
    </w:div>
    <w:div w:id="1450397417">
      <w:bodyDiv w:val="1"/>
      <w:marLeft w:val="0"/>
      <w:marRight w:val="0"/>
      <w:marTop w:val="0"/>
      <w:marBottom w:val="0"/>
      <w:divBdr>
        <w:top w:val="none" w:sz="0" w:space="0" w:color="auto"/>
        <w:left w:val="none" w:sz="0" w:space="0" w:color="auto"/>
        <w:bottom w:val="none" w:sz="0" w:space="0" w:color="auto"/>
        <w:right w:val="none" w:sz="0" w:space="0" w:color="auto"/>
      </w:divBdr>
    </w:div>
    <w:div w:id="1650204192">
      <w:bodyDiv w:val="1"/>
      <w:marLeft w:val="0"/>
      <w:marRight w:val="0"/>
      <w:marTop w:val="0"/>
      <w:marBottom w:val="0"/>
      <w:divBdr>
        <w:top w:val="none" w:sz="0" w:space="0" w:color="auto"/>
        <w:left w:val="none" w:sz="0" w:space="0" w:color="auto"/>
        <w:bottom w:val="none" w:sz="0" w:space="0" w:color="auto"/>
        <w:right w:val="none" w:sz="0" w:space="0" w:color="auto"/>
      </w:divBdr>
    </w:div>
    <w:div w:id="1876768501">
      <w:bodyDiv w:val="1"/>
      <w:marLeft w:val="0"/>
      <w:marRight w:val="0"/>
      <w:marTop w:val="0"/>
      <w:marBottom w:val="0"/>
      <w:divBdr>
        <w:top w:val="none" w:sz="0" w:space="0" w:color="auto"/>
        <w:left w:val="none" w:sz="0" w:space="0" w:color="auto"/>
        <w:bottom w:val="none" w:sz="0" w:space="0" w:color="auto"/>
        <w:right w:val="none" w:sz="0" w:space="0" w:color="auto"/>
      </w:divBdr>
    </w:div>
    <w:div w:id="1926303820">
      <w:bodyDiv w:val="1"/>
      <w:marLeft w:val="0"/>
      <w:marRight w:val="0"/>
      <w:marTop w:val="0"/>
      <w:marBottom w:val="0"/>
      <w:divBdr>
        <w:top w:val="none" w:sz="0" w:space="0" w:color="auto"/>
        <w:left w:val="none" w:sz="0" w:space="0" w:color="auto"/>
        <w:bottom w:val="none" w:sz="0" w:space="0" w:color="auto"/>
        <w:right w:val="none" w:sz="0" w:space="0" w:color="auto"/>
      </w:divBdr>
    </w:div>
    <w:div w:id="1976595421">
      <w:bodyDiv w:val="1"/>
      <w:marLeft w:val="0"/>
      <w:marRight w:val="0"/>
      <w:marTop w:val="0"/>
      <w:marBottom w:val="0"/>
      <w:divBdr>
        <w:top w:val="none" w:sz="0" w:space="0" w:color="auto"/>
        <w:left w:val="none" w:sz="0" w:space="0" w:color="auto"/>
        <w:bottom w:val="none" w:sz="0" w:space="0" w:color="auto"/>
        <w:right w:val="none" w:sz="0" w:space="0" w:color="auto"/>
      </w:divBdr>
    </w:div>
    <w:div w:id="2049645991">
      <w:bodyDiv w:val="1"/>
      <w:marLeft w:val="0"/>
      <w:marRight w:val="0"/>
      <w:marTop w:val="0"/>
      <w:marBottom w:val="0"/>
      <w:divBdr>
        <w:top w:val="none" w:sz="0" w:space="0" w:color="auto"/>
        <w:left w:val="none" w:sz="0" w:space="0" w:color="auto"/>
        <w:bottom w:val="none" w:sz="0" w:space="0" w:color="auto"/>
        <w:right w:val="none" w:sz="0" w:space="0" w:color="auto"/>
      </w:divBdr>
    </w:div>
    <w:div w:id="207030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footer" Target="footer4.xml"/><Relationship Id="rId57"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5.xml"/><Relationship Id="rId56" Type="http://schemas.microsoft.com/office/2016/09/relationships/commentsIds" Target="commentsIds.xml"/><Relationship Id="rId8" Type="http://schemas.openxmlformats.org/officeDocument/2006/relationships/image" Target="media/image1.emf"/><Relationship Id="rId51" Type="http://schemas.openxmlformats.org/officeDocument/2006/relationships/header" Target="head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statistics-explained/index.php?title=Population_and_population_change_statistics" TargetMode="External"/><Relationship Id="rId13" Type="http://schemas.openxmlformats.org/officeDocument/2006/relationships/hyperlink" Target="https://data.consilium.europa.eu/doc/document/ST-12983-2013-INIT/en/pdf" TargetMode="External"/><Relationship Id="rId18" Type="http://schemas.openxmlformats.org/officeDocument/2006/relationships/hyperlink" Target="http://publications.jrc.ec.europa.eu/repository/handle/JRC120680" TargetMode="External"/><Relationship Id="rId26" Type="http://schemas.openxmlformats.org/officeDocument/2006/relationships/hyperlink" Target="https://ec.europa.eu/info/strategy/priorities-2019-2024/european-green-deal_fr" TargetMode="External"/><Relationship Id="rId3" Type="http://schemas.openxmlformats.org/officeDocument/2006/relationships/hyperlink" Target="https://ec.europa.eu/eurostat/statistics-explained/pdfscache/1101.pdf" TargetMode="External"/><Relationship Id="rId21" Type="http://schemas.openxmlformats.org/officeDocument/2006/relationships/hyperlink" Target="https://ec.europa.eu/regional_policy/en/information/publications/regional-focus/2018/access-to-universities-in-the-eu-a-regional-and-territorial-analysis" TargetMode="External"/><Relationship Id="rId7" Type="http://schemas.openxmlformats.org/officeDocument/2006/relationships/hyperlink" Target="https://ec.europa.eu/eurostat/statistics-explained/index.php?title=Migration_and_migrant_population_statistics/fr" TargetMode="External"/><Relationship Id="rId12" Type="http://schemas.openxmlformats.org/officeDocument/2006/relationships/hyperlink" Target="https://ec.europa.eu/health/funding/eu4health_fr" TargetMode="External"/><Relationship Id="rId17" Type="http://schemas.openxmlformats.org/officeDocument/2006/relationships/hyperlink" Target="https://ec.europa.eu/eurostat/statistics-explained/index.php?title=Glossary:Material_deprivation/fr" TargetMode="External"/><Relationship Id="rId25" Type="http://schemas.openxmlformats.org/officeDocument/2006/relationships/hyperlink" Target="http://www.fao.org/global-perspectives-studies/fr" TargetMode="External"/><Relationship Id="rId2" Type="http://schemas.openxmlformats.org/officeDocument/2006/relationships/hyperlink" Target="https://ec.europa.eu/eurostat/fr/web/population-demography-migration-projections/population-projections-data" TargetMode="External"/><Relationship Id="rId16" Type="http://schemas.openxmlformats.org/officeDocument/2006/relationships/hyperlink" Target="https://ec.europa.eu/eip/ageing/about-the-partnership_en" TargetMode="External"/><Relationship Id="rId20" Type="http://schemas.openxmlformats.org/officeDocument/2006/relationships/hyperlink" Target="https://ec.europa.eu/info/publications/mff-legislation_en" TargetMode="External"/><Relationship Id="rId29" Type="http://schemas.openxmlformats.org/officeDocument/2006/relationships/hyperlink" Target="https://population.un.org/wpp/" TargetMode="External"/><Relationship Id="rId1" Type="http://schemas.openxmlformats.org/officeDocument/2006/relationships/hyperlink" Target="https://ec.europa.eu/eurostat/statistics-explained/index.php?title=Mortality_and_life_expectancy_statistics" TargetMode="External"/><Relationship Id="rId6" Type="http://schemas.openxmlformats.org/officeDocument/2006/relationships/hyperlink" Target="https://ec.europa.eu/eurostat/statistics-explained/index.php?title=Population_structure_and_ageing/fr" TargetMode="External"/><Relationship Id="rId11" Type="http://schemas.openxmlformats.org/officeDocument/2006/relationships/hyperlink" Target="https://www.ecdc.europa.eu/en/cases-2019-ncov-eueea" TargetMode="External"/><Relationship Id="rId24" Type="http://schemas.openxmlformats.org/officeDocument/2006/relationships/hyperlink" Target="https://ec.europa.eu/regional_policy/en/information/publications/regional-focus/2008/remote-rural-regions-how-proximity-to-a-city-influences-the-performance-of-rural-regions" TargetMode="External"/><Relationship Id="rId5" Type="http://schemas.openxmlformats.org/officeDocument/2006/relationships/hyperlink" Target="https://ec.europa.eu/eurostat/statistics-explained/index.php?title=Fertility_statistics" TargetMode="External"/><Relationship Id="rId15" Type="http://schemas.openxmlformats.org/officeDocument/2006/relationships/hyperlink" Target="https://www.oecd.org/els/health-systems/who-cares-attracting-and-retaining-elderly-care-workers-92c0ef68-en.htm" TargetMode="External"/><Relationship Id="rId23" Type="http://schemas.openxmlformats.org/officeDocument/2006/relationships/hyperlink" Target="https://www.oecd.org/cfe/regional-policy/Rural-3.0-Policy-Note.pdf" TargetMode="External"/><Relationship Id="rId28" Type="http://schemas.openxmlformats.org/officeDocument/2006/relationships/hyperlink" Target="https://openknowledge.worldbank.org/handle/10986/29461" TargetMode="External"/><Relationship Id="rId10" Type="http://schemas.openxmlformats.org/officeDocument/2006/relationships/hyperlink" Target="https://ec.europa.eu/info/publications/economy-finance/economists-musings-human-capital-investment-how-efficient-public-spending-education-eu-member-states_en" TargetMode="External"/><Relationship Id="rId19" Type="http://schemas.openxmlformats.org/officeDocument/2006/relationships/hyperlink" Target="https://urldefense.com/v3/__https:/doi.org/10.1787/b902cc00-en__;!!DOxrgLBm!XIOlO0824qKuoP5_CkmxzkAXuVqDihmiPLY6WWZqia09gnpYwaWx4PkOST04llZWbklw13At$" TargetMode="External"/><Relationship Id="rId4" Type="http://schemas.openxmlformats.org/officeDocument/2006/relationships/hyperlink" Target="https://ec.europa.eu/health/state/glance_fr" TargetMode="External"/><Relationship Id="rId9" Type="http://schemas.openxmlformats.org/officeDocument/2006/relationships/hyperlink" Target="https://ec.europa.eu/eurostat/fr/web/population-demography-migration-projections/population-projections-data" TargetMode="External"/><Relationship Id="rId14" Type="http://schemas.openxmlformats.org/officeDocument/2006/relationships/hyperlink" Target="https://ec.europa.eu/food/farm2fork_en" TargetMode="External"/><Relationship Id="rId22" Type="http://schemas.openxmlformats.org/officeDocument/2006/relationships/hyperlink" Target="https://urban.jrc.ec.europa.eu/thefutureofcities/ageing" TargetMode="External"/><Relationship Id="rId27" Type="http://schemas.openxmlformats.org/officeDocument/2006/relationships/hyperlink" Target="https://news.un.org/fr/" TargetMode="External"/><Relationship Id="rId30" Type="http://schemas.openxmlformats.org/officeDocument/2006/relationships/hyperlink" Target="https://ec.europa.eu/regional_policy/en/information/publications/working-papers/2018/the-geography-of-eu-dis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1915B-D01C-4A43-AB14-C7C4C0B74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10678</Words>
  <Characters>56595</Characters>
  <Application>Microsoft Office Word</Application>
  <DocSecurity>4</DocSecurity>
  <Lines>857</Lines>
  <Paragraphs>237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2020-06-17T08:32:00Z</dcterms:created>
  <dcterms:modified xsi:type="dcterms:W3CDTF">2020-06-17T08:32:00Z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CP-008</vt:lpwstr>
  </property>
</Properties>
</file>