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1A87804D-9610-4E2B-A479-32D04D4BBC49" style="width:450.75pt;height:41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  <w:szCs w:val="24"/>
        </w:rPr>
      </w:pP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Информация, която трябва да бъде включена в посочения в член 6 доклад за мониторинг</w:t>
      </w:r>
    </w:p>
    <w:p>
      <w:pPr>
        <w:jc w:val="center"/>
        <w:rPr>
          <w:noProof/>
          <w:szCs w:val="24"/>
        </w:rPr>
      </w:pP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  <w:u w:val="single"/>
        </w:rPr>
        <w:t>Прогнозни допълнителни разходи</w:t>
      </w:r>
      <w:r>
        <w:rPr>
          <w:noProof/>
        </w:rPr>
        <w:t>. Предоставя се информация за всеки продукт, който се ползва от намалената акцизна ставка. Португалските органи попълват таблица 1 с най-малко следната информация, когато такава е налична. Представената в таблицата информация е достатъчна, за да се определи дали има допълнителни разходи, увеличаващи разходите на местно произведените продукти в сравнение с продуктите, произведени на други места.</w:t>
      </w:r>
    </w:p>
    <w:p>
      <w:pPr>
        <w:rPr>
          <w:noProof/>
        </w:rPr>
      </w:pPr>
      <w:r>
        <w:rPr>
          <w:noProof/>
        </w:rPr>
        <w:t>Таблица 1.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1662"/>
        <w:gridCol w:w="1517"/>
        <w:gridCol w:w="1353"/>
      </w:tblGrid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МАДЕЙРА (евро)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АЗОРСКИ ОСТРОВИ (евро)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Бележки</w:t>
            </w:r>
            <w:r>
              <w:rPr>
                <w:rFonts w:ascii="Times New Roman" w:hAnsi="Times New Roman"/>
                <w:noProof/>
                <w:vertAlign w:val="superscript"/>
              </w:rPr>
              <w:t>2</w:t>
            </w:r>
          </w:p>
        </w:tc>
      </w:tr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Цена на захарна тръстика (за 100 kg)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</w:tr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Цена на маракуя (за 100 kg)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</w:tr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Цена на зелени лимони (за 100 kg)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</w:tr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Цена на алкохол (за hlpa</w:t>
            </w:r>
            <w:r>
              <w:rPr>
                <w:rFonts w:ascii="Times New Roman" w:hAnsi="Times New Roman"/>
                <w:noProof/>
                <w:vertAlign w:val="superscript"/>
              </w:rPr>
              <w:t>3</w:t>
            </w:r>
            <w:r>
              <w:rPr>
                <w:rFonts w:ascii="Times New Roman" w:hAnsi="Times New Roman"/>
                <w:noProof/>
              </w:rPr>
              <w:t xml:space="preserve"> — без данъци)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</w:tr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Разходи за превоз на товари (за kg)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</w:tr>
      <w:t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Други разходи</w:t>
            </w:r>
            <w:r>
              <w:rPr>
                <w:rFonts w:ascii="Times New Roman" w:hAnsi="Times New Roman"/>
                <w:iCs/>
                <w:noProof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360"/>
              <w:jc w:val="center"/>
              <w:rPr>
                <w:noProof/>
              </w:rPr>
            </w:pPr>
          </w:p>
        </w:tc>
      </w:tr>
    </w:tbl>
    <w:p>
      <w:pPr>
        <w:rPr>
          <w:iCs/>
          <w:noProof/>
          <w:sz w:val="18"/>
          <w:szCs w:val="18"/>
        </w:rPr>
      </w:pPr>
      <w:r>
        <w:rPr>
          <w:iCs/>
          <w:noProof/>
          <w:sz w:val="18"/>
          <w:szCs w:val="18"/>
        </w:rPr>
        <w:t>Бележки към таблицата:</w:t>
      </w:r>
    </w:p>
    <w:p>
      <w:pPr>
        <w:rPr>
          <w:iCs/>
          <w:noProof/>
          <w:sz w:val="18"/>
          <w:szCs w:val="18"/>
        </w:rPr>
      </w:pPr>
      <w:r>
        <w:rPr>
          <w:iCs/>
          <w:noProof/>
          <w:sz w:val="18"/>
          <w:szCs w:val="18"/>
        </w:rPr>
        <w:t xml:space="preserve">1. Посочете информация за разходите за вода, енергия и отпадъци, разходи в случай на няколко </w:t>
      </w:r>
      <w:r>
        <w:rPr>
          <w:noProof/>
          <w:sz w:val="19"/>
          <w:szCs w:val="19"/>
        </w:rPr>
        <w:t xml:space="preserve">обекта </w:t>
      </w:r>
      <w:r>
        <w:rPr>
          <w:iCs/>
          <w:noProof/>
          <w:sz w:val="18"/>
          <w:szCs w:val="18"/>
        </w:rPr>
        <w:t>и други приложими разходи.</w:t>
      </w:r>
    </w:p>
    <w:p>
      <w:pPr>
        <w:rPr>
          <w:iCs/>
          <w:noProof/>
          <w:sz w:val="18"/>
          <w:szCs w:val="18"/>
        </w:rPr>
      </w:pPr>
      <w:r>
        <w:rPr>
          <w:iCs/>
          <w:noProof/>
          <w:sz w:val="18"/>
          <w:szCs w:val="18"/>
        </w:rPr>
        <w:t>2. Посочете информация за всички спецификации и разяснения, които са в основата на методите за изчисляване.</w:t>
      </w:r>
    </w:p>
    <w:p>
      <w:pPr>
        <w:rPr>
          <w:iCs/>
          <w:noProof/>
          <w:sz w:val="18"/>
          <w:szCs w:val="18"/>
        </w:rPr>
      </w:pPr>
      <w:r>
        <w:rPr>
          <w:iCs/>
          <w:noProof/>
          <w:sz w:val="18"/>
          <w:szCs w:val="18"/>
        </w:rPr>
        <w:t>3. Хектолитра чист алкохол.</w:t>
      </w:r>
    </w:p>
    <w:p>
      <w:pPr>
        <w:rPr>
          <w:noProof/>
          <w:szCs w:val="20"/>
        </w:rPr>
      </w:pPr>
    </w:p>
    <w:p>
      <w:pPr>
        <w:rPr>
          <w:noProof/>
        </w:rPr>
      </w:pPr>
    </w:p>
    <w:p>
      <w:pPr>
        <w:pStyle w:val="NumPar1"/>
        <w:rPr>
          <w:noProof/>
          <w:u w:val="single"/>
        </w:rPr>
      </w:pPr>
      <w:r>
        <w:rPr>
          <w:noProof/>
          <w:u w:val="single"/>
        </w:rPr>
        <w:t>Други субсидии</w:t>
      </w:r>
      <w:r>
        <w:rPr>
          <w:noProof/>
        </w:rPr>
        <w:t>. Португалските органи попълват таблица 2 за всеки регион, като изброяват всички други мерки за помощ и подкрепа, насочени към допълнителните оперативни разходи на икономическите оператори, свързани със статута на отдалеченост на регионите Мадейра и Азорски острови.</w:t>
      </w:r>
    </w:p>
    <w:p>
      <w:pPr>
        <w:rPr>
          <w:noProof/>
        </w:rPr>
      </w:pPr>
      <w:r>
        <w:rPr>
          <w:noProof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869"/>
        <w:gridCol w:w="806"/>
        <w:gridCol w:w="1042"/>
        <w:gridCol w:w="960"/>
        <w:gridCol w:w="1535"/>
        <w:gridCol w:w="1460"/>
        <w:gridCol w:w="992"/>
      </w:tblGrid>
      <w:tr>
        <w:trPr>
          <w:trHeight w:val="558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Мярка за помощ/подкрепа</w:t>
            </w:r>
            <w:r>
              <w:rPr>
                <w:b/>
                <w:bCs/>
                <w:noProof/>
                <w:vertAlign w:val="superscript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Период</w:t>
            </w:r>
            <w:r>
              <w:rPr>
                <w:b/>
                <w:bCs/>
                <w:noProof/>
                <w:vertAlign w:val="superscript"/>
              </w:rPr>
              <w:t>2</w:t>
            </w: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Целеви сектор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Бюджетна сума в EUR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Годишни разходи в EUR (2019—2024 г.)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Дял от бюджета за компенсиране на допълнителните разходи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6</w:t>
            </w: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Приблизителен брой дружества бенефициери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7</w:t>
            </w: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Бележки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8</w:t>
            </w:r>
          </w:p>
        </w:tc>
      </w:tr>
      <w:tr>
        <w:trPr>
          <w:trHeight w:val="505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[списък]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iCs/>
          <w:noProof/>
          <w:sz w:val="18"/>
          <w:szCs w:val="18"/>
        </w:rPr>
      </w:pPr>
      <w:r>
        <w:rPr>
          <w:bCs/>
          <w:iCs/>
          <w:noProof/>
          <w:sz w:val="18"/>
          <w:szCs w:val="18"/>
        </w:rPr>
        <w:t>Бележки към таблицата</w:t>
      </w:r>
      <w:r>
        <w:rPr>
          <w:iCs/>
          <w:noProof/>
          <w:sz w:val="18"/>
          <w:szCs w:val="18"/>
        </w:rPr>
        <w:t xml:space="preserve">: </w:t>
      </w:r>
    </w:p>
    <w:p>
      <w:pPr>
        <w:pStyle w:val="Point0number"/>
        <w:numPr>
          <w:ilvl w:val="0"/>
          <w:numId w:val="11"/>
        </w:num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наименованието и вида на мярката.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информация за годините, обхванати от мярката.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информация само за секторно ориентирани мерки.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Посочете информация за общия бюджет на мярката и източниците на финансиране.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Посочете информация за действителните разходи, година по година, през периода на мониторинг (2019—2024 г.), ако има такива.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Посочете приблизителна оценка, като % от общия бюджет.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приблизителна оценка, когато е възможно.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коментари и разяснения. </w:t>
      </w:r>
    </w:p>
    <w:p>
      <w:pPr>
        <w:rPr>
          <w:noProof/>
          <w:szCs w:val="20"/>
          <w:u w:val="single"/>
        </w:rPr>
      </w:pPr>
    </w:p>
    <w:p>
      <w:pPr>
        <w:pStyle w:val="NumPar1"/>
        <w:rPr>
          <w:noProof/>
          <w:u w:val="single"/>
        </w:rPr>
      </w:pPr>
      <w:r>
        <w:rPr>
          <w:noProof/>
          <w:u w:val="single"/>
        </w:rPr>
        <w:t>Въздействие върху публичния бюджет</w:t>
      </w:r>
      <w:r>
        <w:rPr>
          <w:noProof/>
        </w:rPr>
        <w:t>. Португалските органи попълват таблица 3, като предоставят прогнозната обща сума (в EUR) на данъка, който не е събран поради прилагани разлики в облагането.</w:t>
      </w:r>
    </w:p>
    <w:p>
      <w:pPr>
        <w:rPr>
          <w:noProof/>
        </w:rPr>
      </w:pPr>
      <w:r>
        <w:rPr>
          <w:noProof/>
        </w:rPr>
        <w:t>Таблица 3.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15"/>
        <w:gridCol w:w="915"/>
        <w:gridCol w:w="915"/>
        <w:gridCol w:w="915"/>
        <w:gridCol w:w="915"/>
        <w:gridCol w:w="915"/>
      </w:tblGrid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2019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2020 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2021 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2022 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2023 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2024 г.</w:t>
            </w: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Пропуснати данъчни приходи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  <w:szCs w:val="20"/>
          <w:u w:val="single"/>
        </w:rPr>
      </w:pPr>
    </w:p>
    <w:p>
      <w:pPr>
        <w:pStyle w:val="NumPar1"/>
        <w:rPr>
          <w:noProof/>
        </w:rPr>
      </w:pPr>
      <w:r>
        <w:rPr>
          <w:noProof/>
          <w:u w:val="single"/>
        </w:rPr>
        <w:t>Въздействие върху общите икономически резултати</w:t>
      </w:r>
      <w:r>
        <w:rPr>
          <w:noProof/>
        </w:rPr>
        <w:t>. Португалските органи попълват таблица 4 за всеки регион, като предоставят данни, които разкриват въздействието на намалените акцизи върху социално-икономическото развитие на регионите. Показателите, изисквани в таблицата, се отнасят до резултатите на подпомагания сектор в сравнение с общите резултати в икономиката на Мадейра и на Азорските острови. Ако не са налични някои от показателите, се посочват алтернативни данни за отчитане на въздействието върху общите икономически резултати, които позволяват анализ на социално-икономическото въздействие.</w:t>
      </w:r>
    </w:p>
    <w:p>
      <w:pPr>
        <w:rPr>
          <w:noProof/>
        </w:rPr>
      </w:pPr>
      <w:r>
        <w:rPr>
          <w:noProof/>
        </w:rPr>
        <w:t>Таблица 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41"/>
        <w:gridCol w:w="841"/>
        <w:gridCol w:w="841"/>
        <w:gridCol w:w="841"/>
        <w:gridCol w:w="842"/>
        <w:gridCol w:w="842"/>
        <w:gridCol w:w="1269"/>
      </w:tblGrid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righ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Година</w:t>
            </w:r>
            <w:r>
              <w:rPr>
                <w:b/>
                <w:bCs/>
                <w:noProof/>
                <w:vertAlign w:val="superscript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>
            <w:pPr>
              <w:jc w:val="center"/>
              <w:rPr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Бележки</w:t>
            </w:r>
            <w:r>
              <w:rPr>
                <w:b/>
                <w:bCs/>
                <w:i/>
                <w:iCs/>
                <w:noProof/>
                <w:vertAlign w:val="superscript"/>
              </w:rPr>
              <w:t>3</w:t>
            </w: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Регионална брутна добавена стойност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В подпомагания сектор</w:t>
            </w:r>
            <w:r>
              <w:rPr>
                <w:rFonts w:ascii="Times New Roman" w:hAnsi="Times New Roman"/>
                <w:i/>
                <w:iCs/>
                <w:noProof/>
                <w:vertAlign w:val="superscript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Обща регионална заетост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В подпомагания сектор</w:t>
            </w:r>
            <w:r>
              <w:rPr>
                <w:rFonts w:ascii="Times New Roman" w:hAnsi="Times New Roman"/>
                <w:i/>
                <w:iCs/>
                <w:noProof/>
                <w:vertAlign w:val="superscript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Брой активни производители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В подпомагания сектор</w:t>
            </w:r>
            <w:r>
              <w:rPr>
                <w:rFonts w:ascii="Times New Roman" w:hAnsi="Times New Roman"/>
                <w:i/>
                <w:iCs/>
                <w:noProof/>
                <w:vertAlign w:val="superscript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Индекс на равнище на цените — континентална Португалия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Индекс на равнище на цените в региона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Брой туристи в региона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iCs/>
          <w:noProof/>
          <w:sz w:val="18"/>
          <w:szCs w:val="18"/>
        </w:rPr>
      </w:pPr>
      <w:r>
        <w:rPr>
          <w:bCs/>
          <w:iCs/>
          <w:noProof/>
          <w:sz w:val="18"/>
          <w:szCs w:val="18"/>
        </w:rPr>
        <w:t>Бележки към таблицата</w:t>
      </w:r>
      <w:r>
        <w:rPr>
          <w:iCs/>
          <w:noProof/>
          <w:sz w:val="18"/>
          <w:szCs w:val="18"/>
        </w:rPr>
        <w:t xml:space="preserve">: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Посочете информация за производителите на ром, ликьори и спиртни напитки (eaux-de-vie).    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Информацията може да не е налична за всички изброени години.</w:t>
      </w:r>
    </w:p>
    <w:p>
      <w:pPr>
        <w:pStyle w:val="Point0number"/>
        <w:rPr>
          <w:noProof/>
          <w:sz w:val="18"/>
          <w:szCs w:val="18"/>
        </w:rPr>
      </w:pPr>
      <w:r>
        <w:rPr>
          <w:noProof/>
          <w:sz w:val="18"/>
          <w:szCs w:val="18"/>
        </w:rPr>
        <w:t>Посочете коментари и разяснения, които се считат за уместни.</w:t>
      </w:r>
    </w:p>
    <w:p>
      <w:pPr>
        <w:pStyle w:val="ListParagraph"/>
        <w:rPr>
          <w:rFonts w:ascii="Times New Roman" w:hAnsi="Times New Roman" w:cs="Times New Roman"/>
          <w:noProof/>
        </w:rPr>
      </w:pPr>
    </w:p>
    <w:p>
      <w:pPr>
        <w:pStyle w:val="NumPar1"/>
        <w:rPr>
          <w:noProof/>
        </w:rPr>
      </w:pPr>
      <w:r>
        <w:rPr>
          <w:noProof/>
          <w:u w:val="single"/>
        </w:rPr>
        <w:t>Спецификации на режима</w:t>
      </w:r>
      <w:r>
        <w:rPr>
          <w:noProof/>
        </w:rPr>
        <w:t xml:space="preserve">. Португалските органи попълват таблица 5 за всеки продукт и за всеки от регионите Мадейра и Азорски острови. </w:t>
      </w:r>
    </w:p>
    <w:p>
      <w:pPr>
        <w:rPr>
          <w:noProof/>
        </w:rPr>
      </w:pPr>
      <w:r>
        <w:rPr>
          <w:noProof/>
        </w:rPr>
        <w:t>Таблица 5.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915"/>
        <w:gridCol w:w="915"/>
        <w:gridCol w:w="915"/>
        <w:gridCol w:w="915"/>
        <w:gridCol w:w="915"/>
        <w:gridCol w:w="915"/>
      </w:tblGrid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Количество (в hlpa</w:t>
            </w:r>
            <w:r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2019 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2020 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2021 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2022 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2023 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2024 г.</w:t>
            </w: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Производство на ликьори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Производство на спиртни напитки (eaux-de-vie)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Производство на ром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Ликьори, изпратени до континентална Португалия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Ликьори, изпратени до други държави членки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Ликьори, изнасяни за трети държави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Спиртни напитки (eaux-de-vie), изпратени до континентална Португалия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Спиртни напитки (eaux-de-vie), изпратени до други държави членки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Спиртни напитки (eaux-de-vie), изнасяни за трети държави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Ром, изпратен до континентална Португалия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Ром, изпратен до други държави членки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Ром, изнасян за трети държави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bCs/>
          <w:iCs/>
          <w:noProof/>
          <w:sz w:val="18"/>
          <w:szCs w:val="18"/>
        </w:rPr>
      </w:pPr>
      <w:r>
        <w:rPr>
          <w:bCs/>
          <w:iCs/>
          <w:noProof/>
          <w:sz w:val="18"/>
          <w:szCs w:val="18"/>
        </w:rPr>
        <w:t xml:space="preserve">Бележки към таблицата: </w:t>
      </w:r>
    </w:p>
    <w:p>
      <w:pPr>
        <w:rPr>
          <w:bCs/>
          <w:iCs/>
          <w:noProof/>
          <w:sz w:val="18"/>
          <w:szCs w:val="18"/>
        </w:rPr>
      </w:pPr>
      <w:r>
        <w:rPr>
          <w:bCs/>
          <w:iCs/>
          <w:noProof/>
          <w:sz w:val="18"/>
          <w:szCs w:val="18"/>
        </w:rPr>
        <w:t>1.</w:t>
      </w:r>
      <w:r>
        <w:rPr>
          <w:bCs/>
          <w:iCs/>
          <w:noProof/>
          <w:sz w:val="18"/>
          <w:szCs w:val="18"/>
        </w:rPr>
        <w:tab/>
        <w:t>Хектолитра чист алкохол.</w:t>
      </w:r>
    </w:p>
    <w:p>
      <w:pPr>
        <w:rPr>
          <w:bCs/>
          <w:iCs/>
          <w:noProof/>
          <w:sz w:val="18"/>
          <w:szCs w:val="18"/>
        </w:rPr>
      </w:pPr>
    </w:p>
    <w:p>
      <w:pPr>
        <w:rPr>
          <w:bCs/>
          <w:iCs/>
          <w:noProof/>
          <w:sz w:val="18"/>
          <w:szCs w:val="18"/>
        </w:rPr>
      </w:pPr>
    </w:p>
    <w:p>
      <w:pPr>
        <w:pStyle w:val="NumPar1"/>
        <w:rPr>
          <w:noProof/>
        </w:rPr>
      </w:pPr>
      <w:r>
        <w:rPr>
          <w:noProof/>
          <w:u w:val="single"/>
        </w:rPr>
        <w:t>Нередности</w:t>
      </w:r>
      <w:r>
        <w:rPr>
          <w:noProof/>
        </w:rPr>
        <w:t>. Португалските органи предоставят информация за всички разследвания на административни нередности, по-специално относно укриването на данъци или контрабандата, в контекста на прилагането на разрешението. Те предоставят също така подробна информация, включително най-малко информация за естеството на случая, стойността и срока.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5"/>
      </w:tblGrid>
      <w:t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</w:tbl>
    <w:p>
      <w:pPr>
        <w:rPr>
          <w:noProof/>
          <w:szCs w:val="20"/>
        </w:rPr>
      </w:pPr>
    </w:p>
    <w:p>
      <w:pPr>
        <w:pStyle w:val="NumPar1"/>
        <w:rPr>
          <w:noProof/>
        </w:rPr>
      </w:pPr>
      <w:r>
        <w:rPr>
          <w:noProof/>
          <w:u w:val="single"/>
        </w:rPr>
        <w:t>Жалби</w:t>
      </w:r>
      <w:r>
        <w:rPr>
          <w:noProof/>
        </w:rPr>
        <w:t>. Португалските органи предоставят информация дали местните, регионалните или националните органи са получили жалби във връзка с прилагането на разрешението от бенефициери или от лица, които не са бенефициери.</w:t>
      </w:r>
    </w:p>
    <w:p>
      <w:pPr>
        <w:rPr>
          <w:noProof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5"/>
      </w:tblGrid>
      <w:t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</w:tc>
      </w:tr>
    </w:tbl>
    <w:p>
      <w:pPr>
        <w:rPr>
          <w:noProof/>
          <w:szCs w:val="20"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25ADA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DF03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932B6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3B284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17C5C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7B89F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0947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4D42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75C728A"/>
    <w:multiLevelType w:val="hybridMultilevel"/>
    <w:tmpl w:val="8B8852AC"/>
    <w:lvl w:ilvl="0" w:tplc="2B84F5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1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5"/>
  </w:num>
  <w:num w:numId="21">
    <w:abstractNumId w:val="17"/>
  </w:num>
  <w:num w:numId="22">
    <w:abstractNumId w:val="18"/>
  </w:num>
  <w:num w:numId="23">
    <w:abstractNumId w:val="11"/>
  </w:num>
  <w:num w:numId="24">
    <w:abstractNumId w:val="16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18 08:47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A87804D-9610-4E2B-A479-32D04D4BBC49"/>
    <w:docVar w:name="LW_COVERPAGE_TYPE" w:val="1"/>
    <w:docVar w:name="LW_CROSSREFERENCE" w:val="{SWD(2020) 108 final}"/>
    <w:docVar w:name="LW_DocType" w:val="ANNEX"/>
    <w:docVar w:name="LW_EMISSION" w:val="18.6.2020"/>
    <w:docVar w:name="LW_EMISSION_ISODATE" w:val="2020-06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8?\u1072?\u1079?\u1088?\u1077?\u1096?\u1072?\u1074?\u1072?\u1085?\u1077? \u1085?\u1072? \u1055?\u1086?\u1088?\u1090?\u1091?\u1075?\u1072?\u1083?\u1080?\u1103? \u1076?\u1072? \u1087?\u1088?\u1080?\u1083?\u1072?\u1075?\u1072? \u1085?\u1072?\u1084?\u1072?\u1083?\u1077?\u1085?\u1072? \u1072?\u1082?\u1094?\u1080?\u1079?\u1085?\u1072? \u1089?\u1090?\u1072?\u1074?\u1082?\u1072? \u1074?\u1098?\u1088?\u1093?\u1091? \u1085?\u1103?\u1082?\u1086?\u1080? \u1072?\u1083?\u1082?\u1086?\u1093?\u1086?\u1083?\u1085?\u1080? \u1087?\u1088?\u1086?\u1076?\u1091?\u1082?\u1090?\u1080?, \u1087?\u1088?\u1086?\u1080?\u1079?\u1074?\u1077?\u1076?\u1077?\u1085?\u1080? \u1074? \u1072?\u1074?\u1090?\u1086?\u1085?\u1086?\u1084?\u1085?\u1080?\u1090?\u1077? \u1088?\u1077?\u1075?\u1080?\u1086?\u1085?\u1080? \u1052?\u1072?\u1076?\u1077?\u1081?\u1088?\u1072? \u1080? \u1040?\u1079?\u1086?\u1088?\u1089?\u1082?\u1080? \u1086?\u1089?\u1090?\u1088?\u1086?\u1074?\u1080?&lt;/FMT&gt;"/>
    <w:docVar w:name="LW_OBJETACTEPRINCIPAL.CP" w:val="&lt;FMT:Bold&gt;\u1079?\u1072? \u1088?\u1072?\u1079?\u1088?\u1077?\u1096?\u1072?\u1074?\u1072?\u1085?\u1077? \u1085?\u1072? \u1055?\u1086?\u1088?\u1090?\u1091?\u1075?\u1072?\u1083?\u1080?\u1103? \u1076?\u1072? \u1087?\u1088?\u1080?\u1083?\u1072?\u1075?\u1072? \u1085?\u1072?\u1084?\u1072?\u1083?\u1077?\u1085?\u1072? \u1072?\u1082?\u1094?\u1080?\u1079?\u1085?\u1072? \u1089?\u1090?\u1072?\u1074?\u1082?\u1072? \u1074?\u1098?\u1088?\u1093?\u1091? \u1085?\u1103?\u1082?\u1086?\u1080? \u1072?\u1083?\u1082?\u1086?\u1093?\u1086?\u1083?\u1085?\u1080? \u1087?\u1088?\u1086?\u1076?\u1091?\u1082?\u1090?\u1080?, \u1087?\u1088?\u1086?\u1080?\u1079?\u1074?\u1077?\u1076?\u1077?\u1085?\u1080? \u1074? \u1072?\u1074?\u1090?\u1086?\u1085?\u1086?\u1084?\u1085?\u1080?\u1090?\u1077? \u1088?\u1077?\u1075?\u1080?\u1086?\u1085?\u1080? \u1052?\u1072?\u1076?\u1077?\u1081?\u1088?\u1072? \u1080? \u1040?\u1079?\u1086?\u1088?\u1089?\u1082?\u1080? \u1086?\u1089?\u1090?\u1088?\u1086?\u1074?\u1080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2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Pr>
      <w:rFonts w:eastAsia="Times New Roman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Pr>
      <w:rFonts w:eastAsia="Times New Roman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576061-7A52-46A3-B2D7-A7E12806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728</Words>
  <Characters>4412</Characters>
  <Application>Microsoft Office Word</Application>
  <DocSecurity>0</DocSecurity>
  <Lines>401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Alexandra (TAXUD)</dc:creator>
  <cp:keywords/>
  <dc:description/>
  <cp:lastModifiedBy>DIGIT/C6</cp:lastModifiedBy>
  <cp:revision>10</cp:revision>
  <dcterms:created xsi:type="dcterms:W3CDTF">2020-06-10T15:04:00Z</dcterms:created>
  <dcterms:modified xsi:type="dcterms:W3CDTF">2020-06-18T06:47:00Z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