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F308EFA-E433-4486-BD1E-DE35E0C31F4D" style="width:450.55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szCs w:val="24"/>
        </w:rPr>
      </w:pPr>
    </w:p>
    <w:p>
      <w:pPr>
        <w:jc w:val="center"/>
        <w:rPr>
          <w:b/>
          <w:noProof/>
          <w:szCs w:val="24"/>
        </w:rPr>
      </w:pPr>
      <w:r>
        <w:rPr>
          <w:b/>
          <w:noProof/>
          <w:szCs w:val="24"/>
        </w:rPr>
        <w:t>Informations à inclure dans le rapport de suivi visé à l’article 6</w:t>
      </w:r>
    </w:p>
    <w:p>
      <w:pPr>
        <w:jc w:val="center"/>
        <w:rPr>
          <w:noProof/>
          <w:szCs w:val="24"/>
        </w:rPr>
      </w:pPr>
    </w:p>
    <w:p>
      <w:pPr>
        <w:pStyle w:val="NumPar1"/>
        <w:numPr>
          <w:ilvl w:val="0"/>
          <w:numId w:val="10"/>
        </w:numPr>
        <w:rPr>
          <w:noProof/>
        </w:rPr>
      </w:pPr>
      <w:r>
        <w:rPr>
          <w:noProof/>
          <w:u w:val="single"/>
        </w:rPr>
        <w:t>Valeur estimée des surcoûts</w:t>
      </w:r>
      <w:r>
        <w:rPr>
          <w:noProof/>
        </w:rPr>
        <w:t>. Des informations sont fournies pour chaque produit bénéficiant du taux d’accise réduit. Les autorités portugaises complètent le tableau 1 avec, au minimum, les informations suivantes, lorsque celles-ci sont disponibles. Les informations fournies dans le tableau doivent être suffisantes pour déterminer s’il existe un surcoût, qui augmente le coût des produits fabriqués localement par rapport aux produits provenant de l’extérieur.</w:t>
      </w:r>
    </w:p>
    <w:p>
      <w:pPr>
        <w:rPr>
          <w:noProof/>
        </w:rPr>
      </w:pPr>
      <w:r>
        <w:rPr>
          <w:noProof/>
        </w:rPr>
        <w:t>Tableau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1662"/>
        <w:gridCol w:w="1517"/>
        <w:gridCol w:w="1353"/>
      </w:tblGrid>
      <w:tr>
        <w:tc>
          <w:tcPr>
            <w:tcW w:w="3939" w:type="dxa"/>
            <w:tcBorders>
              <w:top w:val="single" w:sz="4" w:space="0" w:color="auto"/>
              <w:left w:val="single" w:sz="4" w:space="0" w:color="auto"/>
              <w:bottom w:val="single" w:sz="4" w:space="0" w:color="auto"/>
              <w:right w:val="single" w:sz="4" w:space="0" w:color="auto"/>
            </w:tcBorders>
          </w:tcPr>
          <w:p>
            <w:pPr>
              <w:pStyle w:val="ListParagraph"/>
              <w:ind w:left="0"/>
              <w:rPr>
                <w:rFonts w:ascii="Times New Roman" w:hAnsi="Times New Roman" w:cs="Times New Roman"/>
                <w:noProof/>
              </w:rPr>
            </w:pPr>
          </w:p>
        </w:tc>
        <w:tc>
          <w:tcPr>
            <w:tcW w:w="1662"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rPr>
            </w:pPr>
            <w:r>
              <w:rPr>
                <w:rFonts w:ascii="Times New Roman" w:hAnsi="Times New Roman"/>
                <w:noProof/>
              </w:rPr>
              <w:t>MADÈRE (euros)</w:t>
            </w:r>
          </w:p>
        </w:tc>
        <w:tc>
          <w:tcPr>
            <w:tcW w:w="1517"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rPr>
            </w:pPr>
            <w:r>
              <w:rPr>
                <w:rFonts w:ascii="Times New Roman" w:hAnsi="Times New Roman"/>
                <w:noProof/>
              </w:rPr>
              <w:t>AÇORES (euros)</w:t>
            </w:r>
          </w:p>
        </w:tc>
        <w:tc>
          <w:tcPr>
            <w:tcW w:w="1353"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rPr>
            </w:pPr>
            <w:r>
              <w:rPr>
                <w:rFonts w:ascii="Times New Roman" w:hAnsi="Times New Roman"/>
                <w:noProof/>
              </w:rPr>
              <w:t>Remarques</w:t>
            </w:r>
            <w:r>
              <w:rPr>
                <w:rFonts w:ascii="Times New Roman" w:hAnsi="Times New Roman"/>
                <w:noProof/>
                <w:vertAlign w:val="superscript"/>
              </w:rPr>
              <w:t>2</w:t>
            </w: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Prix de la canne à sucre (pour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Prix du fruit de la passion (pour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Prix du lime (pour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Prix de l’alcool (en HAP</w:t>
            </w:r>
            <w:r>
              <w:rPr>
                <w:rFonts w:ascii="Times New Roman" w:hAnsi="Times New Roman"/>
                <w:noProof/>
                <w:vertAlign w:val="superscript"/>
              </w:rPr>
              <w:t>3</w:t>
            </w:r>
            <w:r>
              <w:rPr>
                <w:rFonts w:ascii="Times New Roman" w:hAnsi="Times New Roman"/>
                <w:noProof/>
              </w:rPr>
              <w:t xml:space="preserve"> - hors taxes)</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Frais de transport (par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rPr>
            </w:pPr>
            <w:r>
              <w:rPr>
                <w:rFonts w:ascii="Times New Roman" w:hAnsi="Times New Roman"/>
                <w:noProof/>
              </w:rPr>
              <w:t>Autres coûts</w:t>
            </w:r>
            <w:r>
              <w:rPr>
                <w:rFonts w:ascii="Times New Roman" w:hAnsi="Times New Roman"/>
                <w:iCs/>
                <w:noProof/>
                <w:sz w:val="18"/>
                <w:szCs w:val="18"/>
                <w:vertAlign w:val="superscript"/>
              </w:rPr>
              <w:t>1</w:t>
            </w:r>
            <w:r>
              <w:rPr>
                <w:rFonts w:ascii="Times New Roman" w:hAnsi="Times New Roman"/>
                <w:noProof/>
              </w:rPr>
              <w:t xml:space="preserve"> </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bl>
    <w:p>
      <w:pPr>
        <w:rPr>
          <w:iCs/>
          <w:noProof/>
          <w:sz w:val="18"/>
          <w:szCs w:val="18"/>
        </w:rPr>
      </w:pPr>
      <w:r>
        <w:rPr>
          <w:iCs/>
          <w:noProof/>
          <w:sz w:val="18"/>
          <w:szCs w:val="18"/>
        </w:rPr>
        <w:t>Remarques concernant le tableau:</w:t>
      </w:r>
    </w:p>
    <w:p>
      <w:pPr>
        <w:rPr>
          <w:iCs/>
          <w:noProof/>
          <w:sz w:val="18"/>
          <w:szCs w:val="18"/>
        </w:rPr>
      </w:pPr>
      <w:r>
        <w:rPr>
          <w:iCs/>
          <w:noProof/>
          <w:sz w:val="18"/>
          <w:szCs w:val="18"/>
        </w:rPr>
        <w:t>1. Fournir des informations sur les coûts liés à l’eau, à l’énergie et aux déchets, les coûts supportés en cas d’établissements multiples et les autres coûts pertinents.</w:t>
      </w:r>
    </w:p>
    <w:p>
      <w:pPr>
        <w:rPr>
          <w:iCs/>
          <w:noProof/>
          <w:sz w:val="18"/>
          <w:szCs w:val="18"/>
        </w:rPr>
      </w:pPr>
      <w:r>
        <w:rPr>
          <w:iCs/>
          <w:noProof/>
          <w:sz w:val="18"/>
          <w:szCs w:val="18"/>
        </w:rPr>
        <w:t>2. Fournir des informations sur toutes les spécifications et clarifications sur lesquelles s’appuient les méthodes de calcul.</w:t>
      </w:r>
    </w:p>
    <w:p>
      <w:pPr>
        <w:rPr>
          <w:iCs/>
          <w:noProof/>
          <w:sz w:val="18"/>
          <w:szCs w:val="18"/>
        </w:rPr>
      </w:pPr>
      <w:r>
        <w:rPr>
          <w:iCs/>
          <w:noProof/>
          <w:sz w:val="18"/>
          <w:szCs w:val="18"/>
        </w:rPr>
        <w:t>3. Hectolitres d’alcool pur.</w:t>
      </w:r>
    </w:p>
    <w:p>
      <w:pPr>
        <w:rPr>
          <w:noProof/>
          <w:szCs w:val="20"/>
        </w:rPr>
      </w:pPr>
    </w:p>
    <w:p>
      <w:pPr>
        <w:rPr>
          <w:noProof/>
        </w:rPr>
      </w:pPr>
    </w:p>
    <w:p>
      <w:pPr>
        <w:pStyle w:val="NumPar1"/>
        <w:rPr>
          <w:noProof/>
          <w:u w:val="single"/>
        </w:rPr>
      </w:pPr>
      <w:r>
        <w:rPr>
          <w:noProof/>
          <w:u w:val="single"/>
        </w:rPr>
        <w:t>Autres subventions</w:t>
      </w:r>
      <w:r>
        <w:rPr>
          <w:noProof/>
        </w:rPr>
        <w:t>. Les autorités portugaises complètent le tableau 2 pour chaque région en indiquant toutes les autres mesures d’aide et de soutien permettant de faire face aux surcoûts d’exploitation supportés par les opérateurs économiques et liés à l’ultrapériphéricité des régions de Madère et des Açores.</w:t>
      </w:r>
    </w:p>
    <w:p>
      <w:pPr>
        <w:rPr>
          <w:noProof/>
        </w:rPr>
      </w:pPr>
      <w:r>
        <w:rPr>
          <w:noProof/>
        </w:rPr>
        <w:t>Tableau 2.</w:t>
      </w:r>
    </w:p>
    <w:tbl>
      <w:tblPr>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83"/>
        <w:gridCol w:w="989"/>
        <w:gridCol w:w="1110"/>
        <w:gridCol w:w="1237"/>
        <w:gridCol w:w="1630"/>
        <w:gridCol w:w="1589"/>
        <w:gridCol w:w="1417"/>
      </w:tblGrid>
      <w:tr>
        <w:tc>
          <w:tcPr>
            <w:tcW w:w="771"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Mesure d’aide / de soutien</w:t>
            </w:r>
            <w:r>
              <w:rPr>
                <w:b/>
                <w:bCs/>
                <w:noProof/>
                <w:vertAlign w:val="superscript"/>
              </w:rPr>
              <w:t>1</w:t>
            </w:r>
          </w:p>
        </w:tc>
        <w:tc>
          <w:tcPr>
            <w:tcW w:w="487"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Période</w:t>
            </w:r>
            <w:r>
              <w:rPr>
                <w:b/>
                <w:bCs/>
                <w:noProof/>
                <w:vertAlign w:val="superscript"/>
              </w:rPr>
              <w:t>2</w:t>
            </w:r>
            <w:r>
              <w:rPr>
                <w:b/>
                <w:bCs/>
                <w:noProof/>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Secteur visé</w:t>
            </w:r>
            <w:r>
              <w:rPr>
                <w:b/>
                <w:bCs/>
                <w:i/>
                <w:iCs/>
                <w:noProof/>
                <w:vertAlign w:val="superscript"/>
              </w:rPr>
              <w:t>3</w:t>
            </w:r>
          </w:p>
        </w:tc>
        <w:tc>
          <w:tcPr>
            <w:tcW w:w="50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Montant du budget en EUR</w:t>
            </w:r>
            <w:r>
              <w:rPr>
                <w:b/>
                <w:bCs/>
                <w:i/>
                <w:iCs/>
                <w:noProof/>
                <w:vertAlign w:val="superscript"/>
              </w:rPr>
              <w:t>4</w:t>
            </w:r>
          </w:p>
        </w:tc>
        <w:tc>
          <w:tcPr>
            <w:tcW w:w="749"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Dépenses annuelles, en EUR (2019-2024)</w:t>
            </w:r>
            <w:r>
              <w:rPr>
                <w:b/>
                <w:bCs/>
                <w:i/>
                <w:iCs/>
                <w:noProof/>
                <w:vertAlign w:val="superscript"/>
              </w:rPr>
              <w:t>5</w:t>
            </w:r>
          </w:p>
        </w:tc>
        <w:tc>
          <w:tcPr>
            <w:tcW w:w="852"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Part du budget imputable à la compensation des surcoûts</w:t>
            </w:r>
            <w:r>
              <w:rPr>
                <w:b/>
                <w:bCs/>
                <w:i/>
                <w:iCs/>
                <w:noProof/>
                <w:vertAlign w:val="superscript"/>
              </w:rPr>
              <w:t>6</w:t>
            </w:r>
            <w:r>
              <w:rPr>
                <w:b/>
                <w:bCs/>
                <w:noProof/>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noProof/>
              </w:rPr>
              <w:t>Nombre estimé d’entreprises bénéficiaires</w:t>
            </w:r>
            <w:r>
              <w:rPr>
                <w:b/>
                <w:bCs/>
                <w:i/>
                <w:iCs/>
                <w:noProof/>
                <w:vertAlign w:val="superscript"/>
              </w:rPr>
              <w:t>7</w:t>
            </w:r>
            <w:r>
              <w:rPr>
                <w:b/>
                <w:bCs/>
                <w:noProof/>
              </w:rPr>
              <w:t xml:space="preserve"> </w:t>
            </w:r>
          </w:p>
        </w:tc>
        <w:tc>
          <w:tcPr>
            <w:tcW w:w="507"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rPr>
            </w:pPr>
            <w:r>
              <w:rPr>
                <w:b/>
                <w:bCs/>
                <w:i/>
                <w:iCs/>
                <w:noProof/>
              </w:rPr>
              <w:t>Remarques</w:t>
            </w:r>
            <w:r>
              <w:rPr>
                <w:b/>
                <w:bCs/>
                <w:i/>
                <w:iCs/>
                <w:noProof/>
                <w:vertAlign w:val="superscript"/>
              </w:rPr>
              <w:t>8</w:t>
            </w:r>
          </w:p>
        </w:tc>
      </w:tr>
      <w:tr>
        <w:tc>
          <w:tcPr>
            <w:tcW w:w="771" w:type="pct"/>
            <w:tcBorders>
              <w:top w:val="single" w:sz="4" w:space="0" w:color="auto"/>
              <w:left w:val="single" w:sz="4" w:space="0" w:color="auto"/>
              <w:bottom w:val="single" w:sz="4" w:space="0" w:color="auto"/>
              <w:right w:val="single" w:sz="4" w:space="0" w:color="auto"/>
            </w:tcBorders>
            <w:hideMark/>
          </w:tcPr>
          <w:p>
            <w:pPr>
              <w:rPr>
                <w:i/>
                <w:iCs/>
                <w:noProof/>
              </w:rPr>
            </w:pPr>
            <w:r>
              <w:rPr>
                <w:i/>
                <w:iCs/>
                <w:noProof/>
              </w:rPr>
              <w:t>[liste]</w:t>
            </w:r>
          </w:p>
        </w:tc>
        <w:tc>
          <w:tcPr>
            <w:tcW w:w="487" w:type="pct"/>
            <w:tcBorders>
              <w:top w:val="single" w:sz="4" w:space="0" w:color="auto"/>
              <w:left w:val="single" w:sz="4" w:space="0" w:color="auto"/>
              <w:bottom w:val="single" w:sz="4" w:space="0" w:color="auto"/>
              <w:right w:val="single" w:sz="4" w:space="0" w:color="auto"/>
            </w:tcBorders>
          </w:tcPr>
          <w:p>
            <w:pPr>
              <w:rPr>
                <w:noProof/>
                <w:lang w:eastAsia="fr-FR"/>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500" w:type="pct"/>
            <w:tcBorders>
              <w:top w:val="single" w:sz="4" w:space="0" w:color="auto"/>
              <w:left w:val="single" w:sz="4" w:space="0" w:color="auto"/>
              <w:bottom w:val="single" w:sz="4" w:space="0" w:color="auto"/>
              <w:right w:val="single" w:sz="4" w:space="0" w:color="auto"/>
            </w:tcBorders>
          </w:tcPr>
          <w:p>
            <w:pPr>
              <w:rPr>
                <w:noProof/>
              </w:rPr>
            </w:pPr>
          </w:p>
        </w:tc>
        <w:tc>
          <w:tcPr>
            <w:tcW w:w="749" w:type="pct"/>
            <w:tcBorders>
              <w:top w:val="single" w:sz="4" w:space="0" w:color="auto"/>
              <w:left w:val="single" w:sz="4" w:space="0" w:color="auto"/>
              <w:bottom w:val="single" w:sz="4" w:space="0" w:color="auto"/>
              <w:right w:val="single" w:sz="4" w:space="0" w:color="auto"/>
            </w:tcBorders>
          </w:tcPr>
          <w:p>
            <w:pPr>
              <w:rPr>
                <w:noProof/>
              </w:rPr>
            </w:pPr>
          </w:p>
        </w:tc>
        <w:tc>
          <w:tcPr>
            <w:tcW w:w="852" w:type="pct"/>
            <w:tcBorders>
              <w:top w:val="single" w:sz="4" w:space="0" w:color="auto"/>
              <w:left w:val="single" w:sz="4" w:space="0" w:color="auto"/>
              <w:bottom w:val="single" w:sz="4" w:space="0" w:color="auto"/>
              <w:right w:val="single" w:sz="4" w:space="0" w:color="auto"/>
            </w:tcBorders>
          </w:tcPr>
          <w:p>
            <w:pPr>
              <w:rPr>
                <w:noProof/>
              </w:rPr>
            </w:pPr>
          </w:p>
        </w:tc>
        <w:tc>
          <w:tcPr>
            <w:tcW w:w="679" w:type="pct"/>
            <w:tcBorders>
              <w:top w:val="single" w:sz="4" w:space="0" w:color="auto"/>
              <w:left w:val="single" w:sz="4" w:space="0" w:color="auto"/>
              <w:bottom w:val="single" w:sz="4" w:space="0" w:color="auto"/>
              <w:right w:val="single" w:sz="4" w:space="0" w:color="auto"/>
            </w:tcBorders>
          </w:tcPr>
          <w:p>
            <w:pPr>
              <w:rPr>
                <w:noProof/>
              </w:rPr>
            </w:pPr>
          </w:p>
        </w:tc>
        <w:tc>
          <w:tcPr>
            <w:tcW w:w="507" w:type="pct"/>
            <w:tcBorders>
              <w:top w:val="single" w:sz="4" w:space="0" w:color="auto"/>
              <w:left w:val="single" w:sz="4" w:space="0" w:color="auto"/>
              <w:bottom w:val="single" w:sz="4" w:space="0" w:color="auto"/>
              <w:right w:val="single" w:sz="4" w:space="0" w:color="auto"/>
            </w:tcBorders>
          </w:tcPr>
          <w:p>
            <w:pPr>
              <w:rPr>
                <w:noProof/>
              </w:rPr>
            </w:pPr>
          </w:p>
        </w:tc>
      </w:tr>
    </w:tbl>
    <w:p>
      <w:pPr>
        <w:rPr>
          <w:iCs/>
          <w:noProof/>
          <w:sz w:val="18"/>
          <w:szCs w:val="18"/>
        </w:rPr>
      </w:pPr>
      <w:r>
        <w:rPr>
          <w:bCs/>
          <w:iCs/>
          <w:noProof/>
          <w:sz w:val="18"/>
          <w:szCs w:val="18"/>
        </w:rPr>
        <w:t>Remarques concernant le tableau</w:t>
      </w:r>
      <w:r>
        <w:rPr>
          <w:iCs/>
          <w:noProof/>
          <w:sz w:val="18"/>
          <w:szCs w:val="18"/>
        </w:rPr>
        <w:t xml:space="preserve">: </w:t>
      </w:r>
    </w:p>
    <w:p>
      <w:pPr>
        <w:pStyle w:val="Point0number"/>
        <w:numPr>
          <w:ilvl w:val="0"/>
          <w:numId w:val="11"/>
        </w:numPr>
        <w:rPr>
          <w:noProof/>
          <w:sz w:val="18"/>
          <w:szCs w:val="18"/>
        </w:rPr>
      </w:pPr>
      <w:r>
        <w:rPr>
          <w:noProof/>
          <w:sz w:val="18"/>
          <w:szCs w:val="18"/>
        </w:rPr>
        <w:t xml:space="preserve">Indiquer le nom et le type de la mesure. </w:t>
      </w:r>
    </w:p>
    <w:p>
      <w:pPr>
        <w:pStyle w:val="Point0number"/>
        <w:rPr>
          <w:noProof/>
          <w:sz w:val="18"/>
          <w:szCs w:val="18"/>
        </w:rPr>
      </w:pPr>
      <w:r>
        <w:rPr>
          <w:noProof/>
          <w:sz w:val="18"/>
          <w:szCs w:val="18"/>
        </w:rPr>
        <w:t xml:space="preserve">Fournir des informations sur les années couvertes par la mesure. </w:t>
      </w:r>
    </w:p>
    <w:p>
      <w:pPr>
        <w:pStyle w:val="Point0number"/>
        <w:rPr>
          <w:noProof/>
          <w:sz w:val="18"/>
          <w:szCs w:val="18"/>
        </w:rPr>
      </w:pPr>
      <w:r>
        <w:rPr>
          <w:noProof/>
          <w:sz w:val="18"/>
          <w:szCs w:val="18"/>
        </w:rPr>
        <w:t xml:space="preserve">Fournir des informations uniquement pour les mesures axées sur un secteur. </w:t>
      </w:r>
    </w:p>
    <w:p>
      <w:pPr>
        <w:pStyle w:val="Point0number"/>
        <w:rPr>
          <w:noProof/>
          <w:sz w:val="18"/>
          <w:szCs w:val="18"/>
        </w:rPr>
      </w:pPr>
      <w:r>
        <w:rPr>
          <w:noProof/>
          <w:sz w:val="18"/>
          <w:szCs w:val="18"/>
        </w:rPr>
        <w:t>Fournir des informations sur le budget global de la mesure et les sources de financement.</w:t>
      </w:r>
    </w:p>
    <w:p>
      <w:pPr>
        <w:pStyle w:val="Point0number"/>
        <w:rPr>
          <w:noProof/>
          <w:sz w:val="18"/>
          <w:szCs w:val="18"/>
        </w:rPr>
      </w:pPr>
      <w:r>
        <w:rPr>
          <w:noProof/>
          <w:sz w:val="18"/>
          <w:szCs w:val="18"/>
        </w:rPr>
        <w:t>Fournir des informations sur les dépenses effectives, année par année, pendant la période de suivi (2019-2024), lorsqu’elles sont disponibles.</w:t>
      </w:r>
    </w:p>
    <w:p>
      <w:pPr>
        <w:pStyle w:val="Point0number"/>
        <w:rPr>
          <w:noProof/>
          <w:sz w:val="18"/>
          <w:szCs w:val="18"/>
        </w:rPr>
      </w:pPr>
      <w:r>
        <w:rPr>
          <w:noProof/>
          <w:sz w:val="18"/>
          <w:szCs w:val="18"/>
        </w:rPr>
        <w:t>Indiquer une estimation approximative du budget global, en pourcentage.</w:t>
      </w:r>
    </w:p>
    <w:p>
      <w:pPr>
        <w:pStyle w:val="Point0number"/>
        <w:rPr>
          <w:noProof/>
          <w:sz w:val="18"/>
          <w:szCs w:val="18"/>
        </w:rPr>
      </w:pPr>
      <w:r>
        <w:rPr>
          <w:noProof/>
          <w:sz w:val="18"/>
          <w:szCs w:val="18"/>
        </w:rPr>
        <w:t xml:space="preserve">Indiquer une estimation approximative, dans la mesure du possible. </w:t>
      </w:r>
    </w:p>
    <w:p>
      <w:pPr>
        <w:pStyle w:val="Point0number"/>
        <w:rPr>
          <w:noProof/>
          <w:sz w:val="18"/>
          <w:szCs w:val="18"/>
        </w:rPr>
      </w:pPr>
      <w:r>
        <w:rPr>
          <w:noProof/>
          <w:sz w:val="18"/>
          <w:szCs w:val="18"/>
        </w:rPr>
        <w:t xml:space="preserve">Fournir d’autres commentaires et clarifications. </w:t>
      </w:r>
    </w:p>
    <w:p>
      <w:pPr>
        <w:rPr>
          <w:noProof/>
          <w:szCs w:val="20"/>
          <w:u w:val="single"/>
        </w:rPr>
      </w:pPr>
    </w:p>
    <w:p>
      <w:pPr>
        <w:pStyle w:val="NumPar1"/>
        <w:rPr>
          <w:noProof/>
          <w:u w:val="single"/>
        </w:rPr>
      </w:pPr>
      <w:r>
        <w:rPr>
          <w:noProof/>
          <w:u w:val="single"/>
        </w:rPr>
        <w:t>Incidence sur le budget public</w:t>
      </w:r>
      <w:r>
        <w:rPr>
          <w:noProof/>
        </w:rPr>
        <w:t>. Les autorités portugaises complètent le tableau 3 en fournissant une estimation du montant total (en EUR) des taxes non perçues en raison de l’application d’un différentiel de taxation.</w:t>
      </w:r>
    </w:p>
    <w:p>
      <w:pPr>
        <w:rPr>
          <w:noProof/>
        </w:rPr>
      </w:pPr>
      <w:r>
        <w:rPr>
          <w:noProof/>
        </w:rPr>
        <w:t>Tableau 3.</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850"/>
        <w:gridCol w:w="851"/>
        <w:gridCol w:w="709"/>
        <w:gridCol w:w="708"/>
        <w:gridCol w:w="851"/>
      </w:tblGrid>
      <w:tr>
        <w:tc>
          <w:tcPr>
            <w:tcW w:w="2268" w:type="dxa"/>
            <w:tcBorders>
              <w:top w:val="single" w:sz="4" w:space="0" w:color="auto"/>
              <w:left w:val="single" w:sz="4" w:space="0" w:color="auto"/>
              <w:bottom w:val="single" w:sz="4" w:space="0" w:color="auto"/>
              <w:right w:val="single" w:sz="4" w:space="0" w:color="auto"/>
            </w:tcBorders>
          </w:tcPr>
          <w:p>
            <w:pPr>
              <w:rPr>
                <w:noProof/>
              </w:rPr>
            </w:pPr>
          </w:p>
        </w:tc>
        <w:tc>
          <w:tcPr>
            <w:tcW w:w="70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2019</w:t>
            </w:r>
          </w:p>
        </w:tc>
        <w:tc>
          <w:tcPr>
            <w:tcW w:w="850"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2020</w:t>
            </w:r>
          </w:p>
        </w:tc>
        <w:tc>
          <w:tcPr>
            <w:tcW w:w="851"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2021</w:t>
            </w:r>
          </w:p>
        </w:tc>
        <w:tc>
          <w:tcPr>
            <w:tcW w:w="70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2022</w:t>
            </w:r>
          </w:p>
        </w:tc>
        <w:tc>
          <w:tcPr>
            <w:tcW w:w="708"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2023</w:t>
            </w:r>
          </w:p>
        </w:tc>
        <w:tc>
          <w:tcPr>
            <w:tcW w:w="851"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2024</w:t>
            </w:r>
          </w:p>
        </w:tc>
      </w:tr>
      <w:tr>
        <w:tc>
          <w:tcPr>
            <w:tcW w:w="2268" w:type="dxa"/>
            <w:tcBorders>
              <w:top w:val="single" w:sz="4" w:space="0" w:color="auto"/>
              <w:left w:val="single" w:sz="4" w:space="0" w:color="auto"/>
              <w:bottom w:val="single" w:sz="4" w:space="0" w:color="auto"/>
              <w:right w:val="single" w:sz="4" w:space="0" w:color="auto"/>
            </w:tcBorders>
            <w:hideMark/>
          </w:tcPr>
          <w:p>
            <w:pPr>
              <w:rPr>
                <w:noProof/>
              </w:rPr>
            </w:pPr>
            <w:r>
              <w:rPr>
                <w:noProof/>
              </w:rPr>
              <w:t>Pertes de recettes fiscales</w:t>
            </w:r>
          </w:p>
        </w:tc>
        <w:tc>
          <w:tcPr>
            <w:tcW w:w="709" w:type="dxa"/>
            <w:tcBorders>
              <w:top w:val="single" w:sz="4" w:space="0" w:color="auto"/>
              <w:left w:val="single" w:sz="4" w:space="0" w:color="auto"/>
              <w:bottom w:val="single" w:sz="4" w:space="0" w:color="auto"/>
              <w:right w:val="single" w:sz="4" w:space="0" w:color="auto"/>
            </w:tcBorders>
          </w:tcPr>
          <w:p>
            <w:pPr>
              <w:rPr>
                <w:noProof/>
              </w:rPr>
            </w:pPr>
          </w:p>
        </w:tc>
        <w:tc>
          <w:tcPr>
            <w:tcW w:w="850" w:type="dxa"/>
            <w:tcBorders>
              <w:top w:val="single" w:sz="4" w:space="0" w:color="auto"/>
              <w:left w:val="single" w:sz="4" w:space="0" w:color="auto"/>
              <w:bottom w:val="single" w:sz="4" w:space="0" w:color="auto"/>
              <w:right w:val="single" w:sz="4" w:space="0" w:color="auto"/>
            </w:tcBorders>
          </w:tcPr>
          <w:p>
            <w:pPr>
              <w:rPr>
                <w:noProof/>
              </w:rPr>
            </w:pPr>
          </w:p>
        </w:tc>
        <w:tc>
          <w:tcPr>
            <w:tcW w:w="851" w:type="dxa"/>
            <w:tcBorders>
              <w:top w:val="single" w:sz="4" w:space="0" w:color="auto"/>
              <w:left w:val="single" w:sz="4" w:space="0" w:color="auto"/>
              <w:bottom w:val="single" w:sz="4" w:space="0" w:color="auto"/>
              <w:right w:val="single" w:sz="4" w:space="0" w:color="auto"/>
            </w:tcBorders>
          </w:tcPr>
          <w:p>
            <w:pPr>
              <w:rPr>
                <w:noProof/>
              </w:rPr>
            </w:pPr>
          </w:p>
        </w:tc>
        <w:tc>
          <w:tcPr>
            <w:tcW w:w="709" w:type="dxa"/>
            <w:tcBorders>
              <w:top w:val="single" w:sz="4" w:space="0" w:color="auto"/>
              <w:left w:val="single" w:sz="4" w:space="0" w:color="auto"/>
              <w:bottom w:val="single" w:sz="4" w:space="0" w:color="auto"/>
              <w:right w:val="single" w:sz="4" w:space="0" w:color="auto"/>
            </w:tcBorders>
          </w:tcPr>
          <w:p>
            <w:pPr>
              <w:rPr>
                <w:noProof/>
              </w:rPr>
            </w:pPr>
          </w:p>
        </w:tc>
        <w:tc>
          <w:tcPr>
            <w:tcW w:w="708" w:type="dxa"/>
            <w:tcBorders>
              <w:top w:val="single" w:sz="4" w:space="0" w:color="auto"/>
              <w:left w:val="single" w:sz="4" w:space="0" w:color="auto"/>
              <w:bottom w:val="single" w:sz="4" w:space="0" w:color="auto"/>
              <w:right w:val="single" w:sz="4" w:space="0" w:color="auto"/>
            </w:tcBorders>
          </w:tcPr>
          <w:p>
            <w:pPr>
              <w:rPr>
                <w:noProof/>
              </w:rPr>
            </w:pPr>
          </w:p>
        </w:tc>
        <w:tc>
          <w:tcPr>
            <w:tcW w:w="851" w:type="dxa"/>
            <w:tcBorders>
              <w:top w:val="single" w:sz="4" w:space="0" w:color="auto"/>
              <w:left w:val="single" w:sz="4" w:space="0" w:color="auto"/>
              <w:bottom w:val="single" w:sz="4" w:space="0" w:color="auto"/>
              <w:right w:val="single" w:sz="4" w:space="0" w:color="auto"/>
            </w:tcBorders>
          </w:tcPr>
          <w:p>
            <w:pPr>
              <w:rPr>
                <w:noProof/>
              </w:rPr>
            </w:pPr>
          </w:p>
        </w:tc>
      </w:tr>
    </w:tbl>
    <w:p>
      <w:pPr>
        <w:rPr>
          <w:noProof/>
          <w:szCs w:val="20"/>
          <w:u w:val="single"/>
          <w:lang w:eastAsia="fr-FR"/>
        </w:rPr>
      </w:pPr>
    </w:p>
    <w:p>
      <w:pPr>
        <w:pStyle w:val="NumPar1"/>
        <w:rPr>
          <w:noProof/>
        </w:rPr>
      </w:pPr>
      <w:r>
        <w:rPr>
          <w:noProof/>
          <w:u w:val="single"/>
        </w:rPr>
        <w:t>Incidence sur les performances économiques globales</w:t>
      </w:r>
      <w:r>
        <w:rPr>
          <w:noProof/>
        </w:rPr>
        <w:t>. Les autorités portugaises complètent le tableau 4 pour chaque région en communiquant toutes les données qui démontrent l’incidence du taux d’accise réduit sur le développement socio-économique de ces régions. Les indicateurs requis dans le tableau font référence aux performances du secteur bénéficiant de l'aide par rapport aux performances générales de l’économie de Madère et de celle des Açores. Si certains des indicateurs ne sont pas disponibles, il convient d’inclure d’autres données de rapport relatives à l’incidence sur les performances économiques globales et permettant d’analyser l’incidence socio-économique.</w:t>
      </w:r>
    </w:p>
    <w:p>
      <w:pPr>
        <w:rPr>
          <w:noProof/>
        </w:rPr>
      </w:pPr>
      <w:r>
        <w:rPr>
          <w:noProof/>
        </w:rPr>
        <w:t>Tableau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820"/>
        <w:gridCol w:w="820"/>
        <w:gridCol w:w="820"/>
        <w:gridCol w:w="820"/>
        <w:gridCol w:w="820"/>
        <w:gridCol w:w="821"/>
        <w:gridCol w:w="1417"/>
      </w:tblGrid>
      <w:tr>
        <w:tc>
          <w:tcPr>
            <w:tcW w:w="1617" w:type="pct"/>
            <w:tcBorders>
              <w:top w:val="single" w:sz="4" w:space="0" w:color="auto"/>
              <w:left w:val="single" w:sz="4" w:space="0" w:color="auto"/>
              <w:bottom w:val="single" w:sz="4" w:space="0" w:color="auto"/>
              <w:right w:val="single" w:sz="4" w:space="0" w:color="auto"/>
            </w:tcBorders>
            <w:shd w:val="clear" w:color="auto" w:fill="E7E6E6"/>
            <w:hideMark/>
          </w:tcPr>
          <w:p>
            <w:pPr>
              <w:jc w:val="right"/>
              <w:rPr>
                <w:b/>
                <w:bCs/>
                <w:noProof/>
              </w:rPr>
            </w:pPr>
            <w:r>
              <w:rPr>
                <w:b/>
                <w:bCs/>
                <w:noProof/>
              </w:rPr>
              <w:t>Année</w:t>
            </w:r>
            <w:r>
              <w:rPr>
                <w:b/>
                <w:bCs/>
                <w:noProof/>
                <w:vertAlign w:val="superscript"/>
              </w:rPr>
              <w:t>2</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2019</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2020</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2021</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2022</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2023</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2024</w:t>
            </w:r>
          </w:p>
        </w:tc>
        <w:tc>
          <w:tcPr>
            <w:tcW w:w="562"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noProof/>
              </w:rPr>
            </w:pPr>
            <w:r>
              <w:rPr>
                <w:b/>
                <w:bCs/>
                <w:i/>
                <w:iCs/>
                <w:noProof/>
              </w:rPr>
              <w:t>Remarques</w:t>
            </w:r>
            <w:r>
              <w:rPr>
                <w:b/>
                <w:bCs/>
                <w:i/>
                <w:iCs/>
                <w:noProof/>
                <w:vertAlign w:val="superscript"/>
              </w:rPr>
              <w:t>3</w:t>
            </w: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Valeur ajoutée brute régionale </w:t>
            </w: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562" w:type="pct"/>
            <w:tcBorders>
              <w:top w:val="single" w:sz="4" w:space="0" w:color="auto"/>
              <w:left w:val="single" w:sz="4" w:space="0" w:color="auto"/>
              <w:bottom w:val="single" w:sz="4" w:space="0" w:color="auto"/>
              <w:right w:val="single" w:sz="4" w:space="0" w:color="auto"/>
            </w:tcBorders>
          </w:tcPr>
          <w:p>
            <w:pPr>
              <w:jc w:val="cente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i/>
                <w:iCs/>
                <w:noProof/>
              </w:rPr>
            </w:pPr>
            <w:r>
              <w:rPr>
                <w:rFonts w:ascii="Times New Roman" w:hAnsi="Times New Roman"/>
                <w:i/>
                <w:iCs/>
                <w:noProof/>
              </w:rPr>
              <w:t>Dans le secteur bénéficiant de l'aide</w:t>
            </w:r>
            <w:r>
              <w:rPr>
                <w:rFonts w:ascii="Times New Roman" w:hAnsi="Times New Roman"/>
                <w:i/>
                <w:iCs/>
                <w:noProof/>
                <w:vertAlign w:val="superscript"/>
              </w:rPr>
              <w:t>1</w:t>
            </w: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562" w:type="pct"/>
            <w:tcBorders>
              <w:top w:val="single" w:sz="4" w:space="0" w:color="auto"/>
              <w:left w:val="single" w:sz="4" w:space="0" w:color="auto"/>
              <w:bottom w:val="single" w:sz="4" w:space="0" w:color="auto"/>
              <w:right w:val="single" w:sz="4" w:space="0" w:color="auto"/>
            </w:tcBorders>
          </w:tcPr>
          <w:p>
            <w:pPr>
              <w:jc w:val="cente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Emploi régional total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i/>
                <w:iCs/>
                <w:noProof/>
              </w:rPr>
            </w:pPr>
            <w:r>
              <w:rPr>
                <w:rFonts w:ascii="Times New Roman" w:hAnsi="Times New Roman"/>
                <w:i/>
                <w:iCs/>
                <w:noProof/>
              </w:rPr>
              <w:t>Dans le secteur bénéficiant de l'aide</w:t>
            </w:r>
            <w:r>
              <w:rPr>
                <w:rFonts w:ascii="Times New Roman" w:hAnsi="Times New Roman"/>
                <w:i/>
                <w:iCs/>
                <w:noProof/>
                <w:vertAlign w:val="superscript"/>
              </w:rPr>
              <w:t>1</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Nombre de producteurs actifs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noProof/>
              </w:rPr>
            </w:pPr>
            <w:r>
              <w:rPr>
                <w:rFonts w:ascii="Times New Roman" w:hAnsi="Times New Roman"/>
                <w:i/>
                <w:iCs/>
                <w:noProof/>
              </w:rPr>
              <w:t>Dans le secteur bénéficiant de l'aide</w:t>
            </w:r>
            <w:r>
              <w:rPr>
                <w:rFonts w:ascii="Times New Roman" w:hAnsi="Times New Roman"/>
                <w:i/>
                <w:iCs/>
                <w:noProof/>
                <w:vertAlign w:val="superscript"/>
              </w:rPr>
              <w:t>1</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Indice de niveau de prix – Portugal continental</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Indice de niveau de prix de la région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Nombre de touristes de la région</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bl>
    <w:p>
      <w:pPr>
        <w:rPr>
          <w:iCs/>
          <w:noProof/>
          <w:sz w:val="18"/>
          <w:szCs w:val="18"/>
        </w:rPr>
      </w:pPr>
      <w:r>
        <w:rPr>
          <w:bCs/>
          <w:iCs/>
          <w:noProof/>
          <w:sz w:val="18"/>
          <w:szCs w:val="18"/>
        </w:rPr>
        <w:t>Remarques concernant le tableau</w:t>
      </w:r>
      <w:r>
        <w:rPr>
          <w:iCs/>
          <w:noProof/>
          <w:sz w:val="18"/>
          <w:szCs w:val="18"/>
        </w:rPr>
        <w:t xml:space="preserve">: </w:t>
      </w:r>
    </w:p>
    <w:p>
      <w:pPr>
        <w:pStyle w:val="Point0number"/>
        <w:rPr>
          <w:noProof/>
          <w:sz w:val="18"/>
          <w:szCs w:val="18"/>
        </w:rPr>
      </w:pPr>
      <w:r>
        <w:rPr>
          <w:noProof/>
          <w:sz w:val="18"/>
          <w:szCs w:val="18"/>
        </w:rPr>
        <w:t xml:space="preserve">Fournir des informations sur les producteurs de rhum, de liqueurs et d’eaux-de-vie.    </w:t>
      </w:r>
    </w:p>
    <w:p>
      <w:pPr>
        <w:pStyle w:val="Point0number"/>
        <w:rPr>
          <w:noProof/>
          <w:sz w:val="18"/>
          <w:szCs w:val="18"/>
        </w:rPr>
      </w:pPr>
      <w:r>
        <w:rPr>
          <w:noProof/>
          <w:sz w:val="18"/>
          <w:szCs w:val="18"/>
        </w:rPr>
        <w:t>Il est possible que les informations ne soient pas disponibles pour toutes les années indiquées.</w:t>
      </w:r>
    </w:p>
    <w:p>
      <w:pPr>
        <w:pStyle w:val="Point0number"/>
        <w:rPr>
          <w:noProof/>
          <w:sz w:val="18"/>
          <w:szCs w:val="18"/>
        </w:rPr>
      </w:pPr>
      <w:r>
        <w:rPr>
          <w:noProof/>
          <w:sz w:val="18"/>
          <w:szCs w:val="18"/>
        </w:rPr>
        <w:t>Fournir des commentaires ou clarifications jugés utiles.</w:t>
      </w:r>
    </w:p>
    <w:p>
      <w:pPr>
        <w:pStyle w:val="ListParagraph"/>
        <w:rPr>
          <w:rFonts w:ascii="Times New Roman" w:hAnsi="Times New Roman" w:cs="Times New Roman"/>
          <w:noProof/>
        </w:rPr>
      </w:pPr>
    </w:p>
    <w:p>
      <w:pPr>
        <w:pStyle w:val="NumPar1"/>
        <w:rPr>
          <w:noProof/>
        </w:rPr>
      </w:pPr>
      <w:r>
        <w:rPr>
          <w:noProof/>
          <w:u w:val="single"/>
        </w:rPr>
        <w:t>Spécifications du régime</w:t>
      </w:r>
      <w:r>
        <w:rPr>
          <w:noProof/>
        </w:rPr>
        <w:t xml:space="preserve">. Les autorités portugaises complètent le tableau 5 pour chaque produit et pour chacune des régions de Madère et des Açores. </w:t>
      </w:r>
    </w:p>
    <w:p>
      <w:pPr>
        <w:rPr>
          <w:noProof/>
        </w:rPr>
      </w:pPr>
      <w:r>
        <w:rPr>
          <w:noProof/>
        </w:rPr>
        <w:t>Tableau 5.</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696"/>
        <w:gridCol w:w="696"/>
        <w:gridCol w:w="707"/>
        <w:gridCol w:w="707"/>
        <w:gridCol w:w="707"/>
        <w:gridCol w:w="706"/>
      </w:tblGrid>
      <w:tr>
        <w:tc>
          <w:tcPr>
            <w:tcW w:w="456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Quantité (en HAP</w:t>
            </w:r>
            <w:r>
              <w:rPr>
                <w:noProof/>
                <w:vertAlign w:val="superscript"/>
              </w:rPr>
              <w:t>1</w:t>
            </w:r>
            <w:r>
              <w:rPr>
                <w:noProof/>
              </w:rPr>
              <w:t>)</w:t>
            </w:r>
          </w:p>
        </w:tc>
        <w:tc>
          <w:tcPr>
            <w:tcW w:w="696" w:type="dxa"/>
            <w:tcBorders>
              <w:top w:val="single" w:sz="4" w:space="0" w:color="auto"/>
              <w:left w:val="single" w:sz="4" w:space="0" w:color="auto"/>
              <w:bottom w:val="single" w:sz="4" w:space="0" w:color="auto"/>
              <w:right w:val="single" w:sz="4" w:space="0" w:color="auto"/>
            </w:tcBorders>
            <w:hideMark/>
          </w:tcPr>
          <w:p>
            <w:pPr>
              <w:rPr>
                <w:noProof/>
              </w:rPr>
            </w:pPr>
            <w:r>
              <w:rPr>
                <w:noProof/>
              </w:rPr>
              <w:t>2019</w:t>
            </w:r>
          </w:p>
        </w:tc>
        <w:tc>
          <w:tcPr>
            <w:tcW w:w="696" w:type="dxa"/>
            <w:tcBorders>
              <w:top w:val="single" w:sz="4" w:space="0" w:color="auto"/>
              <w:left w:val="single" w:sz="4" w:space="0" w:color="auto"/>
              <w:bottom w:val="single" w:sz="4" w:space="0" w:color="auto"/>
              <w:right w:val="single" w:sz="4" w:space="0" w:color="auto"/>
            </w:tcBorders>
            <w:hideMark/>
          </w:tcPr>
          <w:p>
            <w:pPr>
              <w:rPr>
                <w:noProof/>
              </w:rPr>
            </w:pPr>
            <w:r>
              <w:rPr>
                <w:noProof/>
              </w:rPr>
              <w:t>2020</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2021</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2022</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2023</w:t>
            </w:r>
          </w:p>
        </w:tc>
        <w:tc>
          <w:tcPr>
            <w:tcW w:w="706" w:type="dxa"/>
            <w:tcBorders>
              <w:top w:val="single" w:sz="4" w:space="0" w:color="auto"/>
              <w:left w:val="single" w:sz="4" w:space="0" w:color="auto"/>
              <w:bottom w:val="single" w:sz="4" w:space="0" w:color="auto"/>
              <w:right w:val="single" w:sz="4" w:space="0" w:color="auto"/>
            </w:tcBorders>
            <w:hideMark/>
          </w:tcPr>
          <w:p>
            <w:pPr>
              <w:rPr>
                <w:noProof/>
              </w:rPr>
            </w:pPr>
            <w:r>
              <w:rPr>
                <w:noProof/>
              </w:rPr>
              <w:t>2024</w:t>
            </w: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Production de liqueurs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Production d’eaux-de-vie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Production de rhum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expédiées vers le Portugal continental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expédiées vers d’autres États membres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exportées vers des pays tiers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Eaux-de-vie expédiées vers le Portugal continental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Eaux-de-vie expédiées vers d’autres États membres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Eaux-de-vie exportées vers des pays tiers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Rhum expédié vers le Portugal continental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Rhum expédié vers d’autres États membres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Rhum exporté vers des pays tiers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bl>
    <w:p>
      <w:pPr>
        <w:rPr>
          <w:bCs/>
          <w:iCs/>
          <w:noProof/>
          <w:sz w:val="18"/>
          <w:szCs w:val="18"/>
        </w:rPr>
      </w:pPr>
      <w:r>
        <w:rPr>
          <w:bCs/>
          <w:iCs/>
          <w:noProof/>
          <w:sz w:val="18"/>
          <w:szCs w:val="18"/>
        </w:rPr>
        <w:t xml:space="preserve">Remarques concernant le tableau: </w:t>
      </w:r>
    </w:p>
    <w:p>
      <w:pPr>
        <w:rPr>
          <w:bCs/>
          <w:iCs/>
          <w:noProof/>
          <w:sz w:val="18"/>
          <w:szCs w:val="18"/>
        </w:rPr>
      </w:pPr>
      <w:r>
        <w:rPr>
          <w:bCs/>
          <w:iCs/>
          <w:noProof/>
          <w:sz w:val="18"/>
          <w:szCs w:val="18"/>
        </w:rPr>
        <w:t>1.</w:t>
      </w:r>
      <w:r>
        <w:rPr>
          <w:bCs/>
          <w:iCs/>
          <w:noProof/>
          <w:sz w:val="18"/>
          <w:szCs w:val="18"/>
        </w:rPr>
        <w:tab/>
        <w:t>Hectolitres d’alcool pur.</w:t>
      </w:r>
    </w:p>
    <w:p>
      <w:pPr>
        <w:rPr>
          <w:bCs/>
          <w:iCs/>
          <w:noProof/>
          <w:sz w:val="18"/>
          <w:szCs w:val="18"/>
        </w:rPr>
      </w:pPr>
    </w:p>
    <w:p>
      <w:pPr>
        <w:rPr>
          <w:bCs/>
          <w:iCs/>
          <w:noProof/>
          <w:sz w:val="18"/>
          <w:szCs w:val="18"/>
        </w:rPr>
      </w:pPr>
    </w:p>
    <w:p>
      <w:pPr>
        <w:pStyle w:val="NumPar1"/>
        <w:rPr>
          <w:noProof/>
        </w:rPr>
      </w:pPr>
      <w:r>
        <w:rPr>
          <w:noProof/>
          <w:u w:val="single"/>
        </w:rPr>
        <w:t>Irrégularités</w:t>
      </w:r>
      <w:r>
        <w:rPr>
          <w:noProof/>
        </w:rPr>
        <w:t>. Les autorités portugaises fournissent des informations concernant toute enquête sur des irrégularités administratives, notamment sur la fraude fiscale ou la contrebande, dans le cadre de l’application de l’autorisation. Elles fournissent également des informations détaillées, qui comprennent au moins des informations sur la nature de l’affaire, sa valeur et sa durée.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tblGrid>
      <w:tr>
        <w:tc>
          <w:tcPr>
            <w:tcW w:w="8395" w:type="dxa"/>
            <w:tcBorders>
              <w:top w:val="single" w:sz="4" w:space="0" w:color="auto"/>
              <w:left w:val="single" w:sz="4" w:space="0" w:color="auto"/>
              <w:bottom w:val="single" w:sz="4" w:space="0" w:color="auto"/>
              <w:right w:val="single" w:sz="4" w:space="0" w:color="auto"/>
            </w:tcBorders>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szCs w:val="20"/>
          <w:lang w:eastAsia="fr-FR"/>
        </w:rPr>
      </w:pPr>
    </w:p>
    <w:p>
      <w:pPr>
        <w:pStyle w:val="NumPar1"/>
        <w:rPr>
          <w:noProof/>
        </w:rPr>
      </w:pPr>
      <w:r>
        <w:rPr>
          <w:noProof/>
          <w:u w:val="single"/>
        </w:rPr>
        <w:t>Plaintes</w:t>
      </w:r>
      <w:r>
        <w:rPr>
          <w:noProof/>
        </w:rPr>
        <w:t>. Les autorités portugaises fournissent des informations indiquant si les autorités locales, régionales ou nationales ont reçu des plaintes de bénéficiaires ou de non-bénéficiaires concernant l’application de l’autorisation.</w:t>
      </w:r>
    </w:p>
    <w:p>
      <w:pPr>
        <w:rPr>
          <w:noProof/>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tblGrid>
      <w:tr>
        <w:tc>
          <w:tcPr>
            <w:tcW w:w="8395" w:type="dxa"/>
            <w:tcBorders>
              <w:top w:val="single" w:sz="4" w:space="0" w:color="auto"/>
              <w:left w:val="single" w:sz="4" w:space="0" w:color="auto"/>
              <w:bottom w:val="single" w:sz="4" w:space="0" w:color="auto"/>
              <w:right w:val="single" w:sz="4" w:space="0" w:color="auto"/>
            </w:tcBorders>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szCs w:val="20"/>
          <w:lang w:eastAsia="fr-FR"/>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5ADA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F03C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B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B284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7C5C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B89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947112"/>
    <w:lvl w:ilvl="0">
      <w:start w:val="1"/>
      <w:numFmt w:val="decimal"/>
      <w:pStyle w:val="ListNumber"/>
      <w:lvlText w:val="%1."/>
      <w:lvlJc w:val="left"/>
      <w:pPr>
        <w:tabs>
          <w:tab w:val="num" w:pos="360"/>
        </w:tabs>
        <w:ind w:left="360" w:hanging="360"/>
      </w:pPr>
    </w:lvl>
  </w:abstractNum>
  <w:abstractNum w:abstractNumId="7">
    <w:nsid w:val="FFFFFF89"/>
    <w:multiLevelType w:val="singleLevel"/>
    <w:tmpl w:val="24D42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2"/>
  </w:num>
  <w:num w:numId="16">
    <w:abstractNumId w:val="14"/>
  </w:num>
  <w:num w:numId="17">
    <w:abstractNumId w:val="10"/>
  </w:num>
  <w:num w:numId="18">
    <w:abstractNumId w:val="20"/>
  </w:num>
  <w:num w:numId="19">
    <w:abstractNumId w:val="9"/>
  </w:num>
  <w:num w:numId="20">
    <w:abstractNumId w:val="15"/>
  </w:num>
  <w:num w:numId="21">
    <w:abstractNumId w:val="17"/>
  </w:num>
  <w:num w:numId="22">
    <w:abstractNumId w:val="18"/>
  </w:num>
  <w:num w:numId="23">
    <w:abstractNumId w:val="11"/>
  </w:num>
  <w:num w:numId="24">
    <w:abstractNumId w:val="16"/>
  </w:num>
  <w:num w:numId="25">
    <w:abstractNumId w:val="22"/>
  </w:num>
  <w:num w:numId="26">
    <w:abstractNumId w:val="19"/>
  </w:num>
  <w:num w:numId="27">
    <w:abstractNumId w:val="13"/>
  </w:num>
  <w:num w:numId="28">
    <w:abstractNumId w:val="21"/>
  </w:num>
  <w:num w:numId="29">
    <w:abstractNumId w:val="12"/>
  </w:num>
  <w:num w:numId="30">
    <w:abstractNumId w:val="14"/>
  </w:num>
  <w:num w:numId="31">
    <w:abstractNumId w:val="10"/>
  </w:num>
  <w:num w:numId="32">
    <w:abstractNumId w:val="20"/>
  </w:num>
  <w:num w:numId="33">
    <w:abstractNumId w:val="9"/>
  </w:num>
  <w:num w:numId="34">
    <w:abstractNumId w:val="15"/>
  </w:num>
  <w:num w:numId="35">
    <w:abstractNumId w:val="17"/>
  </w:num>
  <w:num w:numId="36">
    <w:abstractNumId w:val="18"/>
  </w:num>
  <w:num w:numId="37">
    <w:abstractNumId w:val="11"/>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8 08:47: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F308EFA-E433-4486-BD1E-DE35E0C31F4D"/>
    <w:docVar w:name="LW_COVERPAGE_TYPE" w:val="1"/>
    <w:docVar w:name="LW_CROSSREFERENCE" w:val="{SWD(2020) 108 final}"/>
    <w:docVar w:name="LW_DocType" w:val="ANNEX"/>
    <w:docVar w:name="LW_EMISSION" w:val="18.6.2020"/>
    <w:docVar w:name="LW_EMISSION_ISODATE" w:val="2020-06-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e Portugal à appliquer un taux d\u8217?accise réduit sur certains produits alcoolisés produits dans les régions autonomes de Madère et des Açores"/>
    <w:docVar w:name="LW_OBJETACTEPRINCIPAL.CP" w:val="autorisant le Portugal à appliquer un taux d\u8217?accise réduit sur certains produits alcoolisés produits dans les régions autonomes de Madère et des Açores"/>
    <w:docVar w:name="LW_PART_NBR" w:val="1"/>
    <w:docVar w:name="LW_PART_NBR_TOTAL" w:val="1"/>
    <w:docVar w:name="LW_REF.INST.NEW" w:val="COM"/>
    <w:docVar w:name="LW_REF.INST.NEW_ADOPTED" w:val="final"/>
    <w:docVar w:name="LW_REF.INST.NEW_TEXT" w:val="(2020)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rFonts w:eastAsia="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rFonts w:eastAsia="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4DAA8C-63EE-4573-B76E-06CDEA05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814</Words>
  <Characters>4749</Characters>
  <Application>Microsoft Office Word</Application>
  <DocSecurity>0</DocSecurity>
  <Lines>395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DIGIT/C6</cp:lastModifiedBy>
  <cp:revision>10</cp:revision>
  <dcterms:created xsi:type="dcterms:W3CDTF">2020-06-03T07:51:00Z</dcterms:created>
  <dcterms:modified xsi:type="dcterms:W3CDTF">2020-06-18T06:47:00Z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