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06C606F-6364-43A7-ADEC-04AD7BBCE60B" style="width:451.25pt;height:379.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Съгласно член 395 от Директива 2006/112/ЕО на Съвета от 28 ноември 2006 г. относно общата система на данъка върху добавената стойност</w:t>
      </w:r>
      <w:r>
        <w:rPr>
          <w:rStyle w:val="FootnoteReference"/>
          <w:noProof/>
        </w:rPr>
        <w:footnoteReference w:id="1"/>
      </w:r>
      <w:r>
        <w:rPr>
          <w:noProof/>
        </w:rPr>
        <w:t xml:space="preserve"> („Директивата за ДДС“) Съветът, действащ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за да се опрости процедурата по събиране на данъка върху добавената стойност (ДДС) или за да се предотвратят определени форми на отклонение от данъчно облагане или избягване на данъци. </w:t>
      </w:r>
    </w:p>
    <w:p>
      <w:pPr>
        <w:rPr>
          <w:noProof/>
        </w:rPr>
      </w:pPr>
      <w:r>
        <w:rPr>
          <w:noProof/>
        </w:rPr>
        <w:t>С писмо, заведено в Комисията на 21 февруари 2020 г., Дания поиска разрешение да продължи да прилага режим на фиксирана ставка за използването за лични цели на регистрирани единствено за служебни цели лекотоварни автомобили с максимално допустима обща маса от три тона, като по този начин се удължава прилагането на специалната мярка, въведена с Решение за изпълнение (ЕС) 2018/485 на Съвета</w:t>
      </w:r>
      <w:r>
        <w:rPr>
          <w:rStyle w:val="FootnoteReference"/>
          <w:noProof/>
        </w:rPr>
        <w:footnoteReference w:id="2"/>
      </w:r>
      <w:r>
        <w:rPr>
          <w:noProof/>
        </w:rPr>
        <w:t xml:space="preserve">, която дава право на дерогация от член 75 от Директивата за ДДС. </w:t>
      </w:r>
    </w:p>
    <w:p>
      <w:pPr>
        <w:widowControl w:val="0"/>
        <w:shd w:val="clear" w:color="auto" w:fill="FFFFFF"/>
        <w:autoSpaceDE w:val="0"/>
        <w:autoSpaceDN w:val="0"/>
        <w:adjustRightInd w:val="0"/>
        <w:spacing w:before="230" w:after="0" w:line="269" w:lineRule="exact"/>
        <w:ind w:right="86"/>
      </w:pPr>
      <w:r>
        <w:rPr>
          <w:noProof/>
        </w:rPr>
        <w:t>В съответствие с член 395, параграф 2 от Директивата за ДДС с писмо от 2 април 2020 г. Комисията информира останалите държави членки за отправеното от Дания искане. С писмо от 3 април 2020 г. Комисията съобщи на Дания, че разполага с пълната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За да се опрости събирането на ДДС и да се противодейства на отклонението от данъчно облагане, през 2011 г. Дания поиска дерогация, с която да ѝ се позволи да въведе режим на фиксирана ставка за използването за лични цели на регистрирани единствено за служебни цели лекотоварни автомобили с максимално допустима обща маса от три тона. Искането за дерогация бе одобрено с Решение за изпълнение 2012/447/ЕС на Съвета от 24 юли 2012 г.</w:t>
      </w:r>
      <w:r>
        <w:rPr>
          <w:rStyle w:val="FootnoteReference"/>
          <w:noProof/>
        </w:rPr>
        <w:footnoteReference w:id="3"/>
      </w:r>
      <w:r>
        <w:rPr>
          <w:noProof/>
        </w:rPr>
        <w:t>. Дания два пъти е подавала искания за удължаване на срока на действие на мярката, съответно одобрени с Решение за изпълнение (ЕС) 2015/992 на Съвета от 19 юни 2015 г.</w:t>
      </w:r>
      <w:r>
        <w:rPr>
          <w:rStyle w:val="FootnoteReference"/>
          <w:noProof/>
        </w:rPr>
        <w:footnoteReference w:id="4"/>
      </w:r>
      <w:r>
        <w:rPr>
          <w:noProof/>
        </w:rPr>
        <w:t xml:space="preserve"> и с Решение за изпълнение (ЕС) 2018/485 на Съвета. Срокът на действие на последното решение за изпълнение на Съвета е предвиден да изтече на 31 декември 2020 г. </w:t>
      </w:r>
    </w:p>
    <w:p>
      <w:pPr>
        <w:pBdr>
          <w:top w:val="nil"/>
          <w:left w:val="nil"/>
          <w:bottom w:val="nil"/>
          <w:right w:val="nil"/>
          <w:between w:val="nil"/>
          <w:bar w:val="nil"/>
        </w:pBdr>
        <w:spacing w:before="0" w:after="240"/>
        <w:rPr>
          <w:rFonts w:eastAsia="Arial Unicode MS"/>
          <w:noProof/>
        </w:rPr>
      </w:pPr>
      <w:r>
        <w:rPr>
          <w:noProof/>
        </w:rPr>
        <w:t xml:space="preserve">Без такава мярка за дерогация датското законодателство предвижда, че всяко използване за лични цели на такъв автомобил, регистриран единствено за служебни цели, води дотам, че данъчно задълженото лице губи изцяло правото си да приспадне ДДС от разходите си за закупуване на автомобила. Понастоящем, по отношение на приспадането на ДДС от разходите за закупуване и експлоатация на лекотоварни автомобили с максимално допустима маса до три тона, Дания се ползва от клауза за запазване на завареното положение в съответствие с член 176 от Директивата за ДДС. Дружеството, което регистрира лекотоварен автомобил единствено за служебни цели, има право да приспадне целия начислен ДДС от разходите за закупуването и експлоатацията му. От друга страна, дружеството, което регистрира лекотоварен автомобил както за служебни, така и за лични цели, няма право да приспадне ДДС от </w:t>
      </w:r>
      <w:r>
        <w:rPr>
          <w:noProof/>
        </w:rPr>
        <w:lastRenderedPageBreak/>
        <w:t xml:space="preserve">разходите за закупуване, но може да приспадне пълния размер на ДДС от експлоатационните разходи за автомобила. </w:t>
      </w:r>
    </w:p>
    <w:p>
      <w:pPr>
        <w:pBdr>
          <w:top w:val="nil"/>
          <w:left w:val="nil"/>
          <w:bottom w:val="nil"/>
          <w:right w:val="nil"/>
          <w:between w:val="nil"/>
          <w:bar w:val="nil"/>
        </w:pBdr>
        <w:spacing w:before="0" w:after="240"/>
        <w:rPr>
          <w:rFonts w:eastAsia="Arial Unicode MS"/>
          <w:noProof/>
        </w:rPr>
      </w:pPr>
      <w:r>
        <w:rPr>
          <w:noProof/>
        </w:rPr>
        <w:t xml:space="preserve">Управлението на гореописаната датска система може да бъде сложно и скъпо както за данъчно задължените лица, така и за данъчната администрация. Поради това Дания поиска да прилага опростената процедура, разрешена ѝ по-рано с Решение за изпълнение 2012/447/ЕС на Съвета и впоследствие с Решение за изпълнение 2015/992/ЕС на Съвета и Решение за изпълнение (ЕС) 2018/485 на Съвета. </w:t>
      </w:r>
    </w:p>
    <w:p>
      <w:pPr>
        <w:pBdr>
          <w:top w:val="nil"/>
          <w:left w:val="nil"/>
          <w:bottom w:val="nil"/>
          <w:right w:val="nil"/>
          <w:between w:val="nil"/>
          <w:bar w:val="nil"/>
        </w:pBdr>
        <w:spacing w:before="0" w:after="240"/>
        <w:rPr>
          <w:rFonts w:eastAsia="Arial Unicode MS"/>
          <w:noProof/>
        </w:rPr>
      </w:pPr>
      <w:r>
        <w:rPr>
          <w:noProof/>
        </w:rPr>
        <w:t>В член 75 от Директивата за ДДС се предвижда, че когато стоките, представляващи част от активите на стопанска дейност, се използват за лични цели, данъчната основа за определянето на дължимия ДДС е пълната себестойност за данъчно задълженото лице на предоставянето на услугите. Прилаганият в Дания режим на фиксирана ставка може да се използва от данъчно задължено лице за максимум двадесет дни за календарна година. Съгласно тази система данъчно задълженото лице заплаща дневна сума за използването на автомобила за лични цели. Фиксираната дневна сума, която се плаща за използването на автомобила за лични цели, е 40 DKK и обхваща само ДДС. Размерът е определен от датското правителство въз основа на анализ на националните статистически данни. По силата на друг национален нормативен акт сходно плащане се дължи за покриване на данъка върху дохода от продажба на служебен автомобил и допълнителната такса към пътния данък. Ако данъчно задължено лице използва автомобила за лични цели повече от двадесет дни в рамките на една календарна година, се прилагат действащите заварени правила и лицето губи изцяло правото да приспадне данъка от разходите си за закупуване на автомобила.</w:t>
      </w:r>
    </w:p>
    <w:p>
      <w:pPr>
        <w:pBdr>
          <w:top w:val="nil"/>
          <w:left w:val="nil"/>
          <w:bottom w:val="nil"/>
          <w:right w:val="nil"/>
          <w:between w:val="nil"/>
          <w:bar w:val="nil"/>
        </w:pBdr>
        <w:spacing w:before="0" w:after="240"/>
        <w:rPr>
          <w:rFonts w:eastAsia="Arial Unicode MS"/>
          <w:noProof/>
        </w:rPr>
      </w:pPr>
      <w:r>
        <w:rPr>
          <w:noProof/>
        </w:rPr>
        <w:t>Датските власти са разработили електронна система, чрез която данъчно задължените лица могат да плащат фиксираните дневни суми онлайн или чрез мобилно приложение. По време на плащането данъчно задълженото лице получава „дневен ваучер“ като документално доказателство, че ДДС е платен. Властите смятат, че системата опростява както отчетните задължения на данъчно задължените лица, така и задължението на данъчните органи за събиране и начисляване на данъка.</w:t>
      </w:r>
    </w:p>
    <w:p>
      <w:pPr>
        <w:pBdr>
          <w:top w:val="nil"/>
          <w:left w:val="nil"/>
          <w:bottom w:val="nil"/>
          <w:right w:val="nil"/>
          <w:between w:val="nil"/>
          <w:bar w:val="nil"/>
        </w:pBdr>
        <w:spacing w:before="0" w:after="240"/>
        <w:rPr>
          <w:rFonts w:eastAsia="Arial Unicode MS"/>
          <w:noProof/>
        </w:rPr>
      </w:pPr>
      <w:r>
        <w:rPr>
          <w:noProof/>
        </w:rPr>
        <w:t xml:space="preserve">Опростената процедура не е задължителна. Данъчно задължените лица ще продължат да имат възможност да регистрират своите лекотоварни автомобили както за служебни, така и за лични цели, ако това отговаря на техните потребности. </w:t>
      </w:r>
    </w:p>
    <w:p>
      <w:pPr>
        <w:pBdr>
          <w:top w:val="nil"/>
          <w:left w:val="nil"/>
          <w:bottom w:val="nil"/>
          <w:right w:val="nil"/>
          <w:between w:val="nil"/>
          <w:bar w:val="nil"/>
        </w:pBdr>
        <w:spacing w:before="0" w:after="240"/>
        <w:rPr>
          <w:rFonts w:eastAsia="Arial Unicode MS"/>
          <w:noProof/>
        </w:rPr>
      </w:pPr>
      <w:r>
        <w:rPr>
          <w:noProof/>
        </w:rPr>
        <w:t>Както се изисква в член 3 от Решение за изпълнение (ЕС) 2018/485 на Съвета, Дания представи заедно с искането за удължаване доклад за преглед на мярката. Датските власти смятат, че през последните години опростената процедура функционира много добре и намират за целесъобразно тя да бъде продължена.</w:t>
      </w:r>
    </w:p>
    <w:p>
      <w:pPr>
        <w:pBdr>
          <w:top w:val="nil"/>
          <w:left w:val="nil"/>
          <w:bottom w:val="nil"/>
          <w:right w:val="nil"/>
          <w:between w:val="nil"/>
          <w:bar w:val="nil"/>
        </w:pBdr>
        <w:spacing w:before="0" w:after="240"/>
        <w:rPr>
          <w:rFonts w:eastAsia="Arial Unicode MS"/>
          <w:noProof/>
        </w:rPr>
      </w:pPr>
      <w:r>
        <w:rPr>
          <w:noProof/>
        </w:rPr>
        <w:t>Поради това е подходящо да се разреши на Дания да продължи да прилага мярката за дерогация до 31 декември 2023 г.</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 xml:space="preserve">Съгласно член 176 от Директивата за ДДС Съветът определя разходите, по отношение на които ДДС не подлежи на приспадане. Дотогава той разрешава на държавите членки да продължат да прилагат изключенията, които са били в сила на 1 януари 1979 г. Следователно има известен брой клаузи за запазване на завареното положение, които ограничават правото на приспадане във връзка с леките пътнически автомобили. </w:t>
      </w:r>
    </w:p>
    <w:p>
      <w:pPr>
        <w:pBdr>
          <w:top w:val="nil"/>
          <w:left w:val="nil"/>
          <w:bottom w:val="nil"/>
          <w:right w:val="nil"/>
          <w:between w:val="nil"/>
          <w:bar w:val="nil"/>
        </w:pBdr>
        <w:spacing w:before="0" w:after="240"/>
        <w:rPr>
          <w:rFonts w:eastAsia="Arial Unicode MS"/>
          <w:noProof/>
        </w:rPr>
      </w:pPr>
      <w:r>
        <w:rPr>
          <w:noProof/>
        </w:rPr>
        <w:lastRenderedPageBreak/>
        <w:t>Независимо от предходните инициативи за определяне на правила относно категориите разходи, които може да подлежат на ограничение на правото на приспадане</w:t>
      </w:r>
      <w:r>
        <w:rPr>
          <w:rStyle w:val="FootnoteReference"/>
          <w:rFonts w:eastAsia="Arial Unicode MS"/>
          <w:noProof/>
        </w:rPr>
        <w:footnoteReference w:id="5"/>
      </w:r>
      <w:r>
        <w:rPr>
          <w:noProof/>
        </w:rPr>
        <w:t>, тази дерогация е подходяща за периода до хармонизирането на тези правила на равнището на ЕС.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Член 395 от Директивата за ДДС.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Предвид разпоредбата от Директивата за ДДС, на която се основава, предложението е от изключителната компетентност на Европейския съюз. Съответно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rPr>
          <w:noProof/>
        </w:rPr>
      </w:pPr>
      <w:r>
        <w:rPr>
          <w:noProof/>
        </w:rPr>
        <w:t xml:space="preserve">Решението се отнася до предоставяне на разрешение на държава членка по нейно искане и не представлява задължение. </w:t>
      </w:r>
    </w:p>
    <w:p>
      <w:pPr>
        <w:pBdr>
          <w:top w:val="nil"/>
          <w:left w:val="nil"/>
          <w:bottom w:val="nil"/>
          <w:right w:val="nil"/>
          <w:between w:val="nil"/>
          <w:bar w:val="nil"/>
        </w:pBdr>
        <w:spacing w:before="0" w:after="240"/>
        <w:rPr>
          <w:rFonts w:eastAsia="Arial Unicode MS"/>
          <w:noProof/>
        </w:rPr>
      </w:pPr>
      <w:r>
        <w:rPr>
          <w:noProof/>
        </w:rPr>
        <w:t>Предвид ограничения обхват на дерогацията специалната мярка е пропорционална на преследваната цел — опростяване на задълженията по ДДС и събирането на ДДС, както и борба с отклонението от данъчно облагане.</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инструмент е решение за изпълнение на Съвета.</w:t>
      </w:r>
    </w:p>
    <w:p>
      <w:pPr>
        <w:pBdr>
          <w:top w:val="nil"/>
          <w:left w:val="nil"/>
          <w:bottom w:val="nil"/>
          <w:right w:val="nil"/>
          <w:between w:val="nil"/>
          <w:bar w:val="nil"/>
        </w:pBdr>
        <w:spacing w:before="0" w:after="240"/>
        <w:rPr>
          <w:rFonts w:eastAsia="Arial Unicode MS"/>
          <w:noProof/>
        </w:rPr>
      </w:pPr>
      <w:r>
        <w:rPr>
          <w:noProof/>
        </w:rPr>
        <w:t>Съгласно член 395 от Директивата за ДДС дерогация от общите правила за ДДС е възможна единствено след разрешение на Съвета, действащ с единодушие по предложение на Комисията. Решение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беше проведена консултация със заинтересованите страни. Настоящото предложение се основава на искане, отправено от Дания, и се отнася само за тази конкретна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 xml:space="preserve">Предложението има за цел да предотврати отклонението от облагане с ДДС и да опрости процедурата по данъчно облагане, поради което може да има положително въздействие както за стопанските субекти, така и за администрацията. Дания определи </w:t>
      </w:r>
      <w:r>
        <w:rPr>
          <w:noProof/>
        </w:rPr>
        <w:lastRenderedPageBreak/>
        <w:t>предложението като подходяща мярка. Датските власти представиха доклада за преглед на мярката, съгласно който през последните години опростената процедура функционира много добре и е целесъобразно тя да бъде продължена.</w:t>
      </w:r>
    </w:p>
    <w:p>
      <w:pPr>
        <w:pBdr>
          <w:top w:val="nil"/>
          <w:left w:val="nil"/>
          <w:bottom w:val="nil"/>
          <w:right w:val="nil"/>
          <w:between w:val="nil"/>
          <w:bar w:val="nil"/>
        </w:pBdr>
        <w:spacing w:before="0" w:after="240"/>
        <w:rPr>
          <w:rFonts w:eastAsia="Arial Unicode MS"/>
          <w:noProof/>
        </w:rPr>
      </w:pPr>
      <w:r>
        <w:rPr>
          <w:noProof/>
        </w:rPr>
        <w:t>Съгласно данните, предоставени от Дания, през 2017, 2018 и 2019 г. са били продадени съответно 22 383, 25 755 и 28 854 дневни ваучера на стойност 225 DKK, от която ДДС възлиза на 40 DKK за един продаден дневен ваучер.  Това означава, че мярката е приложена съгласно предвиденото в момента на нейното въвеждане.</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никакво отражение върху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Мярката няма да има отрицателно въздействие върху собствените ресурси на Съюза, формирани от ДДС.</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Предложението включва клауза за изтичане на срока на действие; като срокът на действие на дерогацията изтича автоматично на 31 декември 2023 г.</w:t>
      </w:r>
    </w:p>
    <w:p>
      <w:pPr>
        <w:pBdr>
          <w:top w:val="nil"/>
          <w:left w:val="nil"/>
          <w:bottom w:val="nil"/>
          <w:right w:val="nil"/>
          <w:between w:val="nil"/>
          <w:bar w:val="nil"/>
        </w:pBdr>
        <w:spacing w:before="0" w:after="240"/>
        <w:rPr>
          <w:rFonts w:eastAsia="Arial Unicode MS"/>
          <w:noProof/>
        </w:rPr>
      </w:pPr>
      <w:r>
        <w:rPr>
          <w:noProof/>
        </w:rPr>
        <w:t>В случай че Дания възнамерява срокът на действие на дерогационната мярка да бъде удължен и след 2023 г., тя следва най-късно до 31 март 2023 г. да представи на Комисията искане за удължаване, придружено от доклад за преглед на мярката.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2020/0124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(EС) 2018/485 на Съвета за предоставяне на разрешение на Дания да приложи специална мярка за дерогация от член 75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6"/>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писмо, заведено в Комисията на 21 февруари 2020 г., Дания поиска в съответствие с член 395, параграф 2, първа алинея от Директива 2006/112/ЕО разрешение да приложи специална мярка за дерогация от член 75 от тази директива, уреждаща правото на приспадане на начисления данък добавена стойност (ДДС).</w:t>
      </w:r>
    </w:p>
    <w:p>
      <w:pPr>
        <w:pStyle w:val="ManualConsidrant"/>
        <w:rPr>
          <w:noProof/>
        </w:rPr>
      </w:pPr>
      <w:r>
        <w:t>(2)</w:t>
      </w:r>
      <w:r>
        <w:tab/>
      </w:r>
      <w:r>
        <w:rPr>
          <w:noProof/>
        </w:rPr>
        <w:t>Съгласно член 395, параграф 2, втора алинея от Директива 2006/112/ЕО, с писмо от 2 април 2020 г. Комисията информира останалите държави членки за отправеното от Дания искане. С писмо от 3 април 2020 г. Комисията съобщи на Дания, че разполага с пълната информация, необходима за разглеждане на искането.</w:t>
      </w:r>
    </w:p>
    <w:p>
      <w:pPr>
        <w:pStyle w:val="ManualConsidrant"/>
        <w:rPr>
          <w:noProof/>
        </w:rPr>
      </w:pPr>
      <w:r>
        <w:t>(3)</w:t>
      </w:r>
      <w:r>
        <w:tab/>
      </w:r>
      <w:r>
        <w:rPr>
          <w:noProof/>
        </w:rPr>
        <w:t>В случай че не се прилага мярка за дерогация, датското законодателство предвижда, че ако лекотоварен автомобил с максимално допустима обща маса от три тона е регистриран от датските власти за ползване само за служебни цели, то на данъчно задълженото лице се разрешава да приспадне пълния размер на начисления ДДС от разходите за закупуване и експлоатация на автомобила. Ако такъв автомобил впоследствие се използва за лични нужди, данъчно задълженото лице губи правото на приспадане на начисления ДДС върху разходите за неговото закупуване.</w:t>
      </w:r>
    </w:p>
    <w:p>
      <w:pPr>
        <w:pStyle w:val="ManualConsidrant"/>
        <w:rPr>
          <w:noProof/>
        </w:rPr>
      </w:pPr>
      <w:r>
        <w:t>(4)</w:t>
      </w:r>
      <w:r>
        <w:tab/>
      </w:r>
      <w:r>
        <w:rPr>
          <w:noProof/>
        </w:rPr>
        <w:t>За смекчаване на последствията от този режим Дания поиска разрешение да въведе специална мярка за дерогация от член 75 от Директива 2006/112/ЕО. С Решение за изпълнение 2012/447/ЕС на Съвета</w:t>
      </w:r>
      <w:r>
        <w:rPr>
          <w:rStyle w:val="FootnoteReference"/>
          <w:noProof/>
        </w:rPr>
        <w:footnoteReference w:id="7"/>
      </w:r>
      <w:r>
        <w:rPr>
          <w:noProof/>
        </w:rPr>
        <w:t xml:space="preserve"> на Дания беше предоставено разрешение да въведе специалната мярка, като впоследствие срокът на действие на разрешението беше удължен с Решение за изпълнение (ЕС) 2015/992 на </w:t>
      </w:r>
      <w:r>
        <w:rPr>
          <w:noProof/>
        </w:rPr>
        <w:lastRenderedPageBreak/>
        <w:t>Съвета до 31 декември 2017 г.</w:t>
      </w:r>
      <w:r>
        <w:rPr>
          <w:rStyle w:val="FootnoteReference"/>
          <w:noProof/>
        </w:rPr>
        <w:footnoteReference w:id="8"/>
      </w:r>
      <w:r>
        <w:rPr>
          <w:noProof/>
        </w:rPr>
        <w:t xml:space="preserve"> С Решение за изпълнение (ЕС) 2018/485 на Съвета</w:t>
      </w:r>
      <w:r>
        <w:rPr>
          <w:rStyle w:val="FootnoteReference"/>
          <w:noProof/>
        </w:rPr>
        <w:footnoteReference w:id="9"/>
      </w:r>
      <w:r>
        <w:rPr>
          <w:noProof/>
        </w:rPr>
        <w:t xml:space="preserve"> на Дания беше предоставено разрешение да приложи специалната мярка от 1 януари 2018 г. до 31 декември 2020 г.</w:t>
      </w:r>
    </w:p>
    <w:p>
      <w:pPr>
        <w:pStyle w:val="ManualConsidrant"/>
        <w:rPr>
          <w:noProof/>
        </w:rPr>
      </w:pPr>
      <w:r>
        <w:t>(5)</w:t>
      </w:r>
      <w:r>
        <w:tab/>
      </w:r>
      <w:r>
        <w:rPr>
          <w:noProof/>
        </w:rPr>
        <w:t>Мярката позволява на данъчно задължено лице, което е регистрирало автомобил само за служебни цели, да го използва за лични цели и в съответствие с член 75 от Директива 2006/112/ЕО на Съвета да изчислява данъчната основа за предполагаемото предоставяне на услуги на базата на фиксирана дневна ставка, като не губи правото си да приспадне ДДС, заплатен при закупуването на автомобила.</w:t>
      </w:r>
    </w:p>
    <w:p>
      <w:pPr>
        <w:pStyle w:val="ManualConsidrant"/>
        <w:rPr>
          <w:noProof/>
        </w:rPr>
      </w:pPr>
      <w:r>
        <w:t>(6)</w:t>
      </w:r>
      <w:r>
        <w:tab/>
      </w:r>
      <w:r>
        <w:rPr>
          <w:noProof/>
        </w:rPr>
        <w:t>Този опростен метод на изчисление обаче следва да се прилага за ползване на автомобила за лични цели до двадесет дни за календарна година, като фиксираният размер на дължимия ДДС е 40 DKK на ден ползване за лични цели. Размерът е определен от датското правителство въз основа на анализ на националните статистически данни.</w:t>
      </w:r>
    </w:p>
    <w:p>
      <w:pPr>
        <w:pStyle w:val="ManualConsidrant"/>
        <w:rPr>
          <w:noProof/>
        </w:rPr>
      </w:pPr>
      <w:r>
        <w:t>(7)</w:t>
      </w:r>
      <w:r>
        <w:tab/>
      </w:r>
      <w:r>
        <w:rPr>
          <w:noProof/>
        </w:rPr>
        <w:t>Мярката, която следва да се прилага за лекотоварни автомобили с максимално допустима обща маса от три тона, цели да улесни изпълнението на задълженията по ДДС на данъчно задължено лице, което спорадично използва за лични цели автомобил, регистриран за служебни цели; по този начин ще се опрости и процедурата по събиране на ДДС. От друга страна, данъчно задълженото лице си запазва правото да избере да регистрира лекотоварен автомобил едновременно за служебни и за лични цели. В този случай данъчно задълженото лице ще загуби правото да приспадне начисления ДДС от разходите за закупуване на автомобила, но няма да е задължено да заплаща дневна сума при ползването му за лични цели.</w:t>
      </w:r>
    </w:p>
    <w:p>
      <w:pPr>
        <w:pStyle w:val="ManualConsidrant"/>
        <w:rPr>
          <w:noProof/>
        </w:rPr>
      </w:pPr>
      <w:r>
        <w:t>(8)</w:t>
      </w:r>
      <w:r>
        <w:tab/>
      </w:r>
      <w:r>
        <w:rPr>
          <w:noProof/>
        </w:rPr>
        <w:t>Разрешаването на мярка, гарантираща, че данъчно задължено лице, което спорадично използва за лични цели автомобил, регистриран само за служебни цели, не се лишава от пълното право на приспадане на начисления върху този автомобил ДДС, е в съответствие с общите разпоредби относно приспадането на данъка съгласно Директива 2006/112/ЕО.</w:t>
      </w:r>
    </w:p>
    <w:p>
      <w:pPr>
        <w:pStyle w:val="ManualConsidrant"/>
        <w:rPr>
          <w:noProof/>
        </w:rPr>
      </w:pPr>
      <w:r>
        <w:t>(9)</w:t>
      </w:r>
      <w:r>
        <w:tab/>
      </w:r>
      <w:r>
        <w:rPr>
          <w:noProof/>
        </w:rPr>
        <w:t>Разрешението следва да важи за ограничен срок и съответно неговото действие следва да изтече на 31 декември 2023 г.</w:t>
      </w:r>
    </w:p>
    <w:p>
      <w:pPr>
        <w:pStyle w:val="ManualConsidrant"/>
        <w:rPr>
          <w:noProof/>
        </w:rPr>
      </w:pPr>
      <w:r>
        <w:t>(10)</w:t>
      </w:r>
      <w:r>
        <w:tab/>
      </w:r>
      <w:r>
        <w:rPr>
          <w:noProof/>
        </w:rPr>
        <w:t>Ако Дания поиска удължаване след 31 декември 2023 г. на срока на действие на специалната мярка, тя следва да представи на Комисията доклад и искане за удължаване до 31 март 2023 г.</w:t>
      </w:r>
    </w:p>
    <w:p>
      <w:pPr>
        <w:pStyle w:val="ManualConsidrant"/>
        <w:rPr>
          <w:noProof/>
        </w:rPr>
      </w:pPr>
      <w:r>
        <w:t>(11)</w:t>
      </w:r>
      <w:r>
        <w:tab/>
      </w:r>
      <w:r>
        <w:rPr>
          <w:noProof/>
        </w:rPr>
        <w:t>Дерогацията ще има незначително отражение върху общия размер на приходите от ДДС, събирани на етапа на крайно потребление, и няма отрицателно въздействие върху собствените ресурси на Съюза, формирани от данъка върху добавената стойност.</w:t>
      </w:r>
    </w:p>
    <w:p>
      <w:pPr>
        <w:pStyle w:val="ManualConsidrant"/>
        <w:rPr>
          <w:noProof/>
        </w:rPr>
      </w:pPr>
      <w:r>
        <w:t>(12)</w:t>
      </w:r>
      <w:r>
        <w:tab/>
      </w:r>
      <w:r>
        <w:rPr>
          <w:noProof/>
        </w:rPr>
        <w:t>Поради това Решение за изпълнение (ЕС) 2018/485 следва да бъде съответно изменено,</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В член 3 от Решение за изпълнение (ЕС) 2018/485 вторият и третият параграф се заменят със следното:</w:t>
      </w:r>
    </w:p>
    <w:p>
      <w:pPr>
        <w:rPr>
          <w:noProof/>
        </w:rPr>
      </w:pPr>
      <w:r>
        <w:rPr>
          <w:noProof/>
        </w:rPr>
        <w:t>„То се прилага от 1 януари 2018 г. до 31 декември 2023 г.</w:t>
      </w:r>
    </w:p>
    <w:p>
      <w:pPr>
        <w:rPr>
          <w:noProof/>
        </w:rPr>
      </w:pPr>
      <w:r>
        <w:rPr>
          <w:noProof/>
        </w:rPr>
        <w:t>Всяко искане за удължаване на срока на прилагане на мярката, предвидена в настоящото решение, се представя на Комисията до 31 март 2023 г. и се придружава от доклад, който включва преглед на мярката.“.</w:t>
      </w:r>
    </w:p>
    <w:p>
      <w:pPr>
        <w:pStyle w:val="Titrearticle"/>
        <w:rPr>
          <w:noProof/>
        </w:rPr>
      </w:pPr>
      <w:r>
        <w:rPr>
          <w:noProof/>
        </w:rPr>
        <w:t>Член 2</w:t>
      </w:r>
    </w:p>
    <w:p>
      <w:pPr>
        <w:keepNext/>
        <w:keepLines/>
        <w:rPr>
          <w:noProof/>
        </w:rPr>
      </w:pPr>
      <w:r>
        <w:rPr>
          <w:noProof/>
          <w:color w:val="000000"/>
        </w:rPr>
        <w:t>Адресат на настоящото решение е Кралство Дания</w:t>
      </w:r>
      <w: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pStyle w:val="FootnoteText"/>
      </w:pPr>
      <w:r>
        <w:rPr>
          <w:rStyle w:val="FootnoteReference"/>
        </w:rPr>
        <w:footnoteRef/>
      </w:r>
      <w:r>
        <w:tab/>
        <w:t>ОВ L 81, 23.3.2018 г., стр. 13—14.</w:t>
      </w:r>
    </w:p>
  </w:footnote>
  <w:footnote w:id="3">
    <w:p>
      <w:pPr>
        <w:pStyle w:val="FootnoteText"/>
      </w:pPr>
      <w:r>
        <w:rPr>
          <w:rStyle w:val="FootnoteReference"/>
        </w:rPr>
        <w:footnoteRef/>
      </w:r>
      <w:r>
        <w:tab/>
        <w:t>ОВ L 202, 28.7.2012 г., стр. 24—25.</w:t>
      </w:r>
    </w:p>
  </w:footnote>
  <w:footnote w:id="4">
    <w:p>
      <w:pPr>
        <w:pStyle w:val="FootnoteText"/>
      </w:pPr>
      <w:r>
        <w:rPr>
          <w:rStyle w:val="FootnoteReference"/>
        </w:rPr>
        <w:footnoteRef/>
      </w:r>
      <w:r>
        <w:tab/>
        <w:t xml:space="preserve">ОВ L 159, 25.6.2015 г., стр. 66—67. </w:t>
      </w:r>
    </w:p>
  </w:footnote>
  <w:footnote w:id="5">
    <w:p>
      <w:pPr>
        <w:pStyle w:val="FootnoteText"/>
        <w:jc w:val="left"/>
      </w:pPr>
      <w:r>
        <w:rPr>
          <w:rStyle w:val="FootnoteReference"/>
        </w:rPr>
        <w:footnoteRef/>
      </w:r>
      <w:r>
        <w:tab/>
        <w:t xml:space="preserve">COM(2004) 728 final — Предложение за Директива на Съвета за изменение на Директива 77/388/ЕИО с цел опростяване на задълженията, свързани с данъка върху добавената стойност (ОВ C 24, 29.1.2005 г., стр. 10), оттеглено на 21 май 2014 г. </w:t>
      </w:r>
      <w:r>
        <w:rPr>
          <w:rStyle w:val="Hyperlink"/>
        </w:rPr>
        <w:t xml:space="preserve"> </w:t>
      </w:r>
      <w:r>
        <w:t xml:space="preserve">(ОВ C 153, 21. 5. 2014 г., стр. 3). </w:t>
      </w:r>
    </w:p>
  </w:footnote>
  <w:footnote w:id="6">
    <w:p>
      <w:pPr>
        <w:pStyle w:val="FootnoteText"/>
      </w:pPr>
      <w:r>
        <w:rPr>
          <w:rStyle w:val="FootnoteReference"/>
        </w:rPr>
        <w:footnoteRef/>
      </w:r>
      <w:r>
        <w:tab/>
        <w:t>ОВ L 347, 11.12.2006 г., стр. 1.</w:t>
      </w:r>
    </w:p>
  </w:footnote>
  <w:footnote w:id="7">
    <w:p>
      <w:pPr>
        <w:pStyle w:val="FootnoteText"/>
      </w:pPr>
      <w:r>
        <w:rPr>
          <w:rStyle w:val="FootnoteReference"/>
        </w:rPr>
        <w:footnoteRef/>
      </w:r>
      <w:r>
        <w:tab/>
        <w:t>ОВ L 202, 28.7.2012 г., стр. 24—25.</w:t>
      </w:r>
    </w:p>
  </w:footnote>
  <w:footnote w:id="8">
    <w:p>
      <w:pPr>
        <w:pStyle w:val="FootnoteText"/>
      </w:pPr>
      <w:r>
        <w:rPr>
          <w:rStyle w:val="FootnoteReference"/>
        </w:rPr>
        <w:footnoteRef/>
      </w:r>
      <w:r>
        <w:tab/>
        <w:t xml:space="preserve">ОВ L 159, 25.6.2015 г., стр. 66—67. </w:t>
      </w:r>
    </w:p>
  </w:footnote>
  <w:footnote w:id="9">
    <w:p>
      <w:pPr>
        <w:pStyle w:val="FootnoteText"/>
      </w:pPr>
      <w:r>
        <w:rPr>
          <w:rStyle w:val="FootnoteReference"/>
        </w:rPr>
        <w:footnoteRef/>
      </w:r>
      <w:r>
        <w:tab/>
        <w:t>ОВ L 81, 23.3.2018 г., стр. 13—14.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BA7B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0C73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ECC8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3607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D886A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DEA1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E04424"/>
    <w:lvl w:ilvl="0">
      <w:start w:val="1"/>
      <w:numFmt w:val="decimal"/>
      <w:pStyle w:val="ListNumber"/>
      <w:lvlText w:val="%1."/>
      <w:lvlJc w:val="left"/>
      <w:pPr>
        <w:tabs>
          <w:tab w:val="num" w:pos="360"/>
        </w:tabs>
        <w:ind w:left="360" w:hanging="360"/>
      </w:pPr>
    </w:lvl>
  </w:abstractNum>
  <w:abstractNum w:abstractNumId="7">
    <w:nsid w:val="FFFFFF89"/>
    <w:multiLevelType w:val="singleLevel"/>
    <w:tmpl w:val="BDCA74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2 13:37: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06C606F-6364-43A7-ADEC-04AD7BBCE60B"/>
    <w:docVar w:name="LW_COVERPAGE_TYPE" w:val="1"/>
    <w:docVar w:name="LW_CROSSREFERENCE" w:val="&lt;UNUSED&gt;"/>
    <w:docVar w:name="LW_DocType" w:val="COM"/>
    <w:docVar w:name="LW_EMISSION" w:val="22.6.2020"/>
    <w:docVar w:name="LW_EMISSION_ISODATE" w:val="2020-06-22"/>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4"/>
    <w:docVar w:name="LW_REF.II.NEW.CP_YEAR" w:val="2020"/>
    <w:docVar w:name="LW_REF.INST.NEW" w:val="COM"/>
    <w:docVar w:name="LW_REF.INST.NEW_ADOPTED" w:val="final"/>
    <w:docVar w:name="LW_REF.INST.NEW_TEXT" w:val="(2020) 2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E\u1057?) 2018/485 \u1085?\u1072? \u1057?\u1098?\u1074?\u1077?\u1090?\u1072? \u1079?\u1072? \u1087?\u1088?\u1077?\u1076?\u1086?\u1089?\u1090?\u1072?\u1074?\u1103?\u1085?\u1077? \u1085?\u1072? \u1088?\u1072?\u1079?\u1088?\u1077?\u1096?\u1077?\u1085?\u1080?\u1077? \u1085?\u1072? \u1044?\u1072?\u1085?\u1080?\u1103? \u1076?\u1072? \u1087?\u1088?\u1080?\u1083?\u1086?\u1078?\u1080? \u1089?\u1087?\u1077?\u1094?\u1080?\u1072?\u1083?\u1085?\u1072? \u1084?\u1103?\u1088?\u1082?\u1072? \u1079?\u1072? \u1076?\u1077?\u1088?\u1086?\u1075?\u1072?\u1094?\u1080?\u1103? \u1086?\u1090? \u1095?\u1083?\u1077?\u1085? 75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334A-E21F-494C-AA93-F8602C7A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2233</Words>
  <Characters>12399</Characters>
  <Application>Microsoft Office Word</Application>
  <DocSecurity>0</DocSecurity>
  <Lines>233</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2020-06-02T14:51:00Z</dcterms:created>
  <dcterms:modified xsi:type="dcterms:W3CDTF">2020-06-12T11:37:00Z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