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554D447E-32CE-471E-89F6-6B9909280DA1" style="width:450.75pt;height:420.75pt">
            <v:imagedata r:id="rId9" o:title=""/>
          </v:shape>
        </w:pict>
      </w:r>
    </w:p>
    <w:bookmarkEnd w:id="0"/>
    <w:p>
      <w:pPr>
        <w:rPr>
          <w:rFonts w:ascii="Times New Roman" w:hAnsi="Times New Roman" w:cs="Times New Roman"/>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Annexetitre"/>
        <w:rPr>
          <w:szCs w:val="24"/>
        </w:rPr>
      </w:pPr>
      <w:bookmarkStart w:id="1" w:name="_GoBack"/>
      <w:bookmarkEnd w:id="1"/>
      <w:r>
        <w:lastRenderedPageBreak/>
        <w:t>ANNEXE</w:t>
      </w:r>
    </w:p>
    <w:p>
      <w:pPr>
        <w:pStyle w:val="Annexetitre"/>
        <w:rPr>
          <w:szCs w:val="24"/>
        </w:rPr>
      </w:pPr>
      <w:r>
        <w:t>Position à prendre au nom de l’Union européenne concernant la notification à l’Organisation de l’aviation civile internationale des différences liées à la COVID-</w:t>
      </w:r>
      <w:r>
        <w:t>19</w:t>
      </w:r>
    </w:p>
    <w:p>
      <w:pPr>
        <w:spacing w:after="0"/>
        <w:rPr>
          <w:rFonts w:ascii="Times New Roman" w:hAnsi="Times New Roman" w:cs="Times New Roman"/>
          <w:sz w:val="24"/>
          <w:szCs w:val="24"/>
        </w:rPr>
      </w:pPr>
    </w:p>
    <w:p>
      <w:pPr>
        <w:pStyle w:val="Heading1"/>
        <w:rPr>
          <w:szCs w:val="24"/>
        </w:rPr>
      </w:pPr>
      <w:r>
        <w:t>Position à prendre</w:t>
      </w:r>
    </w:p>
    <w:p>
      <w:pPr>
        <w:jc w:val="both"/>
        <w:rPr>
          <w:rFonts w:ascii="Times New Roman" w:hAnsi="Times New Roman" w:cs="Times New Roman"/>
          <w:sz w:val="24"/>
          <w:szCs w:val="24"/>
        </w:rPr>
      </w:pPr>
      <w:r>
        <w:rPr>
          <w:rFonts w:ascii="Times New Roman" w:hAnsi="Times New Roman"/>
        </w:rPr>
        <w:t xml:space="preserve">La position à prendre au nom de l’Union en réponse à la lettre AN </w:t>
      </w:r>
      <w:r>
        <w:rPr>
          <w:rFonts w:ascii="Times New Roman" w:hAnsi="Times New Roman"/>
        </w:rPr>
        <w:t>11</w:t>
      </w:r>
      <w:r>
        <w:rPr>
          <w:rFonts w:ascii="Times New Roman" w:hAnsi="Times New Roman"/>
        </w:rPr>
        <w:t>/</w:t>
      </w:r>
      <w:r>
        <w:rPr>
          <w:rFonts w:ascii="Times New Roman" w:hAnsi="Times New Roman"/>
        </w:rPr>
        <w:t>55</w:t>
      </w:r>
      <w:r>
        <w:rPr>
          <w:rFonts w:ascii="Times New Roman" w:hAnsi="Times New Roman"/>
        </w:rPr>
        <w:t>-</w:t>
      </w:r>
      <w:r>
        <w:rPr>
          <w:rFonts w:ascii="Times New Roman" w:hAnsi="Times New Roman"/>
        </w:rPr>
        <w:t>20</w:t>
      </w:r>
      <w:r>
        <w:rPr>
          <w:rFonts w:ascii="Times New Roman" w:hAnsi="Times New Roman"/>
        </w:rPr>
        <w:t>/</w:t>
      </w:r>
      <w:r>
        <w:rPr>
          <w:rFonts w:ascii="Times New Roman" w:hAnsi="Times New Roman"/>
        </w:rPr>
        <w:t>50</w:t>
      </w:r>
      <w:r>
        <w:rPr>
          <w:rFonts w:ascii="Times New Roman" w:hAnsi="Times New Roman"/>
        </w:rPr>
        <w:t xml:space="preserve"> adressée aux États par l’Organisation de l’aviation civile internationale le </w:t>
      </w:r>
      <w:r>
        <w:rPr>
          <w:rFonts w:ascii="Times New Roman" w:hAnsi="Times New Roman"/>
        </w:rPr>
        <w:t>3</w:t>
      </w:r>
      <w:r>
        <w:rPr>
          <w:rFonts w:ascii="Times New Roman" w:hAnsi="Times New Roman"/>
        </w:rPr>
        <w:t> </w:t>
      </w:r>
      <w:r>
        <w:rPr>
          <w:rFonts w:ascii="Times New Roman" w:hAnsi="Times New Roman"/>
        </w:rPr>
        <w:t xml:space="preserve">avril </w:t>
      </w:r>
      <w:r>
        <w:rPr>
          <w:rFonts w:ascii="Times New Roman" w:hAnsi="Times New Roman"/>
        </w:rPr>
        <w:t>2020</w:t>
      </w:r>
      <w:r>
        <w:rPr>
          <w:rFonts w:ascii="Times New Roman" w:hAnsi="Times New Roman"/>
        </w:rPr>
        <w:t xml:space="preserve"> consiste à notifier une différence par rapport aux annexes </w:t>
      </w:r>
      <w:r>
        <w:rPr>
          <w:rFonts w:ascii="Times New Roman" w:hAnsi="Times New Roman"/>
        </w:rPr>
        <w:t>1</w:t>
      </w:r>
      <w:r>
        <w:rPr>
          <w:rFonts w:ascii="Times New Roman" w:hAnsi="Times New Roman"/>
        </w:rPr>
        <w:t xml:space="preserve"> et </w:t>
      </w:r>
      <w:r>
        <w:rPr>
          <w:rFonts w:ascii="Times New Roman" w:hAnsi="Times New Roman"/>
        </w:rPr>
        <w:t>6</w:t>
      </w:r>
      <w:r>
        <w:rPr>
          <w:rFonts w:ascii="Times New Roman" w:hAnsi="Times New Roman"/>
        </w:rPr>
        <w:t xml:space="preserve"> de la convention de Chicago en raison de mesures temporaires liées à la pandémie de COVID-</w:t>
      </w:r>
      <w:r>
        <w:rPr>
          <w:rFonts w:ascii="Times New Roman" w:hAnsi="Times New Roman"/>
        </w:rPr>
        <w:t>19</w:t>
      </w:r>
      <w:r>
        <w:rPr>
          <w:rFonts w:ascii="Times New Roman" w:hAnsi="Times New Roman"/>
        </w:rPr>
        <w:t xml:space="preserve">, comme énoncé dans la présente annexe et décrit plus en détail par chaque État membre notifiant conformément à sa propre dérogation appliquée en vertu de l’article </w:t>
      </w:r>
      <w:r>
        <w:rPr>
          <w:rFonts w:ascii="Times New Roman" w:hAnsi="Times New Roman"/>
        </w:rPr>
        <w:t>71</w:t>
      </w:r>
      <w:r>
        <w:rPr>
          <w:rFonts w:ascii="Times New Roman" w:hAnsi="Times New Roman"/>
        </w:rPr>
        <w:t xml:space="preserve"> du règlement (UE) </w:t>
      </w:r>
      <w:r>
        <w:rPr>
          <w:rFonts w:ascii="Times New Roman" w:hAnsi="Times New Roman"/>
        </w:rPr>
        <w:t>2018</w:t>
      </w:r>
      <w:r>
        <w:rPr>
          <w:rFonts w:ascii="Times New Roman" w:hAnsi="Times New Roman"/>
        </w:rPr>
        <w:t>/</w:t>
      </w:r>
      <w:r>
        <w:rPr>
          <w:rFonts w:ascii="Times New Roman" w:hAnsi="Times New Roman"/>
        </w:rPr>
        <w:t>1139</w:t>
      </w:r>
      <w:r>
        <w:rPr>
          <w:rFonts w:ascii="Times New Roman" w:hAnsi="Times New Roman"/>
        </w:rPr>
        <w:t>.</w:t>
      </w:r>
    </w:p>
    <w:p>
      <w:pPr>
        <w:pStyle w:val="Heading1"/>
        <w:rPr>
          <w:szCs w:val="24"/>
        </w:rPr>
      </w:pPr>
      <w:r>
        <w:t>Explication détaillée</w:t>
      </w:r>
    </w:p>
    <w:p>
      <w:pPr>
        <w:spacing w:after="0"/>
        <w:jc w:val="both"/>
        <w:rPr>
          <w:rFonts w:ascii="Times New Roman" w:hAnsi="Times New Roman" w:cs="Times New Roman"/>
          <w:sz w:val="24"/>
          <w:szCs w:val="24"/>
        </w:rPr>
      </w:pPr>
      <w:r>
        <w:rPr>
          <w:rFonts w:ascii="Times New Roman" w:hAnsi="Times New Roman"/>
        </w:rPr>
        <w:t xml:space="preserve">Les différences à notifier figurent dans le tableau ci-après et sont détaillées par chaque État membre notifiant conformément à sa propre dérogation appliquée en vertu de l’article </w:t>
      </w:r>
      <w:r>
        <w:rPr>
          <w:rFonts w:ascii="Times New Roman" w:hAnsi="Times New Roman"/>
        </w:rPr>
        <w:t>71</w:t>
      </w:r>
      <w:r>
        <w:rPr>
          <w:rFonts w:ascii="Times New Roman" w:hAnsi="Times New Roman"/>
        </w:rPr>
        <w:t xml:space="preserve"> du règlement (UE) </w:t>
      </w:r>
      <w:r>
        <w:rPr>
          <w:rFonts w:ascii="Times New Roman" w:hAnsi="Times New Roman"/>
        </w:rPr>
        <w:t>2018</w:t>
      </w:r>
      <w:r>
        <w:rPr>
          <w:rFonts w:ascii="Times New Roman" w:hAnsi="Times New Roman"/>
        </w:rPr>
        <w:t>/</w:t>
      </w:r>
      <w:r>
        <w:rPr>
          <w:rFonts w:ascii="Times New Roman" w:hAnsi="Times New Roman"/>
        </w:rPr>
        <w:t>1139</w:t>
      </w:r>
      <w:r>
        <w:rPr>
          <w:rFonts w:ascii="Times New Roman" w:hAnsi="Times New Roman"/>
        </w:rPr>
        <w:t>.</w:t>
      </w:r>
    </w:p>
    <w:p>
      <w:pPr>
        <w:rPr>
          <w:rFonts w:ascii="Times New Roman" w:hAnsi="Times New Roman" w:cs="Times New Roman"/>
          <w:sz w:val="24"/>
        </w:rPr>
      </w:pPr>
      <w:r>
        <w:br w:type="page"/>
      </w:r>
    </w:p>
    <w:p>
      <w:pPr>
        <w:jc w:val="center"/>
        <w:rPr>
          <w:b/>
          <w:bCs/>
          <w:sz w:val="20"/>
          <w:szCs w:val="20"/>
        </w:rPr>
      </w:pPr>
      <w:r>
        <w:rPr>
          <w:b/>
          <w:bCs/>
          <w:sz w:val="20"/>
          <w:szCs w:val="20"/>
        </w:rPr>
        <w:t>FORMULAIRE DE NOTIFICATION DES DIFFÉRENCES TEMPORAIRES LIÉES À LA COVID-</w:t>
      </w:r>
      <w:r>
        <w:rPr>
          <w:b/>
          <w:bCs/>
          <w:sz w:val="20"/>
          <w:szCs w:val="20"/>
        </w:rPr>
        <w:t>19</w:t>
      </w:r>
    </w:p>
    <w:p>
      <w:pPr>
        <w:jc w:val="center"/>
        <w:rPr>
          <w:b/>
          <w:bCs/>
          <w:sz w:val="20"/>
          <w:szCs w:val="20"/>
        </w:rPr>
      </w:pPr>
    </w:p>
    <w:p>
      <w:pPr>
        <w:rPr>
          <w:b/>
          <w:bCs/>
          <w:sz w:val="20"/>
          <w:szCs w:val="20"/>
        </w:rPr>
      </w:pPr>
      <w:r>
        <w:rPr>
          <w:b/>
          <w:sz w:val="20"/>
          <w:szCs w:val="20"/>
        </w:rPr>
        <w:t xml:space="preserve">En référence à la lettre adressée aux États AN/ </w:t>
      </w:r>
      <w:r>
        <w:rPr>
          <w:b/>
          <w:sz w:val="20"/>
          <w:szCs w:val="20"/>
        </w:rPr>
        <w:t>11</w:t>
      </w:r>
      <w:r>
        <w:rPr>
          <w:b/>
          <w:sz w:val="20"/>
          <w:szCs w:val="20"/>
        </w:rPr>
        <w:t>/</w:t>
      </w:r>
      <w:r>
        <w:rPr>
          <w:b/>
          <w:sz w:val="20"/>
          <w:szCs w:val="20"/>
        </w:rPr>
        <w:t>55</w:t>
      </w:r>
      <w:r>
        <w:rPr>
          <w:b/>
          <w:sz w:val="20"/>
          <w:szCs w:val="20"/>
        </w:rPr>
        <w:t>-</w:t>
      </w:r>
      <w:r>
        <w:rPr>
          <w:b/>
          <w:sz w:val="20"/>
          <w:szCs w:val="20"/>
        </w:rPr>
        <w:t>20</w:t>
      </w:r>
      <w:r>
        <w:rPr>
          <w:b/>
          <w:sz w:val="20"/>
          <w:szCs w:val="20"/>
        </w:rPr>
        <w:t>/</w:t>
      </w:r>
      <w:r>
        <w:rPr>
          <w:b/>
          <w:sz w:val="20"/>
          <w:szCs w:val="20"/>
        </w:rPr>
        <w:t>50</w:t>
      </w:r>
      <w:r>
        <w:rPr>
          <w:b/>
          <w:sz w:val="20"/>
          <w:szCs w:val="20"/>
        </w:rPr>
        <w:t>, le sous-système «CCRD» a été créé dans le système existant de consignation électronique des différences (EFOD) afin de regrouper toutes les différences par rapport aux normes relatives à la certification et aux licences qui pourraient apparaître en raison de mesures d’atténuation liée à la pandémie de COVID-</w:t>
      </w:r>
      <w:r>
        <w:rPr>
          <w:b/>
          <w:sz w:val="20"/>
          <w:szCs w:val="20"/>
        </w:rPr>
        <w:t>19</w:t>
      </w:r>
      <w:r>
        <w:rPr>
          <w:b/>
          <w:sz w:val="20"/>
          <w:szCs w:val="20"/>
        </w:rPr>
        <w:t>.</w:t>
      </w:r>
    </w:p>
    <w:p>
      <w:pPr>
        <w:rPr>
          <w:b/>
          <w:bCs/>
          <w:sz w:val="20"/>
          <w:szCs w:val="20"/>
        </w:rPr>
      </w:pPr>
      <w:r>
        <w:rPr>
          <w:b/>
          <w:bCs/>
          <w:sz w:val="20"/>
          <w:szCs w:val="20"/>
        </w:rPr>
        <w:t>Quoi</w:t>
      </w:r>
    </w:p>
    <w:p>
      <w:pPr>
        <w:rPr>
          <w:sz w:val="20"/>
          <w:szCs w:val="20"/>
        </w:rPr>
      </w:pPr>
      <w:r>
        <w:rPr>
          <w:sz w:val="20"/>
          <w:szCs w:val="20"/>
        </w:rPr>
        <w:t>Il est admis que les États peuvent avoir besoin d’approches flexibles pour permettre aux fournisseurs de services et au personnel de maintenir la validité de leurs certificats, licences et autres agréments dans le contexte de la pandémie de COVID-</w:t>
      </w:r>
      <w:r>
        <w:rPr>
          <w:sz w:val="20"/>
          <w:szCs w:val="20"/>
        </w:rPr>
        <w:t>19</w:t>
      </w:r>
      <w:r>
        <w:rPr>
          <w:sz w:val="20"/>
          <w:szCs w:val="20"/>
        </w:rPr>
        <w:t>. Le présent formulaire permet à un État de notifier ces différences temporaires.</w:t>
      </w:r>
    </w:p>
    <w:p>
      <w:pPr>
        <w:rPr>
          <w:b/>
          <w:bCs/>
          <w:sz w:val="20"/>
          <w:szCs w:val="20"/>
        </w:rPr>
      </w:pPr>
      <w:r>
        <w:rPr>
          <w:b/>
          <w:bCs/>
          <w:sz w:val="20"/>
          <w:szCs w:val="20"/>
        </w:rPr>
        <w:t>Pourquoi</w:t>
      </w:r>
    </w:p>
    <w:p>
      <w:pPr>
        <w:rPr>
          <w:sz w:val="20"/>
          <w:szCs w:val="20"/>
        </w:rPr>
      </w:pPr>
      <w:r>
        <w:rPr>
          <w:sz w:val="20"/>
          <w:szCs w:val="20"/>
        </w:rPr>
        <w:t>Cela est nécessaire pour aider les États à respecter les obligations qui leur incombent au titre des articles</w:t>
      </w:r>
      <w:r>
        <w:rPr>
          <w:sz w:val="20"/>
          <w:szCs w:val="20"/>
        </w:rPr>
        <w:t> </w:t>
      </w:r>
      <w:r>
        <w:rPr>
          <w:sz w:val="20"/>
          <w:szCs w:val="20"/>
        </w:rPr>
        <w:t>38</w:t>
      </w:r>
      <w:r>
        <w:rPr>
          <w:sz w:val="20"/>
          <w:szCs w:val="20"/>
        </w:rPr>
        <w:t xml:space="preserve">, </w:t>
      </w:r>
      <w:r>
        <w:rPr>
          <w:sz w:val="20"/>
          <w:szCs w:val="20"/>
        </w:rPr>
        <w:t>39</w:t>
      </w:r>
      <w:r>
        <w:rPr>
          <w:sz w:val="20"/>
          <w:szCs w:val="20"/>
        </w:rPr>
        <w:t xml:space="preserve"> et</w:t>
      </w:r>
      <w:r>
        <w:rPr>
          <w:sz w:val="20"/>
          <w:szCs w:val="20"/>
        </w:rPr>
        <w:t> </w:t>
      </w:r>
      <w:r>
        <w:rPr>
          <w:sz w:val="20"/>
          <w:szCs w:val="20"/>
        </w:rPr>
        <w:t>40</w:t>
      </w:r>
      <w:r>
        <w:rPr>
          <w:sz w:val="20"/>
          <w:szCs w:val="20"/>
        </w:rPr>
        <w:t xml:space="preserve"> de la convention, afin de mener des opérations internationales dans lesquelles les certifications et licences diffèrent des normes minimales figurant dans les annexes. Cela permet également le partage d’informations sur la question de savoir si les différences notifiées seront reconnues ou acceptées par les autres États au cours de cette période.</w:t>
      </w:r>
    </w:p>
    <w:p>
      <w:pPr>
        <w:rPr>
          <w:b/>
          <w:bCs/>
          <w:sz w:val="20"/>
          <w:szCs w:val="20"/>
        </w:rPr>
      </w:pPr>
      <w:r>
        <w:rPr>
          <w:b/>
          <w:bCs/>
          <w:sz w:val="20"/>
          <w:szCs w:val="20"/>
        </w:rPr>
        <w:t>Quand</w:t>
      </w:r>
    </w:p>
    <w:p>
      <w:pPr>
        <w:rPr>
          <w:sz w:val="20"/>
          <w:szCs w:val="20"/>
        </w:rPr>
      </w:pPr>
      <w:r>
        <w:rPr>
          <w:sz w:val="20"/>
          <w:szCs w:val="20"/>
        </w:rPr>
        <w:t xml:space="preserve">Ces mesures temporaires s’appliquent jusqu’au </w:t>
      </w:r>
      <w:r>
        <w:rPr>
          <w:sz w:val="20"/>
          <w:szCs w:val="20"/>
        </w:rPr>
        <w:t>31</w:t>
      </w:r>
      <w:r>
        <w:rPr>
          <w:sz w:val="20"/>
          <w:szCs w:val="20"/>
        </w:rPr>
        <w:t> </w:t>
      </w:r>
      <w:r>
        <w:rPr>
          <w:sz w:val="20"/>
          <w:szCs w:val="20"/>
        </w:rPr>
        <w:t xml:space="preserve">mars </w:t>
      </w:r>
      <w:r>
        <w:rPr>
          <w:sz w:val="20"/>
          <w:szCs w:val="20"/>
        </w:rPr>
        <w:t>2021</w:t>
      </w:r>
      <w:r>
        <w:rPr>
          <w:sz w:val="20"/>
          <w:szCs w:val="20"/>
        </w:rPr>
        <w:t>. Cette date fait l’objet d’un réexamen.</w:t>
      </w:r>
    </w:p>
    <w:p>
      <w:pPr>
        <w:rPr>
          <w:b/>
          <w:bCs/>
          <w:sz w:val="20"/>
          <w:szCs w:val="20"/>
        </w:rPr>
      </w:pPr>
      <w:r>
        <w:rPr>
          <w:b/>
          <w:bCs/>
          <w:sz w:val="20"/>
          <w:szCs w:val="20"/>
        </w:rPr>
        <w:t>Qui</w:t>
      </w:r>
    </w:p>
    <w:p>
      <w:pPr>
        <w:rPr>
          <w:sz w:val="20"/>
          <w:szCs w:val="20"/>
        </w:rPr>
      </w:pPr>
      <w:r>
        <w:rPr>
          <w:sz w:val="20"/>
          <w:szCs w:val="20"/>
        </w:rPr>
        <w:t>Il n’y a pas de restriction quant à qui peut remplir le formulaire. Il ne peut cependant être présenté que par le coordinateur national du contrôle continu ou un utilisateur autorisé d’un État membre, responsable de l’exactitude des informations fournies.</w:t>
      </w:r>
    </w:p>
    <w:p>
      <w:pPr>
        <w:rPr>
          <w:b/>
          <w:bCs/>
          <w:sz w:val="20"/>
          <w:szCs w:val="20"/>
        </w:rPr>
      </w:pPr>
      <w:r>
        <w:rPr>
          <w:b/>
          <w:bCs/>
          <w:sz w:val="20"/>
          <w:szCs w:val="20"/>
        </w:rPr>
        <w:t>Comment</w:t>
      </w:r>
    </w:p>
    <w:p>
      <w:pPr>
        <w:rPr>
          <w:sz w:val="20"/>
          <w:szCs w:val="20"/>
        </w:rPr>
      </w:pPr>
      <w:r>
        <w:rPr>
          <w:sz w:val="20"/>
          <w:szCs w:val="20"/>
        </w:rPr>
        <w:t xml:space="preserve">Les normes spécifiquement liées à la certification et à l’agrément du personnel dont les États peuvent juger nécessaire de s’écarter sont énumérées dans le présent formulaire. La référence spécifique de l’annexe et la norme associée sont présentées dans les colonnes </w:t>
      </w:r>
      <w:r>
        <w:rPr>
          <w:sz w:val="20"/>
          <w:szCs w:val="20"/>
        </w:rPr>
        <w:t>1</w:t>
      </w:r>
      <w:r>
        <w:rPr>
          <w:sz w:val="20"/>
          <w:szCs w:val="20"/>
        </w:rPr>
        <w:t xml:space="preserve"> et </w:t>
      </w:r>
      <w:r>
        <w:rPr>
          <w:sz w:val="20"/>
          <w:szCs w:val="20"/>
        </w:rPr>
        <w:t>2</w:t>
      </w:r>
      <w:r>
        <w:rPr>
          <w:sz w:val="20"/>
          <w:szCs w:val="20"/>
        </w:rPr>
        <w:t xml:space="preserve">. Les informations demandées dans chaque colonne sont les suivantes: </w:t>
      </w:r>
    </w:p>
    <w:p>
      <w:pPr>
        <w:ind w:left="720"/>
        <w:rPr>
          <w:sz w:val="20"/>
          <w:szCs w:val="20"/>
        </w:rPr>
      </w:pPr>
      <w:r>
        <w:rPr>
          <w:b/>
          <w:sz w:val="20"/>
          <w:szCs w:val="20"/>
        </w:rPr>
        <w:t xml:space="preserve">Colonne </w:t>
      </w:r>
      <w:r>
        <w:rPr>
          <w:b/>
          <w:sz w:val="20"/>
          <w:szCs w:val="20"/>
        </w:rPr>
        <w:t>3</w:t>
      </w:r>
      <w:r>
        <w:rPr>
          <w:b/>
          <w:sz w:val="20"/>
          <w:szCs w:val="20"/>
        </w:rPr>
        <w:t>: Détails de la différence</w:t>
      </w:r>
    </w:p>
    <w:p>
      <w:pPr>
        <w:ind w:left="1440"/>
        <w:rPr>
          <w:sz w:val="20"/>
          <w:szCs w:val="20"/>
        </w:rPr>
      </w:pPr>
      <w:r>
        <w:rPr>
          <w:sz w:val="20"/>
          <w:szCs w:val="20"/>
        </w:rPr>
        <w:t>Veuillez résumer la différence avec les normes de certification et d’agrément. Veuillez indiquer au besoin les références des documents réglementaires correspondants.</w:t>
      </w:r>
    </w:p>
    <w:p>
      <w:pPr>
        <w:ind w:left="720"/>
        <w:rPr>
          <w:sz w:val="20"/>
          <w:szCs w:val="20"/>
        </w:rPr>
      </w:pPr>
      <w:r>
        <w:rPr>
          <w:b/>
          <w:sz w:val="20"/>
          <w:szCs w:val="20"/>
        </w:rPr>
        <w:t xml:space="preserve">Colonne </w:t>
      </w:r>
      <w:r>
        <w:rPr>
          <w:b/>
          <w:sz w:val="20"/>
          <w:szCs w:val="20"/>
        </w:rPr>
        <w:t>4</w:t>
      </w:r>
      <w:r>
        <w:rPr>
          <w:b/>
          <w:sz w:val="20"/>
          <w:szCs w:val="20"/>
        </w:rPr>
        <w:t>: Remarques</w:t>
      </w:r>
    </w:p>
    <w:p>
      <w:pPr>
        <w:ind w:left="1440"/>
        <w:rPr>
          <w:sz w:val="20"/>
          <w:szCs w:val="20"/>
        </w:rPr>
      </w:pPr>
      <w:r>
        <w:rPr>
          <w:sz w:val="20"/>
          <w:szCs w:val="20"/>
        </w:rPr>
        <w:t>Veuillez exposer les motifs de ces différences ainsi que le détail des conditions et atténuations si cela est nécessaire.</w:t>
      </w:r>
    </w:p>
    <w:p>
      <w:pPr>
        <w:ind w:left="720"/>
        <w:rPr>
          <w:sz w:val="20"/>
          <w:szCs w:val="20"/>
        </w:rPr>
      </w:pPr>
      <w:r>
        <w:rPr>
          <w:b/>
          <w:sz w:val="20"/>
          <w:szCs w:val="20"/>
        </w:rPr>
        <w:t xml:space="preserve">Colonne </w:t>
      </w:r>
      <w:r>
        <w:rPr>
          <w:b/>
          <w:sz w:val="20"/>
          <w:szCs w:val="20"/>
        </w:rPr>
        <w:t>5</w:t>
      </w:r>
      <w:r>
        <w:rPr>
          <w:b/>
          <w:sz w:val="20"/>
          <w:szCs w:val="20"/>
        </w:rPr>
        <w:t>: Reconnaissance des différences d’autres États</w:t>
      </w:r>
    </w:p>
    <w:p>
      <w:pPr>
        <w:rPr>
          <w:sz w:val="20"/>
          <w:szCs w:val="20"/>
        </w:rPr>
      </w:pPr>
      <w:r>
        <w:rPr>
          <w:sz w:val="20"/>
          <w:szCs w:val="20"/>
        </w:rPr>
        <w:t>Veuillez indiquer si votre État reconnaîtra ou acceptera la validité des certificats et licences d’autres États sur la base de leurs différences temporaires notifiées via le CCRD. Par souci de simplicité, il est possible de n’indiquer que les différences temporaires qui ne sont pas acceptables plutôt que de dresser une liste de ce qui serait acceptable.</w:t>
      </w:r>
    </w:p>
    <w:p>
      <w:pPr>
        <w:rPr>
          <w:rStyle w:val="Hyperlink"/>
          <w:rFonts w:cstheme="majorBidi"/>
          <w:b/>
          <w:sz w:val="20"/>
          <w:szCs w:val="20"/>
        </w:rPr>
      </w:pPr>
      <w:r>
        <w:rPr>
          <w:b/>
          <w:sz w:val="20"/>
          <w:szCs w:val="20"/>
        </w:rPr>
        <w:t xml:space="preserve">Veuillez envoyer ce formulaire par courrier électronique à </w:t>
      </w:r>
      <w:hyperlink r:id="rId16" w:history="1">
        <w:r>
          <w:rPr>
            <w:rStyle w:val="Hyperlink"/>
            <w:b/>
            <w:sz w:val="20"/>
            <w:szCs w:val="20"/>
          </w:rPr>
          <w:t>ops@icao.int</w:t>
        </w:r>
      </w:hyperlink>
      <w:r>
        <w:rPr>
          <w:rStyle w:val="Hyperlink"/>
          <w:b/>
          <w:sz w:val="20"/>
          <w:szCs w:val="20"/>
        </w:rPr>
        <w:t>.</w:t>
      </w:r>
    </w:p>
    <w:p>
      <w:pPr>
        <w:rPr>
          <w:rStyle w:val="Hyperlink"/>
          <w:rFonts w:cstheme="majorBidi"/>
          <w:b/>
          <w:sz w:val="20"/>
          <w:szCs w:val="20"/>
        </w:rPr>
        <w:sectPr>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9" w:footer="709" w:gutter="0"/>
          <w:cols w:space="708"/>
          <w:titlePg/>
          <w:docGrid w:linePitch="360"/>
        </w:sectPr>
      </w:pPr>
    </w:p>
    <w:tbl>
      <w:tblPr>
        <w:tblStyle w:val="TableGrid"/>
        <w:tblW w:w="14880" w:type="dxa"/>
        <w:tblInd w:w="-993" w:type="dxa"/>
        <w:tblLook w:val="04A0" w:firstRow="1" w:lastRow="0" w:firstColumn="1" w:lastColumn="0" w:noHBand="0" w:noVBand="1"/>
      </w:tblPr>
      <w:tblGrid>
        <w:gridCol w:w="1702"/>
        <w:gridCol w:w="4673"/>
        <w:gridCol w:w="2554"/>
        <w:gridCol w:w="3966"/>
        <w:gridCol w:w="1985"/>
      </w:tblGrid>
      <w:tr>
        <w:tc>
          <w:tcPr>
            <w:tcW w:w="1702" w:type="dxa"/>
          </w:tcPr>
          <w:sdt>
            <w:sdtPr>
              <w:rPr>
                <w:color w:val="0000FF" w:themeColor="hyperlink"/>
                <w:u w:val="single"/>
              </w:rPr>
              <w:alias w:val="Annexe:"/>
              <w:tag w:val="Annex_de3c0d6c-d833-43b2-90bd-8e2b9feb9238"/>
              <w:id w:val="1697502319"/>
              <w:lock w:val="contentLocked"/>
              <w:placeholder>
                <w:docPart w:val="AE3DE094D9524B1CB176E63EDE8F9257"/>
              </w:placeholder>
              <w:dataBinding w:xpath="/Root[1]/Annex_de3c0d6c-d833-43b2-90bd-8e2b9feb9238[1]" w:storeItemID="{7E9F76D9-DE21-4CB8-A87C-05F3AB5F5986}"/>
              <w:text w:multiLine="1"/>
            </w:sdtPr>
            <w:sdtContent>
              <w:p>
                <w:r>
                  <w:rPr>
                    <w:color w:val="0000FF" w:themeColor="hyperlink"/>
                    <w:u w:val="single"/>
                  </w:rPr>
                  <w:t>Annexe 1</w:t>
                </w:r>
              </w:p>
            </w:sdtContent>
          </w:sdt>
          <w:p/>
          <w:sdt>
            <w:sdtPr>
              <w:alias w:val="Référence:"/>
              <w:tag w:val="Reference_de3c0d6c-d833-43b2-90bd-8e2b9feb9238"/>
              <w:id w:val="141636225"/>
              <w:lock w:val="contentLocked"/>
              <w:placeholder>
                <w:docPart w:val="3B39E02C3937451E950F8867D959DD31"/>
              </w:placeholder>
              <w:dataBinding w:xpath="/Root[1]/Reference_de3c0d6c-d833-43b2-90bd-8e2b9feb9238[1]" w:storeItemID="{7E9F76D9-DE21-4CB8-A87C-05F3AB5F5986}"/>
              <w:text/>
            </w:sdtPr>
            <w:sdtContent>
              <w:p>
                <w:r>
                  <w:t>1.2.4.4.1</w:t>
                </w:r>
              </w:p>
            </w:sdtContent>
          </w:sdt>
          <w:p/>
        </w:tc>
        <w:tc>
          <w:tcPr>
            <w:tcW w:w="4673" w:type="dxa"/>
          </w:tcPr>
          <w:p>
            <w:pPr>
              <w:adjustRightInd w:val="0"/>
              <w:snapToGrid w:val="0"/>
            </w:pPr>
            <w:r>
              <w:tab/>
            </w:r>
            <w:r>
              <w:t>1</w:t>
            </w:r>
            <w:r>
              <w:t>.</w:t>
            </w:r>
            <w:r>
              <w:t>2</w:t>
            </w:r>
            <w:r>
              <w:t>.</w:t>
            </w:r>
            <w:r>
              <w:t>4</w:t>
            </w:r>
            <w:r>
              <w:t>.</w:t>
            </w:r>
            <w:r>
              <w:t>4</w:t>
            </w:r>
            <w:r>
              <w:t>.</w:t>
            </w:r>
            <w:r>
              <w:t>1</w:t>
            </w:r>
            <w:r>
              <w:t xml:space="preserve"> La période de validité d'une évaluation médicale pourra être prolongée, à la discrétion du service de délivrance des licences, d’un maximum de </w:t>
            </w:r>
            <w:r>
              <w:t>45</w:t>
            </w:r>
            <w:r>
              <w:t xml:space="preserve"> jours.</w:t>
            </w:r>
          </w:p>
          <w:p>
            <w:pPr>
              <w:adjustRightInd w:val="0"/>
              <w:snapToGrid w:val="0"/>
            </w:pPr>
          </w:p>
          <w:p>
            <w:pPr>
              <w:adjustRightInd w:val="0"/>
              <w:snapToGrid w:val="0"/>
            </w:pPr>
            <w:r>
              <w:tab/>
            </w:r>
            <w:r>
              <w:rPr>
                <w:i/>
                <w:iCs/>
              </w:rPr>
              <w:t xml:space="preserve">Note.— Il serait utile que le jour civil auquel l’attestation médicale expire soit la même année après année, en permettant que la date d’expiration de l’attestation médicale en cours de validité soit la date à laquelle débute la nouvelle période de validité, sous réserve que l’examen médical ait lieu pendant la période de validité de l’attestation et au plus tôt </w:t>
            </w:r>
            <w:r>
              <w:rPr>
                <w:i/>
                <w:iCs/>
              </w:rPr>
              <w:t>45</w:t>
            </w:r>
            <w:r>
              <w:rPr>
                <w:i/>
                <w:iCs/>
              </w:rPr>
              <w:t xml:space="preserve"> jours avant la date d’expiration.</w:t>
            </w:r>
            <w:r>
              <w:t xml:space="preserve"> </w:t>
            </w:r>
          </w:p>
          <w:p>
            <w:pPr>
              <w:adjustRightInd w:val="0"/>
              <w:snapToGrid w:val="0"/>
            </w:pPr>
          </w:p>
        </w:tc>
        <w:tc>
          <w:tcPr>
            <w:tcW w:w="2554" w:type="dxa"/>
          </w:tcPr>
          <w:p>
            <w:pPr>
              <w:rPr>
                <w:rStyle w:val="Hyperlink"/>
                <w:rFonts w:cstheme="majorBidi"/>
                <w:b/>
                <w:color w:val="auto"/>
                <w:sz w:val="20"/>
                <w:szCs w:val="20"/>
              </w:rPr>
            </w:pPr>
            <w:sdt>
              <w:sdtPr>
                <w:rPr>
                  <w:color w:val="0000FF" w:themeColor="hyperlink"/>
                  <w:sz w:val="20"/>
                  <w:szCs w:val="20"/>
                  <w:u w:val="single"/>
                </w:rPr>
                <w:alias w:val="Détails"/>
                <w:tag w:val="Details_de3c0d6c-d833-43b2-90bd-8e2b9feb9238"/>
                <w:id w:val="558820394"/>
                <w:placeholder>
                  <w:docPart w:val="319155465811459FB50C3FF8D526FBA7"/>
                </w:placeholder>
                <w:dataBinding w:xpath="/Root[1]/Details_de3c0d6c-d833-43b2-90bd-8e2b9feb9238[1]" w:storeItemID="{7E9F76D9-DE21-4CB8-A87C-05F3AB5F5986}"/>
                <w:text w:multiLine="1"/>
              </w:sdtPr>
              <w:sdtContent>
                <w:r>
                  <w:rPr>
                    <w:sz w:val="20"/>
                    <w:szCs w:val="20"/>
                  </w:rPr>
                  <w:t>La période de validité des certificats médicaux des classes 1 et 3 délivrés par [l’État] est prolongée de 4 mois.</w:t>
                </w:r>
                <w:r>
                  <w:rPr>
                    <w:sz w:val="20"/>
                    <w:szCs w:val="20"/>
                  </w:rPr>
                  <w:br/>
                </w:r>
                <w:r>
                  <w:rPr>
                    <w:sz w:val="20"/>
                    <w:szCs w:val="20"/>
                  </w:rPr>
                  <w:br/>
                </w:r>
                <w:r>
                  <w:rPr>
                    <w:sz w:val="20"/>
                    <w:szCs w:val="20"/>
                  </w:rPr>
                  <w:br/>
                </w:r>
                <w:r>
                  <w:rPr>
                    <w:sz w:val="20"/>
                    <w:szCs w:val="20"/>
                  </w:rPr>
                  <w:br/>
                </w:r>
                <w:r>
                  <w:rPr>
                    <w:sz w:val="20"/>
                    <w:szCs w:val="20"/>
                  </w:rPr>
                  <w:br/>
                </w:r>
              </w:sdtContent>
            </w:sdt>
          </w:p>
        </w:tc>
        <w:sdt>
          <w:sdtPr>
            <w:rPr>
              <w:rStyle w:val="Hyperlink"/>
              <w:rFonts w:cstheme="majorBidi"/>
              <w:color w:val="auto"/>
              <w:sz w:val="20"/>
              <w:szCs w:val="20"/>
              <w:u w:val="none"/>
            </w:rPr>
            <w:alias w:val="Remarques"/>
            <w:tag w:val="Remarks_de3c0d6c-d833-43b2-90bd-8e2b9feb9238"/>
            <w:id w:val="1853063312"/>
            <w:placeholder>
              <w:docPart w:val="731902B27B6A430CAB62B85EE5A4B766"/>
            </w:placeholder>
            <w:dataBinding w:xpath="/Root[1]/Remarks_de3c0d6c-d833-43b2-90bd-8e2b9feb9238[1]" w:storeItemID="{7E9F76D9-DE21-4CB8-A87C-05F3AB5F5986}"/>
            <w:text w:multiLine="1"/>
          </w:sdtPr>
          <w:sdtContent>
            <w:tc>
              <w:tcPr>
                <w:tcW w:w="3966" w:type="dxa"/>
              </w:tcPr>
              <w:p>
                <w:pPr>
                  <w:rPr>
                    <w:rStyle w:val="Hyperlink"/>
                    <w:rFonts w:cstheme="majorBidi"/>
                    <w:b/>
                    <w:color w:val="auto"/>
                    <w:sz w:val="20"/>
                    <w:szCs w:val="20"/>
                    <w:u w:val="none"/>
                  </w:rPr>
                </w:pPr>
                <w:r>
                  <w:rPr>
                    <w:rStyle w:val="Hyperlink"/>
                    <w:color w:val="auto"/>
                    <w:sz w:val="20"/>
                    <w:szCs w:val="20"/>
                    <w:u w:val="none"/>
                  </w:rPr>
                  <w:t>a) Justification</w:t>
                </w:r>
                <w:r>
                  <w:rPr>
                    <w:rStyle w:val="Hyperlink"/>
                    <w:color w:val="auto"/>
                    <w:sz w:val="20"/>
                    <w:szCs w:val="20"/>
                    <w:u w:val="none"/>
                  </w:rPr>
                  <w:br/>
                  <w:t>Les titulaires de certificats médicaux des classes 1 et 3 qui doivent subir un examen médical périodique pour proroger leurs certificats médicaux afin de continuer à exercer les privilèges de leur licence ou certificat et se trouvent dans l’impossibilité de joindre ou d’avoir accès à un examinateur aéromédical ou à un centre aéromédical en temps voulu pour subir l’examen médical nécessaire.</w:t>
                </w:r>
                <w:r>
                  <w:rPr>
                    <w:rStyle w:val="Hyperlink"/>
                    <w:color w:val="auto"/>
                    <w:sz w:val="20"/>
                    <w:szCs w:val="20"/>
                    <w:u w:val="none"/>
                  </w:rPr>
                  <w:tab/>
                  <w:t xml:space="preserve"> En outre, dans de nombreux cas les médecins-examinateurs ont été réaffectés au traitement de la pandémie de COVID-19 dans leur État. Il résulterait de cette situation l’expiration desdits certificats.</w:t>
                </w:r>
                <w:r>
                  <w:rPr>
                    <w:rStyle w:val="Hyperlink"/>
                    <w:color w:val="auto"/>
                    <w:sz w:val="20"/>
                    <w:szCs w:val="20"/>
                    <w:u w:val="none"/>
                  </w:rPr>
                  <w:br/>
                </w:r>
                <w:r>
                  <w:rPr>
                    <w:rStyle w:val="Hyperlink"/>
                    <w:color w:val="auto"/>
                    <w:sz w:val="20"/>
                    <w:szCs w:val="20"/>
                    <w:u w:val="none"/>
                  </w:rPr>
                  <w:br/>
                  <w:t>b) Conditions/mesures d’atténuation</w:t>
                </w:r>
                <w:r>
                  <w:rPr>
                    <w:rStyle w:val="Hyperlink"/>
                    <w:color w:val="auto"/>
                    <w:sz w:val="20"/>
                    <w:szCs w:val="20"/>
                    <w:u w:val="none"/>
                  </w:rPr>
                  <w:br/>
                  <w:t>[L’État] impose que les titulaires de certificats médicaux des classes 1 et 3 bénéficiant de cet assouplissement détiennent un certificat médical en cours de validité sans limitations, sauf visuelles, avant l’application de la mesure dérogatoire.</w:t>
                </w:r>
                <w:r>
                  <w:rPr>
                    <w:rStyle w:val="Hyperlink"/>
                    <w:color w:val="auto"/>
                    <w:sz w:val="20"/>
                    <w:szCs w:val="20"/>
                    <w:u w:val="none"/>
                  </w:rPr>
                  <w:br/>
                  <w:t xml:space="preserve">  </w:t>
                </w:r>
              </w:p>
            </w:tc>
          </w:sdtContent>
        </w:sdt>
        <w:tc>
          <w:tcPr>
            <w:tcW w:w="1985" w:type="dxa"/>
          </w:tcPr>
          <w:p>
            <w:pPr>
              <w:jc w:val="both"/>
              <w:rPr>
                <w:sz w:val="20"/>
                <w:szCs w:val="20"/>
              </w:rPr>
            </w:pPr>
            <w:sdt>
              <w:sdtPr>
                <w:rPr>
                  <w:rStyle w:val="Hyperlink"/>
                  <w:rFonts w:cstheme="majorBidi"/>
                  <w:color w:val="FF0000"/>
                  <w:sz w:val="20"/>
                  <w:szCs w:val="20"/>
                </w:rPr>
                <w:alias w:val="Différenced’État"/>
                <w:tag w:val="StateDifference_de3c0d6c-d833-43b2-90bd-8e2b9feb9238"/>
                <w:id w:val="2073466668"/>
                <w:placeholder>
                  <w:docPart w:val="4FA1EAFE31FD4C3A92CC9CD7C75B679A"/>
                </w:placeholder>
                <w:showingPlcHdr/>
                <w:dataBinding w:xpath="/Root[1]/StateDifference_de3c0d6c-d833-43b2-90bd-8e2b9feb9238[1]" w:storeItemID="{7E9F76D9-DE21-4CB8-A87C-05F3AB5F5986}"/>
                <w:text w:multiLine="1"/>
              </w:sdtPr>
              <w:sdtContent>
                <w:r>
                  <w:rPr>
                    <w:rStyle w:val="PlaceholderText"/>
                  </w:rPr>
                  <w:t>Cliquer ou toucher ici pour introduire le texte</w:t>
                </w:r>
              </w:sdtContent>
            </w:sdt>
            <w:r>
              <w:rPr>
                <w:sz w:val="20"/>
                <w:szCs w:val="20"/>
              </w:rPr>
              <w:t xml:space="preserve">En ce qui concerne les certificats et licences délivrés par les États membres de l’UE, les différences sont automatiquement reconnues sur la base du règlement (UE) </w:t>
            </w:r>
            <w:r>
              <w:rPr>
                <w:sz w:val="20"/>
                <w:szCs w:val="20"/>
              </w:rPr>
              <w:t>2018</w:t>
            </w:r>
            <w:r>
              <w:rPr>
                <w:sz w:val="20"/>
                <w:szCs w:val="20"/>
              </w:rPr>
              <w:t>/</w:t>
            </w:r>
            <w:r>
              <w:rPr>
                <w:sz w:val="20"/>
                <w:szCs w:val="20"/>
              </w:rPr>
              <w:t>1139</w:t>
            </w:r>
            <w:r>
              <w:rPr>
                <w:sz w:val="20"/>
                <w:szCs w:val="20"/>
              </w:rPr>
              <w:t>.</w:t>
            </w:r>
          </w:p>
          <w:p>
            <w:pPr>
              <w:jc w:val="both"/>
              <w:rPr>
                <w:sz w:val="20"/>
                <w:szCs w:val="20"/>
              </w:rPr>
            </w:pPr>
          </w:p>
          <w:p>
            <w:pPr>
              <w:jc w:val="both"/>
              <w:rPr>
                <w:sz w:val="20"/>
                <w:szCs w:val="20"/>
              </w:rPr>
            </w:pPr>
            <w:r>
              <w:rPr>
                <w:sz w:val="20"/>
                <w:szCs w:val="20"/>
              </w:rPr>
              <w:t>En ce qui concerne la reconnaissance ou l’acceptation de la validité des certificats et licences faisant l’objet des dispositions spéciales temporaires (liées à la pandémie de COVID-</w:t>
            </w:r>
            <w:r>
              <w:rPr>
                <w:sz w:val="20"/>
                <w:szCs w:val="20"/>
              </w:rPr>
              <w:t>19</w:t>
            </w:r>
            <w:r>
              <w:rPr>
                <w:sz w:val="20"/>
                <w:szCs w:val="20"/>
              </w:rPr>
              <w:t xml:space="preserve">) délivrés par des pays tiers, le règlement (UE) </w:t>
            </w:r>
            <w:r>
              <w:rPr>
                <w:sz w:val="20"/>
                <w:szCs w:val="20"/>
              </w:rPr>
              <w:t>452</w:t>
            </w:r>
            <w:r>
              <w:rPr>
                <w:sz w:val="20"/>
                <w:szCs w:val="20"/>
              </w:rPr>
              <w:t>/</w:t>
            </w:r>
            <w:r>
              <w:rPr>
                <w:sz w:val="20"/>
                <w:szCs w:val="20"/>
              </w:rPr>
              <w:t>2014</w:t>
            </w:r>
            <w:r>
              <w:rPr>
                <w:sz w:val="20"/>
                <w:szCs w:val="20"/>
              </w:rPr>
              <w:t xml:space="preserve"> déterminant les exigences techniques et les procédures administratives applicables aux opérations aériennes des exploitants de pays tiers s’applique</w:t>
            </w:r>
            <w:r>
              <w:rPr>
                <w:sz w:val="20"/>
                <w:szCs w:val="20"/>
              </w:rPr>
              <w:footnoteReference w:id="1"/>
            </w:r>
            <w:r>
              <w:rPr>
                <w:sz w:val="20"/>
                <w:szCs w:val="20"/>
              </w:rPr>
              <w:t>.</w:t>
            </w:r>
          </w:p>
          <w:p>
            <w:pPr>
              <w:jc w:val="both"/>
              <w:rPr>
                <w:sz w:val="20"/>
                <w:szCs w:val="20"/>
              </w:rPr>
            </w:pPr>
          </w:p>
          <w:p>
            <w:pPr>
              <w:rPr>
                <w:rFonts w:cstheme="majorBidi"/>
                <w:sz w:val="20"/>
                <w:szCs w:val="20"/>
              </w:rPr>
            </w:pPr>
            <w:r>
              <w:rPr>
                <w:sz w:val="20"/>
                <w:szCs w:val="20"/>
              </w:rPr>
              <w:t>.</w:t>
            </w:r>
            <w:r>
              <w:rPr>
                <w:sz w:val="20"/>
                <w:szCs w:val="20"/>
              </w:rPr>
              <w:br/>
            </w:r>
            <w:r>
              <w:rPr>
                <w:sz w:val="20"/>
                <w:szCs w:val="20"/>
              </w:rPr>
              <w:br/>
            </w:r>
            <w:r>
              <w:rPr>
                <w:rStyle w:val="Hyperlink"/>
                <w:sz w:val="20"/>
                <w:szCs w:val="20"/>
              </w:rPr>
              <w:br/>
            </w:r>
            <w:r>
              <w:rPr>
                <w:sz w:val="20"/>
                <w:szCs w:val="20"/>
              </w:rPr>
              <w:t>.</w:t>
            </w:r>
          </w:p>
        </w:tc>
      </w:tr>
      <w:tr>
        <w:tc>
          <w:tcPr>
            <w:tcW w:w="1702" w:type="dxa"/>
          </w:tcPr>
          <w:sdt>
            <w:sdtPr>
              <w:alias w:val="Annexe:"/>
              <w:tag w:val="Annex_a3735fad-4572-4134-91da-efb8b73cdf96"/>
              <w:id w:val="1467551398"/>
              <w:lock w:val="contentLocked"/>
              <w:placeholder>
                <w:docPart w:val="AE3DE094D9524B1CB176E63EDE8F9257"/>
              </w:placeholder>
              <w:dataBinding w:xpath="/Root[1]/Annex_a3735fad-4572-4134-91da-efb8b73cdf96[1]" w:storeItemID="{7E9F76D9-DE21-4CB8-A87C-05F3AB5F5986}"/>
              <w:text w:multiLine="1"/>
            </w:sdtPr>
            <w:sdtContent>
              <w:p>
                <w:r>
                  <w:t>Annexe 1</w:t>
                </w:r>
              </w:p>
            </w:sdtContent>
          </w:sdt>
          <w:p/>
          <w:sdt>
            <w:sdtPr>
              <w:alias w:val="Référence"/>
              <w:tag w:val="Reference_a3735fad-4572-4134-91da-efb8b73cdf96"/>
              <w:id w:val="1214305441"/>
              <w:lock w:val="contentLocked"/>
              <w:placeholder>
                <w:docPart w:val="3B39E02C3937451E950F8867D959DD31"/>
              </w:placeholder>
              <w:dataBinding w:xpath="/Root[1]/Reference_a3735fad-4572-4134-91da-efb8b73cdf96[1]" w:storeItemID="{7E9F76D9-DE21-4CB8-A87C-05F3AB5F5986}"/>
              <w:text/>
            </w:sdtPr>
            <w:sdtContent>
              <w:p>
                <w:r>
                  <w:t>1.2.5.1.2</w:t>
                </w:r>
              </w:p>
            </w:sdtContent>
          </w:sdt>
          <w:p/>
        </w:tc>
        <w:tc>
          <w:tcPr>
            <w:tcW w:w="4673" w:type="dxa"/>
          </w:tcPr>
          <w:p>
            <w:pPr>
              <w:adjustRightInd w:val="0"/>
              <w:snapToGrid w:val="0"/>
            </w:pPr>
            <w:r>
              <w:tab/>
            </w:r>
            <w:r>
              <w:t>1</w:t>
            </w:r>
            <w:r>
              <w:t>.</w:t>
            </w:r>
            <w:r>
              <w:t>2</w:t>
            </w:r>
            <w:r>
              <w:t>.</w:t>
            </w:r>
            <w:r>
              <w:t>5</w:t>
            </w:r>
            <w:r>
              <w:t>.</w:t>
            </w:r>
            <w:r>
              <w:t>1</w:t>
            </w:r>
            <w:r>
              <w:t>.</w:t>
            </w:r>
            <w:r>
              <w:t>2</w:t>
            </w:r>
            <w:r>
              <w:tab/>
              <w:t>Un État contractant qui a délivré une licence s’assurera que les autres États contractants sont en mesure de vérifier la validité de la licence.</w:t>
            </w:r>
          </w:p>
          <w:p>
            <w:pPr>
              <w:adjustRightInd w:val="0"/>
              <w:snapToGrid w:val="0"/>
            </w:pPr>
          </w:p>
          <w:p>
            <w:pPr>
              <w:adjustRightInd w:val="0"/>
              <w:snapToGrid w:val="0"/>
              <w:rPr>
                <w:i/>
                <w:iCs/>
              </w:rPr>
            </w:pPr>
            <w:r>
              <w:rPr>
                <w:i/>
                <w:iCs/>
              </w:rPr>
              <w:tab/>
              <w:t xml:space="preserve">Note </w:t>
            </w:r>
            <w:r>
              <w:rPr>
                <w:i/>
                <w:iCs/>
              </w:rPr>
              <w:t>1</w:t>
            </w:r>
            <w:r>
              <w:rPr>
                <w:i/>
                <w:iCs/>
              </w:rPr>
              <w:t xml:space="preserve">.— Jusqu’au </w:t>
            </w:r>
            <w:r>
              <w:rPr>
                <w:i/>
                <w:iCs/>
              </w:rPr>
              <w:t>2</w:t>
            </w:r>
            <w:r>
              <w:rPr>
                <w:i/>
                <w:iCs/>
              </w:rPr>
              <w:t> </w:t>
            </w:r>
            <w:r>
              <w:rPr>
                <w:i/>
                <w:iCs/>
              </w:rPr>
              <w:t xml:space="preserve">novembre </w:t>
            </w:r>
            <w:r>
              <w:rPr>
                <w:i/>
                <w:iCs/>
              </w:rPr>
              <w:t>2022</w:t>
            </w:r>
            <w:r>
              <w:rPr>
                <w:i/>
                <w:iCs/>
              </w:rPr>
              <w:t xml:space="preserve">, le maintien du niveau de compétence des membres d’équipage de conduite ou des membres d’équipe de télépilotage employés dans le transport aérien commercial peut être assuré de façon satisfaisante par la démonstration de l’habileté requise, au cours des contrôles de compétence prévus par l’Annexe </w:t>
            </w:r>
            <w:r>
              <w:rPr>
                <w:i/>
                <w:iCs/>
              </w:rPr>
              <w:t>6</w:t>
            </w:r>
            <w:r>
              <w:rPr>
                <w:i/>
                <w:iCs/>
              </w:rPr>
              <w:t>.</w:t>
            </w:r>
          </w:p>
          <w:p>
            <w:pPr>
              <w:adjustRightInd w:val="0"/>
              <w:snapToGrid w:val="0"/>
              <w:rPr>
                <w:i/>
                <w:iCs/>
              </w:rPr>
            </w:pPr>
          </w:p>
          <w:p>
            <w:pPr>
              <w:adjustRightInd w:val="0"/>
              <w:snapToGrid w:val="0"/>
              <w:rPr>
                <w:i/>
                <w:iCs/>
              </w:rPr>
            </w:pPr>
            <w:r>
              <w:rPr>
                <w:i/>
                <w:iCs/>
              </w:rPr>
              <w:tab/>
            </w:r>
            <w:r>
              <w:t xml:space="preserve">Note </w:t>
            </w:r>
            <w:r>
              <w:t>1</w:t>
            </w:r>
            <w:r>
              <w:t xml:space="preserve">.— </w:t>
            </w:r>
            <w:r>
              <w:rPr>
                <w:i/>
                <w:iCs/>
              </w:rPr>
              <w:t xml:space="preserve">À compter du </w:t>
            </w:r>
            <w:r>
              <w:rPr>
                <w:i/>
                <w:iCs/>
              </w:rPr>
              <w:t>3</w:t>
            </w:r>
            <w:r>
              <w:rPr>
                <w:i/>
                <w:iCs/>
              </w:rPr>
              <w:t> </w:t>
            </w:r>
            <w:r>
              <w:rPr>
                <w:i/>
                <w:iCs/>
              </w:rPr>
              <w:t xml:space="preserve">novembre </w:t>
            </w:r>
            <w:r>
              <w:rPr>
                <w:i/>
                <w:iCs/>
              </w:rPr>
              <w:t>2022</w:t>
            </w:r>
            <w:r>
              <w:rPr>
                <w:i/>
                <w:iCs/>
              </w:rPr>
              <w:t xml:space="preserve">, le maintien du niveau de compétence des membres d’équipage de conduite employés dans le transport aérien commercial peut être assuré de manière satisfaisante par la démonstration de l’habileté requise, aux cours des contrôles de compétence prévus par l’Annexe </w:t>
            </w:r>
            <w:r>
              <w:rPr>
                <w:i/>
                <w:iCs/>
              </w:rPr>
              <w:t>6</w:t>
            </w:r>
            <w:r>
              <w:rPr>
                <w:i/>
                <w:iCs/>
              </w:rPr>
              <w:t>.</w:t>
            </w:r>
          </w:p>
          <w:p>
            <w:pPr>
              <w:adjustRightInd w:val="0"/>
              <w:snapToGrid w:val="0"/>
            </w:pPr>
          </w:p>
          <w:p>
            <w:pPr>
              <w:adjustRightInd w:val="0"/>
              <w:snapToGrid w:val="0"/>
              <w:rPr>
                <w:i/>
                <w:iCs/>
              </w:rPr>
            </w:pPr>
            <w:r>
              <w:rPr>
                <w:i/>
                <w:iCs/>
              </w:rPr>
              <w:tab/>
              <w:t xml:space="preserve">Note </w:t>
            </w:r>
            <w:r>
              <w:rPr>
                <w:i/>
                <w:iCs/>
              </w:rPr>
              <w:t>2</w:t>
            </w:r>
            <w:r>
              <w:rPr>
                <w:i/>
                <w:iCs/>
              </w:rPr>
              <w:t xml:space="preserve">.— Jusqu’au </w:t>
            </w:r>
            <w:r>
              <w:rPr>
                <w:i/>
                <w:iCs/>
              </w:rPr>
              <w:t>2</w:t>
            </w:r>
            <w:r>
              <w:rPr>
                <w:i/>
                <w:iCs/>
              </w:rPr>
              <w:t> </w:t>
            </w:r>
            <w:r>
              <w:rPr>
                <w:i/>
                <w:iCs/>
              </w:rPr>
              <w:t xml:space="preserve">novembre </w:t>
            </w:r>
            <w:r>
              <w:rPr>
                <w:i/>
                <w:iCs/>
              </w:rPr>
              <w:t>2022</w:t>
            </w:r>
            <w:r>
              <w:rPr>
                <w:i/>
                <w:iCs/>
              </w:rPr>
              <w:t>, le maintien du niveau de compétence peut être enregistré de façon satisfaisante dans les livres de l’exploitant, dans le carnet de vol personnel du membre d’équipage ou sur sa licence.</w:t>
            </w:r>
          </w:p>
          <w:p>
            <w:pPr>
              <w:adjustRightInd w:val="0"/>
              <w:snapToGrid w:val="0"/>
              <w:rPr>
                <w:i/>
                <w:iCs/>
              </w:rPr>
            </w:pPr>
          </w:p>
          <w:p>
            <w:pPr>
              <w:adjustRightInd w:val="0"/>
              <w:snapToGrid w:val="0"/>
              <w:rPr>
                <w:i/>
                <w:iCs/>
              </w:rPr>
            </w:pPr>
            <w:r>
              <w:rPr>
                <w:i/>
                <w:iCs/>
              </w:rPr>
              <w:tab/>
            </w:r>
            <w:r>
              <w:t xml:space="preserve">Note </w:t>
            </w:r>
            <w:r>
              <w:t>2</w:t>
            </w:r>
            <w:r>
              <w:t>.—</w:t>
            </w:r>
            <w:r>
              <w:rPr>
                <w:i/>
                <w:iCs/>
              </w:rPr>
              <w:t xml:space="preserve"> À compter du </w:t>
            </w:r>
            <w:r>
              <w:rPr>
                <w:i/>
                <w:iCs/>
              </w:rPr>
              <w:t>3</w:t>
            </w:r>
            <w:r>
              <w:rPr>
                <w:i/>
                <w:iCs/>
              </w:rPr>
              <w:t> </w:t>
            </w:r>
            <w:r>
              <w:rPr>
                <w:i/>
                <w:iCs/>
              </w:rPr>
              <w:t xml:space="preserve">novembre </w:t>
            </w:r>
            <w:r>
              <w:rPr>
                <w:i/>
                <w:iCs/>
              </w:rPr>
              <w:t>2022</w:t>
            </w:r>
            <w:r>
              <w:rPr>
                <w:i/>
                <w:iCs/>
              </w:rPr>
              <w:t>, le maintien du niveau de compétence peut être enregistré de façon satisfaisante dans les livres de l’exploitant, dans le carnet de vol personnel du membre d’équipage ou du membre d’équipe de télépilotage ou sur sa licence</w:t>
            </w:r>
          </w:p>
          <w:p>
            <w:pPr>
              <w:adjustRightInd w:val="0"/>
              <w:snapToGrid w:val="0"/>
            </w:pPr>
          </w:p>
          <w:p>
            <w:pPr>
              <w:adjustRightInd w:val="0"/>
              <w:snapToGrid w:val="0"/>
              <w:rPr>
                <w:i/>
                <w:iCs/>
              </w:rPr>
            </w:pPr>
            <w:r>
              <w:rPr>
                <w:i/>
                <w:iCs/>
              </w:rPr>
              <w:tab/>
              <w:t xml:space="preserve">Note </w:t>
            </w:r>
            <w:r>
              <w:rPr>
                <w:i/>
                <w:iCs/>
              </w:rPr>
              <w:t>3</w:t>
            </w:r>
            <w:r>
              <w:rPr>
                <w:i/>
                <w:iCs/>
              </w:rPr>
              <w:t xml:space="preserve">.— Jusqu’au </w:t>
            </w:r>
            <w:r>
              <w:rPr>
                <w:i/>
                <w:iCs/>
              </w:rPr>
              <w:t>2</w:t>
            </w:r>
            <w:r>
              <w:rPr>
                <w:i/>
                <w:iCs/>
              </w:rPr>
              <w:t> </w:t>
            </w:r>
            <w:r>
              <w:rPr>
                <w:i/>
                <w:iCs/>
              </w:rPr>
              <w:t xml:space="preserve">novembre </w:t>
            </w:r>
            <w:r>
              <w:rPr>
                <w:i/>
                <w:iCs/>
              </w:rPr>
              <w:t>2022</w:t>
            </w:r>
            <w:r>
              <w:rPr>
                <w:i/>
                <w:iCs/>
              </w:rPr>
              <w:t>, les membres d’équipage de conduite peuvent, dans la mesure où l’État d’immatriculation le considère possible, démontrer le maintien de leur niveau de compétence dans des FSTD approuvés par cet État.</w:t>
            </w:r>
          </w:p>
          <w:p>
            <w:pPr>
              <w:adjustRightInd w:val="0"/>
              <w:snapToGrid w:val="0"/>
              <w:rPr>
                <w:i/>
                <w:iCs/>
              </w:rPr>
            </w:pPr>
          </w:p>
          <w:p>
            <w:pPr>
              <w:adjustRightInd w:val="0"/>
              <w:snapToGrid w:val="0"/>
              <w:rPr>
                <w:i/>
                <w:iCs/>
              </w:rPr>
            </w:pPr>
            <w:r>
              <w:rPr>
                <w:i/>
                <w:iCs/>
              </w:rPr>
              <w:tab/>
            </w:r>
            <w:r>
              <w:t xml:space="preserve">Note </w:t>
            </w:r>
            <w:r>
              <w:t>3</w:t>
            </w:r>
            <w:r>
              <w:t xml:space="preserve">.— </w:t>
            </w:r>
            <w:r>
              <w:rPr>
                <w:i/>
                <w:iCs/>
              </w:rPr>
              <w:t xml:space="preserve">À compter du </w:t>
            </w:r>
            <w:r>
              <w:rPr>
                <w:i/>
                <w:iCs/>
              </w:rPr>
              <w:t>3</w:t>
            </w:r>
            <w:r>
              <w:rPr>
                <w:i/>
                <w:iCs/>
              </w:rPr>
              <w:t> </w:t>
            </w:r>
            <w:r>
              <w:rPr>
                <w:i/>
                <w:iCs/>
              </w:rPr>
              <w:t xml:space="preserve">novembre </w:t>
            </w:r>
            <w:r>
              <w:rPr>
                <w:i/>
                <w:iCs/>
              </w:rPr>
              <w:t>2022</w:t>
            </w:r>
            <w:r>
              <w:rPr>
                <w:i/>
                <w:iCs/>
              </w:rPr>
              <w:t>, les membres d’équipage de conduite et les membres d’équipe de télépilotage peuvent, dans la mesure où l’État d’immatriculation ou le service de délivrance des licences de l’État de l’exploitant, respectivement, le considèrent possible, démontrer le maintien de leur niveau de compétence dans des FSTD approuvés par cet État.</w:t>
            </w:r>
          </w:p>
          <w:p>
            <w:pPr>
              <w:adjustRightInd w:val="0"/>
              <w:snapToGrid w:val="0"/>
              <w:rPr>
                <w:i/>
                <w:iCs/>
              </w:rPr>
            </w:pPr>
          </w:p>
          <w:p>
            <w:pPr>
              <w:adjustRightInd w:val="0"/>
              <w:snapToGrid w:val="0"/>
            </w:pPr>
            <w:r>
              <w:rPr>
                <w:i/>
                <w:iCs/>
              </w:rPr>
              <w:tab/>
              <w:t xml:space="preserve">Note </w:t>
            </w:r>
            <w:r>
              <w:rPr>
                <w:i/>
                <w:iCs/>
                <w:strike/>
              </w:rPr>
              <w:t>4</w:t>
            </w:r>
            <w:r>
              <w:rPr>
                <w:i/>
                <w:iCs/>
              </w:rPr>
              <w:t xml:space="preserve">.— Voir le </w:t>
            </w:r>
            <w:r>
              <w:t>Manuel des critères de qualification des simulateurs d’entraînement au vol</w:t>
            </w:r>
            <w:r>
              <w:rPr>
                <w:i/>
                <w:iCs/>
              </w:rPr>
              <w:t xml:space="preserve">(Doc </w:t>
            </w:r>
            <w:r>
              <w:rPr>
                <w:i/>
                <w:iCs/>
              </w:rPr>
              <w:t>9625</w:t>
            </w:r>
            <w:r>
              <w:rPr>
                <w:i/>
                <w:iCs/>
              </w:rPr>
              <w:t>).</w:t>
            </w:r>
          </w:p>
          <w:p>
            <w:pPr>
              <w:adjustRightInd w:val="0"/>
              <w:snapToGrid w:val="0"/>
            </w:pPr>
          </w:p>
          <w:p>
            <w:pPr>
              <w:adjustRightInd w:val="0"/>
              <w:snapToGrid w:val="0"/>
              <w:rPr>
                <w:i/>
                <w:iCs/>
              </w:rPr>
            </w:pPr>
            <w:r>
              <w:rPr>
                <w:i/>
                <w:iCs/>
              </w:rPr>
              <w:tab/>
              <w:t xml:space="preserve">Note </w:t>
            </w:r>
            <w:r>
              <w:rPr>
                <w:i/>
                <w:iCs/>
              </w:rPr>
              <w:t>5</w:t>
            </w:r>
            <w:r>
              <w:rPr>
                <w:i/>
                <w:iCs/>
              </w:rPr>
              <w:t xml:space="preserve">.— Pour des éléments indicatifs sur l’élaboration d’un processus d’évaluation du risque voir le </w:t>
            </w:r>
            <w:r>
              <w:t xml:space="preserve">Manuel de procédures pour l’instauration et la gestion d’un système national de délivrance des licences du personnel </w:t>
            </w:r>
            <w:r>
              <w:rPr>
                <w:i/>
                <w:iCs/>
              </w:rPr>
              <w:t>(Doc </w:t>
            </w:r>
            <w:r>
              <w:rPr>
                <w:i/>
                <w:iCs/>
              </w:rPr>
              <w:t>9379</w:t>
            </w:r>
            <w:r>
              <w:rPr>
                <w:i/>
                <w:iCs/>
              </w:rPr>
              <w:t>).</w:t>
            </w:r>
            <w:r>
              <w:t xml:space="preserve"> </w:t>
            </w:r>
          </w:p>
          <w:p>
            <w:pPr>
              <w:adjustRightInd w:val="0"/>
              <w:snapToGrid w:val="0"/>
            </w:pPr>
          </w:p>
        </w:tc>
        <w:sdt>
          <w:sdtPr>
            <w:rPr>
              <w:rStyle w:val="Hyperlink"/>
              <w:rFonts w:cstheme="majorBidi"/>
              <w:color w:val="auto"/>
              <w:sz w:val="20"/>
              <w:szCs w:val="20"/>
              <w:u w:val="none"/>
            </w:rPr>
            <w:alias w:val="Détails"/>
            <w:tag w:val="Details_a3735fad-4572-4134-91da-efb8b73cdf96"/>
            <w:id w:val="-1671472783"/>
            <w:placeholder>
              <w:docPart w:val="319155465811459FB50C3FF8D526FBA7"/>
            </w:placeholder>
            <w:dataBinding w:xpath="/Root[1]/Details_a3735fad-4572-4134-91da-efb8b73cdf96[1]" w:storeItemID="{7E9F76D9-DE21-4CB8-A87C-05F3AB5F5986}"/>
            <w:text w:multiLine="1"/>
          </w:sdtPr>
          <w:sdtContent>
            <w:tc>
              <w:tcPr>
                <w:tcW w:w="2554" w:type="dxa"/>
              </w:tcPr>
              <w:p>
                <w:pPr>
                  <w:rPr>
                    <w:rStyle w:val="Hyperlink"/>
                    <w:rFonts w:cstheme="majorBidi"/>
                    <w:b/>
                    <w:color w:val="auto"/>
                    <w:sz w:val="20"/>
                    <w:szCs w:val="20"/>
                    <w:u w:val="none"/>
                  </w:rPr>
                </w:pPr>
                <w:r>
                  <w:rPr>
                    <w:rStyle w:val="Hyperlink"/>
                    <w:color w:val="auto"/>
                    <w:sz w:val="20"/>
                    <w:szCs w:val="20"/>
                    <w:u w:val="none"/>
                  </w:rPr>
                  <w:t xml:space="preserve">La période de validité des licences des classes 1 et 3 délivrées par [l’État] est prolongée de 4 mois. </w:t>
                </w:r>
                <w:r>
                  <w:rPr>
                    <w:rStyle w:val="Hyperlink"/>
                    <w:color w:val="auto"/>
                    <w:sz w:val="20"/>
                    <w:szCs w:val="20"/>
                    <w:u w:val="none"/>
                  </w:rPr>
                  <w:br/>
                  <w:t>Si, vers la fin de la prolongation, les motifs de l’octroi de la dérogation persistent, la  validité de la période peut être à nouveau prolongée pour une période allant jusqu’à 4 mois.</w:t>
                </w:r>
                <w:r>
                  <w:rPr>
                    <w:rStyle w:val="Hyperlink"/>
                    <w:color w:val="auto"/>
                    <w:sz w:val="20"/>
                    <w:szCs w:val="20"/>
                    <w:u w:val="none"/>
                  </w:rPr>
                  <w:br/>
                  <w:t xml:space="preserve">La norme requise étant satisfaite par la période de validité des qualifications et l’inscription (qualifications de classe, de type et de vol aux instruments, mention d’unité) associées à la licence, la prolongation de la période de validité s’applique aux éléments suivants: </w:t>
                </w:r>
                <w:r>
                  <w:rPr>
                    <w:rStyle w:val="Hyperlink"/>
                    <w:color w:val="auto"/>
                    <w:sz w:val="20"/>
                    <w:szCs w:val="20"/>
                    <w:u w:val="none"/>
                  </w:rPr>
                  <w:br/>
                  <w:t>1) Qualifications de classe, de type et de vols aux instruments inscrites dans les licences de pilote commercial (CPL, MPL, ATPL) des pilotes d’avions et d’hélicoptères en liaison avec un exploitant;</w:t>
                </w:r>
                <w:r>
                  <w:rPr>
                    <w:rStyle w:val="Hyperlink"/>
                    <w:color w:val="auto"/>
                    <w:sz w:val="20"/>
                    <w:szCs w:val="20"/>
                    <w:u w:val="none"/>
                  </w:rPr>
                  <w:br/>
                  <w:t>2) Qualifications de classe, de type et de vols aux instruments inscrites dans les licences de pilote commercial (PPL, CPL, ATPL) des pilotes participant à l’exploitation d’avions et d’hélicoptères en dehors d’un exploitant;</w:t>
                </w:r>
                <w:r>
                  <w:rPr>
                    <w:rStyle w:val="Hyperlink"/>
                    <w:color w:val="auto"/>
                    <w:sz w:val="20"/>
                    <w:szCs w:val="20"/>
                    <w:u w:val="none"/>
                  </w:rPr>
                  <w:br/>
                  <w:t>3) mentions d’unité délivrées dans des licences de contrôleur de la circulation aérienne.</w:t>
                </w:r>
              </w:p>
            </w:tc>
          </w:sdtContent>
        </w:sdt>
        <w:tc>
          <w:tcPr>
            <w:tcW w:w="3966" w:type="dxa"/>
          </w:tcPr>
          <w:p>
            <w:pPr>
              <w:rPr>
                <w:rStyle w:val="Hyperlink"/>
                <w:rFonts w:cstheme="majorBidi"/>
                <w:b/>
                <w:color w:val="auto"/>
                <w:sz w:val="20"/>
                <w:szCs w:val="20"/>
                <w:u w:val="none"/>
              </w:rPr>
            </w:pPr>
            <w:sdt>
              <w:sdtPr>
                <w:rPr>
                  <w:rStyle w:val="Hyperlink"/>
                  <w:rFonts w:cstheme="majorBidi"/>
                  <w:color w:val="auto"/>
                  <w:sz w:val="20"/>
                  <w:szCs w:val="20"/>
                  <w:u w:val="none"/>
                </w:rPr>
                <w:alias w:val="Remarques"/>
                <w:tag w:val="Remarks_a3735fad-4572-4134-91da-efb8b73cdf96"/>
                <w:id w:val="-1719274028"/>
                <w:placeholder>
                  <w:docPart w:val="731902B27B6A430CAB62B85EE5A4B766"/>
                </w:placeholder>
                <w:dataBinding w:xpath="/Root[1]/Remarks_a3735fad-4572-4134-91da-efb8b73cdf96[1]" w:storeItemID="{7E9F76D9-DE21-4CB8-A87C-05F3AB5F5986}"/>
                <w:text w:multiLine="1"/>
              </w:sdtPr>
              <w:sdtContent>
                <w:r>
                  <w:rPr>
                    <w:rStyle w:val="Hyperlink"/>
                    <w:color w:val="auto"/>
                    <w:sz w:val="20"/>
                    <w:szCs w:val="20"/>
                    <w:u w:val="none"/>
                  </w:rPr>
                  <w:t>a) Justification</w:t>
                </w:r>
                <w:r>
                  <w:rPr>
                    <w:rStyle w:val="Hyperlink"/>
                    <w:color w:val="auto"/>
                    <w:sz w:val="20"/>
                    <w:szCs w:val="20"/>
                    <w:u w:val="none"/>
                  </w:rPr>
                  <w:br/>
                  <w:t>A) Les titulaires de licences de pilote commercial qui sont tenus, d’une part, de procéder à un contrôle de compétences pour proroger la période de validité de leurs qualifications de type et de vols aux instruments, et, d’autre part, de respecter les exigences de formation et de contrôle récurrents de l’exploitant en vigueur, afin de continuer à exercer leurs privilèges, ne sont pas en mesure de parvenir ou d’obtenir l’accès à des simulateurs de vol en temps utile pour mener à bien la formation et le contrôle nécessaires. Il résulterait de cette situation l’expiration de leurs qualifications.</w:t>
                </w:r>
                <w:r>
                  <w:rPr>
                    <w:rStyle w:val="Hyperlink"/>
                    <w:color w:val="auto"/>
                    <w:sz w:val="20"/>
                    <w:szCs w:val="20"/>
                    <w:u w:val="none"/>
                  </w:rPr>
                  <w:br/>
                  <w:t>Les titulaires de licences de pilote en dehors d’un exploitant, qui ont l’obligation d’effectuer un contrôle de compétences pour proroger la période de validité de leurs qualifications de classe, de type ou de vol aux instruments, ne sont pas en mesure de parvenir ou d’obtenir l’accès à des simulateurs de vol en temps utile pour mener à bien les vols, formations et contrôles nécessaires.</w:t>
                </w:r>
                <w:r>
                  <w:rPr>
                    <w:rStyle w:val="Hyperlink"/>
                    <w:color w:val="auto"/>
                    <w:sz w:val="20"/>
                    <w:szCs w:val="20"/>
                    <w:u w:val="none"/>
                  </w:rPr>
                  <w:br/>
                  <w:t>Les titulaires de licences de contrôleur de la circulation aérienne connaissent des difficultés à accéder à des systèmes d'entraînement synthétique afin de mener à bien leurs activités récurrentes de formation/évaluation programmées.</w:t>
                </w:r>
                <w:r>
                  <w:rPr>
                    <w:rStyle w:val="Hyperlink"/>
                    <w:color w:val="auto"/>
                    <w:sz w:val="20"/>
                    <w:szCs w:val="20"/>
                    <w:u w:val="none"/>
                  </w:rPr>
                  <w:br/>
                </w:r>
                <w:r>
                  <w:rPr>
                    <w:rStyle w:val="Hyperlink"/>
                    <w:color w:val="auto"/>
                    <w:sz w:val="20"/>
                    <w:szCs w:val="20"/>
                    <w:u w:val="none"/>
                  </w:rPr>
                  <w:br/>
                  <w:t>b) Conditions/mesures d’atténuation -  [L’État] impose les conditions suivantes:</w:t>
                </w:r>
                <w:r>
                  <w:rPr>
                    <w:rStyle w:val="Hyperlink"/>
                    <w:color w:val="auto"/>
                    <w:sz w:val="20"/>
                    <w:szCs w:val="20"/>
                    <w:u w:val="none"/>
                  </w:rPr>
                  <w:br/>
                  <w:t>1) Les titulaires d'une licence qui détiennent une licence en cours de validité avant l’application de la mesure dérogatoire et qui exercent en liaison avec un exploitant doivent avoir reçu une formation de recyclage, suivie d’une évaluation, selon des moyens définis par l’exploitant, afin de s’assurer que le niveau de connaissance requis pour exercer selon la classe ou le type applicable est maintenu. Cette évaluation porte également sur les procédures d’exception et d’urgence spécifiques de la classe ou du type.</w:t>
                </w:r>
                <w:r>
                  <w:rPr>
                    <w:rStyle w:val="Hyperlink"/>
                    <w:color w:val="auto"/>
                    <w:sz w:val="20"/>
                    <w:szCs w:val="20"/>
                    <w:u w:val="none"/>
                  </w:rPr>
                  <w:br/>
                </w:r>
                <w:r>
                  <w:rPr>
                    <w:rStyle w:val="Hyperlink"/>
                    <w:color w:val="auto"/>
                    <w:sz w:val="20"/>
                    <w:szCs w:val="20"/>
                    <w:u w:val="none"/>
                  </w:rPr>
                  <w:br/>
                  <w:t xml:space="preserve">À l’issue positive de la formation de recyclage et de l’évaluation, la nouvelle date d’expiration sera inscrite dans la licence, ou un document officiel indiquant la nouvelle date d’expiration, délivré par [l’État], sera joint à la licence.  </w:t>
                </w:r>
                <w:r>
                  <w:rPr>
                    <w:rStyle w:val="Hyperlink"/>
                    <w:color w:val="auto"/>
                    <w:sz w:val="20"/>
                    <w:szCs w:val="20"/>
                    <w:u w:val="none"/>
                  </w:rPr>
                  <w:br/>
                </w:r>
                <w:r>
                  <w:rPr>
                    <w:rStyle w:val="Hyperlink"/>
                    <w:color w:val="auto"/>
                    <w:sz w:val="20"/>
                    <w:szCs w:val="20"/>
                    <w:u w:val="none"/>
                  </w:rPr>
                  <w:br/>
                  <w:t>2) Les titulaires d’une licence en cours de validité avant l’application de la mesure dérogatoire et qui exercent en dehors d’un exploitant, doivent avoir suivi un exposé par un instructeur titulaire des privilèges d’instruction pertinents afin de maintenir le niveau requis de connaissances pour exploiter en toute sécurité la classe ou le type applicable et pour exécuter en toute sécurité les manœuvres et procédures applicables pertinentes.  Cet exposé porte également sur les procédures d’exception et d’urgence spécifiques de la classe ou du type, selon le cas.</w:t>
                </w:r>
                <w:r>
                  <w:rPr>
                    <w:rStyle w:val="Hyperlink"/>
                    <w:color w:val="auto"/>
                    <w:sz w:val="20"/>
                    <w:szCs w:val="20"/>
                    <w:u w:val="none"/>
                  </w:rPr>
                  <w:br/>
                </w:r>
                <w:r>
                  <w:rPr>
                    <w:rStyle w:val="Hyperlink"/>
                    <w:color w:val="auto"/>
                    <w:sz w:val="20"/>
                    <w:szCs w:val="20"/>
                    <w:u w:val="none"/>
                  </w:rPr>
                  <w:br/>
                  <w:t xml:space="preserve">À l’issue positive de l’exposé, la nouvelle date d’expiration sera inscrite dans la licence, ou un document officiel indiquant la nouvelle date d’expiration, délivré par [l’État], sera joint à la licence.  </w:t>
                </w:r>
                <w:r>
                  <w:rPr>
                    <w:rStyle w:val="Hyperlink"/>
                    <w:color w:val="auto"/>
                    <w:sz w:val="20"/>
                    <w:szCs w:val="20"/>
                    <w:u w:val="none"/>
                  </w:rPr>
                  <w:br/>
                </w:r>
                <w:r>
                  <w:rPr>
                    <w:rStyle w:val="Hyperlink"/>
                    <w:color w:val="auto"/>
                    <w:sz w:val="20"/>
                    <w:szCs w:val="20"/>
                    <w:u w:val="none"/>
                  </w:rPr>
                  <w:br/>
                  <w:t>3) Dans le cas des mentions d’unité ATCO dans les licences ATCO, le prestataire de services de navigation aérienne (ANSP) veille à ce que l’indisponibilité potentielle de dispositifs d’entraînement synthétique soit atténuée par d’autres moyens, par exemple la formation sur ordinateur ou le rééchelonnement des formations de maintien des compétences dans les meilleurs délais.</w:t>
                </w:r>
                <w:r>
                  <w:rPr>
                    <w:rStyle w:val="Hyperlink"/>
                    <w:color w:val="auto"/>
                    <w:sz w:val="20"/>
                    <w:szCs w:val="20"/>
                    <w:u w:val="none"/>
                  </w:rPr>
                  <w:br/>
                </w:r>
              </w:sdtContent>
            </w:sdt>
          </w:p>
          <w:p>
            <w:pPr>
              <w:ind w:right="-932"/>
              <w:rPr>
                <w:rStyle w:val="Hyperlink"/>
                <w:rFonts w:cstheme="majorBidi"/>
                <w:b/>
                <w:color w:val="auto"/>
                <w:sz w:val="20"/>
                <w:szCs w:val="20"/>
                <w:u w:val="none"/>
              </w:rPr>
            </w:pPr>
          </w:p>
        </w:tc>
        <w:tc>
          <w:tcPr>
            <w:tcW w:w="1985" w:type="dxa"/>
          </w:tcPr>
          <w:p>
            <w:pPr>
              <w:rPr>
                <w:rFonts w:cstheme="majorBidi"/>
                <w:sz w:val="20"/>
                <w:szCs w:val="20"/>
              </w:rPr>
            </w:pPr>
          </w:p>
        </w:tc>
      </w:tr>
      <w:tr>
        <w:tc>
          <w:tcPr>
            <w:tcW w:w="1702" w:type="dxa"/>
          </w:tcPr>
          <w:sdt>
            <w:sdtPr>
              <w:rPr>
                <w:color w:val="0000FF" w:themeColor="hyperlink"/>
                <w:u w:val="single"/>
              </w:rPr>
              <w:alias w:val="Annexe:"/>
              <w:tag w:val="Annex_e780d741-b6b7-4899-aac1-2bfe28818553"/>
              <w:id w:val="-1666768589"/>
              <w:lock w:val="contentLocked"/>
              <w:placeholder>
                <w:docPart w:val="AE3DE094D9524B1CB176E63EDE8F9257"/>
              </w:placeholder>
              <w:dataBinding w:xpath="/Root[1]/Annex_e780d741-b6b7-4899-aac1-2bfe28818553[1]" w:storeItemID="{7E9F76D9-DE21-4CB8-A87C-05F3AB5F5986}"/>
              <w:text w:multiLine="1"/>
            </w:sdtPr>
            <w:sdtContent>
              <w:p>
                <w:r>
                  <w:t>Annexe 6, partie 1</w:t>
                </w:r>
              </w:p>
            </w:sdtContent>
          </w:sdt>
          <w:p/>
          <w:sdt>
            <w:sdtPr>
              <w:alias w:val="Référence"/>
              <w:tag w:val="Reference_e780d741-b6b7-4899-aac1-2bfe28818553"/>
              <w:id w:val="-494880652"/>
              <w:lock w:val="contentLocked"/>
              <w:placeholder>
                <w:docPart w:val="3B39E02C3937451E950F8867D959DD31"/>
              </w:placeholder>
              <w:dataBinding w:xpath="/Root[1]/Reference_e780d741-b6b7-4899-aac1-2bfe28818553[1]" w:storeItemID="{7E9F76D9-DE21-4CB8-A87C-05F3AB5F5986}"/>
              <w:text/>
            </w:sdtPr>
            <w:sdtContent>
              <w:p>
                <w:r>
                  <w:t>9.4.1.1</w:t>
                </w:r>
              </w:p>
            </w:sdtContent>
          </w:sdt>
          <w:p/>
        </w:tc>
        <w:tc>
          <w:tcPr>
            <w:tcW w:w="4673" w:type="dxa"/>
          </w:tcPr>
          <w:p>
            <w:r>
              <w:t>9</w:t>
            </w:r>
            <w:r>
              <w:t>.</w:t>
            </w:r>
            <w:r>
              <w:t>4</w:t>
            </w:r>
            <w:r>
              <w:t>    Qualifications</w:t>
            </w:r>
          </w:p>
          <w:p/>
          <w:p>
            <w:pPr>
              <w:rPr>
                <w:i/>
                <w:iCs/>
              </w:rPr>
            </w:pPr>
            <w:r>
              <w:rPr>
                <w:i/>
                <w:iCs/>
              </w:rPr>
              <w:tab/>
              <w:t xml:space="preserve">Note </w:t>
            </w:r>
            <w:r>
              <w:rPr>
                <w:i/>
                <w:iCs/>
              </w:rPr>
              <w:t>1</w:t>
            </w:r>
            <w:r>
              <w:rPr>
                <w:i/>
                <w:iCs/>
              </w:rPr>
              <w:t xml:space="preserve">.— Des indications de caractère général sur la qualification par différence, les vols sur plus d’un type ou plus d’une variante d’aéronef et la prise en compte d’expérience ou de formation sur un autre type ou une autre catégorie figurent dans le </w:t>
            </w:r>
            <w:r>
              <w:t xml:space="preserve">Manuel de procédures pour l’instauration et la gestion d’un système national de délivrance des licences du personnel </w:t>
            </w:r>
            <w:r>
              <w:rPr>
                <w:i/>
                <w:iCs/>
              </w:rPr>
              <w:t xml:space="preserve">(doc </w:t>
            </w:r>
            <w:r>
              <w:rPr>
                <w:i/>
                <w:iCs/>
              </w:rPr>
              <w:t>9379</w:t>
            </w:r>
            <w:r>
              <w:rPr>
                <w:i/>
                <w:iCs/>
              </w:rPr>
              <w:t>)</w:t>
            </w:r>
            <w:r>
              <w:t>.</w:t>
            </w:r>
          </w:p>
          <w:p/>
          <w:p/>
          <w:p>
            <w:r>
              <w:t>9</w:t>
            </w:r>
            <w:r>
              <w:t>.</w:t>
            </w:r>
            <w:r>
              <w:t>4</w:t>
            </w:r>
            <w:r>
              <w:t>.</w:t>
            </w:r>
            <w:r>
              <w:t>1</w:t>
            </w:r>
            <w:r>
              <w:tab/>
              <w:t>Expérience récente du pilote commandant de bord et du copilote</w:t>
            </w:r>
          </w:p>
          <w:p/>
          <w:p>
            <w:r>
              <w:tab/>
            </w:r>
            <w:r>
              <w:t>9</w:t>
            </w:r>
            <w:r>
              <w:t>.</w:t>
            </w:r>
            <w:r>
              <w:t>4</w:t>
            </w:r>
            <w:r>
              <w:t>.</w:t>
            </w:r>
            <w:r>
              <w:t>4</w:t>
            </w:r>
            <w:r>
              <w:t>.</w:t>
            </w:r>
            <w:r>
              <w:t>1</w:t>
            </w:r>
            <w:r>
              <w:tab/>
              <w:t xml:space="preserve">L’exploitant ne confiera pas le décollage et l’atterrissage d’un type ou d’une variante de type d’avion à un pilote commandant de bord ou un copilote qui n’a pas été aux commandes dans au moins trois décollages et atterrissages au cours des </w:t>
            </w:r>
            <w:r>
              <w:t>90</w:t>
            </w:r>
            <w:r>
              <w:t xml:space="preserve"> jours précédents, sur le même type d’avion ou sur un simulateur de vol approuvé à cet effet.</w:t>
            </w:r>
          </w:p>
          <w:p/>
        </w:tc>
        <w:sdt>
          <w:sdtPr>
            <w:rPr>
              <w:rStyle w:val="Hyperlink"/>
              <w:rFonts w:cstheme="majorBidi"/>
              <w:color w:val="auto"/>
              <w:sz w:val="20"/>
              <w:szCs w:val="20"/>
              <w:u w:val="none"/>
            </w:rPr>
            <w:alias w:val="Détails"/>
            <w:tag w:val="Details_e780d741-b6b7-4899-aac1-2bfe28818553"/>
            <w:id w:val="-1814640852"/>
            <w:placeholder>
              <w:docPart w:val="319155465811459FB50C3FF8D526FBA7"/>
            </w:placeholder>
            <w:dataBinding w:xpath="/Root[1]/Details_e780d741-b6b7-4899-aac1-2bfe28818553[1]" w:storeItemID="{7E9F76D9-DE21-4CB8-A87C-05F3AB5F5986}"/>
            <w:text w:multiLine="1"/>
          </w:sdtPr>
          <w:sdtContent>
            <w:tc>
              <w:tcPr>
                <w:tcW w:w="2554" w:type="dxa"/>
              </w:tcPr>
              <w:p>
                <w:pPr>
                  <w:ind w:right="-105"/>
                  <w:rPr>
                    <w:rStyle w:val="Hyperlink"/>
                    <w:rFonts w:cstheme="majorBidi"/>
                    <w:b/>
                    <w:color w:val="auto"/>
                    <w:sz w:val="20"/>
                    <w:szCs w:val="20"/>
                    <w:u w:val="none"/>
                  </w:rPr>
                </w:pPr>
                <w:r>
                  <w:rPr>
                    <w:rStyle w:val="Hyperlink"/>
                    <w:color w:val="auto"/>
                    <w:sz w:val="20"/>
                    <w:szCs w:val="20"/>
                    <w:u w:val="none"/>
                  </w:rPr>
                  <w:t>Sous réserve de l’évaluation d'une analyse des risques, la mesure dérogatoire prévue par [l’État] autorise les exploitants individuels à confier des tâches de membres d’équipage de conduite à des pilotes qui ne satisfont pas à toutes les exigences d’expérience récente. Les mesures dérogatoires concernent soit:</w:t>
                </w:r>
                <w:r>
                  <w:rPr>
                    <w:rStyle w:val="Hyperlink"/>
                    <w:color w:val="auto"/>
                    <w:sz w:val="20"/>
                    <w:szCs w:val="20"/>
                    <w:u w:val="none"/>
                  </w:rPr>
                  <w:br/>
                  <w:t>a) la réduction du nombre de décollages, d’approches et d’atterrissages requis; ou</w:t>
                </w:r>
                <w:r>
                  <w:rPr>
                    <w:rStyle w:val="Hyperlink"/>
                    <w:color w:val="auto"/>
                    <w:sz w:val="20"/>
                    <w:szCs w:val="20"/>
                    <w:u w:val="none"/>
                  </w:rPr>
                  <w:br/>
                  <w:t>b) l’allongement de la période de 90 jours; ou</w:t>
                </w:r>
                <w:r>
                  <w:rPr>
                    <w:rStyle w:val="Hyperlink"/>
                    <w:color w:val="auto"/>
                    <w:sz w:val="20"/>
                    <w:szCs w:val="20"/>
                    <w:u w:val="none"/>
                  </w:rPr>
                  <w:br/>
                  <w:t>c) les deux.</w:t>
                </w:r>
                <w:r>
                  <w:rPr>
                    <w:rStyle w:val="Hyperlink"/>
                    <w:color w:val="auto"/>
                    <w:sz w:val="20"/>
                    <w:szCs w:val="20"/>
                    <w:u w:val="none"/>
                  </w:rPr>
                  <w:br/>
                </w:r>
                <w:r>
                  <w:rPr>
                    <w:rStyle w:val="Hyperlink"/>
                    <w:color w:val="auto"/>
                    <w:sz w:val="20"/>
                    <w:szCs w:val="20"/>
                    <w:u w:val="none"/>
                  </w:rPr>
                  <w:br/>
                  <w:t>Les mesures dérogatoires font l’objet de mesures d’atténuation.</w:t>
                </w:r>
                <w:r>
                  <w:rPr>
                    <w:rStyle w:val="Hyperlink"/>
                    <w:color w:val="auto"/>
                    <w:sz w:val="20"/>
                    <w:szCs w:val="20"/>
                    <w:u w:val="none"/>
                  </w:rPr>
                  <w:br/>
                </w:r>
                <w:r>
                  <w:rPr>
                    <w:rStyle w:val="Hyperlink"/>
                    <w:color w:val="auto"/>
                    <w:sz w:val="20"/>
                    <w:szCs w:val="20"/>
                    <w:u w:val="none"/>
                  </w:rPr>
                  <w:br/>
                  <w:t xml:space="preserve">Les critères utilisés pour la composition de l’équipage de conduite distingueront entre les pilotes «récents», «partiellement récents» et «non récents».  </w:t>
                </w:r>
                <w:r>
                  <w:rPr>
                    <w:rStyle w:val="Hyperlink"/>
                    <w:color w:val="auto"/>
                    <w:sz w:val="20"/>
                    <w:szCs w:val="20"/>
                    <w:u w:val="none"/>
                  </w:rPr>
                  <w:br/>
                  <w:t>On entend par «partiellement récent» un pilote qui a effectué en qualité de pilote aux commandes au moins deux décollages, approches, et atterrissages au cours des 90 jours précédents, ou un décollage, approche et atterrissage au cours des 30 jours précédents.</w:t>
                </w:r>
                <w:r>
                  <w:rPr>
                    <w:rStyle w:val="Hyperlink"/>
                    <w:color w:val="auto"/>
                    <w:sz w:val="20"/>
                    <w:szCs w:val="20"/>
                    <w:u w:val="none"/>
                  </w:rPr>
                  <w:br/>
                  <w:t>En outre, l’expérience de vol du pilote (totale et dans le type) et ses qualifications (par exemple instructeur) sont prises en compte.</w:t>
                </w:r>
                <w:r>
                  <w:rPr>
                    <w:rStyle w:val="Hyperlink"/>
                    <w:color w:val="auto"/>
                    <w:sz w:val="20"/>
                    <w:szCs w:val="20"/>
                    <w:u w:val="none"/>
                  </w:rPr>
                  <w:br/>
                </w:r>
                <w:r>
                  <w:rPr>
                    <w:rStyle w:val="Hyperlink"/>
                    <w:color w:val="auto"/>
                    <w:sz w:val="20"/>
                    <w:szCs w:val="20"/>
                    <w:u w:val="none"/>
                  </w:rPr>
                  <w:br/>
                  <w:t>La durée de la mesure dérogatoire est limitée au temps nécessaire pour que l’exploitant puisse faire face à la réduction des horaires de vol et à l’indisponibilité des simulateurs de vol.</w:t>
                </w:r>
                <w:r>
                  <w:rPr>
                    <w:rStyle w:val="Hyperlink"/>
                    <w:color w:val="auto"/>
                    <w:sz w:val="20"/>
                    <w:szCs w:val="20"/>
                    <w:u w:val="none"/>
                  </w:rPr>
                  <w:br/>
                </w:r>
                <w:r>
                  <w:rPr>
                    <w:rStyle w:val="Hyperlink"/>
                    <w:color w:val="auto"/>
                    <w:sz w:val="20"/>
                    <w:szCs w:val="20"/>
                    <w:u w:val="none"/>
                  </w:rPr>
                  <w:br/>
                  <w:t>Aucune mesure dérogatoire n’est accordée si tous les membres d’équipage requis n’ont effectué aucun vol/activité sur simulateur au cours des 90 jours précédents.</w:t>
                </w:r>
              </w:p>
            </w:tc>
          </w:sdtContent>
        </w:sdt>
        <w:sdt>
          <w:sdtPr>
            <w:rPr>
              <w:rStyle w:val="Hyperlink"/>
              <w:rFonts w:cstheme="majorBidi"/>
              <w:color w:val="auto"/>
              <w:sz w:val="20"/>
              <w:szCs w:val="20"/>
              <w:u w:val="none"/>
            </w:rPr>
            <w:alias w:val="Remarques"/>
            <w:tag w:val="Remarks_e780d741-b6b7-4899-aac1-2bfe28818553"/>
            <w:id w:val="975562321"/>
            <w:placeholder>
              <w:docPart w:val="731902B27B6A430CAB62B85EE5A4B766"/>
            </w:placeholder>
            <w:dataBinding w:xpath="/Root[1]/Remarks_e780d741-b6b7-4899-aac1-2bfe28818553[1]" w:storeItemID="{7E9F76D9-DE21-4CB8-A87C-05F3AB5F5986}"/>
            <w:text w:multiLine="1"/>
          </w:sdtPr>
          <w:sdtContent>
            <w:tc>
              <w:tcPr>
                <w:tcW w:w="3966" w:type="dxa"/>
              </w:tcPr>
              <w:p>
                <w:pPr>
                  <w:ind w:right="-106"/>
                  <w:rPr>
                    <w:rStyle w:val="Hyperlink"/>
                    <w:rFonts w:cstheme="majorBidi"/>
                    <w:b/>
                    <w:color w:val="auto"/>
                    <w:sz w:val="20"/>
                    <w:szCs w:val="20"/>
                    <w:u w:val="none"/>
                  </w:rPr>
                </w:pPr>
                <w:r>
                  <w:rPr>
                    <w:rStyle w:val="Hyperlink"/>
                    <w:color w:val="auto"/>
                    <w:sz w:val="20"/>
                    <w:szCs w:val="20"/>
                    <w:u w:val="none"/>
                  </w:rPr>
                  <w:t>a) Justification</w:t>
                </w:r>
                <w:r>
                  <w:rPr>
                    <w:rStyle w:val="Hyperlink"/>
                    <w:color w:val="auto"/>
                    <w:sz w:val="20"/>
                    <w:szCs w:val="20"/>
                    <w:u w:val="none"/>
                  </w:rPr>
                  <w:br/>
                  <w:t>La pandémie de COVID-19 a entraîné l’arrêt ou la réduction sensible des opérations de transport aérien commercial et des difficultés à atteindre l’endroit où des simulateurs de vol appropriés sont disponibles. Il en résulte qu’un grand nombre de pilotes ne sont pas en mesure de satisfaire aux exigences en matière d’expérience de vol.</w:t>
                </w:r>
                <w:r>
                  <w:rPr>
                    <w:rStyle w:val="Hyperlink"/>
                    <w:color w:val="auto"/>
                    <w:sz w:val="20"/>
                    <w:szCs w:val="20"/>
                    <w:u w:val="none"/>
                  </w:rPr>
                  <w:br/>
                </w:r>
                <w:r>
                  <w:rPr>
                    <w:rStyle w:val="Hyperlink"/>
                    <w:color w:val="auto"/>
                    <w:sz w:val="20"/>
                    <w:szCs w:val="20"/>
                    <w:u w:val="none"/>
                  </w:rPr>
                  <w:br/>
                  <w:t>b) Conditions/mesures d’atténuation -  [L’État] impose les conditions suivantes:</w:t>
                </w:r>
                <w:r>
                  <w:rPr>
                    <w:rStyle w:val="Hyperlink"/>
                    <w:color w:val="auto"/>
                    <w:sz w:val="20"/>
                    <w:szCs w:val="20"/>
                    <w:u w:val="none"/>
                  </w:rPr>
                  <w:br/>
                </w:r>
                <w:r>
                  <w:rPr>
                    <w:rStyle w:val="Hyperlink"/>
                    <w:color w:val="auto"/>
                    <w:sz w:val="20"/>
                    <w:szCs w:val="20"/>
                    <w:u w:val="none"/>
                  </w:rPr>
                  <w:br/>
                  <w:t>L’expérience récente et les qualifications de chaque pilote, et leur combinaison dans l’environnement d’exploitation multi-équipages, sont considérées comme déterminant la composition d’équipage dérogatoire.</w:t>
                </w:r>
                <w:r>
                  <w:rPr>
                    <w:rStyle w:val="Hyperlink"/>
                    <w:color w:val="auto"/>
                    <w:sz w:val="20"/>
                    <w:szCs w:val="20"/>
                    <w:u w:val="none"/>
                  </w:rPr>
                  <w:br/>
                </w:r>
                <w:r>
                  <w:rPr>
                    <w:rStyle w:val="Hyperlink"/>
                    <w:color w:val="auto"/>
                    <w:sz w:val="20"/>
                    <w:szCs w:val="20"/>
                    <w:u w:val="none"/>
                  </w:rPr>
                  <w:br/>
                  <w:t xml:space="preserve">L’exploitant doit effectuer une évaluation des risques afin de déterminer la probabilité et la gravité potentielle de la détérioration des compétences d’équipage en relation avec l’arrêt prolongé des vols. </w:t>
                </w:r>
                <w:r>
                  <w:rPr>
                    <w:rStyle w:val="Hyperlink"/>
                    <w:color w:val="auto"/>
                    <w:sz w:val="20"/>
                    <w:szCs w:val="20"/>
                    <w:u w:val="none"/>
                  </w:rPr>
                  <w:br/>
                </w:r>
                <w:r>
                  <w:rPr>
                    <w:rStyle w:val="Hyperlink"/>
                    <w:color w:val="auto"/>
                    <w:sz w:val="20"/>
                    <w:szCs w:val="20"/>
                    <w:u w:val="none"/>
                  </w:rPr>
                  <w:br/>
                  <w:t xml:space="preserve">Des mesures d’atténuation appropriées visant à réduire au minimum les risques recensés doivent être déterminées et appliquées, assorties d’une ou plusieurs restrictions d’exploitation valables pour l’ensemble de l’équipage de conduite afin de réduire l’exposition de ses membres à des situations difficiles (par exemple, réduction des limites maximales de vent de travers, introduction de minima d’approche plus élevés, restriction des conditions de surface de la piste, régulation avec un système d’atterrissage automatique en état de fonctionnement, s’il est installé).. </w:t>
                </w:r>
              </w:p>
            </w:tc>
          </w:sdtContent>
        </w:sdt>
        <w:tc>
          <w:tcPr>
            <w:tcW w:w="1985" w:type="dxa"/>
          </w:tcPr>
          <w:sdt>
            <w:sdtPr>
              <w:rPr>
                <w:rStyle w:val="Hyperlink"/>
                <w:rFonts w:cstheme="majorBidi"/>
                <w:color w:val="FF0000"/>
                <w:sz w:val="20"/>
                <w:szCs w:val="20"/>
              </w:rPr>
              <w:alias w:val="DifférenceÉtat"/>
              <w:tag w:val="StateDifference_e780d741-b6b7-4899-aac1-2bfe28818553"/>
              <w:id w:val="736671425"/>
              <w:placeholder>
                <w:docPart w:val="4FA1EAFE31FD4C3A92CC9CD7C75B679A"/>
              </w:placeholder>
              <w:showingPlcHdr/>
              <w:dataBinding w:xpath="/Root[1]/StateDifference_e780d741-b6b7-4899-aac1-2bfe28818553[1]" w:storeItemID="{7E9F76D9-DE21-4CB8-A87C-05F3AB5F5986}"/>
              <w:text w:multiLine="1"/>
            </w:sdtPr>
            <w:sdtContent>
              <w:p>
                <w:pPr>
                  <w:rPr>
                    <w:rStyle w:val="Hyperlink"/>
                    <w:rFonts w:cstheme="majorBidi"/>
                    <w:b/>
                    <w:sz w:val="20"/>
                    <w:szCs w:val="20"/>
                  </w:rPr>
                </w:pPr>
                <w:r>
                  <w:rPr>
                    <w:rStyle w:val="PlaceholderText"/>
                  </w:rPr>
                  <w:t>Cliquer ou toucher ici pour introduire le texte</w:t>
                </w:r>
              </w:p>
            </w:sdtContent>
          </w:sdt>
          <w:p>
            <w:pPr>
              <w:rPr>
                <w:rFonts w:cstheme="majorBidi"/>
                <w:sz w:val="20"/>
                <w:szCs w:val="20"/>
              </w:rPr>
            </w:pPr>
          </w:p>
          <w:p>
            <w:pPr>
              <w:jc w:val="both"/>
              <w:rPr>
                <w:sz w:val="20"/>
                <w:szCs w:val="20"/>
              </w:rPr>
            </w:pPr>
            <w:r>
              <w:rPr>
                <w:sz w:val="20"/>
                <w:szCs w:val="20"/>
              </w:rPr>
              <w:t xml:space="preserve">En ce qui concerne les certificats et licences délivrés par les États membres de l’UE, les différences sont automatiquement reconnues sur la base du règlement (UE) </w:t>
            </w:r>
            <w:r>
              <w:rPr>
                <w:sz w:val="20"/>
                <w:szCs w:val="20"/>
              </w:rPr>
              <w:t>2018</w:t>
            </w:r>
            <w:r>
              <w:rPr>
                <w:sz w:val="20"/>
                <w:szCs w:val="20"/>
              </w:rPr>
              <w:t>/</w:t>
            </w:r>
            <w:r>
              <w:rPr>
                <w:sz w:val="20"/>
                <w:szCs w:val="20"/>
              </w:rPr>
              <w:t>1139</w:t>
            </w:r>
            <w:r>
              <w:rPr>
                <w:sz w:val="20"/>
                <w:szCs w:val="20"/>
              </w:rPr>
              <w:t>.</w:t>
            </w:r>
          </w:p>
          <w:p>
            <w:pPr>
              <w:jc w:val="both"/>
              <w:rPr>
                <w:sz w:val="20"/>
                <w:szCs w:val="20"/>
              </w:rPr>
            </w:pPr>
          </w:p>
          <w:p>
            <w:pPr>
              <w:rPr>
                <w:rFonts w:cstheme="majorBidi"/>
                <w:sz w:val="20"/>
                <w:szCs w:val="20"/>
              </w:rPr>
            </w:pPr>
            <w:r>
              <w:rPr>
                <w:sz w:val="20"/>
                <w:szCs w:val="20"/>
              </w:rPr>
              <w:t>En ce qui concerne la reconnaissance ou l’acceptation de la validité des certificats et licences faisant l’objet des dispositions spéciales temporaires (liés à la pandémie de COVID-</w:t>
            </w:r>
            <w:r>
              <w:rPr>
                <w:sz w:val="20"/>
                <w:szCs w:val="20"/>
              </w:rPr>
              <w:t>19</w:t>
            </w:r>
            <w:r>
              <w:rPr>
                <w:sz w:val="20"/>
                <w:szCs w:val="20"/>
              </w:rPr>
              <w:t xml:space="preserve">) délivrés par des pays tiers. Le règlement (UE) </w:t>
            </w:r>
            <w:r>
              <w:rPr>
                <w:sz w:val="20"/>
                <w:szCs w:val="20"/>
              </w:rPr>
              <w:t>452</w:t>
            </w:r>
            <w:r>
              <w:rPr>
                <w:sz w:val="20"/>
                <w:szCs w:val="20"/>
              </w:rPr>
              <w:t>/</w:t>
            </w:r>
            <w:r>
              <w:rPr>
                <w:sz w:val="20"/>
                <w:szCs w:val="20"/>
              </w:rPr>
              <w:t>2014</w:t>
            </w:r>
            <w:r>
              <w:rPr>
                <w:sz w:val="20"/>
                <w:szCs w:val="20"/>
              </w:rPr>
              <w:t xml:space="preserve"> déterminant les exigences techniques et les procédures administratives applicables aux opérations aériennes des exploitants de pays tiers s’applique.</w:t>
            </w:r>
          </w:p>
        </w:tc>
      </w:tr>
      <w:tr>
        <w:tc>
          <w:tcPr>
            <w:tcW w:w="1702" w:type="dxa"/>
          </w:tcPr>
          <w:sdt>
            <w:sdtPr>
              <w:alias w:val="Annexe:"/>
              <w:tag w:val="Annex_965e7183-b936-4a61-9a17-350e79e7ecdb"/>
              <w:id w:val="1950509375"/>
              <w:lock w:val="contentLocked"/>
              <w:placeholder>
                <w:docPart w:val="AE3DE094D9524B1CB176E63EDE8F9257"/>
              </w:placeholder>
              <w:dataBinding w:xpath="/Root[1]/Annex_965e7183-b936-4a61-9a17-350e79e7ecdb[1]" w:storeItemID="{7E9F76D9-DE21-4CB8-A87C-05F3AB5F5986}"/>
              <w:text w:multiLine="1"/>
            </w:sdtPr>
            <w:sdtContent>
              <w:p>
                <w:r>
                  <w:t>Annexe 6, partie 1</w:t>
                </w:r>
              </w:p>
            </w:sdtContent>
          </w:sdt>
          <w:p/>
          <w:sdt>
            <w:sdtPr>
              <w:alias w:val="Référence"/>
              <w:tag w:val="Reference_965e7183-b936-4a61-9a17-350e79e7ecdb"/>
              <w:id w:val="-166094232"/>
              <w:lock w:val="contentLocked"/>
              <w:placeholder>
                <w:docPart w:val="3B39E02C3937451E950F8867D959DD31"/>
              </w:placeholder>
              <w:dataBinding w:xpath="/Root[1]/Reference_965e7183-b936-4a61-9a17-350e79e7ecdb[1]" w:storeItemID="{7E9F76D9-DE21-4CB8-A87C-05F3AB5F5986}"/>
              <w:text/>
            </w:sdtPr>
            <w:sdtContent>
              <w:p>
                <w:r>
                  <w:t>9.4.2.1</w:t>
                </w:r>
              </w:p>
            </w:sdtContent>
          </w:sdt>
          <w:p/>
        </w:tc>
        <w:tc>
          <w:tcPr>
            <w:tcW w:w="4673" w:type="dxa"/>
          </w:tcPr>
          <w:p>
            <w:r>
              <w:t>9</w:t>
            </w:r>
            <w:r>
              <w:t>.</w:t>
            </w:r>
            <w:r>
              <w:t>4</w:t>
            </w:r>
            <w:r>
              <w:t>.</w:t>
            </w:r>
            <w:r>
              <w:t>2</w:t>
            </w:r>
            <w:r>
              <w:tab/>
              <w:t>Expérience récente du pilote de relève en croisière</w:t>
            </w:r>
          </w:p>
          <w:p/>
          <w:p>
            <w:r>
              <w:tab/>
            </w:r>
            <w:r>
              <w:t>9</w:t>
            </w:r>
            <w:r>
              <w:t>.</w:t>
            </w:r>
            <w:r>
              <w:t>4</w:t>
            </w:r>
            <w:r>
              <w:t>.</w:t>
            </w:r>
            <w:r>
              <w:t>2</w:t>
            </w:r>
            <w:r>
              <w:t>.</w:t>
            </w:r>
            <w:r>
              <w:t>1</w:t>
            </w:r>
            <w:r>
              <w:tab/>
              <w:t xml:space="preserve">L’exploitant n’affectera pas un pilote au poste de pilote de relève en croisière sur un type ou une variante de type d’avion si, dans les </w:t>
            </w:r>
            <w:r>
              <w:t>90</w:t>
            </w:r>
            <w:r>
              <w:t xml:space="preserve"> jours précédents, ce pilote:</w:t>
            </w:r>
          </w:p>
          <w:p/>
          <w:p>
            <w:r>
              <w:tab/>
              <w:t>a)</w:t>
            </w:r>
            <w:r>
              <w:tab/>
              <w:t>n’a pas rempli les fonctions de pilote commandant de bord, de copilote ou de pilote de relève en croisière sur le même type d’avion; ou</w:t>
            </w:r>
          </w:p>
          <w:p/>
          <w:p>
            <w:r>
              <w:tab/>
              <w:t>b)</w:t>
            </w:r>
            <w:r>
              <w:tab/>
              <w:t>n’a pas reçu de formation de recyclage en pilotage comprenant des procédures normales, anormales et d’urgence propres au vol en croisière sur le même type d’avion ou sur un simulateur de vol approuvé à cet effet, et s’il ne s’est pas exercé à exécuter des procédures d’approche et d’atterrissage, exercice qu’il peut avoir fait en qualité de pilote qui n’est pas aux commandes.</w:t>
            </w:r>
          </w:p>
          <w:p/>
        </w:tc>
        <w:sdt>
          <w:sdtPr>
            <w:rPr>
              <w:rStyle w:val="Marker"/>
              <w:rFonts w:cstheme="majorBidi"/>
              <w:color w:val="auto"/>
              <w:sz w:val="20"/>
              <w:szCs w:val="20"/>
            </w:rPr>
            <w:alias w:val="Détails"/>
            <w:tag w:val="Details_965e7183-b936-4a61-9a17-350e79e7ecdb"/>
            <w:id w:val="-117070800"/>
            <w:placeholder>
              <w:docPart w:val="319155465811459FB50C3FF8D526FBA7"/>
            </w:placeholder>
            <w:dataBinding w:xpath="/Root[1]/Details_965e7183-b936-4a61-9a17-350e79e7ecdb[1]" w:storeItemID="{7E9F76D9-DE21-4CB8-A87C-05F3AB5F5986}"/>
            <w:text w:multiLine="1"/>
          </w:sdtPr>
          <w:sdtContent>
            <w:tc>
              <w:tcPr>
                <w:tcW w:w="2554" w:type="dxa"/>
              </w:tcPr>
              <w:p>
                <w:pPr>
                  <w:rPr>
                    <w:rStyle w:val="Hyperlink"/>
                    <w:rFonts w:cstheme="majorBidi"/>
                    <w:color w:val="auto"/>
                    <w:sz w:val="20"/>
                    <w:szCs w:val="20"/>
                    <w:u w:val="none"/>
                  </w:rPr>
                </w:pPr>
                <w:r>
                  <w:rPr>
                    <w:rStyle w:val="Marker"/>
                    <w:color w:val="auto"/>
                    <w:sz w:val="20"/>
                    <w:szCs w:val="20"/>
                  </w:rPr>
                  <w:t>La mesure dérogatoire au point 9.4.1.1 convient pour couvrir la mesure dérogatoire au point 9.4.2.1, car elle concerne la composition globale de l’équipage de conduite.</w:t>
                </w:r>
              </w:p>
            </w:tc>
          </w:sdtContent>
        </w:sdt>
        <w:sdt>
          <w:sdtPr>
            <w:rPr>
              <w:rStyle w:val="Hyperlink"/>
              <w:rFonts w:cstheme="majorBidi"/>
              <w:b/>
              <w:sz w:val="20"/>
              <w:szCs w:val="20"/>
            </w:rPr>
            <w:alias w:val="Remarques"/>
            <w:tag w:val="Remarks_965e7183-b936-4a61-9a17-350e79e7ecdb"/>
            <w:id w:val="443890408"/>
            <w:placeholder>
              <w:docPart w:val="731902B27B6A430CAB62B85EE5A4B766"/>
            </w:placeholder>
            <w:dataBinding w:xpath="/Root[1]/Remarks_965e7183-b936-4a61-9a17-350e79e7ecdb[1]" w:storeItemID="{7E9F76D9-DE21-4CB8-A87C-05F3AB5F5986}"/>
            <w:text w:multiLine="1"/>
          </w:sdtPr>
          <w:sdtContent>
            <w:tc>
              <w:tcPr>
                <w:tcW w:w="3966" w:type="dxa"/>
              </w:tcPr>
              <w:p>
                <w:pPr>
                  <w:ind w:right="-932"/>
                  <w:rPr>
                    <w:rStyle w:val="Hyperlink"/>
                    <w:rFonts w:cstheme="majorBidi"/>
                    <w:b/>
                    <w:sz w:val="20"/>
                    <w:szCs w:val="20"/>
                  </w:rPr>
                </w:pPr>
                <w:r>
                  <w:rPr>
                    <w:rStyle w:val="Hyperlink"/>
                    <w:b/>
                    <w:sz w:val="20"/>
                    <w:szCs w:val="20"/>
                  </w:rPr>
                  <w:br/>
                  <w:t xml:space="preserve">  </w:t>
                </w:r>
              </w:p>
            </w:tc>
          </w:sdtContent>
        </w:sdt>
        <w:sdt>
          <w:sdtPr>
            <w:rPr>
              <w:rStyle w:val="Hyperlink"/>
              <w:rFonts w:cstheme="majorBidi"/>
              <w:sz w:val="20"/>
              <w:szCs w:val="20"/>
            </w:rPr>
            <w:alias w:val="DifférenceÉtat"/>
            <w:tag w:val="StateDifference_965e7183-b936-4a61-9a17-350e79e7ecdb"/>
            <w:id w:val="535616633"/>
            <w:placeholder>
              <w:docPart w:val="4FA1EAFE31FD4C3A92CC9CD7C75B679A"/>
            </w:placeholder>
            <w:dataBinding w:xpath="/Root[1]/StateDifference_965e7183-b936-4a61-9a17-350e79e7ecdb[1]" w:storeItemID="{7E9F76D9-DE21-4CB8-A87C-05F3AB5F5986}"/>
            <w:text w:multiLine="1"/>
          </w:sdtPr>
          <w:sdtContent>
            <w:tc>
              <w:tcPr>
                <w:tcW w:w="1985" w:type="dxa"/>
              </w:tcPr>
              <w:p>
                <w:pPr>
                  <w:ind w:right="34"/>
                  <w:rPr>
                    <w:rStyle w:val="Hyperlink"/>
                    <w:rFonts w:cstheme="majorBidi"/>
                    <w:b/>
                    <w:sz w:val="20"/>
                    <w:szCs w:val="20"/>
                  </w:rPr>
                </w:pPr>
                <w:r>
                  <w:rPr>
                    <w:rStyle w:val="Hyperlink"/>
                    <w:sz w:val="20"/>
                    <w:szCs w:val="20"/>
                  </w:rPr>
                  <w:t xml:space="preserve">  </w:t>
                </w:r>
              </w:p>
            </w:tc>
          </w:sdtContent>
        </w:sdt>
      </w:tr>
      <w:tr>
        <w:tc>
          <w:tcPr>
            <w:tcW w:w="1702" w:type="dxa"/>
          </w:tcPr>
          <w:sdt>
            <w:sdtPr>
              <w:alias w:val="Annexe:"/>
              <w:tag w:val="Annex_609d3a2d-67df-47cc-a895-568344c92668"/>
              <w:id w:val="1813435318"/>
              <w:lock w:val="contentLocked"/>
              <w:placeholder>
                <w:docPart w:val="AE3DE094D9524B1CB176E63EDE8F9257"/>
              </w:placeholder>
              <w:dataBinding w:xpath="/Root[1]/Annex_609d3a2d-67df-47cc-a895-568344c92668[1]" w:storeItemID="{7E9F76D9-DE21-4CB8-A87C-05F3AB5F5986}"/>
              <w:text w:multiLine="1"/>
            </w:sdtPr>
            <w:sdtContent>
              <w:p>
                <w:r>
                  <w:t>Annexe 6, partie 1</w:t>
                </w:r>
              </w:p>
            </w:sdtContent>
          </w:sdt>
          <w:p/>
          <w:sdt>
            <w:sdtPr>
              <w:alias w:val="Référence"/>
              <w:tag w:val="Reference_609d3a2d-67df-47cc-a895-568344c92668"/>
              <w:id w:val="1221333465"/>
              <w:lock w:val="contentLocked"/>
              <w:placeholder>
                <w:docPart w:val="3B39E02C3937451E950F8867D959DD31"/>
              </w:placeholder>
              <w:dataBinding w:xpath="/Root[1]/Reference_609d3a2d-67df-47cc-a895-568344c92668[1]" w:storeItemID="{7E9F76D9-DE21-4CB8-A87C-05F3AB5F5986}"/>
              <w:text/>
            </w:sdtPr>
            <w:sdtContent>
              <w:p>
                <w:r>
                  <w:t>9.4.4.1</w:t>
                </w:r>
              </w:p>
            </w:sdtContent>
          </w:sdt>
          <w:p/>
        </w:tc>
        <w:tc>
          <w:tcPr>
            <w:tcW w:w="4673" w:type="dxa"/>
          </w:tcPr>
          <w:p>
            <w:r>
              <w:t>9</w:t>
            </w:r>
            <w:r>
              <w:t>.</w:t>
            </w:r>
            <w:r>
              <w:t>4</w:t>
            </w:r>
            <w:r>
              <w:t>.</w:t>
            </w:r>
            <w:r>
              <w:t>4</w:t>
            </w:r>
            <w:r>
              <w:tab/>
              <w:t>Contrôle de la compétence des pilotes</w:t>
            </w:r>
          </w:p>
          <w:p/>
          <w:p>
            <w:r>
              <w:tab/>
            </w:r>
            <w:r>
              <w:t>9</w:t>
            </w:r>
            <w:r>
              <w:t>.</w:t>
            </w:r>
            <w:r>
              <w:t>4</w:t>
            </w:r>
            <w:r>
              <w:t>.</w:t>
            </w:r>
            <w:r>
              <w:t>4</w:t>
            </w:r>
            <w:r>
              <w:t>.</w:t>
            </w:r>
            <w:r>
              <w:t>1</w:t>
            </w:r>
            <w:r>
              <w:tab/>
              <w:t>L’exploitant veillera à ce que la technique de pilotage et l’aptitude à exécuter les procédures d’urgence soient vérifiées de telle manière que la compétence de ses pilotes soit établie sur chaque type ou variante de type d’avion. Lorsque les vols doivent être exécutés selon les règles de vol aux instruments, l’exploitant veillera à ce que ses pilotes démontrent leur aptitude à observer ces règles, soit devant un pilote inspecteur de l’exploitant, soit devant un représentant de l’État de l’exploitant. Ces contrôles doivent être effectués au moins deux fois au cours chaque période d’un an. Deux contrôles de ce type, lorsqu’ils comportent des épreuves semblables et sont effectués à moins de quatre mois d’intervalle, ne suffiront pas à répondre à cette spécification.</w:t>
            </w:r>
          </w:p>
          <w:p>
            <w:pPr>
              <w:rPr>
                <w:i/>
                <w:iCs/>
              </w:rPr>
            </w:pPr>
          </w:p>
          <w:p>
            <w:r>
              <w:tab/>
            </w:r>
            <w:r>
              <w:rPr>
                <w:i/>
                <w:iCs/>
              </w:rPr>
              <w:t xml:space="preserve">Note </w:t>
            </w:r>
            <w:r>
              <w:rPr>
                <w:i/>
                <w:iCs/>
              </w:rPr>
              <w:t>1</w:t>
            </w:r>
            <w:r>
              <w:rPr>
                <w:i/>
                <w:iCs/>
              </w:rPr>
              <w:t>.— Des simulateurs d’entraînement au vol approuvés par l’État de l’exploitant peuvent être utilisés pour les épreuves aux fins desquelles ces appareils ont été spécifiquement approuvés.</w:t>
            </w:r>
          </w:p>
          <w:p/>
          <w:p>
            <w:pPr>
              <w:rPr>
                <w:i/>
                <w:iCs/>
              </w:rPr>
            </w:pPr>
            <w:r>
              <w:tab/>
            </w:r>
            <w:r>
              <w:rPr>
                <w:i/>
                <w:iCs/>
              </w:rPr>
              <w:t xml:space="preserve">Note </w:t>
            </w:r>
            <w:r>
              <w:rPr>
                <w:i/>
                <w:iCs/>
              </w:rPr>
              <w:t>2</w:t>
            </w:r>
            <w:r>
              <w:rPr>
                <w:i/>
                <w:iCs/>
              </w:rPr>
              <w:t xml:space="preserve">.— Voir le </w:t>
            </w:r>
            <w:r>
              <w:t>Manuel des critères de qualification des simulateurs d’entraînement au vol</w:t>
            </w:r>
            <w:r>
              <w:rPr>
                <w:i/>
                <w:iCs/>
              </w:rPr>
              <w:t xml:space="preserve">(Doc </w:t>
            </w:r>
            <w:r>
              <w:rPr>
                <w:i/>
                <w:iCs/>
              </w:rPr>
              <w:t>9625</w:t>
            </w:r>
            <w:r>
              <w:rPr>
                <w:i/>
                <w:iCs/>
              </w:rPr>
              <w:t>).</w:t>
            </w:r>
          </w:p>
          <w:p>
            <w:pPr>
              <w:rPr>
                <w:i/>
                <w:iCs/>
              </w:rPr>
            </w:pPr>
          </w:p>
        </w:tc>
        <w:sdt>
          <w:sdtPr>
            <w:rPr>
              <w:rStyle w:val="Hyperlink"/>
              <w:rFonts w:cstheme="majorBidi"/>
              <w:color w:val="auto"/>
              <w:sz w:val="20"/>
              <w:szCs w:val="20"/>
              <w:u w:val="none"/>
            </w:rPr>
            <w:alias w:val="Détails"/>
            <w:tag w:val="Details_609d3a2d-67df-47cc-a895-568344c92668"/>
            <w:id w:val="167371887"/>
            <w:placeholder>
              <w:docPart w:val="319155465811459FB50C3FF8D526FBA7"/>
            </w:placeholder>
            <w:dataBinding w:xpath="/Root[1]/Details_609d3a2d-67df-47cc-a895-568344c92668[1]" w:storeItemID="{7E9F76D9-DE21-4CB8-A87C-05F3AB5F5986}"/>
            <w:text w:multiLine="1"/>
          </w:sdtPr>
          <w:sdtContent>
            <w:tc>
              <w:tcPr>
                <w:tcW w:w="2554" w:type="dxa"/>
              </w:tcPr>
              <w:p>
                <w:pPr>
                  <w:ind w:right="-105"/>
                  <w:rPr>
                    <w:rStyle w:val="Hyperlink"/>
                    <w:rFonts w:cstheme="majorBidi"/>
                    <w:b/>
                    <w:color w:val="auto"/>
                    <w:sz w:val="20"/>
                    <w:szCs w:val="20"/>
                    <w:u w:val="none"/>
                  </w:rPr>
                </w:pPr>
                <w:r>
                  <w:rPr>
                    <w:rStyle w:val="Hyperlink"/>
                    <w:color w:val="auto"/>
                    <w:sz w:val="20"/>
                    <w:szCs w:val="20"/>
                    <w:u w:val="none"/>
                  </w:rPr>
                  <w:t>La durée de validité des contrôles de la compétence des pilotes pour chaque pilote est prolongée par [l’État] pour une période de 4 mois.</w:t>
                </w:r>
                <w:r>
                  <w:rPr>
                    <w:rStyle w:val="Hyperlink"/>
                    <w:color w:val="auto"/>
                    <w:sz w:val="20"/>
                    <w:szCs w:val="20"/>
                    <w:u w:val="none"/>
                  </w:rPr>
                  <w:br/>
                  <w:t>Si, vers la fin de la prolongation, [l’État] considère que les motifs de l’octroi de la mesure dérogatoire persistent, la durée de validité peut être à nouveau prolongée pour une période allant jusqu’à 4 mois.</w:t>
                </w:r>
              </w:p>
            </w:tc>
          </w:sdtContent>
        </w:sdt>
        <w:sdt>
          <w:sdtPr>
            <w:rPr>
              <w:rStyle w:val="Hyperlink"/>
              <w:rFonts w:cstheme="majorBidi"/>
              <w:color w:val="auto"/>
              <w:sz w:val="20"/>
              <w:szCs w:val="20"/>
              <w:u w:val="none"/>
            </w:rPr>
            <w:alias w:val="Remarques"/>
            <w:tag w:val="Remarks_609d3a2d-67df-47cc-a895-568344c92668"/>
            <w:id w:val="-415400819"/>
            <w:placeholder>
              <w:docPart w:val="731902B27B6A430CAB62B85EE5A4B766"/>
            </w:placeholder>
            <w:dataBinding w:xpath="/Root[1]/Remarks_609d3a2d-67df-47cc-a895-568344c92668[1]" w:storeItemID="{7E9F76D9-DE21-4CB8-A87C-05F3AB5F5986}"/>
            <w:text w:multiLine="1"/>
          </w:sdtPr>
          <w:sdtContent>
            <w:tc>
              <w:tcPr>
                <w:tcW w:w="3966" w:type="dxa"/>
              </w:tcPr>
              <w:p>
                <w:pPr>
                  <w:rPr>
                    <w:rStyle w:val="Hyperlink"/>
                    <w:rFonts w:cstheme="majorBidi"/>
                    <w:b/>
                    <w:color w:val="auto"/>
                    <w:sz w:val="20"/>
                    <w:szCs w:val="20"/>
                    <w:u w:val="none"/>
                  </w:rPr>
                </w:pPr>
                <w:r>
                  <w:rPr>
                    <w:rStyle w:val="Hyperlink"/>
                    <w:color w:val="auto"/>
                    <w:sz w:val="20"/>
                    <w:szCs w:val="20"/>
                    <w:u w:val="none"/>
                  </w:rPr>
                  <w:t xml:space="preserve">a) Justification </w:t>
                </w:r>
                <w:r>
                  <w:rPr>
                    <w:rStyle w:val="Hyperlink"/>
                    <w:color w:val="auto"/>
                    <w:sz w:val="20"/>
                    <w:szCs w:val="20"/>
                    <w:u w:val="none"/>
                  </w:rPr>
                  <w:br/>
                  <w:t>L’épidémie de COVID-19 a entraîné des restrictions drastiques en matière de déplacements. La fermeture des frontières entre la majorité des États membres de l’UE a limité la capacité des exploitants à effectuer des contrôles de compétence de pilote deux fois par an sur un simulateur de vol. Il n’est pas toujours possible d’effectuer ces contrôles dans un aéronef et, dans certains cas, les risques associés peuvent être plus grands que ceux liés à la mesure dérogatoire.</w:t>
                </w:r>
                <w:r>
                  <w:rPr>
                    <w:rStyle w:val="Hyperlink"/>
                    <w:color w:val="auto"/>
                    <w:sz w:val="20"/>
                    <w:szCs w:val="20"/>
                    <w:u w:val="none"/>
                  </w:rPr>
                  <w:br/>
                </w:r>
                <w:r>
                  <w:rPr>
                    <w:rStyle w:val="Hyperlink"/>
                    <w:color w:val="auto"/>
                    <w:sz w:val="20"/>
                    <w:szCs w:val="20"/>
                    <w:u w:val="none"/>
                  </w:rPr>
                  <w:br/>
                  <w:t>b) Conditions/mesures d’atténuation - [L’État] impose que les pilotes suivent une formation de recyclage, suivie d’une évaluation, selon les moyens établis par l’exploitation, en vue de s’assurer que le niveau de connaissances requis pour la fonction de membre d’équipage de conduite est maintenu. Cette évaluation porte également sur les procédures d’exception et d’urgence spécifiques de la classe ou du type.</w:t>
                </w:r>
              </w:p>
            </w:tc>
          </w:sdtContent>
        </w:sdt>
        <w:tc>
          <w:tcPr>
            <w:tcW w:w="1985" w:type="dxa"/>
          </w:tcPr>
          <w:p>
            <w:pPr>
              <w:jc w:val="both"/>
              <w:rPr>
                <w:sz w:val="20"/>
                <w:szCs w:val="20"/>
              </w:rPr>
            </w:pPr>
            <w:r>
              <w:rPr>
                <w:sz w:val="20"/>
                <w:szCs w:val="20"/>
              </w:rPr>
              <w:br/>
              <w:t xml:space="preserve">En ce qui concerne les certificats et licences délivrés par les États membres de l’UE, les différences sont automatiquement reconnues sur la base du règlement (UE) </w:t>
            </w:r>
            <w:r>
              <w:rPr>
                <w:sz w:val="20"/>
                <w:szCs w:val="20"/>
              </w:rPr>
              <w:t>2018</w:t>
            </w:r>
            <w:r>
              <w:rPr>
                <w:sz w:val="20"/>
                <w:szCs w:val="20"/>
              </w:rPr>
              <w:t>/</w:t>
            </w:r>
            <w:r>
              <w:rPr>
                <w:sz w:val="20"/>
                <w:szCs w:val="20"/>
              </w:rPr>
              <w:t>1139</w:t>
            </w:r>
            <w:r>
              <w:rPr>
                <w:sz w:val="20"/>
                <w:szCs w:val="20"/>
              </w:rPr>
              <w:t>.</w:t>
            </w:r>
          </w:p>
          <w:p>
            <w:pPr>
              <w:jc w:val="both"/>
              <w:rPr>
                <w:sz w:val="20"/>
                <w:szCs w:val="20"/>
              </w:rPr>
            </w:pPr>
          </w:p>
          <w:p>
            <w:pPr>
              <w:rPr>
                <w:rFonts w:cstheme="majorBidi"/>
                <w:sz w:val="20"/>
                <w:szCs w:val="20"/>
              </w:rPr>
            </w:pPr>
            <w:r>
              <w:rPr>
                <w:sz w:val="20"/>
                <w:szCs w:val="20"/>
              </w:rPr>
              <w:t>En ce qui concerne la reconnaissance ou l’acceptation de la validité des certificats et licences faisant l’objet des dispositions spéciales temporaires (liés à la pandémie de COVID-</w:t>
            </w:r>
            <w:r>
              <w:rPr>
                <w:sz w:val="20"/>
                <w:szCs w:val="20"/>
              </w:rPr>
              <w:t>19</w:t>
            </w:r>
            <w:r>
              <w:rPr>
                <w:sz w:val="20"/>
                <w:szCs w:val="20"/>
              </w:rPr>
              <w:t xml:space="preserve">) délivrés par des pays tiers. Le règlement (UE) </w:t>
            </w:r>
            <w:r>
              <w:rPr>
                <w:sz w:val="20"/>
                <w:szCs w:val="20"/>
              </w:rPr>
              <w:t>452</w:t>
            </w:r>
            <w:r>
              <w:rPr>
                <w:sz w:val="20"/>
                <w:szCs w:val="20"/>
              </w:rPr>
              <w:t>/</w:t>
            </w:r>
            <w:r>
              <w:rPr>
                <w:sz w:val="20"/>
                <w:szCs w:val="20"/>
              </w:rPr>
              <w:t>2014</w:t>
            </w:r>
            <w:r>
              <w:rPr>
                <w:sz w:val="20"/>
                <w:szCs w:val="20"/>
              </w:rPr>
              <w:t xml:space="preserve"> déterminant les exigences techniques et les procédures administratives applicables aux opérations aériennes des exploitants de pays tiers s’applique.</w:t>
            </w:r>
          </w:p>
        </w:tc>
      </w:tr>
      <w:tr>
        <w:tc>
          <w:tcPr>
            <w:tcW w:w="1702" w:type="dxa"/>
          </w:tcPr>
          <w:sdt>
            <w:sdtPr>
              <w:alias w:val="Annexe:"/>
              <w:tag w:val="Annex_6c3b0462-b5db-47d9-b21e-0b852ad99e4d"/>
              <w:id w:val="441272103"/>
              <w:lock w:val="contentLocked"/>
              <w:placeholder>
                <w:docPart w:val="AE3DE094D9524B1CB176E63EDE8F9257"/>
              </w:placeholder>
              <w:dataBinding w:xpath="/Root[1]/Annex_6c3b0462-b5db-47d9-b21e-0b852ad99e4d[1]" w:storeItemID="{7E9F76D9-DE21-4CB8-A87C-05F3AB5F5986}"/>
              <w:text w:multiLine="1"/>
            </w:sdtPr>
            <w:sdtContent>
              <w:p>
                <w:r>
                  <w:t>Annexe 6, partie 2</w:t>
                </w:r>
              </w:p>
            </w:sdtContent>
          </w:sdt>
          <w:p/>
          <w:sdt>
            <w:sdtPr>
              <w:alias w:val="Référence"/>
              <w:tag w:val="Reference_6c3b0462-b5db-47d9-b21e-0b852ad99e4d"/>
              <w:id w:val="-172115785"/>
              <w:lock w:val="contentLocked"/>
              <w:placeholder>
                <w:docPart w:val="3B39E02C3937451E950F8867D959DD31"/>
              </w:placeholder>
              <w:dataBinding w:xpath="/Root[1]/Reference_6c3b0462-b5db-47d9-b21e-0b852ad99e4d[1]" w:storeItemID="{7E9F76D9-DE21-4CB8-A87C-05F3AB5F5986}"/>
              <w:text/>
            </w:sdtPr>
            <w:sdtContent>
              <w:p>
                <w:r>
                  <w:t>3.9.4.2</w:t>
                </w:r>
              </w:p>
            </w:sdtContent>
          </w:sdt>
          <w:p/>
        </w:tc>
        <w:tc>
          <w:tcPr>
            <w:tcW w:w="4673" w:type="dxa"/>
          </w:tcPr>
          <w:p>
            <w:pPr>
              <w:jc w:val="center"/>
            </w:pPr>
            <w:r>
              <w:t>3</w:t>
            </w:r>
            <w:r>
              <w:t>.</w:t>
            </w:r>
            <w:r>
              <w:t>9</w:t>
            </w:r>
            <w:r>
              <w:t>.</w:t>
            </w:r>
            <w:r>
              <w:t>4</w:t>
            </w:r>
            <w:r>
              <w:t>.</w:t>
            </w:r>
            <w:r>
              <w:t>2</w:t>
            </w:r>
            <w:r>
              <w:tab/>
              <w:t>Expérience récente du pilote commandant de bord</w:t>
            </w:r>
          </w:p>
          <w:p/>
          <w:p>
            <w:r>
              <w:t xml:space="preserve">L’exploitant ne désignera pas comme pilote commandant de bord d’un avion un pilote qui n’a pas été aux commandes dans au moins trois décollages et atterrissages au cours des </w:t>
            </w:r>
            <w:r>
              <w:t>90</w:t>
            </w:r>
            <w:r>
              <w:t xml:space="preserve"> jours précédents, sur le même type d’avion ou sur un simulateur de vol approuvé à cet effet.</w:t>
            </w:r>
          </w:p>
          <w:p/>
          <w:p/>
        </w:tc>
        <w:tc>
          <w:tcPr>
            <w:tcW w:w="2554" w:type="dxa"/>
          </w:tcPr>
          <w:p>
            <w:pPr>
              <w:jc w:val="both"/>
              <w:rPr>
                <w:rFonts w:cstheme="majorBidi"/>
                <w:sz w:val="20"/>
                <w:szCs w:val="20"/>
              </w:rPr>
            </w:pPr>
            <w:r>
              <w:t>La mesure dérogatoire au point</w:t>
            </w:r>
            <w:r>
              <w:t> </w:t>
            </w:r>
            <w:r>
              <w:t>9</w:t>
            </w:r>
            <w:r>
              <w:t>.</w:t>
            </w:r>
            <w:r>
              <w:t>4</w:t>
            </w:r>
            <w:r>
              <w:t>.</w:t>
            </w:r>
            <w:r>
              <w:t>1</w:t>
            </w:r>
            <w:r>
              <w:t>.</w:t>
            </w:r>
            <w:r>
              <w:t>1</w:t>
            </w:r>
            <w:r>
              <w:t xml:space="preserve"> convient pour couvrir la mesure dérogatoire au point</w:t>
            </w:r>
            <w:r>
              <w:t> </w:t>
            </w:r>
            <w:r>
              <w:t>3</w:t>
            </w:r>
            <w:r>
              <w:t>.</w:t>
            </w:r>
            <w:r>
              <w:t>9</w:t>
            </w:r>
            <w:r>
              <w:t>.</w:t>
            </w:r>
            <w:r>
              <w:t>4</w:t>
            </w:r>
            <w:r>
              <w:t>.</w:t>
            </w:r>
            <w:r>
              <w:t>2</w:t>
            </w:r>
            <w:r>
              <w:t>, car elle concerne la composition globale de l’équipage de conduite.</w:t>
            </w:r>
          </w:p>
        </w:tc>
        <w:sdt>
          <w:sdtPr>
            <w:rPr>
              <w:rStyle w:val="Hyperlink"/>
              <w:rFonts w:cstheme="majorBidi"/>
              <w:b/>
              <w:sz w:val="20"/>
              <w:szCs w:val="20"/>
            </w:rPr>
            <w:alias w:val="Remarques"/>
            <w:tag w:val="Remarks_6c3b0462-b5db-47d9-b21e-0b852ad99e4d"/>
            <w:id w:val="1790306266"/>
            <w:placeholder>
              <w:docPart w:val="731902B27B6A430CAB62B85EE5A4B766"/>
            </w:placeholder>
            <w:dataBinding w:xpath="/Root[1]/Remarks_6c3b0462-b5db-47d9-b21e-0b852ad99e4d[1]" w:storeItemID="{7E9F76D9-DE21-4CB8-A87C-05F3AB5F5986}"/>
            <w:text w:multiLine="1"/>
          </w:sdtPr>
          <w:sdtContent>
            <w:tc>
              <w:tcPr>
                <w:tcW w:w="3966" w:type="dxa"/>
              </w:tcPr>
              <w:p>
                <w:pPr>
                  <w:ind w:right="-932"/>
                  <w:rPr>
                    <w:rStyle w:val="Hyperlink"/>
                    <w:rFonts w:cstheme="majorBidi"/>
                    <w:b/>
                    <w:sz w:val="20"/>
                    <w:szCs w:val="20"/>
                  </w:rPr>
                </w:pPr>
                <w:r>
                  <w:rPr>
                    <w:rStyle w:val="Hyperlink"/>
                    <w:b/>
                    <w:sz w:val="20"/>
                    <w:szCs w:val="20"/>
                  </w:rPr>
                  <w:br/>
                  <w:t xml:space="preserve">  </w:t>
                </w:r>
              </w:p>
            </w:tc>
          </w:sdtContent>
        </w:sdt>
        <w:tc>
          <w:tcPr>
            <w:tcW w:w="1985" w:type="dxa"/>
          </w:tcPr>
          <w:p>
            <w:pPr>
              <w:ind w:right="-932"/>
              <w:rPr>
                <w:rStyle w:val="Hyperlink"/>
                <w:rFonts w:cstheme="majorBidi"/>
                <w:b/>
                <w:sz w:val="20"/>
                <w:szCs w:val="20"/>
              </w:rPr>
            </w:pPr>
          </w:p>
        </w:tc>
      </w:tr>
      <w:tr>
        <w:tc>
          <w:tcPr>
            <w:tcW w:w="1702" w:type="dxa"/>
          </w:tcPr>
          <w:sdt>
            <w:sdtPr>
              <w:rPr>
                <w:color w:val="0000FF" w:themeColor="hyperlink"/>
                <w:u w:val="single"/>
              </w:rPr>
              <w:alias w:val="Annexe:"/>
              <w:tag w:val="Annex_506dd66c-a095-44b3-8f23-5b67bfde25fc"/>
              <w:id w:val="970318759"/>
              <w:lock w:val="contentLocked"/>
              <w:placeholder>
                <w:docPart w:val="AE3DE094D9524B1CB176E63EDE8F9257"/>
              </w:placeholder>
              <w:dataBinding w:xpath="/Root[1]/Annex_506dd66c-a095-44b3-8f23-5b67bfde25fc[1]" w:storeItemID="{7E9F76D9-DE21-4CB8-A87C-05F3AB5F5986}"/>
              <w:text w:multiLine="1"/>
            </w:sdtPr>
            <w:sdtContent>
              <w:p>
                <w:r>
                  <w:t>Annexe 6, partie 2</w:t>
                </w:r>
              </w:p>
            </w:sdtContent>
          </w:sdt>
          <w:p/>
          <w:sdt>
            <w:sdtPr>
              <w:alias w:val="Référence"/>
              <w:tag w:val="Reference_506dd66c-a095-44b3-8f23-5b67bfde25fc"/>
              <w:id w:val="-113452406"/>
              <w:lock w:val="contentLocked"/>
              <w:placeholder>
                <w:docPart w:val="3B39E02C3937451E950F8867D959DD31"/>
              </w:placeholder>
              <w:dataBinding w:xpath="/Root[1]/Reference_506dd66c-a095-44b3-8f23-5b67bfde25fc[1]" w:storeItemID="{7E9F76D9-DE21-4CB8-A87C-05F3AB5F5986}"/>
              <w:text/>
            </w:sdtPr>
            <w:sdtContent>
              <w:p>
                <w:r>
                  <w:t>3.9.4.3</w:t>
                </w:r>
              </w:p>
            </w:sdtContent>
          </w:sdt>
          <w:p/>
        </w:tc>
        <w:tc>
          <w:tcPr>
            <w:tcW w:w="4673" w:type="dxa"/>
          </w:tcPr>
          <w:p>
            <w:pPr>
              <w:jc w:val="center"/>
            </w:pPr>
            <w:r>
              <w:t>3</w:t>
            </w:r>
            <w:r>
              <w:t>.</w:t>
            </w:r>
            <w:r>
              <w:t>9</w:t>
            </w:r>
            <w:r>
              <w:t>.</w:t>
            </w:r>
            <w:r>
              <w:t>4</w:t>
            </w:r>
            <w:r>
              <w:t>.</w:t>
            </w:r>
            <w:r>
              <w:t>3</w:t>
            </w:r>
            <w:r>
              <w:tab/>
              <w:t>Expérience récente du copilote</w:t>
            </w:r>
          </w:p>
          <w:p/>
          <w:p>
            <w:pPr>
              <w:rPr>
                <w:iCs/>
              </w:rPr>
            </w:pPr>
            <w:r>
              <w:t xml:space="preserve">L’exploitant ne confiera pas le décollage et l’atterrissage d’un avion à un copilote qui n’a pas été aux commandes dans au moins trois décollages et atterrissages au cours des </w:t>
            </w:r>
            <w:r>
              <w:t>90</w:t>
            </w:r>
            <w:r>
              <w:t xml:space="preserve"> jours précédents, sur le même type d’avion ou sur un simulateur de vol approuvé à cet effet.</w:t>
            </w:r>
          </w:p>
          <w:p/>
          <w:p/>
          <w:p/>
        </w:tc>
        <w:sdt>
          <w:sdtPr>
            <w:rPr>
              <w:rStyle w:val="Marker"/>
              <w:rFonts w:cstheme="majorBidi"/>
              <w:color w:val="auto"/>
              <w:sz w:val="20"/>
              <w:szCs w:val="20"/>
            </w:rPr>
            <w:alias w:val="Détails"/>
            <w:tag w:val="Details_506dd66c-a095-44b3-8f23-5b67bfde25fc"/>
            <w:id w:val="1092665154"/>
            <w:placeholder>
              <w:docPart w:val="319155465811459FB50C3FF8D526FBA7"/>
            </w:placeholder>
            <w:dataBinding w:xpath="/Root[1]/Details_506dd66c-a095-44b3-8f23-5b67bfde25fc[1]" w:storeItemID="{7E9F76D9-DE21-4CB8-A87C-05F3AB5F5986}"/>
            <w:text w:multiLine="1"/>
          </w:sdtPr>
          <w:sdtContent>
            <w:tc>
              <w:tcPr>
                <w:tcW w:w="2554" w:type="dxa"/>
              </w:tcPr>
              <w:p>
                <w:pPr>
                  <w:rPr>
                    <w:rFonts w:cstheme="majorBidi"/>
                    <w:sz w:val="20"/>
                    <w:szCs w:val="20"/>
                  </w:rPr>
                </w:pPr>
                <w:r>
                  <w:rPr>
                    <w:rStyle w:val="Marker"/>
                    <w:color w:val="auto"/>
                    <w:sz w:val="20"/>
                    <w:szCs w:val="20"/>
                  </w:rPr>
                  <w:t xml:space="preserve">La mesure dérogatoire au point 9.4.1.1 convient pour couvrir la mesure dérogatoire au point 3.9.4.3, car elle concerne la composition globale de l’équipage de conduite. </w:t>
                </w:r>
                <w:r>
                  <w:rPr>
                    <w:rStyle w:val="Marker"/>
                    <w:color w:val="auto"/>
                    <w:sz w:val="20"/>
                    <w:szCs w:val="20"/>
                  </w:rPr>
                  <w:br/>
                </w:r>
                <w:r>
                  <w:rPr>
                    <w:rStyle w:val="Marker"/>
                    <w:color w:val="auto"/>
                    <w:sz w:val="20"/>
                    <w:szCs w:val="20"/>
                  </w:rPr>
                  <w:br/>
                </w:r>
                <w:r>
                  <w:rPr>
                    <w:rStyle w:val="Marker"/>
                    <w:color w:val="auto"/>
                    <w:sz w:val="20"/>
                    <w:szCs w:val="20"/>
                  </w:rPr>
                  <w:br/>
                </w:r>
                <w:r>
                  <w:rPr>
                    <w:rStyle w:val="Marker"/>
                    <w:color w:val="auto"/>
                    <w:sz w:val="20"/>
                    <w:szCs w:val="20"/>
                  </w:rPr>
                  <w:br/>
                </w:r>
                <w:r>
                  <w:rPr>
                    <w:rStyle w:val="Marker"/>
                    <w:color w:val="auto"/>
                    <w:sz w:val="20"/>
                    <w:szCs w:val="20"/>
                  </w:rPr>
                  <w:br/>
                </w:r>
              </w:p>
            </w:tc>
          </w:sdtContent>
        </w:sdt>
        <w:sdt>
          <w:sdtPr>
            <w:rPr>
              <w:rStyle w:val="Hyperlink"/>
              <w:rFonts w:cstheme="majorBidi"/>
              <w:b/>
              <w:sz w:val="20"/>
              <w:szCs w:val="20"/>
            </w:rPr>
            <w:alias w:val="Remarques"/>
            <w:tag w:val="Remarks_506dd66c-a095-44b3-8f23-5b67bfde25fc"/>
            <w:id w:val="-1659756655"/>
            <w:placeholder>
              <w:docPart w:val="731902B27B6A430CAB62B85EE5A4B766"/>
            </w:placeholder>
            <w:dataBinding w:xpath="/Root[1]/Remarks_506dd66c-a095-44b3-8f23-5b67bfde25fc[1]" w:storeItemID="{7E9F76D9-DE21-4CB8-A87C-05F3AB5F5986}"/>
            <w:text w:multiLine="1"/>
          </w:sdtPr>
          <w:sdtContent>
            <w:tc>
              <w:tcPr>
                <w:tcW w:w="3966" w:type="dxa"/>
              </w:tcPr>
              <w:p>
                <w:pPr>
                  <w:ind w:right="-932"/>
                  <w:rPr>
                    <w:rStyle w:val="Hyperlink"/>
                    <w:rFonts w:cstheme="majorBidi"/>
                    <w:b/>
                    <w:sz w:val="20"/>
                    <w:szCs w:val="20"/>
                  </w:rPr>
                </w:pPr>
                <w:r>
                  <w:rPr>
                    <w:rStyle w:val="Hyperlink"/>
                    <w:b/>
                    <w:sz w:val="20"/>
                    <w:szCs w:val="20"/>
                  </w:rPr>
                  <w:br/>
                  <w:t xml:space="preserve">  </w:t>
                </w:r>
              </w:p>
            </w:tc>
          </w:sdtContent>
        </w:sdt>
        <w:tc>
          <w:tcPr>
            <w:tcW w:w="1985" w:type="dxa"/>
          </w:tcPr>
          <w:p>
            <w:pPr>
              <w:ind w:right="-932"/>
              <w:rPr>
                <w:rStyle w:val="Hyperlink"/>
                <w:rFonts w:cstheme="majorBidi"/>
                <w:b/>
                <w:sz w:val="20"/>
                <w:szCs w:val="20"/>
              </w:rPr>
            </w:pPr>
          </w:p>
        </w:tc>
      </w:tr>
      <w:tr>
        <w:tc>
          <w:tcPr>
            <w:tcW w:w="1702" w:type="dxa"/>
          </w:tcPr>
          <w:sdt>
            <w:sdtPr>
              <w:rPr>
                <w:color w:val="0000FF" w:themeColor="hyperlink"/>
                <w:u w:val="single"/>
              </w:rPr>
              <w:alias w:val="Annexe:"/>
              <w:tag w:val="Annex_d5f3800c-d7b7-4a24-b685-777b19a3043a"/>
              <w:id w:val="-719900392"/>
              <w:lock w:val="contentLocked"/>
              <w:placeholder>
                <w:docPart w:val="AE3DE094D9524B1CB176E63EDE8F9257"/>
              </w:placeholder>
              <w:dataBinding w:xpath="/Root[1]/Annex_d5f3800c-d7b7-4a24-b685-777b19a3043a[1]" w:storeItemID="{7E9F76D9-DE21-4CB8-A87C-05F3AB5F5986}"/>
              <w:text w:multiLine="1"/>
            </w:sdtPr>
            <w:sdtContent>
              <w:p>
                <w:r>
                  <w:t>Annexe 6, partie 3</w:t>
                </w:r>
              </w:p>
            </w:sdtContent>
          </w:sdt>
          <w:p/>
          <w:sdt>
            <w:sdtPr>
              <w:alias w:val="Référence"/>
              <w:tag w:val="Reference_d5f3800c-d7b7-4a24-b685-777b19a3043a"/>
              <w:id w:val="-1261523027"/>
              <w:lock w:val="contentLocked"/>
              <w:placeholder>
                <w:docPart w:val="3B39E02C3937451E950F8867D959DD31"/>
              </w:placeholder>
              <w:dataBinding w:xpath="/Root[1]/Reference_d5f3800c-d7b7-4a24-b685-777b19a3043a[1]" w:storeItemID="{7E9F76D9-DE21-4CB8-A87C-05F3AB5F5986}"/>
              <w:text/>
            </w:sdtPr>
            <w:sdtContent>
              <w:p>
                <w:r>
                  <w:t>7.4.1.1</w:t>
                </w:r>
              </w:p>
            </w:sdtContent>
          </w:sdt>
          <w:p/>
        </w:tc>
        <w:tc>
          <w:tcPr>
            <w:tcW w:w="4673" w:type="dxa"/>
          </w:tcPr>
          <w:p>
            <w:r>
              <w:t>7</w:t>
            </w:r>
            <w:r>
              <w:t>.</w:t>
            </w:r>
            <w:r>
              <w:t>4</w:t>
            </w:r>
            <w:r>
              <w:t>    Qualifications</w:t>
            </w:r>
          </w:p>
          <w:p/>
          <w:p>
            <w:pPr>
              <w:rPr>
                <w:b/>
                <w:bCs/>
              </w:rPr>
            </w:pPr>
            <w:r>
              <w:rPr>
                <w:b/>
                <w:bCs/>
              </w:rPr>
              <w:tab/>
            </w:r>
            <w:r>
              <w:rPr>
                <w:i/>
                <w:iCs/>
              </w:rPr>
              <w:t xml:space="preserve">Note </w:t>
            </w:r>
            <w:r>
              <w:rPr>
                <w:i/>
                <w:iCs/>
              </w:rPr>
              <w:t>1</w:t>
            </w:r>
            <w:r>
              <w:rPr>
                <w:i/>
                <w:iCs/>
              </w:rPr>
              <w:t xml:space="preserve">.— Des indications de caractère général sur la qualification par différence, les vols sur plus d’un type ou plus d’une variante d’aéronef et la prise en compte d’expérience ou de formation sur un autre type ou une autre catégorie figurent dans le </w:t>
            </w:r>
            <w:r>
              <w:t xml:space="preserve">Manuel de procédures pour l’instauration et la gestion d’un système national de délivrance des licences du personnel </w:t>
            </w:r>
            <w:r>
              <w:rPr>
                <w:i/>
                <w:iCs/>
              </w:rPr>
              <w:t xml:space="preserve">(Doc </w:t>
            </w:r>
            <w:r>
              <w:rPr>
                <w:i/>
                <w:iCs/>
              </w:rPr>
              <w:t>9379</w:t>
            </w:r>
            <w:r>
              <w:rPr>
                <w:i/>
                <w:iCs/>
              </w:rPr>
              <w:t>)</w:t>
            </w:r>
            <w:r>
              <w:t>.</w:t>
            </w:r>
          </w:p>
          <w:p/>
          <w:p/>
          <w:p>
            <w:r>
              <w:t>7</w:t>
            </w:r>
            <w:r>
              <w:t>.</w:t>
            </w:r>
            <w:r>
              <w:t>4</w:t>
            </w:r>
            <w:r>
              <w:t>.</w:t>
            </w:r>
            <w:r>
              <w:t>1</w:t>
            </w:r>
            <w:r>
              <w:tab/>
              <w:t>Expérience récente du pilote commandant de bord et du copilote</w:t>
            </w:r>
          </w:p>
          <w:p/>
          <w:p>
            <w:r>
              <w:tab/>
            </w:r>
            <w:r>
              <w:t>7</w:t>
            </w:r>
            <w:r>
              <w:t>.</w:t>
            </w:r>
            <w:r>
              <w:t>4</w:t>
            </w:r>
            <w:r>
              <w:t>.</w:t>
            </w:r>
            <w:r>
              <w:t>4</w:t>
            </w:r>
            <w:r>
              <w:t>.</w:t>
            </w:r>
            <w:r>
              <w:t>1</w:t>
            </w:r>
            <w:r>
              <w:tab/>
              <w:t xml:space="preserve">L’exploitant ne confiera pas le décollage et l’atterrissage d’un type ou d’une variante de type d’hélicoptère à un pilote commandant de bord ou un copilote qui n’a pas été aux commandes dans au moins trois décollages et atterrissages au cours des </w:t>
            </w:r>
            <w:r>
              <w:t>90</w:t>
            </w:r>
            <w:r>
              <w:t xml:space="preserve"> jours précédents, sur le même type d’hélicoptère ou sur un simulateur de vol approuvé à cet effet.</w:t>
            </w:r>
          </w:p>
          <w:p/>
        </w:tc>
        <w:sdt>
          <w:sdtPr>
            <w:rPr>
              <w:rStyle w:val="Hyperlink"/>
              <w:rFonts w:cstheme="majorBidi"/>
              <w:color w:val="auto"/>
              <w:sz w:val="20"/>
              <w:szCs w:val="20"/>
              <w:u w:val="none"/>
            </w:rPr>
            <w:alias w:val="Détails"/>
            <w:tag w:val="Details_d5f3800c-d7b7-4a24-b685-777b19a3043a"/>
            <w:id w:val="-246886951"/>
            <w:placeholder>
              <w:docPart w:val="319155465811459FB50C3FF8D526FBA7"/>
            </w:placeholder>
            <w:dataBinding w:xpath="/Root[1]/Details_d5f3800c-d7b7-4a24-b685-777b19a3043a[1]" w:storeItemID="{7E9F76D9-DE21-4CB8-A87C-05F3AB5F5986}"/>
            <w:text w:multiLine="1"/>
          </w:sdtPr>
          <w:sdtContent>
            <w:tc>
              <w:tcPr>
                <w:tcW w:w="2554" w:type="dxa"/>
              </w:tcPr>
              <w:p>
                <w:pPr>
                  <w:ind w:right="-105"/>
                  <w:rPr>
                    <w:rStyle w:val="Hyperlink"/>
                    <w:rFonts w:cstheme="majorBidi"/>
                    <w:b/>
                    <w:color w:val="auto"/>
                    <w:sz w:val="20"/>
                    <w:szCs w:val="20"/>
                  </w:rPr>
                </w:pPr>
                <w:r>
                  <w:rPr>
                    <w:rStyle w:val="Hyperlink"/>
                    <w:color w:val="auto"/>
                    <w:sz w:val="20"/>
                    <w:szCs w:val="20"/>
                    <w:u w:val="none"/>
                  </w:rPr>
                  <w:t>Sans objet</w:t>
                </w:r>
                <w:r>
                  <w:rPr>
                    <w:rStyle w:val="Hyperlink"/>
                    <w:color w:val="auto"/>
                    <w:sz w:val="20"/>
                    <w:szCs w:val="20"/>
                    <w:u w:val="none"/>
                  </w:rPr>
                  <w:br/>
                  <w:t xml:space="preserve">  </w:t>
                </w:r>
                <w:r>
                  <w:rPr>
                    <w:rStyle w:val="Hyperlink"/>
                    <w:color w:val="auto"/>
                    <w:sz w:val="20"/>
                    <w:szCs w:val="20"/>
                    <w:u w:val="none"/>
                  </w:rPr>
                  <w:br/>
                </w:r>
                <w:r>
                  <w:rPr>
                    <w:rStyle w:val="Hyperlink"/>
                    <w:color w:val="auto"/>
                    <w:sz w:val="20"/>
                    <w:szCs w:val="20"/>
                    <w:u w:val="none"/>
                  </w:rPr>
                  <w:br/>
                </w:r>
              </w:p>
            </w:tc>
          </w:sdtContent>
        </w:sdt>
        <w:sdt>
          <w:sdtPr>
            <w:rPr>
              <w:rStyle w:val="Hyperlink"/>
              <w:rFonts w:cstheme="majorBidi"/>
              <w:b/>
              <w:sz w:val="20"/>
              <w:szCs w:val="20"/>
            </w:rPr>
            <w:alias w:val="Remarques"/>
            <w:tag w:val="Remarks_d5f3800c-d7b7-4a24-b685-777b19a3043a"/>
            <w:id w:val="1467783115"/>
            <w:placeholder>
              <w:docPart w:val="731902B27B6A430CAB62B85EE5A4B766"/>
            </w:placeholder>
            <w:dataBinding w:xpath="/Root[1]/Remarks_d5f3800c-d7b7-4a24-b685-777b19a3043a[1]" w:storeItemID="{7E9F76D9-DE21-4CB8-A87C-05F3AB5F5986}"/>
            <w:text w:multiLine="1"/>
          </w:sdtPr>
          <w:sdtContent>
            <w:tc>
              <w:tcPr>
                <w:tcW w:w="3966" w:type="dxa"/>
              </w:tcPr>
              <w:p>
                <w:pPr>
                  <w:ind w:right="-932"/>
                  <w:rPr>
                    <w:rStyle w:val="Hyperlink"/>
                    <w:rFonts w:cstheme="majorBidi"/>
                    <w:b/>
                    <w:sz w:val="20"/>
                    <w:szCs w:val="20"/>
                  </w:rPr>
                </w:pPr>
                <w:r>
                  <w:rPr>
                    <w:rStyle w:val="Hyperlink"/>
                    <w:b/>
                    <w:sz w:val="20"/>
                    <w:szCs w:val="20"/>
                  </w:rPr>
                  <w:br/>
                  <w:t xml:space="preserve">  </w:t>
                </w:r>
              </w:p>
            </w:tc>
          </w:sdtContent>
        </w:sdt>
        <w:sdt>
          <w:sdtPr>
            <w:rPr>
              <w:rStyle w:val="Hyperlink"/>
              <w:rFonts w:cstheme="majorBidi"/>
              <w:b/>
              <w:sz w:val="20"/>
              <w:szCs w:val="20"/>
            </w:rPr>
            <w:alias w:val="DifférenceÉtat"/>
            <w:tag w:val="StateDifference_d5f3800c-d7b7-4a24-b685-777b19a3043a"/>
            <w:id w:val="-1744249462"/>
            <w:placeholder>
              <w:docPart w:val="4FA1EAFE31FD4C3A92CC9CD7C75B679A"/>
            </w:placeholder>
            <w:dataBinding w:xpath="/Root[1]/StateDifference_d5f3800c-d7b7-4a24-b685-777b19a3043a[1]" w:storeItemID="{7E9F76D9-DE21-4CB8-A87C-05F3AB5F5986}"/>
            <w:text w:multiLine="1"/>
          </w:sdtPr>
          <w:sdtContent>
            <w:tc>
              <w:tcPr>
                <w:tcW w:w="1985" w:type="dxa"/>
              </w:tcPr>
              <w:p>
                <w:pPr>
                  <w:ind w:right="-932"/>
                  <w:rPr>
                    <w:rStyle w:val="Hyperlink"/>
                    <w:rFonts w:cstheme="majorBidi"/>
                    <w:b/>
                    <w:sz w:val="20"/>
                    <w:szCs w:val="20"/>
                  </w:rPr>
                </w:pPr>
                <w:r>
                  <w:rPr>
                    <w:rStyle w:val="Hyperlink"/>
                    <w:b/>
                    <w:sz w:val="20"/>
                    <w:szCs w:val="20"/>
                  </w:rPr>
                  <w:br/>
                  <w:t xml:space="preserve">  </w:t>
                </w:r>
              </w:p>
            </w:tc>
          </w:sdtContent>
        </w:sdt>
      </w:tr>
      <w:tr>
        <w:tc>
          <w:tcPr>
            <w:tcW w:w="1702" w:type="dxa"/>
          </w:tcPr>
          <w:sdt>
            <w:sdtPr>
              <w:alias w:val="Annexe:"/>
              <w:tag w:val="Annex_a3346469-efd0-40fa-bdef-7d3fb39643f6"/>
              <w:id w:val="1917894029"/>
              <w:lock w:val="contentLocked"/>
              <w:placeholder>
                <w:docPart w:val="AE3DE094D9524B1CB176E63EDE8F9257"/>
              </w:placeholder>
              <w:dataBinding w:xpath="/Root[1]/Annex_a3346469-efd0-40fa-bdef-7d3fb39643f6[1]" w:storeItemID="{7E9F76D9-DE21-4CB8-A87C-05F3AB5F5986}"/>
              <w:text w:multiLine="1"/>
            </w:sdtPr>
            <w:sdtContent>
              <w:p>
                <w:r>
                  <w:t>Annexe 6, partie 3</w:t>
                </w:r>
              </w:p>
            </w:sdtContent>
          </w:sdt>
          <w:p/>
          <w:sdt>
            <w:sdtPr>
              <w:alias w:val="Référence"/>
              <w:tag w:val="Reference_a3346469-efd0-40fa-bdef-7d3fb39643f6"/>
              <w:id w:val="821469837"/>
              <w:lock w:val="contentLocked"/>
              <w:placeholder>
                <w:docPart w:val="3B39E02C3937451E950F8867D959DD31"/>
              </w:placeholder>
              <w:dataBinding w:xpath="/Root[1]/Reference_a3346469-efd0-40fa-bdef-7d3fb39643f6[1]" w:storeItemID="{7E9F76D9-DE21-4CB8-A87C-05F3AB5F5986}"/>
              <w:text/>
            </w:sdtPr>
            <w:sdtContent>
              <w:p>
                <w:r>
                  <w:t>7.4.3.1</w:t>
                </w:r>
              </w:p>
            </w:sdtContent>
          </w:sdt>
          <w:p/>
        </w:tc>
        <w:tc>
          <w:tcPr>
            <w:tcW w:w="4673" w:type="dxa"/>
          </w:tcPr>
          <w:p>
            <w:r>
              <w:t>7</w:t>
            </w:r>
            <w:r>
              <w:t>.</w:t>
            </w:r>
            <w:r>
              <w:t>4</w:t>
            </w:r>
            <w:r>
              <w:t>.</w:t>
            </w:r>
            <w:r>
              <w:t>3</w:t>
            </w:r>
            <w:r>
              <w:tab/>
              <w:t>Contrôle de la compétence des pilotes</w:t>
            </w:r>
          </w:p>
          <w:p/>
          <w:p>
            <w:r>
              <w:rPr>
                <w:b/>
                <w:bCs/>
              </w:rPr>
              <w:tab/>
            </w:r>
            <w:r>
              <w:t>7</w:t>
            </w:r>
            <w:r>
              <w:t>.</w:t>
            </w:r>
            <w:r>
              <w:t>4</w:t>
            </w:r>
            <w:r>
              <w:t>.</w:t>
            </w:r>
            <w:r>
              <w:t>3</w:t>
            </w:r>
            <w:r>
              <w:t>.</w:t>
            </w:r>
            <w:r>
              <w:t>1</w:t>
            </w:r>
            <w:r>
              <w:tab/>
              <w:t>L’exploitant veillera à ce que la technique de pilotage et l’aptitude à exécuter les procédures d’urgence soient vérifiées de telle manière que la compétence de ses pilotes soit établie sur chaque type ou variante de type d’hélicoptère. Lorsque les vols doivent être exécutés en régime IFR, l’exploitant veillera à ce que ses pilotes démontrent leur aptitude à observer ces règles, soit devant un pilote inspecteur de l’exploitant, soit devant un représentant de l’État de l’exploitant. Ces contrôles doivent être effectués au moins deux fois au cours chaque période d’un an. Deux contrôles de ce type, lorsqu’ils comportent des épreuves semblables et sont effectués à moins de quatre moins d’intervalle, ne suffiront pas à répondre à cette spécification.</w:t>
            </w:r>
          </w:p>
          <w:p>
            <w:r>
              <w:tab/>
            </w:r>
            <w:r>
              <w:rPr>
                <w:i/>
                <w:iCs/>
              </w:rPr>
              <w:t xml:space="preserve">Note </w:t>
            </w:r>
            <w:r>
              <w:rPr>
                <w:i/>
                <w:iCs/>
              </w:rPr>
              <w:t>1</w:t>
            </w:r>
            <w:r>
              <w:rPr>
                <w:i/>
                <w:iCs/>
              </w:rPr>
              <w:t>.— Des simulateurs d’entraînement au vol approuvés par l’État de l’exploitant peuvent être utilisés pour les épreuves aux fins desquelles ces appareils ont été spécifiquement approuvés.</w:t>
            </w:r>
          </w:p>
          <w:p/>
          <w:p>
            <w:pPr>
              <w:rPr>
                <w:i/>
                <w:iCs/>
              </w:rPr>
            </w:pPr>
            <w:r>
              <w:tab/>
            </w:r>
            <w:r>
              <w:rPr>
                <w:i/>
                <w:iCs/>
              </w:rPr>
              <w:t xml:space="preserve">Note </w:t>
            </w:r>
            <w:r>
              <w:rPr>
                <w:i/>
                <w:iCs/>
              </w:rPr>
              <w:t>2</w:t>
            </w:r>
            <w:r>
              <w:rPr>
                <w:i/>
                <w:iCs/>
              </w:rPr>
              <w:t xml:space="preserve">.— Voir le </w:t>
            </w:r>
            <w:r>
              <w:t>Manuel des critères de qualification des simulateurs d’entraînement au vol</w:t>
            </w:r>
            <w:r>
              <w:rPr>
                <w:i/>
                <w:iCs/>
              </w:rPr>
              <w:t xml:space="preserve">(Doc </w:t>
            </w:r>
            <w:r>
              <w:rPr>
                <w:i/>
                <w:iCs/>
              </w:rPr>
              <w:t>9625</w:t>
            </w:r>
            <w:r>
              <w:rPr>
                <w:i/>
                <w:iCs/>
              </w:rPr>
              <w:t>), Volume II —</w:t>
            </w:r>
            <w:r>
              <w:t xml:space="preserve"> </w:t>
            </w:r>
            <w:r>
              <w:rPr>
                <w:i/>
                <w:iCs/>
              </w:rPr>
              <w:t>Hélicoptères.</w:t>
            </w:r>
          </w:p>
          <w:p/>
        </w:tc>
        <w:sdt>
          <w:sdtPr>
            <w:rPr>
              <w:rStyle w:val="Hyperlink"/>
              <w:rFonts w:cstheme="majorBidi"/>
              <w:color w:val="auto"/>
              <w:sz w:val="20"/>
              <w:szCs w:val="20"/>
              <w:u w:val="none"/>
            </w:rPr>
            <w:alias w:val="Détails"/>
            <w:tag w:val="Details_a3346469-efd0-40fa-bdef-7d3fb39643f6"/>
            <w:id w:val="1284227996"/>
            <w:placeholder>
              <w:docPart w:val="319155465811459FB50C3FF8D526FBA7"/>
            </w:placeholder>
            <w:dataBinding w:xpath="/Root[1]/Details_a3346469-efd0-40fa-bdef-7d3fb39643f6[1]" w:storeItemID="{7E9F76D9-DE21-4CB8-A87C-05F3AB5F5986}"/>
            <w:text w:multiLine="1"/>
          </w:sdtPr>
          <w:sdtContent>
            <w:tc>
              <w:tcPr>
                <w:tcW w:w="2554" w:type="dxa"/>
              </w:tcPr>
              <w:p>
                <w:pPr>
                  <w:ind w:right="-932"/>
                  <w:rPr>
                    <w:rStyle w:val="Hyperlink"/>
                    <w:rFonts w:cstheme="majorBidi"/>
                    <w:b/>
                    <w:color w:val="auto"/>
                    <w:sz w:val="20"/>
                    <w:szCs w:val="20"/>
                  </w:rPr>
                </w:pPr>
                <w:r>
                  <w:rPr>
                    <w:rStyle w:val="Hyperlink"/>
                    <w:color w:val="auto"/>
                    <w:sz w:val="20"/>
                    <w:szCs w:val="20"/>
                    <w:u w:val="none"/>
                  </w:rPr>
                  <w:t>La durée de validité des contrôles</w:t>
                </w:r>
                <w:r>
                  <w:rPr>
                    <w:rStyle w:val="Hyperlink"/>
                    <w:color w:val="auto"/>
                    <w:sz w:val="20"/>
                    <w:szCs w:val="20"/>
                    <w:u w:val="none"/>
                  </w:rPr>
                  <w:br/>
                </w:r>
                <w:r>
                  <w:rPr>
                    <w:rStyle w:val="Hyperlink"/>
                    <w:color w:val="auto"/>
                    <w:sz w:val="20"/>
                    <w:szCs w:val="20"/>
                    <w:u w:val="none"/>
                  </w:rPr>
                  <w:t>de la compétence des pilotes pour</w:t>
                </w:r>
                <w:r>
                  <w:rPr>
                    <w:rStyle w:val="Hyperlink"/>
                    <w:color w:val="auto"/>
                    <w:sz w:val="20"/>
                    <w:szCs w:val="20"/>
                    <w:u w:val="none"/>
                  </w:rPr>
                  <w:br/>
                </w:r>
                <w:r>
                  <w:rPr>
                    <w:rStyle w:val="Hyperlink"/>
                    <w:color w:val="auto"/>
                    <w:sz w:val="20"/>
                    <w:szCs w:val="20"/>
                    <w:u w:val="none"/>
                  </w:rPr>
                  <w:t>chaque pilote est prolongée par</w:t>
                </w:r>
                <w:r>
                  <w:rPr>
                    <w:rStyle w:val="Hyperlink"/>
                    <w:color w:val="auto"/>
                    <w:sz w:val="20"/>
                    <w:szCs w:val="20"/>
                    <w:u w:val="none"/>
                  </w:rPr>
                  <w:br/>
                </w:r>
                <w:r>
                  <w:rPr>
                    <w:rStyle w:val="Hyperlink"/>
                    <w:color w:val="auto"/>
                    <w:sz w:val="20"/>
                    <w:szCs w:val="20"/>
                    <w:u w:val="none"/>
                  </w:rPr>
                  <w:t>[l’État] pour une période de</w:t>
                </w:r>
                <w:r>
                  <w:rPr>
                    <w:rStyle w:val="Hyperlink"/>
                    <w:color w:val="auto"/>
                    <w:sz w:val="20"/>
                    <w:szCs w:val="20"/>
                    <w:u w:val="none"/>
                  </w:rPr>
                  <w:br/>
                </w:r>
                <w:r>
                  <w:rPr>
                    <w:rStyle w:val="Hyperlink"/>
                    <w:color w:val="auto"/>
                    <w:sz w:val="20"/>
                    <w:szCs w:val="20"/>
                    <w:u w:val="none"/>
                  </w:rPr>
                  <w:t>4 mois.</w:t>
                </w:r>
                <w:r>
                  <w:rPr>
                    <w:rStyle w:val="Hyperlink"/>
                    <w:color w:val="auto"/>
                    <w:sz w:val="20"/>
                    <w:szCs w:val="20"/>
                    <w:u w:val="none"/>
                  </w:rPr>
                  <w:br/>
                </w:r>
                <w:r>
                  <w:rPr>
                    <w:rStyle w:val="Hyperlink"/>
                    <w:color w:val="auto"/>
                    <w:sz w:val="20"/>
                    <w:szCs w:val="20"/>
                    <w:u w:val="none"/>
                  </w:rPr>
                  <w:br/>
                  <w:t>Si, vers la fin de la prolongation,</w:t>
                </w:r>
                <w:r>
                  <w:rPr>
                    <w:rStyle w:val="Hyperlink"/>
                    <w:color w:val="auto"/>
                    <w:sz w:val="20"/>
                    <w:szCs w:val="20"/>
                    <w:u w:val="none"/>
                  </w:rPr>
                  <w:br/>
                </w:r>
                <w:r>
                  <w:rPr>
                    <w:rStyle w:val="Hyperlink"/>
                    <w:color w:val="auto"/>
                    <w:sz w:val="20"/>
                    <w:szCs w:val="20"/>
                    <w:u w:val="none"/>
                  </w:rPr>
                  <w:t>[L’État/État X,Y,Z] considère que</w:t>
                </w:r>
                <w:r>
                  <w:rPr>
                    <w:rStyle w:val="Hyperlink"/>
                    <w:color w:val="auto"/>
                    <w:sz w:val="20"/>
                    <w:szCs w:val="20"/>
                    <w:u w:val="none"/>
                  </w:rPr>
                  <w:br/>
                </w:r>
                <w:r>
                  <w:rPr>
                    <w:rStyle w:val="Hyperlink"/>
                    <w:color w:val="auto"/>
                    <w:sz w:val="20"/>
                    <w:szCs w:val="20"/>
                    <w:u w:val="none"/>
                  </w:rPr>
                  <w:t>les motifs de l’octroi de la mesure dérogatoire persistent, la durée de</w:t>
                </w:r>
                <w:r>
                  <w:rPr>
                    <w:rStyle w:val="Hyperlink"/>
                    <w:color w:val="auto"/>
                    <w:sz w:val="20"/>
                    <w:szCs w:val="20"/>
                    <w:u w:val="none"/>
                  </w:rPr>
                  <w:br/>
                </w:r>
                <w:r>
                  <w:rPr>
                    <w:rStyle w:val="Hyperlink"/>
                    <w:color w:val="auto"/>
                    <w:sz w:val="20"/>
                    <w:szCs w:val="20"/>
                    <w:u w:val="none"/>
                  </w:rPr>
                  <w:t xml:space="preserve">validité peut être à nouveau </w:t>
                </w:r>
                <w:r>
                  <w:rPr>
                    <w:rStyle w:val="Hyperlink"/>
                    <w:color w:val="auto"/>
                    <w:sz w:val="20"/>
                    <w:szCs w:val="20"/>
                    <w:u w:val="none"/>
                  </w:rPr>
                  <w:br/>
                </w:r>
                <w:r>
                  <w:rPr>
                    <w:rStyle w:val="Hyperlink"/>
                    <w:color w:val="auto"/>
                    <w:sz w:val="20"/>
                    <w:szCs w:val="20"/>
                    <w:u w:val="none"/>
                  </w:rPr>
                  <w:t>prolongée pour une période allant</w:t>
                </w:r>
                <w:r>
                  <w:rPr>
                    <w:rStyle w:val="Hyperlink"/>
                    <w:color w:val="auto"/>
                    <w:sz w:val="20"/>
                    <w:szCs w:val="20"/>
                    <w:u w:val="none"/>
                  </w:rPr>
                  <w:br/>
                </w:r>
                <w:r>
                  <w:rPr>
                    <w:rStyle w:val="Hyperlink"/>
                    <w:color w:val="auto"/>
                    <w:sz w:val="20"/>
                    <w:szCs w:val="20"/>
                    <w:u w:val="none"/>
                  </w:rPr>
                  <w:t xml:space="preserve"> jusqu’à 4 mois. </w:t>
                </w:r>
                <w:r>
                  <w:rPr>
                    <w:rStyle w:val="Hyperlink"/>
                    <w:color w:val="auto"/>
                    <w:sz w:val="20"/>
                    <w:szCs w:val="20"/>
                    <w:u w:val="none"/>
                  </w:rPr>
                  <w:br/>
                  <w:t xml:space="preserve">  </w:t>
                </w:r>
              </w:p>
            </w:tc>
          </w:sdtContent>
        </w:sdt>
        <w:sdt>
          <w:sdtPr>
            <w:rPr>
              <w:rStyle w:val="Hyperlink"/>
              <w:rFonts w:cstheme="majorBidi"/>
              <w:color w:val="auto"/>
              <w:sz w:val="20"/>
              <w:szCs w:val="20"/>
            </w:rPr>
            <w:alias w:val="Remarques"/>
            <w:tag w:val="Remarks_a3346469-efd0-40fa-bdef-7d3fb39643f6"/>
            <w:id w:val="-1851486359"/>
            <w:placeholder>
              <w:docPart w:val="731902B27B6A430CAB62B85EE5A4B766"/>
            </w:placeholder>
            <w:dataBinding w:xpath="/Root[1]/Remarks_a3346469-efd0-40fa-bdef-7d3fb39643f6[1]" w:storeItemID="{7E9F76D9-DE21-4CB8-A87C-05F3AB5F5986}"/>
            <w:text w:multiLine="1"/>
          </w:sdtPr>
          <w:sdtContent>
            <w:tc>
              <w:tcPr>
                <w:tcW w:w="3966" w:type="dxa"/>
              </w:tcPr>
              <w:p>
                <w:pPr>
                  <w:ind w:right="-932"/>
                  <w:rPr>
                    <w:rStyle w:val="Hyperlink"/>
                    <w:rFonts w:cstheme="majorBidi"/>
                    <w:b/>
                    <w:color w:val="auto"/>
                    <w:sz w:val="20"/>
                    <w:szCs w:val="20"/>
                  </w:rPr>
                </w:pPr>
                <w:r>
                  <w:rPr>
                    <w:rStyle w:val="Hyperlink"/>
                    <w:color w:val="auto"/>
                    <w:sz w:val="20"/>
                    <w:szCs w:val="20"/>
                  </w:rPr>
                  <w:t xml:space="preserve">  a) Justification </w:t>
                </w:r>
                <w:r>
                  <w:rPr>
                    <w:rStyle w:val="Hyperlink"/>
                    <w:color w:val="auto"/>
                    <w:sz w:val="20"/>
                    <w:szCs w:val="20"/>
                  </w:rPr>
                  <w:br/>
                  <w:t>L’épidémie de COVID-19 a entraîné des</w:t>
                </w:r>
                <w:r>
                  <w:rPr>
                    <w:rStyle w:val="Hyperlink"/>
                    <w:color w:val="auto"/>
                    <w:sz w:val="20"/>
                    <w:szCs w:val="20"/>
                  </w:rPr>
                  <w:br/>
                </w:r>
                <w:r>
                  <w:rPr>
                    <w:rStyle w:val="Hyperlink"/>
                    <w:color w:val="auto"/>
                    <w:sz w:val="20"/>
                    <w:szCs w:val="20"/>
                  </w:rPr>
                  <w:t>restrictions drastiques en matière de</w:t>
                </w:r>
                <w:r>
                  <w:rPr>
                    <w:rStyle w:val="Hyperlink"/>
                    <w:color w:val="auto"/>
                    <w:sz w:val="20"/>
                    <w:szCs w:val="20"/>
                  </w:rPr>
                  <w:br/>
                </w:r>
                <w:r>
                  <w:rPr>
                    <w:rStyle w:val="Hyperlink"/>
                    <w:color w:val="auto"/>
                    <w:sz w:val="20"/>
                    <w:szCs w:val="20"/>
                  </w:rPr>
                  <w:t>déplacements. La fermeture des frontières</w:t>
                </w:r>
                <w:r>
                  <w:rPr>
                    <w:rStyle w:val="Hyperlink"/>
                    <w:color w:val="auto"/>
                    <w:sz w:val="20"/>
                    <w:szCs w:val="20"/>
                  </w:rPr>
                  <w:br/>
                </w:r>
                <w:r>
                  <w:rPr>
                    <w:rStyle w:val="Hyperlink"/>
                    <w:color w:val="auto"/>
                    <w:sz w:val="20"/>
                    <w:szCs w:val="20"/>
                  </w:rPr>
                  <w:t>entre la majorité des États membres de l’UE</w:t>
                </w:r>
                <w:r>
                  <w:rPr>
                    <w:rStyle w:val="Hyperlink"/>
                    <w:color w:val="auto"/>
                    <w:sz w:val="20"/>
                    <w:szCs w:val="20"/>
                  </w:rPr>
                  <w:br/>
                </w:r>
                <w:r>
                  <w:rPr>
                    <w:rStyle w:val="Hyperlink"/>
                    <w:color w:val="auto"/>
                    <w:sz w:val="20"/>
                    <w:szCs w:val="20"/>
                  </w:rPr>
                  <w:t>a limité la capacité des exploitants à effectuer</w:t>
                </w:r>
                <w:r>
                  <w:rPr>
                    <w:rStyle w:val="Hyperlink"/>
                    <w:color w:val="auto"/>
                    <w:sz w:val="20"/>
                    <w:szCs w:val="20"/>
                  </w:rPr>
                  <w:br/>
                </w:r>
                <w:r>
                  <w:rPr>
                    <w:rStyle w:val="Hyperlink"/>
                    <w:color w:val="auto"/>
                    <w:sz w:val="20"/>
                    <w:szCs w:val="20"/>
                  </w:rPr>
                  <w:t>des contrôles de compétence de pilote deux</w:t>
                </w:r>
                <w:r>
                  <w:rPr>
                    <w:rStyle w:val="Hyperlink"/>
                    <w:color w:val="auto"/>
                    <w:sz w:val="20"/>
                    <w:szCs w:val="20"/>
                  </w:rPr>
                  <w:br/>
                </w:r>
                <w:r>
                  <w:rPr>
                    <w:rStyle w:val="Hyperlink"/>
                    <w:color w:val="auto"/>
                    <w:sz w:val="20"/>
                    <w:szCs w:val="20"/>
                  </w:rPr>
                  <w:t>fois par an sur un simulateur de vol. Il n’est pas</w:t>
                </w:r>
                <w:r>
                  <w:rPr>
                    <w:rStyle w:val="Hyperlink"/>
                    <w:color w:val="auto"/>
                    <w:sz w:val="20"/>
                    <w:szCs w:val="20"/>
                  </w:rPr>
                  <w:br/>
                  <w:t>toujour</w:t>
                </w:r>
                <w:r>
                  <w:rPr>
                    <w:rStyle w:val="Hyperlink"/>
                    <w:color w:val="auto"/>
                    <w:sz w:val="20"/>
                    <w:szCs w:val="20"/>
                  </w:rPr>
                  <w:t>s possible d’effectuer ces contrôles</w:t>
                </w:r>
                <w:r>
                  <w:rPr>
                    <w:rStyle w:val="Hyperlink"/>
                    <w:color w:val="auto"/>
                    <w:sz w:val="20"/>
                    <w:szCs w:val="20"/>
                  </w:rPr>
                  <w:br/>
                </w:r>
                <w:r>
                  <w:rPr>
                    <w:rStyle w:val="Hyperlink"/>
                    <w:color w:val="auto"/>
                    <w:sz w:val="20"/>
                    <w:szCs w:val="20"/>
                  </w:rPr>
                  <w:t>dans un</w:t>
                </w:r>
                <w:r>
                  <w:rPr>
                    <w:rStyle w:val="Hyperlink"/>
                    <w:color w:val="auto"/>
                    <w:sz w:val="20"/>
                    <w:szCs w:val="20"/>
                  </w:rPr>
                  <w:t xml:space="preserve"> </w:t>
                </w:r>
                <w:r>
                  <w:rPr>
                    <w:rStyle w:val="Hyperlink"/>
                    <w:color w:val="auto"/>
                    <w:sz w:val="20"/>
                    <w:szCs w:val="20"/>
                  </w:rPr>
                  <w:t xml:space="preserve">aéronef et, dans certains cas, les </w:t>
                </w:r>
                <w:r>
                  <w:rPr>
                    <w:rStyle w:val="Hyperlink"/>
                    <w:color w:val="auto"/>
                    <w:sz w:val="20"/>
                    <w:szCs w:val="20"/>
                  </w:rPr>
                  <w:br/>
                </w:r>
                <w:r>
                  <w:rPr>
                    <w:rStyle w:val="Hyperlink"/>
                    <w:color w:val="auto"/>
                    <w:sz w:val="20"/>
                    <w:szCs w:val="20"/>
                  </w:rPr>
                  <w:t>risques</w:t>
                </w:r>
                <w:r>
                  <w:rPr>
                    <w:rStyle w:val="Hyperlink"/>
                    <w:color w:val="auto"/>
                    <w:sz w:val="20"/>
                    <w:szCs w:val="20"/>
                  </w:rPr>
                  <w:t xml:space="preserve"> </w:t>
                </w:r>
                <w:r>
                  <w:rPr>
                    <w:rStyle w:val="Hyperlink"/>
                    <w:color w:val="auto"/>
                    <w:sz w:val="20"/>
                    <w:szCs w:val="20"/>
                  </w:rPr>
                  <w:t>associés peuvent être plus grands que</w:t>
                </w:r>
                <w:r>
                  <w:rPr>
                    <w:rStyle w:val="Hyperlink"/>
                    <w:color w:val="auto"/>
                    <w:sz w:val="20"/>
                    <w:szCs w:val="20"/>
                  </w:rPr>
                  <w:br/>
                </w:r>
                <w:r>
                  <w:rPr>
                    <w:rStyle w:val="Hyperlink"/>
                    <w:color w:val="auto"/>
                    <w:sz w:val="20"/>
                    <w:szCs w:val="20"/>
                  </w:rPr>
                  <w:t>ceux liés à la mesure dérogatoire:</w:t>
                </w:r>
                <w:r>
                  <w:rPr>
                    <w:rStyle w:val="Hyperlink"/>
                    <w:color w:val="auto"/>
                    <w:sz w:val="20"/>
                    <w:szCs w:val="20"/>
                  </w:rPr>
                  <w:br/>
                </w:r>
                <w:r>
                  <w:rPr>
                    <w:rStyle w:val="Hyperlink"/>
                    <w:color w:val="auto"/>
                    <w:sz w:val="20"/>
                    <w:szCs w:val="20"/>
                  </w:rPr>
                  <w:br/>
                  <w:t>b) Conditions/mesures d’atténuation</w:t>
                </w:r>
                <w:r>
                  <w:rPr>
                    <w:rStyle w:val="Hyperlink"/>
                    <w:color w:val="auto"/>
                    <w:sz w:val="20"/>
                    <w:szCs w:val="20"/>
                  </w:rPr>
                  <w:br/>
                  <w:t>[L’État] impose que les pilotes suivent une formation de recyclage, suivie d’une évaluation, selon les moyens établis par l’exploitation, en vue de s’assurer que le niveau de connaissances requis pour la fonction de membre d’équipage de conduite est maintenu. Cette évaluation porte également sur les procédures d’exception et d’urgence spécifiques de la classe ou du type.</w:t>
                </w:r>
              </w:p>
            </w:tc>
          </w:sdtContent>
        </w:sdt>
        <w:tc>
          <w:tcPr>
            <w:tcW w:w="1985" w:type="dxa"/>
          </w:tcPr>
          <w:p>
            <w:pPr>
              <w:jc w:val="both"/>
              <w:rPr>
                <w:sz w:val="20"/>
                <w:szCs w:val="20"/>
              </w:rPr>
            </w:pPr>
            <w:r>
              <w:rPr>
                <w:sz w:val="20"/>
                <w:szCs w:val="20"/>
              </w:rPr>
              <w:t xml:space="preserve">En ce qui concerne les certificats et licences délivrés par les États membres de l’UE, les différences sont automatiquement reconnues sur la base du règlement (UE) </w:t>
            </w:r>
            <w:r>
              <w:rPr>
                <w:sz w:val="20"/>
                <w:szCs w:val="20"/>
              </w:rPr>
              <w:t>2018</w:t>
            </w:r>
            <w:r>
              <w:rPr>
                <w:sz w:val="20"/>
                <w:szCs w:val="20"/>
              </w:rPr>
              <w:t>/</w:t>
            </w:r>
            <w:r>
              <w:rPr>
                <w:sz w:val="20"/>
                <w:szCs w:val="20"/>
              </w:rPr>
              <w:t>1139</w:t>
            </w:r>
            <w:r>
              <w:rPr>
                <w:sz w:val="20"/>
                <w:szCs w:val="20"/>
              </w:rPr>
              <w:t>.</w:t>
            </w:r>
          </w:p>
          <w:p>
            <w:pPr>
              <w:jc w:val="both"/>
              <w:rPr>
                <w:sz w:val="20"/>
                <w:szCs w:val="20"/>
              </w:rPr>
            </w:pPr>
          </w:p>
          <w:p>
            <w:pPr>
              <w:rPr>
                <w:rFonts w:cstheme="majorBidi"/>
                <w:sz w:val="20"/>
                <w:szCs w:val="20"/>
              </w:rPr>
            </w:pPr>
            <w:r>
              <w:rPr>
                <w:sz w:val="20"/>
                <w:szCs w:val="20"/>
              </w:rPr>
              <w:t>En ce qui concerne la reconnaissance ou l’acceptation de la validité des certificats et licences faisant l’objet des dispositions spéciales temporaires (liés à la pandémie de COVID-</w:t>
            </w:r>
            <w:r>
              <w:rPr>
                <w:sz w:val="20"/>
                <w:szCs w:val="20"/>
              </w:rPr>
              <w:t>19</w:t>
            </w:r>
            <w:r>
              <w:rPr>
                <w:sz w:val="20"/>
                <w:szCs w:val="20"/>
              </w:rPr>
              <w:t xml:space="preserve">) délivrés par des pays tiers. Le règlement (UE) </w:t>
            </w:r>
            <w:r>
              <w:rPr>
                <w:sz w:val="20"/>
                <w:szCs w:val="20"/>
              </w:rPr>
              <w:t>452</w:t>
            </w:r>
            <w:r>
              <w:rPr>
                <w:sz w:val="20"/>
                <w:szCs w:val="20"/>
              </w:rPr>
              <w:t>/</w:t>
            </w:r>
            <w:r>
              <w:rPr>
                <w:sz w:val="20"/>
                <w:szCs w:val="20"/>
              </w:rPr>
              <w:t>2014</w:t>
            </w:r>
            <w:r>
              <w:rPr>
                <w:sz w:val="20"/>
                <w:szCs w:val="20"/>
              </w:rPr>
              <w:t xml:space="preserve"> déterminant les exigences techniques et les procédures administratives applicables aux opérations aériennes des exploitants de pays tiers s’applique.</w:t>
            </w:r>
          </w:p>
        </w:tc>
      </w:tr>
      <w:tr>
        <w:tc>
          <w:tcPr>
            <w:tcW w:w="1702" w:type="dxa"/>
          </w:tcPr>
          <w:p>
            <w:pPr>
              <w:ind w:right="-932"/>
              <w:rPr>
                <w:rStyle w:val="Hyperlink"/>
                <w:rFonts w:cstheme="majorBidi"/>
                <w:color w:val="auto"/>
                <w:sz w:val="20"/>
                <w:szCs w:val="20"/>
              </w:rPr>
            </w:pPr>
            <w:r>
              <w:rPr>
                <w:rStyle w:val="Hyperlink"/>
                <w:color w:val="auto"/>
                <w:sz w:val="20"/>
                <w:szCs w:val="20"/>
              </w:rPr>
              <w:t>Annexe </w:t>
            </w:r>
            <w:r>
              <w:rPr>
                <w:rStyle w:val="Hyperlink"/>
                <w:color w:val="auto"/>
                <w:sz w:val="20"/>
                <w:szCs w:val="20"/>
              </w:rPr>
              <w:t>1</w:t>
            </w:r>
          </w:p>
          <w:p>
            <w:pPr>
              <w:ind w:right="-932"/>
              <w:rPr>
                <w:rStyle w:val="Hyperlink"/>
                <w:rFonts w:cstheme="majorBidi"/>
                <w:b/>
                <w:color w:val="auto"/>
                <w:sz w:val="20"/>
                <w:szCs w:val="20"/>
              </w:rPr>
            </w:pPr>
            <w:r>
              <w:rPr>
                <w:rStyle w:val="Hyperlink"/>
                <w:color w:val="auto"/>
                <w:sz w:val="20"/>
                <w:szCs w:val="20"/>
              </w:rPr>
              <w:t>1</w:t>
            </w:r>
            <w:r>
              <w:rPr>
                <w:rStyle w:val="Hyperlink"/>
                <w:color w:val="auto"/>
                <w:sz w:val="20"/>
                <w:szCs w:val="20"/>
              </w:rPr>
              <w:t>.</w:t>
            </w:r>
            <w:r>
              <w:rPr>
                <w:rStyle w:val="Hyperlink"/>
                <w:color w:val="auto"/>
                <w:sz w:val="20"/>
                <w:szCs w:val="20"/>
              </w:rPr>
              <w:t>2</w:t>
            </w:r>
            <w:r>
              <w:rPr>
                <w:rStyle w:val="Hyperlink"/>
                <w:color w:val="auto"/>
                <w:sz w:val="20"/>
                <w:szCs w:val="20"/>
              </w:rPr>
              <w:t>.</w:t>
            </w:r>
            <w:r>
              <w:rPr>
                <w:rStyle w:val="Hyperlink"/>
                <w:color w:val="auto"/>
                <w:sz w:val="20"/>
                <w:szCs w:val="20"/>
              </w:rPr>
              <w:t>9</w:t>
            </w:r>
          </w:p>
        </w:tc>
        <w:tc>
          <w:tcPr>
            <w:tcW w:w="4673" w:type="dxa"/>
          </w:tcPr>
          <w:p>
            <w:pPr>
              <w:spacing w:after="120"/>
              <w:ind w:right="-930"/>
              <w:rPr>
                <w:rStyle w:val="Hyperlink"/>
                <w:rFonts w:cstheme="majorBidi"/>
                <w:color w:val="auto"/>
                <w:sz w:val="20"/>
                <w:szCs w:val="20"/>
                <w:u w:val="none"/>
              </w:rPr>
            </w:pPr>
            <w:r>
              <w:rPr>
                <w:rStyle w:val="Hyperlink"/>
                <w:color w:val="auto"/>
                <w:sz w:val="20"/>
                <w:szCs w:val="20"/>
                <w:u w:val="none"/>
              </w:rPr>
              <w:t>1</w:t>
            </w:r>
            <w:r>
              <w:rPr>
                <w:rStyle w:val="Hyperlink"/>
                <w:color w:val="auto"/>
                <w:sz w:val="20"/>
                <w:szCs w:val="20"/>
                <w:u w:val="none"/>
              </w:rPr>
              <w:t>.</w:t>
            </w:r>
            <w:r>
              <w:rPr>
                <w:rStyle w:val="Hyperlink"/>
                <w:color w:val="auto"/>
                <w:sz w:val="20"/>
                <w:szCs w:val="20"/>
                <w:u w:val="none"/>
              </w:rPr>
              <w:t>2</w:t>
            </w:r>
            <w:r>
              <w:rPr>
                <w:rStyle w:val="Hyperlink"/>
                <w:color w:val="auto"/>
                <w:sz w:val="20"/>
                <w:szCs w:val="20"/>
                <w:u w:val="none"/>
              </w:rPr>
              <w:t>.</w:t>
            </w:r>
            <w:r>
              <w:rPr>
                <w:rStyle w:val="Hyperlink"/>
                <w:color w:val="auto"/>
                <w:sz w:val="20"/>
                <w:szCs w:val="20"/>
                <w:u w:val="none"/>
              </w:rPr>
              <w:t>9</w:t>
            </w:r>
            <w:r>
              <w:rPr>
                <w:rStyle w:val="Hyperlink"/>
                <w:color w:val="auto"/>
                <w:sz w:val="20"/>
                <w:szCs w:val="20"/>
                <w:u w:val="none"/>
              </w:rPr>
              <w:tab/>
              <w:t>Compétences linguistiques</w:t>
            </w:r>
          </w:p>
          <w:p>
            <w:pPr>
              <w:ind w:right="-932"/>
              <w:rPr>
                <w:rStyle w:val="Hyperlink"/>
                <w:color w:val="auto"/>
                <w:sz w:val="20"/>
                <w:szCs w:val="20"/>
                <w:u w:val="none"/>
              </w:rPr>
            </w:pPr>
            <w:r>
              <w:rPr>
                <w:rStyle w:val="Hyperlink"/>
                <w:color w:val="auto"/>
                <w:sz w:val="20"/>
                <w:szCs w:val="20"/>
                <w:u w:val="none"/>
              </w:rPr>
              <w:t>1</w:t>
            </w:r>
            <w:r>
              <w:rPr>
                <w:rStyle w:val="Hyperlink"/>
                <w:color w:val="auto"/>
                <w:sz w:val="20"/>
                <w:szCs w:val="20"/>
                <w:u w:val="none"/>
              </w:rPr>
              <w:t>.</w:t>
            </w:r>
            <w:r>
              <w:rPr>
                <w:rStyle w:val="Hyperlink"/>
                <w:color w:val="auto"/>
                <w:sz w:val="20"/>
                <w:szCs w:val="20"/>
                <w:u w:val="none"/>
              </w:rPr>
              <w:t>2</w:t>
            </w:r>
            <w:r>
              <w:rPr>
                <w:rStyle w:val="Hyperlink"/>
                <w:color w:val="auto"/>
                <w:sz w:val="20"/>
                <w:szCs w:val="20"/>
                <w:u w:val="none"/>
              </w:rPr>
              <w:t>.</w:t>
            </w:r>
            <w:r>
              <w:rPr>
                <w:rStyle w:val="Hyperlink"/>
                <w:color w:val="auto"/>
                <w:sz w:val="20"/>
                <w:szCs w:val="20"/>
                <w:u w:val="none"/>
              </w:rPr>
              <w:t>9</w:t>
            </w:r>
            <w:r>
              <w:rPr>
                <w:rStyle w:val="Hyperlink"/>
                <w:color w:val="auto"/>
                <w:sz w:val="20"/>
                <w:szCs w:val="20"/>
                <w:u w:val="none"/>
              </w:rPr>
              <w:t>.</w:t>
            </w:r>
            <w:r>
              <w:rPr>
                <w:rStyle w:val="Hyperlink"/>
                <w:color w:val="auto"/>
                <w:sz w:val="20"/>
                <w:szCs w:val="20"/>
                <w:u w:val="none"/>
              </w:rPr>
              <w:t>1</w:t>
            </w:r>
            <w:r>
              <w:rPr>
                <w:rStyle w:val="Hyperlink"/>
                <w:color w:val="auto"/>
                <w:sz w:val="20"/>
                <w:szCs w:val="20"/>
                <w:u w:val="none"/>
              </w:rPr>
              <w:t xml:space="preserve"> </w:t>
            </w:r>
            <w:r>
              <w:rPr>
                <w:rStyle w:val="Hyperlink"/>
                <w:color w:val="auto"/>
                <w:sz w:val="20"/>
                <w:szCs w:val="20"/>
                <w:u w:val="none"/>
              </w:rPr>
              <w:tab/>
              <w:t xml:space="preserve">Jusqu’au </w:t>
            </w:r>
            <w:r>
              <w:rPr>
                <w:rStyle w:val="Hyperlink"/>
                <w:color w:val="auto"/>
                <w:sz w:val="20"/>
                <w:szCs w:val="20"/>
                <w:u w:val="none"/>
              </w:rPr>
              <w:t>2</w:t>
            </w:r>
            <w:r>
              <w:rPr>
                <w:rStyle w:val="Hyperlink"/>
                <w:color w:val="auto"/>
                <w:sz w:val="20"/>
                <w:szCs w:val="20"/>
                <w:u w:val="none"/>
              </w:rPr>
              <w:t> </w:t>
            </w:r>
            <w:r>
              <w:rPr>
                <w:rStyle w:val="Hyperlink"/>
                <w:color w:val="auto"/>
                <w:sz w:val="20"/>
                <w:szCs w:val="20"/>
                <w:u w:val="none"/>
              </w:rPr>
              <w:t xml:space="preserve">novembre </w:t>
            </w:r>
            <w:r>
              <w:rPr>
                <w:rStyle w:val="Hyperlink"/>
                <w:color w:val="auto"/>
                <w:sz w:val="20"/>
                <w:szCs w:val="20"/>
                <w:u w:val="none"/>
              </w:rPr>
              <w:t>2022</w:t>
            </w:r>
            <w:r>
              <w:rPr>
                <w:rStyle w:val="Hyperlink"/>
                <w:color w:val="auto"/>
                <w:sz w:val="20"/>
                <w:szCs w:val="20"/>
                <w:u w:val="none"/>
              </w:rPr>
              <w:t>, les pilotes</w:t>
            </w:r>
          </w:p>
          <w:p>
            <w:pPr>
              <w:ind w:right="-932"/>
              <w:rPr>
                <w:rStyle w:val="Hyperlink"/>
                <w:color w:val="auto"/>
                <w:sz w:val="20"/>
                <w:szCs w:val="20"/>
                <w:u w:val="none"/>
              </w:rPr>
            </w:pPr>
            <w:r>
              <w:rPr>
                <w:rStyle w:val="Hyperlink"/>
                <w:color w:val="auto"/>
                <w:sz w:val="20"/>
                <w:szCs w:val="20"/>
                <w:u w:val="none"/>
              </w:rPr>
              <w:t>d’aéronefs à sustentation motorisée, d’avions,</w:t>
            </w:r>
          </w:p>
          <w:p>
            <w:pPr>
              <w:ind w:right="-932"/>
              <w:rPr>
                <w:rStyle w:val="Hyperlink"/>
                <w:color w:val="auto"/>
                <w:sz w:val="20"/>
                <w:szCs w:val="20"/>
                <w:u w:val="none"/>
              </w:rPr>
            </w:pPr>
            <w:r>
              <w:rPr>
                <w:rStyle w:val="Hyperlink"/>
                <w:color w:val="auto"/>
                <w:sz w:val="20"/>
                <w:szCs w:val="20"/>
                <w:u w:val="none"/>
              </w:rPr>
              <w:t>de dirigeables et d’hélicoptères, les contrôleurs</w:t>
            </w:r>
          </w:p>
          <w:p>
            <w:pPr>
              <w:ind w:right="-932"/>
              <w:rPr>
                <w:rStyle w:val="Hyperlink"/>
                <w:color w:val="auto"/>
                <w:sz w:val="20"/>
                <w:szCs w:val="20"/>
                <w:u w:val="none"/>
              </w:rPr>
            </w:pPr>
            <w:r>
              <w:rPr>
                <w:rStyle w:val="Hyperlink"/>
                <w:color w:val="auto"/>
                <w:sz w:val="20"/>
                <w:szCs w:val="20"/>
                <w:u w:val="none"/>
              </w:rPr>
              <w:t>de la circulation aérienne et les opérateurs radio</w:t>
            </w:r>
          </w:p>
          <w:p>
            <w:pPr>
              <w:ind w:right="-932"/>
              <w:rPr>
                <w:rStyle w:val="Hyperlink"/>
                <w:color w:val="auto"/>
                <w:sz w:val="20"/>
                <w:szCs w:val="20"/>
                <w:u w:val="none"/>
              </w:rPr>
            </w:pPr>
            <w:r>
              <w:rPr>
                <w:rStyle w:val="Hyperlink"/>
                <w:color w:val="auto"/>
                <w:sz w:val="20"/>
                <w:szCs w:val="20"/>
                <w:u w:val="none"/>
              </w:rPr>
              <w:t xml:space="preserve">de station aéronautique </w:t>
            </w:r>
            <w:r>
              <w:rPr>
                <w:rStyle w:val="Hyperlink"/>
                <w:color w:val="auto"/>
                <w:sz w:val="20"/>
                <w:szCs w:val="20"/>
                <w:u w:val="none"/>
              </w:rPr>
              <w:t>p</w:t>
            </w:r>
            <w:r>
              <w:rPr>
                <w:rStyle w:val="Hyperlink"/>
                <w:color w:val="auto"/>
                <w:sz w:val="20"/>
                <w:szCs w:val="20"/>
                <w:u w:val="none"/>
              </w:rPr>
              <w:t>rouveront qu’ils sont</w:t>
            </w:r>
          </w:p>
          <w:p>
            <w:pPr>
              <w:ind w:right="-932"/>
              <w:rPr>
                <w:rStyle w:val="Hyperlink"/>
                <w:color w:val="auto"/>
                <w:sz w:val="20"/>
                <w:szCs w:val="20"/>
                <w:u w:val="none"/>
              </w:rPr>
            </w:pPr>
            <w:r>
              <w:rPr>
                <w:rStyle w:val="Hyperlink"/>
                <w:color w:val="auto"/>
                <w:sz w:val="20"/>
                <w:szCs w:val="20"/>
                <w:u w:val="none"/>
              </w:rPr>
              <w:t xml:space="preserve">capables de parler et </w:t>
            </w:r>
            <w:r>
              <w:rPr>
                <w:rStyle w:val="Hyperlink"/>
                <w:color w:val="auto"/>
                <w:sz w:val="20"/>
                <w:szCs w:val="20"/>
                <w:u w:val="none"/>
              </w:rPr>
              <w:t>d</w:t>
            </w:r>
            <w:r>
              <w:rPr>
                <w:rStyle w:val="Hyperlink"/>
                <w:color w:val="auto"/>
                <w:sz w:val="20"/>
                <w:szCs w:val="20"/>
                <w:u w:val="none"/>
              </w:rPr>
              <w:t>e comprendre la langue</w:t>
            </w:r>
          </w:p>
          <w:p>
            <w:pPr>
              <w:ind w:right="-932"/>
              <w:rPr>
                <w:rStyle w:val="Hyperlink"/>
                <w:color w:val="auto"/>
                <w:sz w:val="20"/>
                <w:szCs w:val="20"/>
                <w:u w:val="none"/>
              </w:rPr>
            </w:pPr>
            <w:r>
              <w:rPr>
                <w:rStyle w:val="Hyperlink"/>
                <w:color w:val="auto"/>
                <w:sz w:val="20"/>
                <w:szCs w:val="20"/>
                <w:u w:val="none"/>
              </w:rPr>
              <w:t>u</w:t>
            </w:r>
            <w:r>
              <w:rPr>
                <w:rStyle w:val="Hyperlink"/>
                <w:color w:val="auto"/>
                <w:sz w:val="20"/>
                <w:szCs w:val="20"/>
                <w:u w:val="none"/>
              </w:rPr>
              <w:t>tilisée dans les communications</w:t>
            </w:r>
            <w:r>
              <w:rPr>
                <w:rStyle w:val="Hyperlink"/>
                <w:color w:val="auto"/>
                <w:sz w:val="20"/>
                <w:szCs w:val="20"/>
                <w:u w:val="none"/>
              </w:rPr>
              <w:t xml:space="preserve"> </w:t>
            </w:r>
            <w:r>
              <w:rPr>
                <w:rStyle w:val="Hyperlink"/>
                <w:color w:val="auto"/>
                <w:sz w:val="20"/>
                <w:szCs w:val="20"/>
                <w:u w:val="none"/>
              </w:rPr>
              <w:t>radiotéléphoniques,</w:t>
            </w:r>
          </w:p>
          <w:p>
            <w:pPr>
              <w:ind w:right="-932"/>
              <w:rPr>
                <w:rStyle w:val="Hyperlink"/>
                <w:color w:val="auto"/>
                <w:sz w:val="20"/>
                <w:szCs w:val="20"/>
                <w:u w:val="none"/>
              </w:rPr>
            </w:pPr>
            <w:r>
              <w:rPr>
                <w:rStyle w:val="Hyperlink"/>
                <w:color w:val="auto"/>
                <w:sz w:val="20"/>
                <w:szCs w:val="20"/>
                <w:u w:val="none"/>
              </w:rPr>
              <w:t>au niveau prescrit dans les</w:t>
            </w:r>
            <w:r>
              <w:rPr>
                <w:rStyle w:val="Hyperlink"/>
                <w:color w:val="auto"/>
                <w:sz w:val="20"/>
                <w:szCs w:val="20"/>
                <w:u w:val="none"/>
              </w:rPr>
              <w:t xml:space="preserve"> </w:t>
            </w:r>
            <w:r>
              <w:rPr>
                <w:rStyle w:val="Hyperlink"/>
                <w:color w:val="auto"/>
                <w:sz w:val="20"/>
                <w:szCs w:val="20"/>
                <w:u w:val="none"/>
              </w:rPr>
              <w:t>spécifications relatives aux compétences linguistiques</w:t>
            </w:r>
          </w:p>
          <w:p>
            <w:pPr>
              <w:ind w:right="-932"/>
              <w:rPr>
                <w:rStyle w:val="Hyperlink"/>
                <w:color w:val="auto"/>
                <w:sz w:val="20"/>
                <w:szCs w:val="20"/>
                <w:u w:val="none"/>
              </w:rPr>
            </w:pPr>
            <w:r>
              <w:rPr>
                <w:rStyle w:val="Hyperlink"/>
                <w:color w:val="auto"/>
                <w:sz w:val="20"/>
                <w:szCs w:val="20"/>
                <w:u w:val="none"/>
              </w:rPr>
              <w:t xml:space="preserve">figurant dans l’Appendice </w:t>
            </w:r>
            <w:r>
              <w:rPr>
                <w:rStyle w:val="Hyperlink"/>
                <w:color w:val="auto"/>
                <w:sz w:val="20"/>
                <w:szCs w:val="20"/>
                <w:u w:val="none"/>
              </w:rPr>
              <w:t>1</w:t>
            </w:r>
            <w:r>
              <w:rPr>
                <w:rStyle w:val="Hyperlink"/>
                <w:color w:val="auto"/>
                <w:sz w:val="20"/>
                <w:szCs w:val="20"/>
                <w:u w:val="none"/>
              </w:rPr>
              <w:t>.</w:t>
            </w:r>
          </w:p>
          <w:p>
            <w:pPr>
              <w:ind w:right="-932"/>
              <w:rPr>
                <w:rStyle w:val="Hyperlink"/>
                <w:rFonts w:cstheme="majorBidi"/>
                <w:color w:val="auto"/>
                <w:sz w:val="20"/>
                <w:szCs w:val="20"/>
                <w:u w:val="none"/>
              </w:rPr>
            </w:pPr>
          </w:p>
          <w:p>
            <w:pPr>
              <w:ind w:right="-932"/>
              <w:rPr>
                <w:rStyle w:val="Hyperlink"/>
                <w:color w:val="auto"/>
                <w:sz w:val="20"/>
                <w:szCs w:val="20"/>
                <w:u w:val="none"/>
              </w:rPr>
            </w:pPr>
            <w:r>
              <w:rPr>
                <w:rStyle w:val="Hyperlink"/>
                <w:color w:val="auto"/>
                <w:sz w:val="20"/>
                <w:szCs w:val="20"/>
                <w:u w:val="none"/>
              </w:rPr>
              <w:t>1</w:t>
            </w:r>
            <w:r>
              <w:rPr>
                <w:rStyle w:val="Hyperlink"/>
                <w:color w:val="auto"/>
                <w:sz w:val="20"/>
                <w:szCs w:val="20"/>
                <w:u w:val="none"/>
              </w:rPr>
              <w:t>.</w:t>
            </w:r>
            <w:r>
              <w:rPr>
                <w:rStyle w:val="Hyperlink"/>
                <w:color w:val="auto"/>
                <w:sz w:val="20"/>
                <w:szCs w:val="20"/>
                <w:u w:val="none"/>
              </w:rPr>
              <w:t>2</w:t>
            </w:r>
            <w:r>
              <w:rPr>
                <w:rStyle w:val="Hyperlink"/>
                <w:color w:val="auto"/>
                <w:sz w:val="20"/>
                <w:szCs w:val="20"/>
                <w:u w:val="none"/>
              </w:rPr>
              <w:t>.</w:t>
            </w:r>
            <w:r>
              <w:rPr>
                <w:rStyle w:val="Hyperlink"/>
                <w:color w:val="auto"/>
                <w:sz w:val="20"/>
                <w:szCs w:val="20"/>
                <w:u w:val="none"/>
              </w:rPr>
              <w:t>9</w:t>
            </w:r>
            <w:r>
              <w:rPr>
                <w:rStyle w:val="Hyperlink"/>
                <w:color w:val="auto"/>
                <w:sz w:val="20"/>
                <w:szCs w:val="20"/>
                <w:u w:val="none"/>
              </w:rPr>
              <w:t>.</w:t>
            </w:r>
            <w:r>
              <w:rPr>
                <w:rStyle w:val="Hyperlink"/>
                <w:color w:val="auto"/>
                <w:sz w:val="20"/>
                <w:szCs w:val="20"/>
                <w:u w:val="none"/>
              </w:rPr>
              <w:t>1</w:t>
            </w:r>
            <w:r>
              <w:rPr>
                <w:rStyle w:val="Hyperlink"/>
                <w:color w:val="auto"/>
                <w:sz w:val="20"/>
                <w:szCs w:val="20"/>
                <w:u w:val="none"/>
              </w:rPr>
              <w:t xml:space="preserve"> À compter du </w:t>
            </w:r>
            <w:r>
              <w:rPr>
                <w:rStyle w:val="Hyperlink"/>
                <w:color w:val="auto"/>
                <w:sz w:val="20"/>
                <w:szCs w:val="20"/>
                <w:u w:val="none"/>
              </w:rPr>
              <w:t>3</w:t>
            </w:r>
            <w:r>
              <w:rPr>
                <w:rStyle w:val="Hyperlink"/>
                <w:color w:val="auto"/>
                <w:sz w:val="20"/>
                <w:szCs w:val="20"/>
                <w:u w:val="none"/>
              </w:rPr>
              <w:t> </w:t>
            </w:r>
            <w:r>
              <w:rPr>
                <w:rStyle w:val="Hyperlink"/>
                <w:color w:val="auto"/>
                <w:sz w:val="20"/>
                <w:szCs w:val="20"/>
                <w:u w:val="none"/>
              </w:rPr>
              <w:t xml:space="preserve">novembre </w:t>
            </w:r>
            <w:r>
              <w:rPr>
                <w:rStyle w:val="Hyperlink"/>
                <w:color w:val="auto"/>
                <w:sz w:val="20"/>
                <w:szCs w:val="20"/>
                <w:u w:val="none"/>
              </w:rPr>
              <w:t>2022</w:t>
            </w:r>
            <w:r>
              <w:rPr>
                <w:rStyle w:val="Hyperlink"/>
                <w:color w:val="auto"/>
                <w:sz w:val="20"/>
                <w:szCs w:val="20"/>
                <w:u w:val="none"/>
              </w:rPr>
              <w:t>, les pilotes</w:t>
            </w:r>
          </w:p>
          <w:p>
            <w:pPr>
              <w:ind w:right="-932"/>
              <w:rPr>
                <w:rStyle w:val="Hyperlink"/>
                <w:rFonts w:cstheme="majorBidi"/>
                <w:color w:val="auto"/>
                <w:sz w:val="20"/>
                <w:szCs w:val="20"/>
                <w:u w:val="none"/>
              </w:rPr>
            </w:pPr>
            <w:r>
              <w:rPr>
                <w:rStyle w:val="Hyperlink"/>
                <w:color w:val="auto"/>
                <w:sz w:val="20"/>
                <w:szCs w:val="20"/>
                <w:u w:val="none"/>
              </w:rPr>
              <w:t>d’aéronefs à sustentation motorisée,</w:t>
            </w:r>
          </w:p>
          <w:p>
            <w:pPr>
              <w:ind w:right="-932"/>
              <w:rPr>
                <w:rStyle w:val="Hyperlink"/>
                <w:color w:val="auto"/>
                <w:sz w:val="20"/>
                <w:szCs w:val="20"/>
                <w:u w:val="none"/>
              </w:rPr>
            </w:pPr>
            <w:r>
              <w:rPr>
                <w:rStyle w:val="Hyperlink"/>
                <w:color w:val="auto"/>
                <w:sz w:val="20"/>
                <w:szCs w:val="20"/>
                <w:u w:val="none"/>
              </w:rPr>
              <w:t>d’avions, de dirigeables et d’hélicoptères; les</w:t>
            </w:r>
          </w:p>
          <w:p>
            <w:pPr>
              <w:ind w:right="-932"/>
              <w:rPr>
                <w:rStyle w:val="Hyperlink"/>
                <w:rFonts w:cstheme="majorBidi"/>
                <w:color w:val="auto"/>
                <w:sz w:val="20"/>
                <w:szCs w:val="20"/>
                <w:u w:val="none"/>
              </w:rPr>
            </w:pPr>
            <w:r>
              <w:rPr>
                <w:rStyle w:val="Hyperlink"/>
                <w:color w:val="auto"/>
                <w:sz w:val="20"/>
                <w:szCs w:val="20"/>
                <w:u w:val="none"/>
              </w:rPr>
              <w:t>télépilotes d’aéronefs à sustentation motorisée,</w:t>
            </w:r>
          </w:p>
          <w:p>
            <w:pPr>
              <w:ind w:right="-932"/>
              <w:rPr>
                <w:rStyle w:val="Hyperlink"/>
                <w:color w:val="auto"/>
                <w:sz w:val="20"/>
                <w:szCs w:val="20"/>
                <w:u w:val="none"/>
              </w:rPr>
            </w:pPr>
            <w:r>
              <w:rPr>
                <w:rStyle w:val="Hyperlink"/>
                <w:color w:val="auto"/>
                <w:sz w:val="20"/>
                <w:szCs w:val="20"/>
                <w:u w:val="none"/>
              </w:rPr>
              <w:t>d’avions, de dirigeables, de giravions, de planeurs</w:t>
            </w:r>
          </w:p>
          <w:p>
            <w:pPr>
              <w:ind w:right="-932"/>
              <w:rPr>
                <w:rStyle w:val="Hyperlink"/>
                <w:color w:val="auto"/>
                <w:sz w:val="20"/>
                <w:szCs w:val="20"/>
                <w:u w:val="none"/>
              </w:rPr>
            </w:pPr>
            <w:r>
              <w:rPr>
                <w:rStyle w:val="Hyperlink"/>
                <w:color w:val="auto"/>
                <w:sz w:val="20"/>
                <w:szCs w:val="20"/>
                <w:u w:val="none"/>
              </w:rPr>
              <w:t>ou de ballons libres; les contrôleurs de la</w:t>
            </w:r>
          </w:p>
          <w:p>
            <w:pPr>
              <w:ind w:right="-932"/>
              <w:rPr>
                <w:rStyle w:val="Hyperlink"/>
                <w:color w:val="auto"/>
                <w:sz w:val="20"/>
                <w:szCs w:val="20"/>
                <w:u w:val="none"/>
              </w:rPr>
            </w:pPr>
            <w:r>
              <w:rPr>
                <w:rStyle w:val="Hyperlink"/>
                <w:color w:val="auto"/>
                <w:sz w:val="20"/>
                <w:szCs w:val="20"/>
                <w:u w:val="none"/>
              </w:rPr>
              <w:t>circulation aérienne; les opérateurs radio de</w:t>
            </w:r>
          </w:p>
          <w:p>
            <w:pPr>
              <w:ind w:right="-932"/>
              <w:rPr>
                <w:rStyle w:val="Hyperlink"/>
                <w:color w:val="auto"/>
                <w:sz w:val="20"/>
                <w:szCs w:val="20"/>
                <w:u w:val="none"/>
              </w:rPr>
            </w:pPr>
            <w:r>
              <w:rPr>
                <w:rStyle w:val="Hyperlink"/>
                <w:color w:val="auto"/>
                <w:sz w:val="20"/>
                <w:szCs w:val="20"/>
                <w:u w:val="none"/>
              </w:rPr>
              <w:t>station aéronautique prouveront</w:t>
            </w:r>
            <w:r>
              <w:rPr>
                <w:rStyle w:val="Hyperlink"/>
                <w:color w:val="auto"/>
                <w:sz w:val="20"/>
                <w:szCs w:val="20"/>
                <w:u w:val="none"/>
              </w:rPr>
              <w:t xml:space="preserve"> </w:t>
            </w:r>
            <w:r>
              <w:rPr>
                <w:rStyle w:val="Hyperlink"/>
                <w:color w:val="auto"/>
                <w:sz w:val="20"/>
                <w:szCs w:val="20"/>
                <w:u w:val="none"/>
              </w:rPr>
              <w:t>qu’ils sont</w:t>
            </w:r>
          </w:p>
          <w:p>
            <w:pPr>
              <w:ind w:right="-932"/>
              <w:rPr>
                <w:rStyle w:val="Hyperlink"/>
                <w:rFonts w:cstheme="majorBidi"/>
                <w:color w:val="auto"/>
                <w:sz w:val="20"/>
                <w:szCs w:val="20"/>
                <w:u w:val="none"/>
              </w:rPr>
            </w:pPr>
            <w:r>
              <w:rPr>
                <w:rStyle w:val="Hyperlink"/>
                <w:color w:val="auto"/>
                <w:sz w:val="20"/>
                <w:szCs w:val="20"/>
                <w:u w:val="none"/>
              </w:rPr>
              <w:t>capables</w:t>
            </w:r>
            <w:r>
              <w:rPr>
                <w:rStyle w:val="Hyperlink"/>
                <w:color w:val="auto"/>
                <w:sz w:val="20"/>
                <w:szCs w:val="20"/>
                <w:u w:val="none"/>
              </w:rPr>
              <w:t xml:space="preserve"> de parler et de comprendre la langue</w:t>
            </w:r>
          </w:p>
          <w:p>
            <w:pPr>
              <w:ind w:right="-932"/>
              <w:rPr>
                <w:rStyle w:val="Hyperlink"/>
                <w:color w:val="auto"/>
                <w:sz w:val="20"/>
                <w:szCs w:val="20"/>
                <w:u w:val="none"/>
              </w:rPr>
            </w:pPr>
            <w:r>
              <w:rPr>
                <w:rStyle w:val="Hyperlink"/>
                <w:color w:val="auto"/>
                <w:sz w:val="20"/>
                <w:szCs w:val="20"/>
                <w:u w:val="none"/>
              </w:rPr>
              <w:t>utilisée dans les communications</w:t>
            </w:r>
          </w:p>
          <w:p>
            <w:pPr>
              <w:ind w:right="-932"/>
              <w:rPr>
                <w:rStyle w:val="Hyperlink"/>
                <w:color w:val="auto"/>
                <w:sz w:val="20"/>
                <w:szCs w:val="20"/>
                <w:u w:val="none"/>
              </w:rPr>
            </w:pPr>
            <w:r>
              <w:rPr>
                <w:rStyle w:val="Hyperlink"/>
                <w:color w:val="auto"/>
                <w:sz w:val="20"/>
                <w:szCs w:val="20"/>
                <w:u w:val="none"/>
              </w:rPr>
              <w:t>radiotéléphoniques, au niveau prescrit dans les</w:t>
            </w:r>
          </w:p>
          <w:p>
            <w:pPr>
              <w:ind w:right="-932"/>
              <w:rPr>
                <w:rStyle w:val="Hyperlink"/>
                <w:color w:val="auto"/>
                <w:sz w:val="20"/>
                <w:szCs w:val="20"/>
                <w:u w:val="none"/>
              </w:rPr>
            </w:pPr>
            <w:r>
              <w:rPr>
                <w:rStyle w:val="Hyperlink"/>
                <w:color w:val="auto"/>
                <w:sz w:val="20"/>
                <w:szCs w:val="20"/>
                <w:u w:val="none"/>
              </w:rPr>
              <w:t>spécifications relatives aux compétences</w:t>
            </w:r>
          </w:p>
          <w:p>
            <w:pPr>
              <w:ind w:right="-932"/>
              <w:rPr>
                <w:rStyle w:val="Hyperlink"/>
                <w:rFonts w:cstheme="majorBidi"/>
                <w:color w:val="auto"/>
                <w:sz w:val="20"/>
                <w:szCs w:val="20"/>
                <w:u w:val="none"/>
              </w:rPr>
            </w:pPr>
            <w:r>
              <w:rPr>
                <w:rStyle w:val="Hyperlink"/>
                <w:color w:val="auto"/>
                <w:sz w:val="20"/>
                <w:szCs w:val="20"/>
                <w:u w:val="none"/>
              </w:rPr>
              <w:t xml:space="preserve">linguistiques figurant dans l’Appendice </w:t>
            </w:r>
            <w:r>
              <w:rPr>
                <w:rStyle w:val="Hyperlink"/>
                <w:color w:val="auto"/>
                <w:sz w:val="20"/>
                <w:szCs w:val="20"/>
                <w:u w:val="none"/>
              </w:rPr>
              <w:t>1</w:t>
            </w:r>
            <w:r>
              <w:rPr>
                <w:rStyle w:val="Hyperlink"/>
                <w:color w:val="auto"/>
                <w:sz w:val="20"/>
                <w:szCs w:val="20"/>
                <w:u w:val="none"/>
              </w:rPr>
              <w:t>.</w:t>
            </w:r>
          </w:p>
          <w:p>
            <w:pPr>
              <w:ind w:right="-932"/>
              <w:rPr>
                <w:rStyle w:val="Hyperlink"/>
                <w:i/>
                <w:color w:val="auto"/>
                <w:sz w:val="20"/>
                <w:szCs w:val="20"/>
                <w:u w:val="none"/>
              </w:rPr>
            </w:pPr>
            <w:r>
              <w:rPr>
                <w:rStyle w:val="Hyperlink"/>
                <w:i/>
                <w:color w:val="auto"/>
                <w:sz w:val="20"/>
                <w:szCs w:val="20"/>
                <w:u w:val="none"/>
              </w:rPr>
              <w:t>1</w:t>
            </w:r>
            <w:r>
              <w:rPr>
                <w:rStyle w:val="Hyperlink"/>
                <w:i/>
                <w:color w:val="auto"/>
                <w:sz w:val="20"/>
                <w:szCs w:val="20"/>
                <w:u w:val="none"/>
              </w:rPr>
              <w:t>.</w:t>
            </w:r>
            <w:r>
              <w:rPr>
                <w:rStyle w:val="Hyperlink"/>
                <w:i/>
                <w:color w:val="auto"/>
                <w:sz w:val="20"/>
                <w:szCs w:val="20"/>
                <w:u w:val="none"/>
              </w:rPr>
              <w:t>2</w:t>
            </w:r>
            <w:r>
              <w:rPr>
                <w:rStyle w:val="Hyperlink"/>
                <w:i/>
                <w:color w:val="auto"/>
                <w:sz w:val="20"/>
                <w:szCs w:val="20"/>
                <w:u w:val="none"/>
              </w:rPr>
              <w:t>.</w:t>
            </w:r>
            <w:r>
              <w:rPr>
                <w:rStyle w:val="Hyperlink"/>
                <w:i/>
                <w:color w:val="auto"/>
                <w:sz w:val="20"/>
                <w:szCs w:val="20"/>
                <w:u w:val="none"/>
              </w:rPr>
              <w:t>9</w:t>
            </w:r>
            <w:r>
              <w:rPr>
                <w:rStyle w:val="Hyperlink"/>
                <w:i/>
                <w:color w:val="auto"/>
                <w:sz w:val="20"/>
                <w:szCs w:val="20"/>
                <w:u w:val="none"/>
              </w:rPr>
              <w:t>.</w:t>
            </w:r>
            <w:r>
              <w:rPr>
                <w:rStyle w:val="Hyperlink"/>
                <w:i/>
                <w:color w:val="auto"/>
                <w:sz w:val="20"/>
                <w:szCs w:val="20"/>
                <w:u w:val="none"/>
              </w:rPr>
              <w:t>2</w:t>
            </w:r>
            <w:r>
              <w:rPr>
                <w:rStyle w:val="Hyperlink"/>
                <w:i/>
                <w:color w:val="auto"/>
                <w:sz w:val="20"/>
                <w:szCs w:val="20"/>
                <w:u w:val="none"/>
              </w:rPr>
              <w:t xml:space="preserve"> Recommandation.— Il est recommand</w:t>
            </w:r>
            <w:r>
              <w:rPr>
                <w:rStyle w:val="Hyperlink"/>
                <w:i/>
                <w:color w:val="auto"/>
                <w:sz w:val="20"/>
                <w:szCs w:val="20"/>
                <w:u w:val="none"/>
              </w:rPr>
              <w:t>é</w:t>
            </w:r>
          </w:p>
          <w:p>
            <w:pPr>
              <w:ind w:right="-932"/>
              <w:rPr>
                <w:rStyle w:val="Hyperlink"/>
                <w:i/>
                <w:color w:val="auto"/>
                <w:sz w:val="20"/>
                <w:szCs w:val="20"/>
                <w:u w:val="none"/>
              </w:rPr>
            </w:pPr>
            <w:r>
              <w:rPr>
                <w:rStyle w:val="Hyperlink"/>
                <w:i/>
                <w:color w:val="auto"/>
                <w:sz w:val="20"/>
                <w:szCs w:val="20"/>
                <w:u w:val="none"/>
              </w:rPr>
              <w:t>que les mécaniciens navigants,les pilotes de</w:t>
            </w:r>
          </w:p>
          <w:p>
            <w:pPr>
              <w:ind w:right="-932"/>
              <w:rPr>
                <w:rStyle w:val="Hyperlink"/>
                <w:i/>
                <w:color w:val="auto"/>
                <w:sz w:val="20"/>
                <w:szCs w:val="20"/>
                <w:u w:val="none"/>
              </w:rPr>
            </w:pPr>
            <w:r>
              <w:rPr>
                <w:rStyle w:val="Hyperlink"/>
                <w:i/>
                <w:color w:val="auto"/>
                <w:sz w:val="20"/>
                <w:szCs w:val="20"/>
                <w:u w:val="none"/>
              </w:rPr>
              <w:t>planeur et les pilotes de ballons libres soient</w:t>
            </w:r>
          </w:p>
          <w:p>
            <w:pPr>
              <w:ind w:right="-932"/>
              <w:rPr>
                <w:rStyle w:val="Hyperlink"/>
                <w:i/>
                <w:color w:val="auto"/>
                <w:sz w:val="20"/>
                <w:szCs w:val="20"/>
                <w:u w:val="none"/>
              </w:rPr>
            </w:pPr>
            <w:r>
              <w:rPr>
                <w:rStyle w:val="Hyperlink"/>
                <w:i/>
                <w:color w:val="auto"/>
                <w:sz w:val="20"/>
                <w:szCs w:val="20"/>
                <w:u w:val="none"/>
              </w:rPr>
              <w:t>capables de parler et de comprendre la langue</w:t>
            </w:r>
          </w:p>
          <w:p>
            <w:pPr>
              <w:spacing w:after="120"/>
              <w:ind w:right="-930"/>
              <w:rPr>
                <w:rStyle w:val="Hyperlink"/>
                <w:rFonts w:cstheme="majorBidi"/>
                <w:i/>
                <w:color w:val="auto"/>
                <w:sz w:val="20"/>
                <w:szCs w:val="20"/>
                <w:u w:val="none"/>
              </w:rPr>
            </w:pPr>
            <w:r>
              <w:rPr>
                <w:rStyle w:val="Hyperlink"/>
                <w:i/>
                <w:color w:val="auto"/>
                <w:sz w:val="20"/>
                <w:szCs w:val="20"/>
                <w:u w:val="none"/>
              </w:rPr>
              <w:t>utilisée dans les communications</w:t>
            </w:r>
            <w:r>
              <w:rPr>
                <w:rStyle w:val="Hyperlink"/>
                <w:i/>
                <w:color w:val="auto"/>
                <w:sz w:val="20"/>
                <w:szCs w:val="20"/>
                <w:u w:val="none"/>
              </w:rPr>
              <w:t xml:space="preserve"> </w:t>
            </w:r>
            <w:r>
              <w:rPr>
                <w:rStyle w:val="Hyperlink"/>
                <w:i/>
                <w:color w:val="auto"/>
                <w:sz w:val="20"/>
                <w:szCs w:val="20"/>
                <w:u w:val="none"/>
              </w:rPr>
              <w:t>radiotéléphoniques.</w:t>
            </w:r>
          </w:p>
          <w:p>
            <w:pPr>
              <w:ind w:right="-932"/>
              <w:rPr>
                <w:rStyle w:val="Hyperlink"/>
                <w:rFonts w:cstheme="majorBidi"/>
                <w:color w:val="auto"/>
                <w:sz w:val="20"/>
                <w:szCs w:val="20"/>
                <w:u w:val="none"/>
              </w:rPr>
            </w:pPr>
            <w:r>
              <w:rPr>
                <w:rStyle w:val="Hyperlink"/>
                <w:color w:val="auto"/>
                <w:sz w:val="20"/>
                <w:szCs w:val="20"/>
                <w:u w:val="none"/>
              </w:rPr>
              <w:t>1</w:t>
            </w:r>
            <w:r>
              <w:rPr>
                <w:rStyle w:val="Hyperlink"/>
                <w:color w:val="auto"/>
                <w:sz w:val="20"/>
                <w:szCs w:val="20"/>
                <w:u w:val="none"/>
              </w:rPr>
              <w:t>.</w:t>
            </w:r>
            <w:r>
              <w:rPr>
                <w:rStyle w:val="Hyperlink"/>
                <w:color w:val="auto"/>
                <w:sz w:val="20"/>
                <w:szCs w:val="20"/>
                <w:u w:val="none"/>
              </w:rPr>
              <w:t>2</w:t>
            </w:r>
            <w:r>
              <w:rPr>
                <w:rStyle w:val="Hyperlink"/>
                <w:color w:val="auto"/>
                <w:sz w:val="20"/>
                <w:szCs w:val="20"/>
                <w:u w:val="none"/>
              </w:rPr>
              <w:t>.</w:t>
            </w:r>
            <w:r>
              <w:rPr>
                <w:rStyle w:val="Hyperlink"/>
                <w:color w:val="auto"/>
                <w:sz w:val="20"/>
                <w:szCs w:val="20"/>
                <w:u w:val="none"/>
              </w:rPr>
              <w:t>9</w:t>
            </w:r>
            <w:r>
              <w:rPr>
                <w:rStyle w:val="Hyperlink"/>
                <w:color w:val="auto"/>
                <w:sz w:val="20"/>
                <w:szCs w:val="20"/>
                <w:u w:val="none"/>
              </w:rPr>
              <w:t>.</w:t>
            </w:r>
            <w:r>
              <w:rPr>
                <w:rStyle w:val="Hyperlink"/>
                <w:color w:val="auto"/>
                <w:sz w:val="20"/>
                <w:szCs w:val="20"/>
                <w:u w:val="none"/>
              </w:rPr>
              <w:t>3</w:t>
            </w:r>
            <w:r>
              <w:rPr>
                <w:rStyle w:val="Hyperlink"/>
                <w:color w:val="auto"/>
                <w:sz w:val="20"/>
                <w:szCs w:val="20"/>
                <w:u w:val="none"/>
              </w:rPr>
              <w:t xml:space="preserve"> Les navigateurs qui doivent utiliser le</w:t>
            </w:r>
          </w:p>
          <w:p>
            <w:pPr>
              <w:ind w:right="-932"/>
              <w:rPr>
                <w:rStyle w:val="Hyperlink"/>
                <w:rFonts w:cstheme="majorBidi"/>
                <w:color w:val="auto"/>
                <w:sz w:val="20"/>
                <w:szCs w:val="20"/>
                <w:u w:val="none"/>
              </w:rPr>
            </w:pPr>
            <w:r>
              <w:rPr>
                <w:rStyle w:val="Hyperlink"/>
                <w:color w:val="auto"/>
                <w:sz w:val="20"/>
                <w:szCs w:val="20"/>
                <w:u w:val="none"/>
              </w:rPr>
              <w:t>radiotéléphone de bord prouveront</w:t>
            </w:r>
          </w:p>
          <w:p>
            <w:pPr>
              <w:ind w:right="-932"/>
              <w:rPr>
                <w:rStyle w:val="Hyperlink"/>
                <w:rFonts w:cstheme="majorBidi"/>
                <w:color w:val="auto"/>
                <w:sz w:val="20"/>
                <w:szCs w:val="20"/>
                <w:u w:val="none"/>
              </w:rPr>
            </w:pPr>
            <w:r>
              <w:rPr>
                <w:rStyle w:val="Hyperlink"/>
                <w:color w:val="auto"/>
                <w:sz w:val="20"/>
                <w:szCs w:val="20"/>
                <w:u w:val="none"/>
              </w:rPr>
              <w:t>qu’ils sont capables de parler et de comprendre</w:t>
            </w:r>
          </w:p>
          <w:p>
            <w:pPr>
              <w:ind w:right="-932"/>
              <w:rPr>
                <w:rStyle w:val="Hyperlink"/>
                <w:rFonts w:cstheme="majorBidi"/>
                <w:color w:val="auto"/>
                <w:sz w:val="20"/>
                <w:szCs w:val="20"/>
                <w:u w:val="none"/>
              </w:rPr>
            </w:pPr>
            <w:r>
              <w:rPr>
                <w:rStyle w:val="Hyperlink"/>
                <w:color w:val="auto"/>
                <w:sz w:val="20"/>
                <w:szCs w:val="20"/>
                <w:u w:val="none"/>
              </w:rPr>
              <w:t xml:space="preserve">la langue utilisée dans les communications </w:t>
            </w:r>
          </w:p>
          <w:p>
            <w:pPr>
              <w:spacing w:after="120"/>
              <w:ind w:right="-930"/>
              <w:rPr>
                <w:rStyle w:val="Hyperlink"/>
                <w:rFonts w:cstheme="majorBidi"/>
                <w:color w:val="auto"/>
                <w:sz w:val="20"/>
                <w:szCs w:val="20"/>
                <w:u w:val="none"/>
              </w:rPr>
            </w:pPr>
            <w:r>
              <w:rPr>
                <w:rStyle w:val="Hyperlink"/>
                <w:color w:val="auto"/>
                <w:sz w:val="20"/>
                <w:szCs w:val="20"/>
                <w:u w:val="none"/>
              </w:rPr>
              <w:t>radiotéléphoniques.</w:t>
            </w:r>
          </w:p>
          <w:p>
            <w:pPr>
              <w:ind w:right="-932"/>
              <w:rPr>
                <w:rStyle w:val="Hyperlink"/>
                <w:i/>
                <w:color w:val="auto"/>
                <w:sz w:val="20"/>
                <w:szCs w:val="20"/>
                <w:u w:val="none"/>
              </w:rPr>
            </w:pPr>
            <w:r>
              <w:rPr>
                <w:rStyle w:val="Hyperlink"/>
                <w:i/>
                <w:color w:val="auto"/>
                <w:sz w:val="20"/>
                <w:szCs w:val="20"/>
                <w:u w:val="none"/>
              </w:rPr>
              <w:t>1</w:t>
            </w:r>
            <w:r>
              <w:rPr>
                <w:rStyle w:val="Hyperlink"/>
                <w:i/>
                <w:color w:val="auto"/>
                <w:sz w:val="20"/>
                <w:szCs w:val="20"/>
                <w:u w:val="none"/>
              </w:rPr>
              <w:t>.</w:t>
            </w:r>
            <w:r>
              <w:rPr>
                <w:rStyle w:val="Hyperlink"/>
                <w:i/>
                <w:color w:val="auto"/>
                <w:sz w:val="20"/>
                <w:szCs w:val="20"/>
                <w:u w:val="none"/>
              </w:rPr>
              <w:t>2</w:t>
            </w:r>
            <w:r>
              <w:rPr>
                <w:rStyle w:val="Hyperlink"/>
                <w:i/>
                <w:color w:val="auto"/>
                <w:sz w:val="20"/>
                <w:szCs w:val="20"/>
                <w:u w:val="none"/>
              </w:rPr>
              <w:t>.</w:t>
            </w:r>
            <w:r>
              <w:rPr>
                <w:rStyle w:val="Hyperlink"/>
                <w:i/>
                <w:color w:val="auto"/>
                <w:sz w:val="20"/>
                <w:szCs w:val="20"/>
                <w:u w:val="none"/>
              </w:rPr>
              <w:t>9</w:t>
            </w:r>
            <w:r>
              <w:rPr>
                <w:rStyle w:val="Hyperlink"/>
                <w:i/>
                <w:color w:val="auto"/>
                <w:sz w:val="20"/>
                <w:szCs w:val="20"/>
                <w:u w:val="none"/>
              </w:rPr>
              <w:t>.</w:t>
            </w:r>
            <w:r>
              <w:rPr>
                <w:rStyle w:val="Hyperlink"/>
                <w:i/>
                <w:color w:val="auto"/>
                <w:sz w:val="20"/>
                <w:szCs w:val="20"/>
                <w:u w:val="none"/>
              </w:rPr>
              <w:t>4</w:t>
            </w:r>
            <w:r>
              <w:rPr>
                <w:rStyle w:val="Hyperlink"/>
                <w:i/>
                <w:color w:val="auto"/>
                <w:sz w:val="20"/>
                <w:szCs w:val="20"/>
                <w:u w:val="none"/>
              </w:rPr>
              <w:t xml:space="preserve"> Recommandation.— Il est recommandé que</w:t>
            </w:r>
          </w:p>
          <w:p>
            <w:pPr>
              <w:ind w:right="-932"/>
              <w:rPr>
                <w:rStyle w:val="Hyperlink"/>
                <w:i/>
                <w:color w:val="auto"/>
                <w:sz w:val="20"/>
                <w:szCs w:val="20"/>
                <w:u w:val="none"/>
              </w:rPr>
            </w:pPr>
            <w:r>
              <w:rPr>
                <w:rStyle w:val="Hyperlink"/>
                <w:i/>
                <w:color w:val="auto"/>
                <w:sz w:val="20"/>
                <w:szCs w:val="20"/>
                <w:u w:val="none"/>
              </w:rPr>
              <w:t>les navigateurs qui doivent utiliser le radiotéléphone</w:t>
            </w:r>
          </w:p>
          <w:p>
            <w:pPr>
              <w:ind w:right="-932"/>
              <w:rPr>
                <w:rStyle w:val="Hyperlink"/>
                <w:i/>
                <w:color w:val="auto"/>
                <w:sz w:val="20"/>
                <w:szCs w:val="20"/>
                <w:u w:val="none"/>
              </w:rPr>
            </w:pPr>
            <w:r>
              <w:rPr>
                <w:rStyle w:val="Hyperlink"/>
                <w:i/>
                <w:color w:val="auto"/>
                <w:sz w:val="20"/>
                <w:szCs w:val="20"/>
                <w:u w:val="none"/>
              </w:rPr>
              <w:t>de bord prouvent</w:t>
            </w:r>
            <w:r>
              <w:rPr>
                <w:rStyle w:val="Hyperlink"/>
                <w:i/>
                <w:color w:val="auto"/>
                <w:sz w:val="20"/>
                <w:szCs w:val="20"/>
                <w:u w:val="none"/>
              </w:rPr>
              <w:t xml:space="preserve"> </w:t>
            </w:r>
            <w:r>
              <w:rPr>
                <w:rStyle w:val="Hyperlink"/>
                <w:i/>
                <w:color w:val="auto"/>
                <w:sz w:val="20"/>
                <w:szCs w:val="20"/>
                <w:u w:val="none"/>
              </w:rPr>
              <w:t>qu’ils sont capables de parler et de</w:t>
            </w:r>
          </w:p>
          <w:p>
            <w:pPr>
              <w:ind w:right="-932"/>
              <w:rPr>
                <w:rStyle w:val="Hyperlink"/>
                <w:i/>
                <w:color w:val="auto"/>
                <w:sz w:val="20"/>
                <w:szCs w:val="20"/>
                <w:u w:val="none"/>
              </w:rPr>
            </w:pPr>
            <w:r>
              <w:rPr>
                <w:rStyle w:val="Hyperlink"/>
                <w:i/>
                <w:color w:val="auto"/>
                <w:sz w:val="20"/>
                <w:szCs w:val="20"/>
                <w:u w:val="none"/>
              </w:rPr>
              <w:t>comprendre la langue</w:t>
            </w:r>
            <w:r>
              <w:rPr>
                <w:rStyle w:val="Hyperlink"/>
                <w:i/>
                <w:color w:val="auto"/>
                <w:sz w:val="20"/>
                <w:szCs w:val="20"/>
                <w:u w:val="none"/>
              </w:rPr>
              <w:t xml:space="preserve"> </w:t>
            </w:r>
            <w:r>
              <w:rPr>
                <w:rStyle w:val="Hyperlink"/>
                <w:i/>
                <w:color w:val="auto"/>
                <w:sz w:val="20"/>
                <w:szCs w:val="20"/>
                <w:u w:val="none"/>
              </w:rPr>
              <w:t>utilisée dans les communications radiotéléphoniques, au niveau prescrit dans les</w:t>
            </w:r>
          </w:p>
          <w:p>
            <w:pPr>
              <w:ind w:right="-932"/>
              <w:rPr>
                <w:rStyle w:val="Hyperlink"/>
                <w:i/>
                <w:color w:val="auto"/>
                <w:sz w:val="20"/>
                <w:szCs w:val="20"/>
                <w:u w:val="none"/>
              </w:rPr>
            </w:pPr>
            <w:r>
              <w:rPr>
                <w:rStyle w:val="Hyperlink"/>
                <w:i/>
                <w:color w:val="auto"/>
                <w:sz w:val="20"/>
                <w:szCs w:val="20"/>
                <w:u w:val="none"/>
              </w:rPr>
              <w:t>spécifications relatives</w:t>
            </w:r>
            <w:r>
              <w:rPr>
                <w:rStyle w:val="Hyperlink"/>
                <w:i/>
                <w:color w:val="auto"/>
                <w:sz w:val="20"/>
                <w:szCs w:val="20"/>
                <w:u w:val="none"/>
              </w:rPr>
              <w:t xml:space="preserve"> </w:t>
            </w:r>
            <w:r>
              <w:rPr>
                <w:rStyle w:val="Hyperlink"/>
                <w:i/>
                <w:color w:val="auto"/>
                <w:sz w:val="20"/>
                <w:szCs w:val="20"/>
                <w:u w:val="none"/>
              </w:rPr>
              <w:t>aux compétences linguistiques</w:t>
            </w:r>
          </w:p>
          <w:p>
            <w:pPr>
              <w:ind w:right="-932"/>
              <w:rPr>
                <w:rStyle w:val="Hyperlink"/>
                <w:i/>
                <w:color w:val="auto"/>
                <w:sz w:val="20"/>
                <w:szCs w:val="20"/>
                <w:u w:val="none"/>
              </w:rPr>
            </w:pPr>
            <w:r>
              <w:rPr>
                <w:rStyle w:val="Hyperlink"/>
                <w:i/>
                <w:color w:val="auto"/>
                <w:sz w:val="20"/>
                <w:szCs w:val="20"/>
                <w:u w:val="none"/>
              </w:rPr>
              <w:t xml:space="preserve">figurant dans l’Appendice </w:t>
            </w:r>
            <w:r>
              <w:rPr>
                <w:rStyle w:val="Hyperlink"/>
                <w:i/>
                <w:color w:val="auto"/>
                <w:sz w:val="20"/>
                <w:szCs w:val="20"/>
                <w:u w:val="none"/>
              </w:rPr>
              <w:t>1</w:t>
            </w:r>
            <w:r>
              <w:rPr>
                <w:rStyle w:val="Hyperlink"/>
                <w:i/>
                <w:color w:val="auto"/>
                <w:sz w:val="20"/>
                <w:szCs w:val="20"/>
                <w:u w:val="none"/>
              </w:rPr>
              <w:t>.</w:t>
            </w:r>
          </w:p>
          <w:p>
            <w:pPr>
              <w:ind w:right="-932"/>
              <w:rPr>
                <w:rStyle w:val="Hyperlink"/>
                <w:rFonts w:cstheme="majorBidi"/>
                <w:i/>
                <w:color w:val="auto"/>
                <w:sz w:val="20"/>
                <w:szCs w:val="20"/>
                <w:u w:val="none"/>
              </w:rPr>
            </w:pPr>
          </w:p>
          <w:p>
            <w:pPr>
              <w:ind w:right="-932"/>
              <w:rPr>
                <w:rStyle w:val="Hyperlink"/>
                <w:rFonts w:cstheme="majorBidi"/>
                <w:color w:val="auto"/>
                <w:sz w:val="20"/>
                <w:szCs w:val="20"/>
                <w:u w:val="none"/>
              </w:rPr>
            </w:pPr>
            <w:r>
              <w:rPr>
                <w:rStyle w:val="Hyperlink"/>
                <w:color w:val="auto"/>
                <w:sz w:val="20"/>
                <w:szCs w:val="20"/>
                <w:u w:val="none"/>
              </w:rPr>
              <w:t>1</w:t>
            </w:r>
            <w:r>
              <w:rPr>
                <w:rStyle w:val="Hyperlink"/>
                <w:color w:val="auto"/>
                <w:sz w:val="20"/>
                <w:szCs w:val="20"/>
                <w:u w:val="none"/>
              </w:rPr>
              <w:t>.</w:t>
            </w:r>
            <w:r>
              <w:rPr>
                <w:rStyle w:val="Hyperlink"/>
                <w:color w:val="auto"/>
                <w:sz w:val="20"/>
                <w:szCs w:val="20"/>
                <w:u w:val="none"/>
              </w:rPr>
              <w:t>2</w:t>
            </w:r>
            <w:r>
              <w:rPr>
                <w:rStyle w:val="Hyperlink"/>
                <w:color w:val="auto"/>
                <w:sz w:val="20"/>
                <w:szCs w:val="20"/>
                <w:u w:val="none"/>
              </w:rPr>
              <w:t>.</w:t>
            </w:r>
            <w:r>
              <w:rPr>
                <w:rStyle w:val="Hyperlink"/>
                <w:color w:val="auto"/>
                <w:sz w:val="20"/>
                <w:szCs w:val="20"/>
                <w:u w:val="none"/>
              </w:rPr>
              <w:t>9</w:t>
            </w:r>
            <w:r>
              <w:rPr>
                <w:rStyle w:val="Hyperlink"/>
                <w:color w:val="auto"/>
                <w:sz w:val="20"/>
                <w:szCs w:val="20"/>
                <w:u w:val="none"/>
              </w:rPr>
              <w:t>.</w:t>
            </w:r>
            <w:r>
              <w:rPr>
                <w:rStyle w:val="Hyperlink"/>
                <w:color w:val="auto"/>
                <w:sz w:val="20"/>
                <w:szCs w:val="20"/>
                <w:u w:val="none"/>
              </w:rPr>
              <w:t>5</w:t>
            </w:r>
            <w:r>
              <w:rPr>
                <w:rStyle w:val="Hyperlink"/>
                <w:color w:val="auto"/>
                <w:sz w:val="20"/>
                <w:szCs w:val="20"/>
                <w:u w:val="none"/>
              </w:rPr>
              <w:t xml:space="preserve"> Jusqu’au </w:t>
            </w:r>
            <w:r>
              <w:rPr>
                <w:rStyle w:val="Hyperlink"/>
                <w:color w:val="auto"/>
                <w:sz w:val="20"/>
                <w:szCs w:val="20"/>
                <w:u w:val="none"/>
              </w:rPr>
              <w:t>2</w:t>
            </w:r>
            <w:r>
              <w:rPr>
                <w:rStyle w:val="Hyperlink"/>
                <w:color w:val="auto"/>
                <w:sz w:val="20"/>
                <w:szCs w:val="20"/>
                <w:u w:val="none"/>
              </w:rPr>
              <w:t> </w:t>
            </w:r>
            <w:r>
              <w:rPr>
                <w:rStyle w:val="Hyperlink"/>
                <w:color w:val="auto"/>
                <w:sz w:val="20"/>
                <w:szCs w:val="20"/>
                <w:u w:val="none"/>
              </w:rPr>
              <w:t xml:space="preserve">novembre </w:t>
            </w:r>
            <w:r>
              <w:rPr>
                <w:rStyle w:val="Hyperlink"/>
                <w:color w:val="auto"/>
                <w:sz w:val="20"/>
                <w:szCs w:val="20"/>
                <w:u w:val="none"/>
              </w:rPr>
              <w:t>2022</w:t>
            </w:r>
            <w:r>
              <w:rPr>
                <w:rStyle w:val="Hyperlink"/>
                <w:color w:val="auto"/>
                <w:sz w:val="20"/>
                <w:szCs w:val="20"/>
                <w:u w:val="none"/>
              </w:rPr>
              <w:t>, les compétences</w:t>
            </w:r>
          </w:p>
          <w:p>
            <w:pPr>
              <w:ind w:right="-932"/>
              <w:rPr>
                <w:rStyle w:val="Hyperlink"/>
                <w:color w:val="auto"/>
                <w:sz w:val="20"/>
                <w:szCs w:val="20"/>
                <w:u w:val="none"/>
              </w:rPr>
            </w:pPr>
            <w:r>
              <w:rPr>
                <w:rStyle w:val="Hyperlink"/>
                <w:color w:val="auto"/>
                <w:sz w:val="20"/>
                <w:szCs w:val="20"/>
                <w:u w:val="none"/>
              </w:rPr>
              <w:t>linguistiques des pilotes d’aéronefs à sustentation</w:t>
            </w:r>
          </w:p>
          <w:p>
            <w:pPr>
              <w:ind w:right="-932"/>
              <w:rPr>
                <w:rStyle w:val="Hyperlink"/>
                <w:rFonts w:cstheme="majorBidi"/>
                <w:color w:val="auto"/>
                <w:sz w:val="20"/>
                <w:szCs w:val="20"/>
                <w:u w:val="none"/>
              </w:rPr>
            </w:pPr>
            <w:r>
              <w:rPr>
                <w:rStyle w:val="Hyperlink"/>
                <w:color w:val="auto"/>
                <w:sz w:val="20"/>
                <w:szCs w:val="20"/>
                <w:u w:val="none"/>
              </w:rPr>
              <w:t>motorisée, d’avions, de dirigeables et d’hélicoptères,</w:t>
            </w:r>
          </w:p>
          <w:p>
            <w:pPr>
              <w:ind w:right="-932"/>
              <w:rPr>
                <w:rStyle w:val="Hyperlink"/>
                <w:rFonts w:cstheme="majorBidi"/>
                <w:color w:val="auto"/>
                <w:sz w:val="20"/>
                <w:szCs w:val="20"/>
                <w:u w:val="none"/>
              </w:rPr>
            </w:pPr>
            <w:r>
              <w:rPr>
                <w:rStyle w:val="Hyperlink"/>
                <w:color w:val="auto"/>
                <w:sz w:val="20"/>
                <w:szCs w:val="20"/>
                <w:u w:val="none"/>
              </w:rPr>
              <w:t>des contrôleurs de la circulation aérienne et</w:t>
            </w:r>
          </w:p>
          <w:p>
            <w:pPr>
              <w:ind w:right="-932"/>
              <w:rPr>
                <w:rStyle w:val="Hyperlink"/>
                <w:color w:val="auto"/>
                <w:sz w:val="20"/>
                <w:szCs w:val="20"/>
                <w:u w:val="none"/>
              </w:rPr>
            </w:pPr>
            <w:r>
              <w:rPr>
                <w:rStyle w:val="Hyperlink"/>
                <w:color w:val="auto"/>
                <w:sz w:val="20"/>
                <w:szCs w:val="20"/>
                <w:u w:val="none"/>
              </w:rPr>
              <w:t>des opérateurs radio de station aéronautique dont le</w:t>
            </w:r>
          </w:p>
          <w:p>
            <w:pPr>
              <w:ind w:right="-932"/>
              <w:rPr>
                <w:rStyle w:val="Hyperlink"/>
                <w:color w:val="auto"/>
                <w:sz w:val="20"/>
                <w:szCs w:val="20"/>
                <w:u w:val="none"/>
              </w:rPr>
            </w:pPr>
            <w:r>
              <w:rPr>
                <w:rStyle w:val="Hyperlink"/>
                <w:color w:val="auto"/>
                <w:sz w:val="20"/>
                <w:szCs w:val="20"/>
                <w:u w:val="none"/>
              </w:rPr>
              <w:t>niveau de compétence démontré est inférieur au</w:t>
            </w:r>
          </w:p>
          <w:p>
            <w:pPr>
              <w:ind w:right="-932"/>
              <w:rPr>
                <w:rStyle w:val="Hyperlink"/>
                <w:color w:val="auto"/>
                <w:sz w:val="20"/>
                <w:szCs w:val="20"/>
                <w:u w:val="none"/>
              </w:rPr>
            </w:pPr>
            <w:r>
              <w:rPr>
                <w:rStyle w:val="Hyperlink"/>
                <w:color w:val="auto"/>
                <w:sz w:val="20"/>
                <w:szCs w:val="20"/>
                <w:u w:val="none"/>
              </w:rPr>
              <w:t xml:space="preserve">niveau expert (niveau </w:t>
            </w:r>
            <w:r>
              <w:rPr>
                <w:rStyle w:val="Hyperlink"/>
                <w:color w:val="auto"/>
                <w:sz w:val="20"/>
                <w:szCs w:val="20"/>
                <w:u w:val="none"/>
              </w:rPr>
              <w:t>6</w:t>
            </w:r>
            <w:r>
              <w:rPr>
                <w:rStyle w:val="Hyperlink"/>
                <w:color w:val="auto"/>
                <w:sz w:val="20"/>
                <w:szCs w:val="20"/>
                <w:u w:val="none"/>
              </w:rPr>
              <w:t xml:space="preserve">) </w:t>
            </w:r>
            <w:r>
              <w:rPr>
                <w:rStyle w:val="Hyperlink"/>
                <w:color w:val="auto"/>
                <w:sz w:val="20"/>
                <w:szCs w:val="20"/>
                <w:u w:val="none"/>
              </w:rPr>
              <w:t>seront formellement évaluées</w:t>
            </w:r>
          </w:p>
          <w:p>
            <w:pPr>
              <w:ind w:right="-932"/>
              <w:rPr>
                <w:rStyle w:val="Hyperlink"/>
                <w:color w:val="auto"/>
                <w:sz w:val="20"/>
                <w:szCs w:val="20"/>
                <w:u w:val="none"/>
              </w:rPr>
            </w:pPr>
            <w:r>
              <w:rPr>
                <w:rStyle w:val="Hyperlink"/>
                <w:color w:val="auto"/>
                <w:sz w:val="20"/>
                <w:szCs w:val="20"/>
                <w:u w:val="none"/>
              </w:rPr>
              <w:t>à des intervalles conformes au niveau de compétence</w:t>
            </w:r>
          </w:p>
          <w:p>
            <w:pPr>
              <w:ind w:right="-932"/>
              <w:rPr>
                <w:rStyle w:val="Hyperlink"/>
                <w:color w:val="auto"/>
                <w:sz w:val="20"/>
                <w:szCs w:val="20"/>
                <w:u w:val="none"/>
              </w:rPr>
            </w:pPr>
            <w:r>
              <w:rPr>
                <w:rStyle w:val="Hyperlink"/>
                <w:color w:val="auto"/>
                <w:sz w:val="20"/>
                <w:szCs w:val="20"/>
                <w:u w:val="none"/>
              </w:rPr>
              <w:t>démontré.</w:t>
            </w:r>
          </w:p>
          <w:p>
            <w:pPr>
              <w:ind w:right="-932"/>
              <w:rPr>
                <w:rStyle w:val="Hyperlink"/>
                <w:rFonts w:cstheme="majorBidi"/>
                <w:color w:val="auto"/>
                <w:sz w:val="20"/>
                <w:szCs w:val="20"/>
                <w:u w:val="none"/>
              </w:rPr>
            </w:pPr>
          </w:p>
          <w:p>
            <w:pPr>
              <w:ind w:right="-932"/>
              <w:rPr>
                <w:rStyle w:val="Hyperlink"/>
                <w:color w:val="auto"/>
                <w:sz w:val="20"/>
                <w:szCs w:val="20"/>
                <w:u w:val="none"/>
              </w:rPr>
            </w:pPr>
            <w:r>
              <w:rPr>
                <w:rStyle w:val="Hyperlink"/>
                <w:color w:val="auto"/>
                <w:sz w:val="20"/>
                <w:szCs w:val="20"/>
                <w:u w:val="none"/>
              </w:rPr>
              <w:t>1</w:t>
            </w:r>
            <w:r>
              <w:rPr>
                <w:rStyle w:val="Hyperlink"/>
                <w:color w:val="auto"/>
                <w:sz w:val="20"/>
                <w:szCs w:val="20"/>
                <w:u w:val="none"/>
              </w:rPr>
              <w:t>.</w:t>
            </w:r>
            <w:r>
              <w:rPr>
                <w:rStyle w:val="Hyperlink"/>
                <w:color w:val="auto"/>
                <w:sz w:val="20"/>
                <w:szCs w:val="20"/>
                <w:u w:val="none"/>
              </w:rPr>
              <w:t>2</w:t>
            </w:r>
            <w:r>
              <w:rPr>
                <w:rStyle w:val="Hyperlink"/>
                <w:color w:val="auto"/>
                <w:sz w:val="20"/>
                <w:szCs w:val="20"/>
                <w:u w:val="none"/>
              </w:rPr>
              <w:t>.</w:t>
            </w:r>
            <w:r>
              <w:rPr>
                <w:rStyle w:val="Hyperlink"/>
                <w:color w:val="auto"/>
                <w:sz w:val="20"/>
                <w:szCs w:val="20"/>
                <w:u w:val="none"/>
              </w:rPr>
              <w:t>9</w:t>
            </w:r>
            <w:r>
              <w:rPr>
                <w:rStyle w:val="Hyperlink"/>
                <w:color w:val="auto"/>
                <w:sz w:val="20"/>
                <w:szCs w:val="20"/>
                <w:u w:val="none"/>
              </w:rPr>
              <w:t>.</w:t>
            </w:r>
            <w:r>
              <w:rPr>
                <w:rStyle w:val="Hyperlink"/>
                <w:color w:val="auto"/>
                <w:sz w:val="20"/>
                <w:szCs w:val="20"/>
                <w:u w:val="none"/>
              </w:rPr>
              <w:t>5</w:t>
            </w:r>
            <w:r>
              <w:rPr>
                <w:rStyle w:val="Hyperlink"/>
                <w:color w:val="auto"/>
                <w:sz w:val="20"/>
                <w:szCs w:val="20"/>
                <w:u w:val="none"/>
              </w:rPr>
              <w:t xml:space="preserve"> À compter du </w:t>
            </w:r>
            <w:r>
              <w:rPr>
                <w:rStyle w:val="Hyperlink"/>
                <w:color w:val="auto"/>
                <w:sz w:val="20"/>
                <w:szCs w:val="20"/>
                <w:u w:val="none"/>
              </w:rPr>
              <w:t>3</w:t>
            </w:r>
            <w:r>
              <w:rPr>
                <w:rStyle w:val="Hyperlink"/>
                <w:color w:val="auto"/>
                <w:sz w:val="20"/>
                <w:szCs w:val="20"/>
                <w:u w:val="none"/>
              </w:rPr>
              <w:t> </w:t>
            </w:r>
            <w:r>
              <w:rPr>
                <w:rStyle w:val="Hyperlink"/>
                <w:color w:val="auto"/>
                <w:sz w:val="20"/>
                <w:szCs w:val="20"/>
                <w:u w:val="none"/>
              </w:rPr>
              <w:t xml:space="preserve">novembre </w:t>
            </w:r>
            <w:r>
              <w:rPr>
                <w:rStyle w:val="Hyperlink"/>
                <w:color w:val="auto"/>
                <w:sz w:val="20"/>
                <w:szCs w:val="20"/>
                <w:u w:val="none"/>
              </w:rPr>
              <w:t>2022</w:t>
            </w:r>
            <w:r>
              <w:rPr>
                <w:rStyle w:val="Hyperlink"/>
                <w:color w:val="auto"/>
                <w:sz w:val="20"/>
                <w:szCs w:val="20"/>
                <w:u w:val="none"/>
              </w:rPr>
              <w:t>, les</w:t>
            </w:r>
          </w:p>
          <w:p>
            <w:pPr>
              <w:ind w:right="-932"/>
              <w:rPr>
                <w:rStyle w:val="Hyperlink"/>
                <w:color w:val="auto"/>
                <w:sz w:val="20"/>
                <w:szCs w:val="20"/>
                <w:u w:val="none"/>
              </w:rPr>
            </w:pPr>
            <w:r>
              <w:rPr>
                <w:rStyle w:val="Hyperlink"/>
                <w:color w:val="auto"/>
                <w:sz w:val="20"/>
                <w:szCs w:val="20"/>
                <w:u w:val="none"/>
              </w:rPr>
              <w:t>compétences linguistiques des pilotes d’aéronefs à</w:t>
            </w:r>
          </w:p>
          <w:p>
            <w:pPr>
              <w:ind w:right="-932"/>
              <w:rPr>
                <w:rStyle w:val="Hyperlink"/>
                <w:rFonts w:cstheme="majorBidi"/>
                <w:color w:val="auto"/>
                <w:sz w:val="20"/>
                <w:szCs w:val="20"/>
                <w:u w:val="none"/>
              </w:rPr>
            </w:pPr>
            <w:r>
              <w:rPr>
                <w:rStyle w:val="Hyperlink"/>
                <w:color w:val="auto"/>
                <w:sz w:val="20"/>
                <w:szCs w:val="20"/>
                <w:u w:val="none"/>
              </w:rPr>
              <w:t>sustentation motorisée, d’avions, de dirigeables</w:t>
            </w:r>
          </w:p>
          <w:p>
            <w:pPr>
              <w:ind w:right="-932"/>
              <w:rPr>
                <w:rStyle w:val="Hyperlink"/>
                <w:color w:val="auto"/>
                <w:sz w:val="20"/>
                <w:szCs w:val="20"/>
                <w:u w:val="none"/>
              </w:rPr>
            </w:pPr>
            <w:r>
              <w:rPr>
                <w:rStyle w:val="Hyperlink"/>
                <w:color w:val="auto"/>
                <w:sz w:val="20"/>
                <w:szCs w:val="20"/>
                <w:u w:val="none"/>
              </w:rPr>
              <w:t>et d’hélicoptères ;</w:t>
            </w:r>
            <w:r>
              <w:rPr>
                <w:rStyle w:val="Hyperlink"/>
                <w:color w:val="auto"/>
                <w:sz w:val="20"/>
                <w:szCs w:val="20"/>
                <w:u w:val="none"/>
              </w:rPr>
              <w:t xml:space="preserve"> des télépilotes d’aéronefs à</w:t>
            </w:r>
          </w:p>
          <w:p>
            <w:pPr>
              <w:ind w:right="-932"/>
              <w:rPr>
                <w:rStyle w:val="Hyperlink"/>
                <w:color w:val="auto"/>
                <w:sz w:val="20"/>
                <w:szCs w:val="20"/>
                <w:u w:val="none"/>
              </w:rPr>
            </w:pPr>
            <w:r>
              <w:rPr>
                <w:rStyle w:val="Hyperlink"/>
                <w:color w:val="auto"/>
                <w:sz w:val="20"/>
                <w:szCs w:val="20"/>
                <w:u w:val="none"/>
              </w:rPr>
              <w:t>sustentation motorisée, d’avions, de dirigeables, de</w:t>
            </w:r>
          </w:p>
          <w:p>
            <w:pPr>
              <w:ind w:right="-932"/>
              <w:rPr>
                <w:rStyle w:val="Hyperlink"/>
                <w:color w:val="auto"/>
                <w:sz w:val="20"/>
                <w:szCs w:val="20"/>
                <w:u w:val="none"/>
              </w:rPr>
            </w:pPr>
            <w:r>
              <w:rPr>
                <w:rStyle w:val="Hyperlink"/>
                <w:color w:val="auto"/>
                <w:sz w:val="20"/>
                <w:szCs w:val="20"/>
                <w:u w:val="none"/>
              </w:rPr>
              <w:t>planeurs, de giravions ou de ballons libres; des</w:t>
            </w:r>
          </w:p>
          <w:p>
            <w:pPr>
              <w:ind w:right="-932"/>
              <w:rPr>
                <w:rStyle w:val="Hyperlink"/>
                <w:color w:val="auto"/>
                <w:sz w:val="20"/>
                <w:szCs w:val="20"/>
                <w:u w:val="none"/>
              </w:rPr>
            </w:pPr>
            <w:r>
              <w:rPr>
                <w:rStyle w:val="Hyperlink"/>
                <w:color w:val="auto"/>
                <w:sz w:val="20"/>
                <w:szCs w:val="20"/>
                <w:u w:val="none"/>
              </w:rPr>
              <w:t>contrôleurs de la circulation aérien</w:t>
            </w:r>
            <w:r>
              <w:rPr>
                <w:rStyle w:val="Hyperlink"/>
                <w:color w:val="auto"/>
                <w:sz w:val="20"/>
                <w:szCs w:val="20"/>
                <w:u w:val="none"/>
              </w:rPr>
              <w:t>ne;</w:t>
            </w:r>
            <w:r>
              <w:rPr>
                <w:rStyle w:val="Hyperlink"/>
                <w:color w:val="auto"/>
                <w:sz w:val="20"/>
                <w:szCs w:val="20"/>
                <w:u w:val="none"/>
              </w:rPr>
              <w:cr/>
            </w:r>
            <w:r>
              <w:rPr>
                <w:rStyle w:val="Hyperlink"/>
                <w:color w:val="auto"/>
                <w:sz w:val="20"/>
                <w:szCs w:val="20"/>
                <w:u w:val="none"/>
              </w:rPr>
              <w:br/>
              <w:t xml:space="preserve"> et des opérateurs radio </w:t>
            </w:r>
            <w:r>
              <w:rPr>
                <w:rStyle w:val="Hyperlink"/>
                <w:color w:val="auto"/>
                <w:sz w:val="20"/>
                <w:szCs w:val="20"/>
                <w:u w:val="none"/>
              </w:rPr>
              <w:t>de station aéronautique</w:t>
            </w:r>
          </w:p>
          <w:p>
            <w:pPr>
              <w:ind w:right="-932"/>
              <w:rPr>
                <w:rStyle w:val="Hyperlink"/>
                <w:color w:val="auto"/>
                <w:sz w:val="20"/>
                <w:szCs w:val="20"/>
                <w:u w:val="none"/>
              </w:rPr>
            </w:pPr>
            <w:r>
              <w:rPr>
                <w:rStyle w:val="Hyperlink"/>
                <w:color w:val="auto"/>
                <w:sz w:val="20"/>
                <w:szCs w:val="20"/>
                <w:u w:val="none"/>
              </w:rPr>
              <w:t>dont le</w:t>
            </w:r>
            <w:r>
              <w:rPr>
                <w:rStyle w:val="Hyperlink"/>
                <w:color w:val="auto"/>
                <w:sz w:val="20"/>
                <w:szCs w:val="20"/>
                <w:u w:val="none"/>
              </w:rPr>
              <w:t xml:space="preserve"> niveau de compétence démontré </w:t>
            </w:r>
            <w:r>
              <w:rPr>
                <w:rStyle w:val="Hyperlink"/>
                <w:color w:val="auto"/>
                <w:sz w:val="20"/>
                <w:szCs w:val="20"/>
                <w:u w:val="none"/>
              </w:rPr>
              <w:t>est inférieur</w:t>
            </w:r>
          </w:p>
          <w:p>
            <w:pPr>
              <w:ind w:right="-932"/>
              <w:rPr>
                <w:rStyle w:val="Hyperlink"/>
                <w:color w:val="auto"/>
                <w:sz w:val="20"/>
                <w:szCs w:val="20"/>
                <w:u w:val="none"/>
              </w:rPr>
            </w:pPr>
            <w:r>
              <w:rPr>
                <w:rStyle w:val="Hyperlink"/>
                <w:color w:val="auto"/>
                <w:sz w:val="20"/>
                <w:szCs w:val="20"/>
                <w:u w:val="none"/>
              </w:rPr>
              <w:t xml:space="preserve">au niveau expert (niveau </w:t>
            </w:r>
            <w:r>
              <w:rPr>
                <w:rStyle w:val="Hyperlink"/>
                <w:color w:val="auto"/>
                <w:sz w:val="20"/>
                <w:szCs w:val="20"/>
                <w:u w:val="none"/>
              </w:rPr>
              <w:t>6</w:t>
            </w:r>
            <w:r>
              <w:rPr>
                <w:rStyle w:val="Hyperlink"/>
                <w:color w:val="auto"/>
                <w:sz w:val="20"/>
                <w:szCs w:val="20"/>
                <w:u w:val="none"/>
              </w:rPr>
              <w:t>)</w:t>
            </w:r>
            <w:r>
              <w:rPr>
                <w:rStyle w:val="Hyperlink"/>
                <w:color w:val="auto"/>
                <w:sz w:val="20"/>
                <w:szCs w:val="20"/>
                <w:u w:val="none"/>
              </w:rPr>
              <w:t xml:space="preserve"> se</w:t>
            </w:r>
            <w:r>
              <w:rPr>
                <w:rStyle w:val="Hyperlink"/>
                <w:color w:val="auto"/>
                <w:sz w:val="20"/>
                <w:szCs w:val="20"/>
                <w:u w:val="none"/>
              </w:rPr>
              <w:t>ront formellement</w:t>
            </w:r>
          </w:p>
          <w:p>
            <w:pPr>
              <w:ind w:right="-932"/>
              <w:rPr>
                <w:rStyle w:val="Hyperlink"/>
                <w:color w:val="auto"/>
                <w:sz w:val="20"/>
                <w:szCs w:val="20"/>
                <w:u w:val="none"/>
              </w:rPr>
            </w:pPr>
            <w:r>
              <w:rPr>
                <w:rStyle w:val="Hyperlink"/>
                <w:color w:val="auto"/>
                <w:sz w:val="20"/>
                <w:szCs w:val="20"/>
                <w:u w:val="none"/>
              </w:rPr>
              <w:t>évalu</w:t>
            </w:r>
            <w:r>
              <w:rPr>
                <w:rStyle w:val="Hyperlink"/>
                <w:color w:val="auto"/>
                <w:sz w:val="20"/>
                <w:szCs w:val="20"/>
                <w:u w:val="none"/>
              </w:rPr>
              <w:t xml:space="preserve">ées à des intervalles conformes </w:t>
            </w:r>
            <w:r>
              <w:rPr>
                <w:rStyle w:val="Hyperlink"/>
                <w:color w:val="auto"/>
                <w:sz w:val="20"/>
                <w:szCs w:val="20"/>
                <w:u w:val="none"/>
              </w:rPr>
              <w:t>au niveau de</w:t>
            </w:r>
          </w:p>
          <w:p>
            <w:pPr>
              <w:ind w:right="-932"/>
              <w:rPr>
                <w:rStyle w:val="Hyperlink"/>
                <w:color w:val="auto"/>
                <w:sz w:val="20"/>
                <w:szCs w:val="20"/>
                <w:u w:val="none"/>
              </w:rPr>
            </w:pPr>
            <w:r>
              <w:rPr>
                <w:rStyle w:val="Hyperlink"/>
                <w:color w:val="auto"/>
                <w:sz w:val="20"/>
                <w:szCs w:val="20"/>
                <w:u w:val="none"/>
              </w:rPr>
              <w:t xml:space="preserve">compétence </w:t>
            </w:r>
            <w:r>
              <w:rPr>
                <w:rStyle w:val="Hyperlink"/>
                <w:color w:val="auto"/>
                <w:sz w:val="20"/>
                <w:szCs w:val="20"/>
                <w:u w:val="none"/>
              </w:rPr>
              <w:t>démontré.</w:t>
            </w:r>
          </w:p>
          <w:p>
            <w:pPr>
              <w:ind w:right="-932"/>
              <w:rPr>
                <w:rStyle w:val="Hyperlink"/>
                <w:rFonts w:cstheme="majorBidi"/>
                <w:color w:val="auto"/>
                <w:sz w:val="20"/>
                <w:szCs w:val="20"/>
                <w:u w:val="none"/>
              </w:rPr>
            </w:pPr>
          </w:p>
          <w:p>
            <w:pPr>
              <w:ind w:right="-932"/>
              <w:rPr>
                <w:rStyle w:val="Hyperlink"/>
                <w:i/>
                <w:color w:val="auto"/>
                <w:sz w:val="20"/>
                <w:szCs w:val="20"/>
                <w:u w:val="none"/>
              </w:rPr>
            </w:pPr>
            <w:r>
              <w:rPr>
                <w:rStyle w:val="Hyperlink"/>
                <w:i/>
                <w:color w:val="auto"/>
                <w:sz w:val="20"/>
                <w:szCs w:val="20"/>
                <w:u w:val="none"/>
              </w:rPr>
              <w:t>1</w:t>
            </w:r>
            <w:r>
              <w:rPr>
                <w:rStyle w:val="Hyperlink"/>
                <w:i/>
                <w:color w:val="auto"/>
                <w:sz w:val="20"/>
                <w:szCs w:val="20"/>
                <w:u w:val="none"/>
              </w:rPr>
              <w:t>.</w:t>
            </w:r>
            <w:r>
              <w:rPr>
                <w:rStyle w:val="Hyperlink"/>
                <w:i/>
                <w:color w:val="auto"/>
                <w:sz w:val="20"/>
                <w:szCs w:val="20"/>
                <w:u w:val="none"/>
              </w:rPr>
              <w:t>2</w:t>
            </w:r>
            <w:r>
              <w:rPr>
                <w:rStyle w:val="Hyperlink"/>
                <w:i/>
                <w:color w:val="auto"/>
                <w:sz w:val="20"/>
                <w:szCs w:val="20"/>
                <w:u w:val="none"/>
              </w:rPr>
              <w:t>.</w:t>
            </w:r>
            <w:r>
              <w:rPr>
                <w:rStyle w:val="Hyperlink"/>
                <w:i/>
                <w:color w:val="auto"/>
                <w:sz w:val="20"/>
                <w:szCs w:val="20"/>
                <w:u w:val="none"/>
              </w:rPr>
              <w:t>9</w:t>
            </w:r>
            <w:r>
              <w:rPr>
                <w:rStyle w:val="Hyperlink"/>
                <w:i/>
                <w:color w:val="auto"/>
                <w:sz w:val="20"/>
                <w:szCs w:val="20"/>
                <w:u w:val="none"/>
              </w:rPr>
              <w:t>.</w:t>
            </w:r>
            <w:r>
              <w:rPr>
                <w:rStyle w:val="Hyperlink"/>
                <w:i/>
                <w:color w:val="auto"/>
                <w:sz w:val="20"/>
                <w:szCs w:val="20"/>
                <w:u w:val="none"/>
              </w:rPr>
              <w:t>6</w:t>
            </w:r>
            <w:r>
              <w:rPr>
                <w:rStyle w:val="Hyperlink"/>
                <w:i/>
                <w:color w:val="auto"/>
                <w:sz w:val="20"/>
                <w:szCs w:val="20"/>
                <w:u w:val="none"/>
              </w:rPr>
              <w:t xml:space="preserve"> Recommandation.— Il est recommandé que</w:t>
            </w:r>
          </w:p>
          <w:p>
            <w:pPr>
              <w:ind w:right="-932"/>
              <w:rPr>
                <w:rStyle w:val="Hyperlink"/>
                <w:i/>
                <w:color w:val="auto"/>
                <w:sz w:val="20"/>
                <w:szCs w:val="20"/>
                <w:u w:val="none"/>
              </w:rPr>
            </w:pPr>
            <w:r>
              <w:rPr>
                <w:rStyle w:val="Hyperlink"/>
                <w:i/>
                <w:color w:val="auto"/>
                <w:sz w:val="20"/>
                <w:szCs w:val="20"/>
                <w:u w:val="none"/>
              </w:rPr>
              <w:t xml:space="preserve">jusqu’au </w:t>
            </w:r>
            <w:r>
              <w:rPr>
                <w:rStyle w:val="Hyperlink"/>
                <w:i/>
                <w:color w:val="auto"/>
                <w:sz w:val="20"/>
                <w:szCs w:val="20"/>
                <w:u w:val="none"/>
              </w:rPr>
              <w:t>2</w:t>
            </w:r>
            <w:r>
              <w:rPr>
                <w:rStyle w:val="Hyperlink"/>
                <w:i/>
                <w:color w:val="auto"/>
                <w:sz w:val="20"/>
                <w:szCs w:val="20"/>
                <w:u w:val="none"/>
              </w:rPr>
              <w:t> </w:t>
            </w:r>
            <w:r>
              <w:rPr>
                <w:rStyle w:val="Hyperlink"/>
                <w:i/>
                <w:color w:val="auto"/>
                <w:sz w:val="20"/>
                <w:szCs w:val="20"/>
                <w:u w:val="none"/>
              </w:rPr>
              <w:t xml:space="preserve">novembre </w:t>
            </w:r>
            <w:r>
              <w:rPr>
                <w:rStyle w:val="Hyperlink"/>
                <w:i/>
                <w:color w:val="auto"/>
                <w:sz w:val="20"/>
                <w:szCs w:val="20"/>
                <w:u w:val="none"/>
              </w:rPr>
              <w:t>2022</w:t>
            </w:r>
            <w:r>
              <w:rPr>
                <w:rStyle w:val="Hyperlink"/>
                <w:i/>
                <w:color w:val="auto"/>
                <w:sz w:val="20"/>
                <w:szCs w:val="20"/>
                <w:u w:val="none"/>
              </w:rPr>
              <w:t xml:space="preserve"> les compétences</w:t>
            </w:r>
          </w:p>
          <w:p>
            <w:pPr>
              <w:ind w:right="-932"/>
              <w:rPr>
                <w:rStyle w:val="Hyperlink"/>
                <w:i/>
                <w:color w:val="auto"/>
                <w:sz w:val="20"/>
                <w:szCs w:val="20"/>
                <w:u w:val="none"/>
              </w:rPr>
            </w:pPr>
            <w:r>
              <w:rPr>
                <w:rStyle w:val="Hyperlink"/>
                <w:i/>
                <w:color w:val="auto"/>
                <w:sz w:val="20"/>
                <w:szCs w:val="20"/>
                <w:u w:val="none"/>
              </w:rPr>
              <w:t>linguistiques des pilotes d’aéronefs à sustentation</w:t>
            </w:r>
          </w:p>
          <w:p>
            <w:pPr>
              <w:ind w:right="-932"/>
              <w:rPr>
                <w:rStyle w:val="Hyperlink"/>
                <w:i/>
                <w:color w:val="auto"/>
                <w:sz w:val="20"/>
                <w:szCs w:val="20"/>
                <w:u w:val="none"/>
              </w:rPr>
            </w:pPr>
            <w:r>
              <w:rPr>
                <w:rStyle w:val="Hyperlink"/>
                <w:i/>
                <w:color w:val="auto"/>
                <w:sz w:val="20"/>
                <w:szCs w:val="20"/>
                <w:u w:val="none"/>
              </w:rPr>
              <w:t xml:space="preserve">motorisée, </w:t>
            </w:r>
            <w:r>
              <w:rPr>
                <w:rStyle w:val="Hyperlink"/>
                <w:i/>
                <w:color w:val="auto"/>
                <w:sz w:val="20"/>
                <w:szCs w:val="20"/>
                <w:u w:val="none"/>
              </w:rPr>
              <w:t>d’avions, de dirigeables et d’hélicoptères,</w:t>
            </w:r>
          </w:p>
          <w:p>
            <w:pPr>
              <w:ind w:right="-932"/>
              <w:rPr>
                <w:rStyle w:val="Hyperlink"/>
                <w:i/>
                <w:color w:val="auto"/>
                <w:sz w:val="20"/>
                <w:szCs w:val="20"/>
                <w:u w:val="none"/>
              </w:rPr>
            </w:pPr>
            <w:r>
              <w:rPr>
                <w:rStyle w:val="Hyperlink"/>
                <w:i/>
                <w:color w:val="auto"/>
                <w:sz w:val="20"/>
                <w:szCs w:val="20"/>
                <w:u w:val="none"/>
              </w:rPr>
              <w:t xml:space="preserve">des navigateurs qui doivent </w:t>
            </w:r>
            <w:r>
              <w:rPr>
                <w:rStyle w:val="Hyperlink"/>
                <w:i/>
                <w:color w:val="auto"/>
                <w:sz w:val="20"/>
                <w:szCs w:val="20"/>
                <w:u w:val="none"/>
              </w:rPr>
              <w:t>utiliser le radiotéléphone</w:t>
            </w:r>
          </w:p>
          <w:p>
            <w:pPr>
              <w:ind w:right="-932"/>
              <w:rPr>
                <w:rStyle w:val="Hyperlink"/>
                <w:rFonts w:cstheme="majorBidi"/>
                <w:i/>
                <w:color w:val="auto"/>
                <w:sz w:val="20"/>
                <w:szCs w:val="20"/>
                <w:u w:val="none"/>
              </w:rPr>
            </w:pPr>
            <w:r>
              <w:rPr>
                <w:rStyle w:val="Hyperlink"/>
                <w:i/>
                <w:color w:val="auto"/>
                <w:sz w:val="20"/>
                <w:szCs w:val="20"/>
                <w:u w:val="none"/>
              </w:rPr>
              <w:t xml:space="preserve">de bord, </w:t>
            </w:r>
            <w:r>
              <w:rPr>
                <w:rStyle w:val="Hyperlink"/>
                <w:i/>
                <w:color w:val="auto"/>
                <w:sz w:val="20"/>
                <w:szCs w:val="20"/>
                <w:u w:val="none"/>
              </w:rPr>
              <w:t>des contrôleurs de la circulation aérienne et</w:t>
            </w:r>
          </w:p>
          <w:p>
            <w:pPr>
              <w:ind w:right="-932"/>
              <w:rPr>
                <w:rStyle w:val="Hyperlink"/>
                <w:i/>
                <w:color w:val="auto"/>
                <w:sz w:val="20"/>
                <w:szCs w:val="20"/>
                <w:u w:val="none"/>
              </w:rPr>
            </w:pPr>
            <w:r>
              <w:rPr>
                <w:rStyle w:val="Hyperlink"/>
                <w:i/>
                <w:color w:val="auto"/>
                <w:sz w:val="20"/>
                <w:szCs w:val="20"/>
                <w:u w:val="none"/>
              </w:rPr>
              <w:t>des opérateurs radio de station aéronautique dont le</w:t>
            </w:r>
          </w:p>
          <w:p>
            <w:pPr>
              <w:ind w:right="-932"/>
              <w:rPr>
                <w:rStyle w:val="Hyperlink"/>
                <w:i/>
                <w:color w:val="auto"/>
                <w:sz w:val="20"/>
                <w:szCs w:val="20"/>
                <w:u w:val="none"/>
              </w:rPr>
            </w:pPr>
            <w:r>
              <w:rPr>
                <w:rStyle w:val="Hyperlink"/>
                <w:i/>
                <w:color w:val="auto"/>
                <w:sz w:val="20"/>
                <w:szCs w:val="20"/>
                <w:u w:val="none"/>
              </w:rPr>
              <w:t xml:space="preserve">niveau de compétence démontré </w:t>
            </w:r>
            <w:r>
              <w:rPr>
                <w:rStyle w:val="Hyperlink"/>
                <w:i/>
                <w:color w:val="auto"/>
                <w:sz w:val="20"/>
                <w:szCs w:val="20"/>
                <w:u w:val="none"/>
              </w:rPr>
              <w:t>est inférieur au</w:t>
            </w:r>
          </w:p>
          <w:p>
            <w:pPr>
              <w:ind w:right="-932"/>
              <w:rPr>
                <w:rStyle w:val="Hyperlink"/>
                <w:rFonts w:cstheme="majorBidi"/>
                <w:i/>
                <w:color w:val="auto"/>
                <w:sz w:val="20"/>
                <w:szCs w:val="20"/>
                <w:u w:val="none"/>
              </w:rPr>
            </w:pPr>
            <w:r>
              <w:rPr>
                <w:rStyle w:val="Hyperlink"/>
                <w:i/>
                <w:color w:val="auto"/>
                <w:sz w:val="20"/>
                <w:szCs w:val="20"/>
                <w:u w:val="none"/>
              </w:rPr>
              <w:t xml:space="preserve">niveau expert (niveau </w:t>
            </w:r>
            <w:r>
              <w:rPr>
                <w:rStyle w:val="Hyperlink"/>
                <w:i/>
                <w:color w:val="auto"/>
                <w:sz w:val="20"/>
                <w:szCs w:val="20"/>
                <w:u w:val="none"/>
              </w:rPr>
              <w:t>6</w:t>
            </w:r>
            <w:r>
              <w:rPr>
                <w:rStyle w:val="Hyperlink"/>
                <w:i/>
                <w:color w:val="auto"/>
                <w:sz w:val="20"/>
                <w:szCs w:val="20"/>
                <w:u w:val="none"/>
              </w:rPr>
              <w:t>)</w:t>
            </w:r>
            <w:r>
              <w:rPr>
                <w:rStyle w:val="Hyperlink"/>
                <w:i/>
                <w:color w:val="auto"/>
                <w:sz w:val="20"/>
                <w:szCs w:val="20"/>
                <w:u w:val="none"/>
              </w:rPr>
              <w:t xml:space="preserve"> </w:t>
            </w:r>
            <w:r>
              <w:rPr>
                <w:rStyle w:val="Hyperlink"/>
                <w:i/>
                <w:color w:val="auto"/>
                <w:sz w:val="20"/>
                <w:szCs w:val="20"/>
                <w:u w:val="none"/>
              </w:rPr>
              <w:t>soient formellement évaluées</w:t>
            </w:r>
          </w:p>
          <w:p>
            <w:pPr>
              <w:ind w:right="-932"/>
              <w:rPr>
                <w:rStyle w:val="Hyperlink"/>
                <w:rFonts w:cstheme="majorBidi"/>
                <w:i/>
                <w:color w:val="auto"/>
                <w:sz w:val="20"/>
                <w:szCs w:val="20"/>
                <w:u w:val="none"/>
              </w:rPr>
            </w:pPr>
            <w:r>
              <w:rPr>
                <w:rStyle w:val="Hyperlink"/>
                <w:i/>
                <w:color w:val="auto"/>
                <w:sz w:val="20"/>
                <w:szCs w:val="20"/>
                <w:u w:val="none"/>
              </w:rPr>
              <w:t>à des intervalles conformes</w:t>
            </w:r>
            <w:r>
              <w:rPr>
                <w:rStyle w:val="Hyperlink"/>
                <w:i/>
                <w:color w:val="auto"/>
                <w:sz w:val="20"/>
                <w:szCs w:val="20"/>
                <w:u w:val="none"/>
              </w:rPr>
              <w:t xml:space="preserve"> </w:t>
            </w:r>
            <w:r>
              <w:rPr>
                <w:rStyle w:val="Hyperlink"/>
                <w:i/>
                <w:color w:val="auto"/>
                <w:sz w:val="20"/>
                <w:szCs w:val="20"/>
                <w:u w:val="none"/>
              </w:rPr>
              <w:t>au niveau de compétence</w:t>
            </w:r>
            <w:r>
              <w:rPr>
                <w:rStyle w:val="Hyperlink"/>
                <w:i/>
                <w:color w:val="auto"/>
                <w:sz w:val="20"/>
                <w:szCs w:val="20"/>
                <w:u w:val="none"/>
              </w:rPr>
              <w:cr/>
              <w:t>démontré, comme suit:</w:t>
            </w:r>
          </w:p>
          <w:p>
            <w:pPr>
              <w:ind w:right="-932"/>
              <w:rPr>
                <w:rStyle w:val="Hyperlink"/>
                <w:i/>
                <w:color w:val="auto"/>
                <w:sz w:val="20"/>
                <w:szCs w:val="20"/>
                <w:u w:val="none"/>
              </w:rPr>
            </w:pPr>
            <w:r>
              <w:rPr>
                <w:rStyle w:val="Hyperlink"/>
                <w:i/>
                <w:color w:val="auto"/>
                <w:sz w:val="20"/>
                <w:szCs w:val="20"/>
                <w:u w:val="none"/>
              </w:rPr>
              <w:t>a) les personnes ayant démontré un niveau de</w:t>
            </w:r>
          </w:p>
          <w:p>
            <w:pPr>
              <w:ind w:right="-932"/>
              <w:rPr>
                <w:rStyle w:val="Hyperlink"/>
                <w:i/>
                <w:color w:val="auto"/>
                <w:sz w:val="20"/>
                <w:szCs w:val="20"/>
                <w:u w:val="none"/>
              </w:rPr>
            </w:pPr>
            <w:r>
              <w:rPr>
                <w:rStyle w:val="Hyperlink"/>
                <w:i/>
                <w:color w:val="auto"/>
                <w:sz w:val="20"/>
                <w:szCs w:val="20"/>
                <w:u w:val="none"/>
              </w:rPr>
              <w:t xml:space="preserve">compétence égal au niveau fonctionnel (niveau </w:t>
            </w:r>
            <w:r>
              <w:rPr>
                <w:rStyle w:val="Hyperlink"/>
                <w:i/>
                <w:color w:val="auto"/>
                <w:sz w:val="20"/>
                <w:szCs w:val="20"/>
                <w:u w:val="none"/>
              </w:rPr>
              <w:t>4</w:t>
            </w:r>
            <w:r>
              <w:rPr>
                <w:rStyle w:val="Hyperlink"/>
                <w:i/>
                <w:color w:val="auto"/>
                <w:sz w:val="20"/>
                <w:szCs w:val="20"/>
                <w:u w:val="none"/>
              </w:rPr>
              <w:t>)</w:t>
            </w:r>
          </w:p>
          <w:p>
            <w:pPr>
              <w:ind w:right="-932"/>
              <w:rPr>
                <w:rStyle w:val="Hyperlink"/>
                <w:i/>
                <w:color w:val="auto"/>
                <w:sz w:val="20"/>
                <w:szCs w:val="20"/>
                <w:u w:val="none"/>
              </w:rPr>
            </w:pPr>
            <w:r>
              <w:rPr>
                <w:rStyle w:val="Hyperlink"/>
                <w:i/>
                <w:color w:val="auto"/>
                <w:sz w:val="20"/>
                <w:szCs w:val="20"/>
                <w:u w:val="none"/>
              </w:rPr>
              <w:t>devraient être</w:t>
            </w:r>
            <w:r>
              <w:rPr>
                <w:rStyle w:val="Hyperlink"/>
                <w:i/>
                <w:color w:val="auto"/>
                <w:sz w:val="20"/>
                <w:szCs w:val="20"/>
                <w:u w:val="none"/>
              </w:rPr>
              <w:t xml:space="preserve"> </w:t>
            </w:r>
            <w:r>
              <w:rPr>
                <w:rStyle w:val="Hyperlink"/>
                <w:i/>
                <w:color w:val="auto"/>
                <w:sz w:val="20"/>
                <w:szCs w:val="20"/>
                <w:u w:val="none"/>
              </w:rPr>
              <w:t>évaluées au moins une fois tous les trois</w:t>
            </w:r>
          </w:p>
          <w:p>
            <w:pPr>
              <w:ind w:right="-932"/>
              <w:rPr>
                <w:rStyle w:val="Hyperlink"/>
                <w:i/>
                <w:color w:val="auto"/>
                <w:sz w:val="20"/>
                <w:szCs w:val="20"/>
                <w:u w:val="none"/>
              </w:rPr>
            </w:pPr>
            <w:r>
              <w:rPr>
                <w:rStyle w:val="Hyperlink"/>
                <w:i/>
                <w:color w:val="auto"/>
                <w:sz w:val="20"/>
                <w:szCs w:val="20"/>
                <w:u w:val="none"/>
              </w:rPr>
              <w:t>ans; et</w:t>
            </w:r>
          </w:p>
          <w:p>
            <w:pPr>
              <w:ind w:right="-932"/>
              <w:rPr>
                <w:rStyle w:val="Hyperlink"/>
                <w:i/>
                <w:color w:val="auto"/>
                <w:sz w:val="20"/>
                <w:szCs w:val="20"/>
                <w:u w:val="none"/>
              </w:rPr>
            </w:pPr>
            <w:r>
              <w:rPr>
                <w:rStyle w:val="Hyperlink"/>
                <w:i/>
                <w:color w:val="auto"/>
                <w:sz w:val="20"/>
                <w:szCs w:val="20"/>
                <w:u w:val="none"/>
              </w:rPr>
              <w:t>b) les personnes ayant démontré un niveau de</w:t>
            </w:r>
          </w:p>
          <w:p>
            <w:pPr>
              <w:ind w:right="-932"/>
              <w:rPr>
                <w:rStyle w:val="Hyperlink"/>
                <w:i/>
                <w:color w:val="auto"/>
                <w:sz w:val="20"/>
                <w:szCs w:val="20"/>
                <w:u w:val="none"/>
              </w:rPr>
            </w:pPr>
            <w:r>
              <w:rPr>
                <w:rStyle w:val="Hyperlink"/>
                <w:i/>
                <w:color w:val="auto"/>
                <w:sz w:val="20"/>
                <w:szCs w:val="20"/>
                <w:u w:val="none"/>
              </w:rPr>
              <w:t xml:space="preserve">compétence égal </w:t>
            </w:r>
            <w:r>
              <w:rPr>
                <w:rStyle w:val="Hyperlink"/>
                <w:i/>
                <w:color w:val="auto"/>
                <w:sz w:val="20"/>
                <w:szCs w:val="20"/>
                <w:u w:val="none"/>
              </w:rPr>
              <w:t xml:space="preserve">au niveau avancé (niveau </w:t>
            </w:r>
            <w:r>
              <w:rPr>
                <w:rStyle w:val="Hyperlink"/>
                <w:i/>
                <w:color w:val="auto"/>
                <w:sz w:val="20"/>
                <w:szCs w:val="20"/>
                <w:u w:val="none"/>
              </w:rPr>
              <w:t>5</w:t>
            </w:r>
            <w:r>
              <w:rPr>
                <w:rStyle w:val="Hyperlink"/>
                <w:i/>
                <w:color w:val="auto"/>
                <w:sz w:val="20"/>
                <w:szCs w:val="20"/>
                <w:u w:val="none"/>
              </w:rPr>
              <w:t>)</w:t>
            </w:r>
          </w:p>
          <w:p>
            <w:pPr>
              <w:ind w:right="-932"/>
              <w:rPr>
                <w:rStyle w:val="Hyperlink"/>
                <w:i/>
                <w:color w:val="auto"/>
                <w:sz w:val="20"/>
                <w:szCs w:val="20"/>
                <w:u w:val="none"/>
              </w:rPr>
            </w:pPr>
            <w:r>
              <w:rPr>
                <w:rStyle w:val="Hyperlink"/>
                <w:i/>
                <w:color w:val="auto"/>
                <w:sz w:val="20"/>
                <w:szCs w:val="20"/>
                <w:u w:val="none"/>
              </w:rPr>
              <w:t>devraient être évaluées</w:t>
            </w:r>
            <w:r>
              <w:rPr>
                <w:rStyle w:val="Hyperlink"/>
                <w:i/>
                <w:color w:val="auto"/>
                <w:sz w:val="20"/>
                <w:szCs w:val="20"/>
                <w:u w:val="none"/>
              </w:rPr>
              <w:t xml:space="preserve"> </w:t>
            </w:r>
            <w:r>
              <w:rPr>
                <w:rStyle w:val="Hyperlink"/>
                <w:i/>
                <w:color w:val="auto"/>
                <w:sz w:val="20"/>
                <w:szCs w:val="20"/>
                <w:u w:val="none"/>
              </w:rPr>
              <w:t>au moins une fois tous les six</w:t>
            </w:r>
          </w:p>
          <w:p>
            <w:pPr>
              <w:ind w:right="-932"/>
              <w:rPr>
                <w:rStyle w:val="Hyperlink"/>
                <w:rFonts w:cstheme="majorBidi"/>
                <w:i/>
                <w:color w:val="auto"/>
                <w:sz w:val="20"/>
                <w:szCs w:val="20"/>
                <w:u w:val="none"/>
              </w:rPr>
            </w:pPr>
            <w:r>
              <w:rPr>
                <w:rStyle w:val="Hyperlink"/>
                <w:i/>
                <w:color w:val="auto"/>
                <w:sz w:val="20"/>
                <w:szCs w:val="20"/>
                <w:u w:val="none"/>
              </w:rPr>
              <w:t>ans.</w:t>
            </w:r>
          </w:p>
          <w:p>
            <w:pPr>
              <w:ind w:right="-932"/>
              <w:rPr>
                <w:rStyle w:val="Hyperlink"/>
                <w:rFonts w:cstheme="majorBidi"/>
                <w:i/>
                <w:color w:val="auto"/>
                <w:sz w:val="20"/>
                <w:szCs w:val="20"/>
                <w:u w:val="none"/>
              </w:rPr>
            </w:pPr>
            <w:r>
              <w:rPr>
                <w:rStyle w:val="Hyperlink"/>
                <w:i/>
                <w:color w:val="auto"/>
                <w:sz w:val="20"/>
                <w:szCs w:val="20"/>
                <w:u w:val="none"/>
              </w:rPr>
              <w:t xml:space="preserve">Note </w:t>
            </w:r>
            <w:r>
              <w:rPr>
                <w:rStyle w:val="Hyperlink"/>
                <w:i/>
                <w:color w:val="auto"/>
                <w:sz w:val="20"/>
                <w:szCs w:val="20"/>
                <w:u w:val="none"/>
              </w:rPr>
              <w:t>1</w:t>
            </w:r>
            <w:r>
              <w:rPr>
                <w:rStyle w:val="Hyperlink"/>
                <w:i/>
                <w:color w:val="auto"/>
                <w:sz w:val="20"/>
                <w:szCs w:val="20"/>
                <w:u w:val="none"/>
              </w:rPr>
              <w:t>.— Une évaluation formelle n’est pas requise</w:t>
            </w:r>
          </w:p>
          <w:p>
            <w:pPr>
              <w:ind w:right="-932"/>
              <w:rPr>
                <w:rStyle w:val="Hyperlink"/>
                <w:i/>
                <w:color w:val="auto"/>
                <w:sz w:val="20"/>
                <w:szCs w:val="20"/>
                <w:u w:val="none"/>
              </w:rPr>
            </w:pPr>
            <w:r>
              <w:rPr>
                <w:rStyle w:val="Hyperlink"/>
                <w:i/>
                <w:color w:val="auto"/>
                <w:sz w:val="20"/>
                <w:szCs w:val="20"/>
                <w:u w:val="none"/>
              </w:rPr>
              <w:t>des candidats qui font preuve d'un</w:t>
            </w:r>
            <w:r>
              <w:rPr>
                <w:rStyle w:val="Hyperlink"/>
                <w:i/>
                <w:color w:val="auto"/>
                <w:sz w:val="20"/>
                <w:szCs w:val="20"/>
                <w:u w:val="none"/>
              </w:rPr>
              <w:t>e grande maîtrise de</w:t>
            </w:r>
          </w:p>
          <w:p>
            <w:pPr>
              <w:ind w:right="-932"/>
              <w:rPr>
                <w:rStyle w:val="Hyperlink"/>
                <w:i/>
                <w:color w:val="auto"/>
                <w:sz w:val="20"/>
                <w:szCs w:val="20"/>
                <w:u w:val="none"/>
              </w:rPr>
            </w:pPr>
            <w:r>
              <w:rPr>
                <w:rStyle w:val="Hyperlink"/>
                <w:i/>
                <w:color w:val="auto"/>
                <w:sz w:val="20"/>
                <w:szCs w:val="20"/>
                <w:u w:val="none"/>
              </w:rPr>
              <w:t>la langue,</w:t>
            </w:r>
            <w:r>
              <w:rPr>
                <w:rStyle w:val="Hyperlink"/>
                <w:i/>
                <w:color w:val="auto"/>
                <w:sz w:val="20"/>
                <w:szCs w:val="20"/>
                <w:u w:val="none"/>
              </w:rPr>
              <w:t>par exemple les personnes dont c’est la langue maternelle ou les personnes ayant une très bonne</w:t>
            </w:r>
          </w:p>
          <w:p>
            <w:pPr>
              <w:ind w:right="-932"/>
              <w:rPr>
                <w:rStyle w:val="Hyperlink"/>
                <w:i/>
                <w:color w:val="auto"/>
                <w:sz w:val="20"/>
                <w:szCs w:val="20"/>
                <w:u w:val="none"/>
              </w:rPr>
            </w:pPr>
            <w:r>
              <w:rPr>
                <w:rStyle w:val="Hyperlink"/>
                <w:i/>
                <w:color w:val="auto"/>
                <w:sz w:val="20"/>
                <w:szCs w:val="20"/>
                <w:u w:val="none"/>
              </w:rPr>
              <w:t>connaissance de la langue</w:t>
            </w:r>
            <w:r>
              <w:rPr>
                <w:rStyle w:val="Hyperlink"/>
                <w:i/>
                <w:color w:val="auto"/>
                <w:sz w:val="20"/>
                <w:szCs w:val="20"/>
                <w:u w:val="none"/>
              </w:rPr>
              <w:t xml:space="preserve"> </w:t>
            </w:r>
            <w:r>
              <w:rPr>
                <w:rStyle w:val="Hyperlink"/>
                <w:i/>
                <w:color w:val="auto"/>
                <w:sz w:val="20"/>
                <w:szCs w:val="20"/>
                <w:u w:val="none"/>
              </w:rPr>
              <w:t>et dont le parler ou l’accent</w:t>
            </w:r>
          </w:p>
          <w:p>
            <w:pPr>
              <w:ind w:right="-932"/>
              <w:rPr>
                <w:rStyle w:val="Hyperlink"/>
                <w:rFonts w:cstheme="majorBidi"/>
                <w:i/>
                <w:color w:val="auto"/>
                <w:sz w:val="20"/>
                <w:szCs w:val="20"/>
                <w:u w:val="none"/>
              </w:rPr>
            </w:pPr>
            <w:r>
              <w:rPr>
                <w:rStyle w:val="Hyperlink"/>
                <w:i/>
                <w:color w:val="auto"/>
                <w:sz w:val="20"/>
                <w:szCs w:val="20"/>
                <w:u w:val="none"/>
              </w:rPr>
              <w:t xml:space="preserve">est intelligible à la communauté </w:t>
            </w:r>
            <w:r>
              <w:rPr>
                <w:rStyle w:val="Hyperlink"/>
                <w:i/>
                <w:color w:val="auto"/>
                <w:sz w:val="20"/>
                <w:szCs w:val="20"/>
                <w:u w:val="none"/>
              </w:rPr>
              <w:t>aéronautique.</w:t>
            </w:r>
          </w:p>
          <w:p>
            <w:pPr>
              <w:ind w:right="-932"/>
              <w:rPr>
                <w:rStyle w:val="Hyperlink"/>
                <w:i/>
                <w:color w:val="auto"/>
                <w:sz w:val="20"/>
                <w:szCs w:val="20"/>
                <w:u w:val="none"/>
              </w:rPr>
            </w:pPr>
            <w:r>
              <w:rPr>
                <w:rStyle w:val="Hyperlink"/>
                <w:i/>
                <w:color w:val="auto"/>
                <w:sz w:val="20"/>
                <w:szCs w:val="20"/>
                <w:u w:val="none"/>
              </w:rPr>
              <w:t xml:space="preserve">Note </w:t>
            </w:r>
            <w:r>
              <w:rPr>
                <w:rStyle w:val="Hyperlink"/>
                <w:i/>
                <w:color w:val="auto"/>
                <w:sz w:val="20"/>
                <w:szCs w:val="20"/>
                <w:u w:val="none"/>
              </w:rPr>
              <w:t>2</w:t>
            </w:r>
            <w:r>
              <w:rPr>
                <w:rStyle w:val="Hyperlink"/>
                <w:i/>
                <w:color w:val="auto"/>
                <w:sz w:val="20"/>
                <w:szCs w:val="20"/>
                <w:u w:val="none"/>
              </w:rPr>
              <w:t xml:space="preserve">.— Les dispositions du point </w:t>
            </w:r>
            <w:r>
              <w:rPr>
                <w:rStyle w:val="Hyperlink"/>
                <w:i/>
                <w:color w:val="auto"/>
                <w:sz w:val="20"/>
                <w:szCs w:val="20"/>
                <w:u w:val="none"/>
              </w:rPr>
              <w:t>1</w:t>
            </w:r>
            <w:r>
              <w:rPr>
                <w:rStyle w:val="Hyperlink"/>
                <w:i/>
                <w:color w:val="auto"/>
                <w:sz w:val="20"/>
                <w:szCs w:val="20"/>
                <w:u w:val="none"/>
              </w:rPr>
              <w:t>.</w:t>
            </w:r>
            <w:r>
              <w:rPr>
                <w:rStyle w:val="Hyperlink"/>
                <w:i/>
                <w:color w:val="auto"/>
                <w:sz w:val="20"/>
                <w:szCs w:val="20"/>
                <w:u w:val="none"/>
              </w:rPr>
              <w:t>2</w:t>
            </w:r>
            <w:r>
              <w:rPr>
                <w:rStyle w:val="Hyperlink"/>
                <w:i/>
                <w:color w:val="auto"/>
                <w:sz w:val="20"/>
                <w:szCs w:val="20"/>
                <w:u w:val="none"/>
              </w:rPr>
              <w:t>.</w:t>
            </w:r>
            <w:r>
              <w:rPr>
                <w:rStyle w:val="Hyperlink"/>
                <w:i/>
                <w:color w:val="auto"/>
                <w:sz w:val="20"/>
                <w:szCs w:val="20"/>
                <w:u w:val="none"/>
              </w:rPr>
              <w:t>9</w:t>
            </w:r>
            <w:r>
              <w:rPr>
                <w:rStyle w:val="Hyperlink"/>
                <w:i/>
                <w:color w:val="auto"/>
                <w:sz w:val="20"/>
                <w:szCs w:val="20"/>
                <w:u w:val="none"/>
              </w:rPr>
              <w:t xml:space="preserve"> se rapportent</w:t>
            </w:r>
          </w:p>
          <w:p>
            <w:pPr>
              <w:ind w:right="-932"/>
              <w:rPr>
                <w:rStyle w:val="Hyperlink"/>
                <w:i/>
                <w:color w:val="auto"/>
                <w:sz w:val="20"/>
                <w:szCs w:val="20"/>
                <w:u w:val="none"/>
              </w:rPr>
            </w:pPr>
            <w:r>
              <w:rPr>
                <w:rStyle w:val="Hyperlink"/>
                <w:i/>
                <w:color w:val="auto"/>
                <w:sz w:val="20"/>
                <w:szCs w:val="20"/>
                <w:u w:val="none"/>
              </w:rPr>
              <w:t>à l’annexe</w:t>
            </w:r>
            <w:r>
              <w:rPr>
                <w:rStyle w:val="Hyperlink"/>
                <w:i/>
                <w:color w:val="auto"/>
                <w:sz w:val="20"/>
                <w:szCs w:val="20"/>
                <w:u w:val="none"/>
              </w:rPr>
              <w:t xml:space="preserve"> </w:t>
            </w:r>
            <w:r>
              <w:rPr>
                <w:rStyle w:val="Hyperlink"/>
                <w:i/>
                <w:color w:val="auto"/>
                <w:sz w:val="20"/>
                <w:szCs w:val="20"/>
                <w:u w:val="none"/>
              </w:rPr>
              <w:t>10</w:t>
            </w:r>
            <w:r>
              <w:rPr>
                <w:rStyle w:val="Hyperlink"/>
                <w:i/>
                <w:color w:val="auto"/>
                <w:sz w:val="20"/>
                <w:szCs w:val="20"/>
                <w:u w:val="none"/>
              </w:rPr>
              <w:t xml:space="preserve">, Volume II, Chapitre </w:t>
            </w:r>
            <w:r>
              <w:rPr>
                <w:rStyle w:val="Hyperlink"/>
                <w:i/>
                <w:color w:val="auto"/>
                <w:sz w:val="20"/>
                <w:szCs w:val="20"/>
                <w:u w:val="none"/>
              </w:rPr>
              <w:t>5</w:t>
            </w:r>
            <w:r>
              <w:rPr>
                <w:rStyle w:val="Hyperlink"/>
                <w:i/>
                <w:color w:val="auto"/>
                <w:sz w:val="20"/>
                <w:szCs w:val="20"/>
                <w:u w:val="none"/>
              </w:rPr>
              <w:t>, qui indique que la</w:t>
            </w:r>
          </w:p>
          <w:p>
            <w:pPr>
              <w:ind w:right="-932"/>
              <w:rPr>
                <w:rStyle w:val="Hyperlink"/>
                <w:i/>
                <w:color w:val="auto"/>
                <w:sz w:val="20"/>
                <w:szCs w:val="20"/>
                <w:u w:val="none"/>
              </w:rPr>
            </w:pPr>
            <w:r>
              <w:rPr>
                <w:rStyle w:val="Hyperlink"/>
                <w:i/>
                <w:color w:val="auto"/>
                <w:sz w:val="20"/>
                <w:szCs w:val="20"/>
                <w:u w:val="none"/>
              </w:rPr>
              <w:t>l</w:t>
            </w:r>
            <w:r>
              <w:rPr>
                <w:rStyle w:val="Hyperlink"/>
                <w:i/>
                <w:color w:val="auto"/>
                <w:sz w:val="20"/>
                <w:szCs w:val="20"/>
                <w:u w:val="none"/>
              </w:rPr>
              <w:t xml:space="preserve">angue </w:t>
            </w:r>
            <w:r>
              <w:rPr>
                <w:rStyle w:val="Hyperlink"/>
                <w:i/>
                <w:color w:val="auto"/>
                <w:sz w:val="20"/>
                <w:szCs w:val="20"/>
                <w:u w:val="none"/>
              </w:rPr>
              <w:t>utilisée dans les communications</w:t>
            </w:r>
          </w:p>
          <w:p>
            <w:pPr>
              <w:ind w:right="-932"/>
              <w:rPr>
                <w:rStyle w:val="Hyperlink"/>
                <w:i/>
                <w:color w:val="auto"/>
                <w:sz w:val="20"/>
                <w:szCs w:val="20"/>
                <w:u w:val="none"/>
              </w:rPr>
            </w:pPr>
            <w:r>
              <w:rPr>
                <w:rStyle w:val="Hyperlink"/>
                <w:i/>
                <w:color w:val="auto"/>
                <w:sz w:val="20"/>
                <w:szCs w:val="20"/>
                <w:u w:val="none"/>
              </w:rPr>
              <w:t xml:space="preserve">radiotéléphoniques peut être </w:t>
            </w:r>
            <w:r>
              <w:rPr>
                <w:rStyle w:val="Hyperlink"/>
                <w:i/>
                <w:color w:val="auto"/>
                <w:sz w:val="20"/>
                <w:szCs w:val="20"/>
                <w:u w:val="none"/>
              </w:rPr>
              <w:t>celle qui est</w:t>
            </w:r>
          </w:p>
          <w:p>
            <w:pPr>
              <w:ind w:right="-932"/>
              <w:rPr>
                <w:rStyle w:val="Hyperlink"/>
                <w:i/>
                <w:color w:val="auto"/>
                <w:sz w:val="20"/>
                <w:szCs w:val="20"/>
                <w:u w:val="none"/>
              </w:rPr>
            </w:pPr>
            <w:r>
              <w:rPr>
                <w:rStyle w:val="Hyperlink"/>
                <w:i/>
                <w:color w:val="auto"/>
                <w:sz w:val="20"/>
                <w:szCs w:val="20"/>
                <w:u w:val="none"/>
              </w:rPr>
              <w:t>habituellement utilisée par la station</w:t>
            </w:r>
            <w:r>
              <w:rPr>
                <w:rStyle w:val="Hyperlink"/>
                <w:i/>
                <w:color w:val="auto"/>
                <w:sz w:val="20"/>
                <w:szCs w:val="20"/>
                <w:u w:val="none"/>
              </w:rPr>
              <w:t xml:space="preserve"> </w:t>
            </w:r>
            <w:r>
              <w:rPr>
                <w:rStyle w:val="Hyperlink"/>
                <w:i/>
                <w:color w:val="auto"/>
                <w:sz w:val="20"/>
                <w:szCs w:val="20"/>
                <w:u w:val="none"/>
              </w:rPr>
              <w:t>au sol ou</w:t>
            </w:r>
          </w:p>
          <w:p>
            <w:pPr>
              <w:ind w:right="-932"/>
              <w:rPr>
                <w:rStyle w:val="Hyperlink"/>
                <w:i/>
                <w:color w:val="auto"/>
                <w:sz w:val="20"/>
                <w:szCs w:val="20"/>
                <w:u w:val="none"/>
              </w:rPr>
            </w:pPr>
            <w:r>
              <w:rPr>
                <w:rStyle w:val="Hyperlink"/>
                <w:i/>
                <w:color w:val="auto"/>
                <w:sz w:val="20"/>
                <w:szCs w:val="20"/>
                <w:u w:val="none"/>
              </w:rPr>
              <w:t>l’anglais. Dans la pratique,</w:t>
            </w:r>
            <w:r>
              <w:rPr>
                <w:rStyle w:val="Hyperlink"/>
                <w:i/>
                <w:color w:val="auto"/>
                <w:sz w:val="20"/>
                <w:szCs w:val="20"/>
                <w:u w:val="none"/>
              </w:rPr>
              <w:t xml:space="preserve"> il se présentera donc des</w:t>
            </w:r>
          </w:p>
          <w:p>
            <w:pPr>
              <w:ind w:right="-932"/>
              <w:rPr>
                <w:rStyle w:val="Hyperlink"/>
                <w:i/>
                <w:color w:val="auto"/>
                <w:sz w:val="20"/>
                <w:szCs w:val="20"/>
                <w:u w:val="none"/>
              </w:rPr>
            </w:pPr>
            <w:r>
              <w:rPr>
                <w:rStyle w:val="Hyperlink"/>
                <w:i/>
                <w:color w:val="auto"/>
                <w:sz w:val="20"/>
                <w:szCs w:val="20"/>
                <w:u w:val="none"/>
              </w:rPr>
              <w:t>situations dans lesquelles les membres d’équipage de</w:t>
            </w:r>
          </w:p>
          <w:p>
            <w:pPr>
              <w:ind w:right="-932"/>
              <w:rPr>
                <w:rStyle w:val="Hyperlink"/>
                <w:i/>
                <w:color w:val="auto"/>
                <w:sz w:val="20"/>
                <w:szCs w:val="20"/>
                <w:u w:val="none"/>
              </w:rPr>
            </w:pPr>
            <w:r>
              <w:rPr>
                <w:rStyle w:val="Hyperlink"/>
                <w:i/>
                <w:color w:val="auto"/>
                <w:sz w:val="20"/>
                <w:szCs w:val="20"/>
                <w:u w:val="none"/>
              </w:rPr>
              <w:t xml:space="preserve">conduite </w:t>
            </w:r>
            <w:r>
              <w:rPr>
                <w:rStyle w:val="Hyperlink"/>
                <w:i/>
                <w:color w:val="auto"/>
                <w:sz w:val="20"/>
                <w:szCs w:val="20"/>
                <w:u w:val="none"/>
              </w:rPr>
              <w:t>devront uniquement parler la langue</w:t>
            </w:r>
          </w:p>
          <w:p>
            <w:pPr>
              <w:ind w:right="-932"/>
              <w:rPr>
                <w:rStyle w:val="Hyperlink"/>
                <w:rFonts w:cstheme="majorBidi"/>
                <w:i/>
                <w:color w:val="auto"/>
                <w:sz w:val="20"/>
                <w:szCs w:val="20"/>
                <w:u w:val="none"/>
              </w:rPr>
            </w:pPr>
            <w:r>
              <w:rPr>
                <w:rStyle w:val="Hyperlink"/>
                <w:i/>
                <w:color w:val="auto"/>
                <w:sz w:val="20"/>
                <w:szCs w:val="20"/>
                <w:u w:val="none"/>
              </w:rPr>
              <w:t xml:space="preserve">habituellement </w:t>
            </w:r>
            <w:r>
              <w:rPr>
                <w:rStyle w:val="Hyperlink"/>
                <w:i/>
                <w:color w:val="auto"/>
                <w:sz w:val="20"/>
                <w:szCs w:val="20"/>
                <w:u w:val="none"/>
              </w:rPr>
              <w:t>utilisée par la station au sol.</w:t>
            </w:r>
          </w:p>
          <w:p>
            <w:pPr>
              <w:ind w:right="-932"/>
              <w:rPr>
                <w:rStyle w:val="Hyperlink"/>
                <w:i/>
                <w:color w:val="auto"/>
                <w:sz w:val="20"/>
                <w:szCs w:val="20"/>
                <w:u w:val="none"/>
              </w:rPr>
            </w:pPr>
          </w:p>
          <w:p>
            <w:pPr>
              <w:ind w:right="-932"/>
              <w:rPr>
                <w:rStyle w:val="Hyperlink"/>
                <w:i/>
                <w:color w:val="auto"/>
                <w:sz w:val="20"/>
                <w:szCs w:val="20"/>
                <w:u w:val="none"/>
              </w:rPr>
            </w:pPr>
            <w:r>
              <w:rPr>
                <w:rStyle w:val="Hyperlink"/>
                <w:i/>
                <w:color w:val="auto"/>
                <w:sz w:val="20"/>
                <w:szCs w:val="20"/>
                <w:u w:val="none"/>
              </w:rPr>
              <w:t>1</w:t>
            </w:r>
            <w:r>
              <w:rPr>
                <w:rStyle w:val="Hyperlink"/>
                <w:i/>
                <w:color w:val="auto"/>
                <w:sz w:val="20"/>
                <w:szCs w:val="20"/>
                <w:u w:val="none"/>
              </w:rPr>
              <w:t>.</w:t>
            </w:r>
            <w:r>
              <w:rPr>
                <w:rStyle w:val="Hyperlink"/>
                <w:i/>
                <w:color w:val="auto"/>
                <w:sz w:val="20"/>
                <w:szCs w:val="20"/>
                <w:u w:val="none"/>
              </w:rPr>
              <w:t>2</w:t>
            </w:r>
            <w:r>
              <w:rPr>
                <w:rStyle w:val="Hyperlink"/>
                <w:i/>
                <w:color w:val="auto"/>
                <w:sz w:val="20"/>
                <w:szCs w:val="20"/>
                <w:u w:val="none"/>
              </w:rPr>
              <w:t>.</w:t>
            </w:r>
            <w:r>
              <w:rPr>
                <w:rStyle w:val="Hyperlink"/>
                <w:i/>
                <w:color w:val="auto"/>
                <w:sz w:val="20"/>
                <w:szCs w:val="20"/>
                <w:u w:val="none"/>
              </w:rPr>
              <w:t>9</w:t>
            </w:r>
            <w:r>
              <w:rPr>
                <w:rStyle w:val="Hyperlink"/>
                <w:i/>
                <w:color w:val="auto"/>
                <w:sz w:val="20"/>
                <w:szCs w:val="20"/>
                <w:u w:val="none"/>
              </w:rPr>
              <w:t>.</w:t>
            </w:r>
            <w:r>
              <w:rPr>
                <w:rStyle w:val="Hyperlink"/>
                <w:i/>
                <w:color w:val="auto"/>
                <w:sz w:val="20"/>
                <w:szCs w:val="20"/>
                <w:u w:val="none"/>
              </w:rPr>
              <w:t>6</w:t>
            </w:r>
            <w:r>
              <w:rPr>
                <w:rStyle w:val="Hyperlink"/>
                <w:i/>
                <w:color w:val="auto"/>
                <w:sz w:val="20"/>
                <w:szCs w:val="20"/>
                <w:u w:val="none"/>
              </w:rPr>
              <w:t xml:space="preserve"> Recommandation.— Il est recommandé qu’à</w:t>
            </w:r>
          </w:p>
          <w:p>
            <w:pPr>
              <w:ind w:right="-932"/>
              <w:rPr>
                <w:rStyle w:val="Hyperlink"/>
                <w:i/>
                <w:color w:val="auto"/>
                <w:sz w:val="20"/>
                <w:szCs w:val="20"/>
                <w:u w:val="none"/>
              </w:rPr>
            </w:pPr>
            <w:r>
              <w:rPr>
                <w:rStyle w:val="Hyperlink"/>
                <w:i/>
                <w:color w:val="auto"/>
                <w:sz w:val="20"/>
                <w:szCs w:val="20"/>
                <w:u w:val="none"/>
              </w:rPr>
              <w:t xml:space="preserve">compter du </w:t>
            </w:r>
            <w:r>
              <w:rPr>
                <w:rStyle w:val="Hyperlink"/>
                <w:i/>
                <w:color w:val="auto"/>
                <w:sz w:val="20"/>
                <w:szCs w:val="20"/>
                <w:u w:val="none"/>
              </w:rPr>
              <w:t>3</w:t>
            </w:r>
            <w:r>
              <w:rPr>
                <w:rStyle w:val="Hyperlink"/>
                <w:i/>
                <w:color w:val="auto"/>
                <w:sz w:val="20"/>
                <w:szCs w:val="20"/>
                <w:u w:val="none"/>
              </w:rPr>
              <w:t> </w:t>
            </w:r>
            <w:r>
              <w:rPr>
                <w:rStyle w:val="Hyperlink"/>
                <w:i/>
                <w:color w:val="auto"/>
                <w:sz w:val="20"/>
                <w:szCs w:val="20"/>
                <w:u w:val="none"/>
              </w:rPr>
              <w:t>novembre</w:t>
            </w:r>
            <w:r>
              <w:rPr>
                <w:rStyle w:val="Hyperlink"/>
                <w:i/>
                <w:color w:val="auto"/>
                <w:sz w:val="20"/>
                <w:szCs w:val="20"/>
                <w:u w:val="none"/>
              </w:rPr>
              <w:t xml:space="preserve"> </w:t>
            </w:r>
            <w:r>
              <w:rPr>
                <w:rStyle w:val="Hyperlink"/>
                <w:i/>
                <w:color w:val="auto"/>
                <w:sz w:val="20"/>
                <w:szCs w:val="20"/>
                <w:u w:val="none"/>
              </w:rPr>
              <w:t>2022</w:t>
            </w:r>
            <w:r>
              <w:rPr>
                <w:rStyle w:val="Hyperlink"/>
                <w:i/>
                <w:color w:val="auto"/>
                <w:sz w:val="20"/>
                <w:szCs w:val="20"/>
                <w:u w:val="none"/>
              </w:rPr>
              <w:t>, les compétences</w:t>
            </w:r>
          </w:p>
          <w:p>
            <w:pPr>
              <w:ind w:right="-932"/>
              <w:rPr>
                <w:rStyle w:val="Hyperlink"/>
                <w:i/>
                <w:color w:val="auto"/>
                <w:sz w:val="20"/>
                <w:szCs w:val="20"/>
                <w:u w:val="none"/>
              </w:rPr>
            </w:pPr>
            <w:r>
              <w:rPr>
                <w:rStyle w:val="Hyperlink"/>
                <w:i/>
                <w:color w:val="auto"/>
                <w:sz w:val="20"/>
                <w:szCs w:val="20"/>
                <w:u w:val="none"/>
              </w:rPr>
              <w:t>linguistiques des</w:t>
            </w:r>
            <w:r>
              <w:rPr>
                <w:rStyle w:val="Hyperlink"/>
                <w:i/>
                <w:color w:val="auto"/>
                <w:sz w:val="20"/>
                <w:szCs w:val="20"/>
                <w:u w:val="none"/>
              </w:rPr>
              <w:t xml:space="preserve"> </w:t>
            </w:r>
            <w:r>
              <w:rPr>
                <w:rStyle w:val="Hyperlink"/>
                <w:i/>
                <w:color w:val="auto"/>
                <w:sz w:val="20"/>
                <w:szCs w:val="20"/>
                <w:u w:val="none"/>
              </w:rPr>
              <w:t>pilotes d’aéronefs à sustentation</w:t>
            </w:r>
          </w:p>
          <w:p>
            <w:pPr>
              <w:ind w:right="-932"/>
              <w:rPr>
                <w:rStyle w:val="Hyperlink"/>
                <w:rFonts w:cstheme="majorBidi"/>
                <w:i/>
                <w:color w:val="auto"/>
                <w:sz w:val="20"/>
                <w:szCs w:val="20"/>
                <w:u w:val="none"/>
              </w:rPr>
            </w:pPr>
            <w:r>
              <w:rPr>
                <w:rStyle w:val="Hyperlink"/>
                <w:i/>
                <w:color w:val="auto"/>
                <w:sz w:val="20"/>
                <w:szCs w:val="20"/>
                <w:u w:val="none"/>
              </w:rPr>
              <w:t xml:space="preserve">motorisée, d’avions, de dirigeables et d’hélicoptères; </w:t>
            </w:r>
          </w:p>
          <w:p>
            <w:pPr>
              <w:ind w:right="-932"/>
              <w:rPr>
                <w:rStyle w:val="Hyperlink"/>
                <w:i/>
                <w:color w:val="auto"/>
                <w:sz w:val="20"/>
                <w:szCs w:val="20"/>
                <w:u w:val="none"/>
              </w:rPr>
            </w:pPr>
            <w:r>
              <w:rPr>
                <w:rStyle w:val="Hyperlink"/>
                <w:i/>
                <w:color w:val="auto"/>
                <w:sz w:val="20"/>
                <w:szCs w:val="20"/>
                <w:u w:val="none"/>
              </w:rPr>
              <w:t>des télépilotes d’aéronefs à sustentation motorisée,</w:t>
            </w:r>
          </w:p>
          <w:p>
            <w:pPr>
              <w:ind w:right="-932"/>
              <w:rPr>
                <w:rStyle w:val="Hyperlink"/>
                <w:rFonts w:cstheme="majorBidi"/>
                <w:i/>
                <w:color w:val="auto"/>
                <w:sz w:val="20"/>
                <w:szCs w:val="20"/>
                <w:u w:val="none"/>
              </w:rPr>
            </w:pPr>
            <w:r>
              <w:rPr>
                <w:rStyle w:val="Hyperlink"/>
                <w:i/>
                <w:color w:val="auto"/>
                <w:sz w:val="20"/>
                <w:szCs w:val="20"/>
                <w:u w:val="none"/>
              </w:rPr>
              <w:t>d’avions, de dirigeables, de planeurs, de giravions</w:t>
            </w:r>
          </w:p>
          <w:p>
            <w:pPr>
              <w:ind w:right="-932"/>
              <w:rPr>
                <w:rStyle w:val="Hyperlink"/>
                <w:i/>
                <w:color w:val="auto"/>
                <w:sz w:val="20"/>
                <w:szCs w:val="20"/>
                <w:u w:val="none"/>
              </w:rPr>
            </w:pPr>
            <w:r>
              <w:rPr>
                <w:rStyle w:val="Hyperlink"/>
                <w:i/>
                <w:color w:val="auto"/>
                <w:sz w:val="20"/>
                <w:szCs w:val="20"/>
                <w:u w:val="none"/>
              </w:rPr>
              <w:t>ou de ballons libres; des navigateurs</w:t>
            </w:r>
            <w:r>
              <w:rPr>
                <w:rStyle w:val="Hyperlink"/>
                <w:i/>
                <w:color w:val="auto"/>
                <w:sz w:val="20"/>
                <w:szCs w:val="20"/>
                <w:u w:val="none"/>
              </w:rPr>
              <w:t xml:space="preserve"> </w:t>
            </w:r>
            <w:r>
              <w:rPr>
                <w:rStyle w:val="Hyperlink"/>
                <w:i/>
                <w:color w:val="auto"/>
                <w:sz w:val="20"/>
                <w:szCs w:val="20"/>
                <w:u w:val="none"/>
              </w:rPr>
              <w:t>qui doivent</w:t>
            </w:r>
          </w:p>
          <w:p>
            <w:pPr>
              <w:ind w:right="-932"/>
              <w:rPr>
                <w:rStyle w:val="Hyperlink"/>
                <w:i/>
                <w:color w:val="auto"/>
                <w:sz w:val="20"/>
                <w:szCs w:val="20"/>
                <w:u w:val="none"/>
              </w:rPr>
            </w:pPr>
            <w:r>
              <w:rPr>
                <w:rStyle w:val="Hyperlink"/>
                <w:i/>
                <w:color w:val="auto"/>
                <w:sz w:val="20"/>
                <w:szCs w:val="20"/>
                <w:u w:val="none"/>
              </w:rPr>
              <w:t>utiliser le radiotéléphone de bord; des contrôleurs de</w:t>
            </w:r>
          </w:p>
          <w:p>
            <w:pPr>
              <w:ind w:right="-932"/>
              <w:rPr>
                <w:rStyle w:val="Hyperlink"/>
                <w:i/>
                <w:color w:val="auto"/>
                <w:sz w:val="20"/>
                <w:szCs w:val="20"/>
                <w:u w:val="none"/>
              </w:rPr>
            </w:pPr>
            <w:r>
              <w:rPr>
                <w:rStyle w:val="Hyperlink"/>
                <w:i/>
                <w:color w:val="auto"/>
                <w:sz w:val="20"/>
                <w:szCs w:val="20"/>
                <w:u w:val="none"/>
              </w:rPr>
              <w:t>la circulation aé</w:t>
            </w:r>
            <w:r>
              <w:rPr>
                <w:rStyle w:val="Hyperlink"/>
                <w:i/>
                <w:color w:val="auto"/>
                <w:sz w:val="20"/>
                <w:szCs w:val="20"/>
                <w:u w:val="none"/>
              </w:rPr>
              <w:t xml:space="preserve">rienne; et des opérateurs radio </w:t>
            </w:r>
            <w:r>
              <w:rPr>
                <w:rStyle w:val="Hyperlink"/>
                <w:i/>
                <w:color w:val="auto"/>
                <w:sz w:val="20"/>
                <w:szCs w:val="20"/>
                <w:u w:val="none"/>
              </w:rPr>
              <w:t>de</w:t>
            </w:r>
          </w:p>
          <w:p>
            <w:pPr>
              <w:ind w:right="-932"/>
              <w:rPr>
                <w:rStyle w:val="Hyperlink"/>
                <w:i/>
                <w:color w:val="auto"/>
                <w:sz w:val="20"/>
                <w:szCs w:val="20"/>
                <w:u w:val="none"/>
              </w:rPr>
            </w:pPr>
            <w:r>
              <w:rPr>
                <w:rStyle w:val="Hyperlink"/>
                <w:i/>
                <w:color w:val="auto"/>
                <w:sz w:val="20"/>
                <w:szCs w:val="20"/>
                <w:u w:val="none"/>
              </w:rPr>
              <w:t>station aéronautique</w:t>
            </w:r>
            <w:r>
              <w:rPr>
                <w:rStyle w:val="Hyperlink"/>
                <w:b/>
                <w:i/>
                <w:color w:val="auto"/>
                <w:sz w:val="20"/>
                <w:szCs w:val="20"/>
                <w:u w:val="none"/>
              </w:rPr>
              <w:t xml:space="preserve"> </w:t>
            </w:r>
            <w:r>
              <w:rPr>
                <w:rStyle w:val="Hyperlink"/>
                <w:i/>
                <w:color w:val="auto"/>
                <w:sz w:val="20"/>
                <w:szCs w:val="20"/>
                <w:u w:val="none"/>
              </w:rPr>
              <w:t>dont le niveau de compétence</w:t>
            </w:r>
          </w:p>
          <w:p>
            <w:pPr>
              <w:ind w:right="-932"/>
              <w:rPr>
                <w:rStyle w:val="Hyperlink"/>
                <w:i/>
                <w:color w:val="auto"/>
                <w:sz w:val="20"/>
                <w:szCs w:val="20"/>
                <w:u w:val="none"/>
              </w:rPr>
            </w:pPr>
            <w:r>
              <w:rPr>
                <w:rStyle w:val="Hyperlink"/>
                <w:i/>
                <w:color w:val="auto"/>
                <w:sz w:val="20"/>
                <w:szCs w:val="20"/>
                <w:u w:val="none"/>
              </w:rPr>
              <w:t xml:space="preserve">démontré est inférieur au niveau expert (niveau </w:t>
            </w:r>
            <w:r>
              <w:rPr>
                <w:rStyle w:val="Hyperlink"/>
                <w:i/>
                <w:color w:val="auto"/>
                <w:sz w:val="20"/>
                <w:szCs w:val="20"/>
                <w:u w:val="none"/>
              </w:rPr>
              <w:t>6</w:t>
            </w:r>
            <w:r>
              <w:rPr>
                <w:rStyle w:val="Hyperlink"/>
                <w:i/>
                <w:color w:val="auto"/>
                <w:sz w:val="20"/>
                <w:szCs w:val="20"/>
                <w:u w:val="none"/>
              </w:rPr>
              <w:t>)</w:t>
            </w:r>
          </w:p>
          <w:p>
            <w:pPr>
              <w:ind w:right="-932"/>
              <w:rPr>
                <w:rStyle w:val="Hyperlink"/>
                <w:i/>
                <w:color w:val="auto"/>
                <w:sz w:val="20"/>
                <w:szCs w:val="20"/>
                <w:u w:val="none"/>
              </w:rPr>
            </w:pPr>
            <w:r>
              <w:rPr>
                <w:rStyle w:val="Hyperlink"/>
                <w:i/>
                <w:color w:val="auto"/>
                <w:sz w:val="20"/>
                <w:szCs w:val="20"/>
                <w:u w:val="none"/>
              </w:rPr>
              <w:t>soient formellement évalué</w:t>
            </w:r>
            <w:r>
              <w:rPr>
                <w:rStyle w:val="Hyperlink"/>
                <w:i/>
                <w:color w:val="auto"/>
                <w:sz w:val="20"/>
                <w:szCs w:val="20"/>
                <w:u w:val="none"/>
              </w:rPr>
              <w:t>e</w:t>
            </w:r>
            <w:r>
              <w:rPr>
                <w:rStyle w:val="Hyperlink"/>
                <w:i/>
                <w:color w:val="auto"/>
                <w:sz w:val="20"/>
                <w:szCs w:val="20"/>
                <w:u w:val="none"/>
              </w:rPr>
              <w:t>s à des intervalles</w:t>
            </w:r>
          </w:p>
          <w:p>
            <w:pPr>
              <w:ind w:right="-932"/>
              <w:rPr>
                <w:rStyle w:val="Hyperlink"/>
                <w:i/>
                <w:color w:val="auto"/>
                <w:sz w:val="20"/>
                <w:szCs w:val="20"/>
                <w:u w:val="none"/>
              </w:rPr>
            </w:pPr>
            <w:r>
              <w:rPr>
                <w:rStyle w:val="Hyperlink"/>
                <w:i/>
                <w:color w:val="auto"/>
                <w:sz w:val="20"/>
                <w:szCs w:val="20"/>
                <w:u w:val="none"/>
              </w:rPr>
              <w:t>conformes</w:t>
            </w:r>
            <w:r>
              <w:rPr>
                <w:rStyle w:val="Hyperlink"/>
                <w:i/>
                <w:color w:val="auto"/>
                <w:sz w:val="20"/>
                <w:szCs w:val="20"/>
                <w:u w:val="none"/>
              </w:rPr>
              <w:t xml:space="preserve"> </w:t>
            </w:r>
            <w:r>
              <w:rPr>
                <w:rStyle w:val="Hyperlink"/>
                <w:i/>
                <w:color w:val="auto"/>
                <w:sz w:val="20"/>
                <w:szCs w:val="20"/>
                <w:u w:val="none"/>
              </w:rPr>
              <w:t>au niveau de compétence démontré,</w:t>
            </w:r>
          </w:p>
          <w:p>
            <w:pPr>
              <w:ind w:right="-932"/>
              <w:rPr>
                <w:rStyle w:val="Hyperlink"/>
                <w:rFonts w:cstheme="majorBidi"/>
                <w:i/>
                <w:color w:val="auto"/>
                <w:sz w:val="20"/>
                <w:szCs w:val="20"/>
                <w:u w:val="none"/>
              </w:rPr>
            </w:pPr>
            <w:r>
              <w:rPr>
                <w:rStyle w:val="Hyperlink"/>
                <w:i/>
                <w:color w:val="auto"/>
                <w:sz w:val="20"/>
                <w:szCs w:val="20"/>
                <w:u w:val="none"/>
              </w:rPr>
              <w:t>comme suit:</w:t>
            </w:r>
          </w:p>
          <w:p>
            <w:pPr>
              <w:ind w:right="-932"/>
              <w:rPr>
                <w:rStyle w:val="Hyperlink"/>
                <w:i/>
                <w:color w:val="auto"/>
                <w:sz w:val="20"/>
                <w:szCs w:val="20"/>
                <w:u w:val="none"/>
              </w:rPr>
            </w:pPr>
            <w:r>
              <w:rPr>
                <w:rStyle w:val="Hyperlink"/>
                <w:i/>
                <w:color w:val="auto"/>
                <w:sz w:val="20"/>
                <w:szCs w:val="20"/>
                <w:u w:val="none"/>
              </w:rPr>
              <w:t>a) les personnes ayant démontré un niveau de</w:t>
            </w:r>
          </w:p>
          <w:p>
            <w:pPr>
              <w:ind w:right="-932"/>
              <w:rPr>
                <w:rStyle w:val="Hyperlink"/>
                <w:i/>
                <w:color w:val="auto"/>
                <w:sz w:val="20"/>
                <w:szCs w:val="20"/>
                <w:u w:val="none"/>
              </w:rPr>
            </w:pPr>
            <w:r>
              <w:rPr>
                <w:rStyle w:val="Hyperlink"/>
                <w:i/>
                <w:color w:val="auto"/>
                <w:sz w:val="20"/>
                <w:szCs w:val="20"/>
                <w:u w:val="none"/>
              </w:rPr>
              <w:t>compétence égal</w:t>
            </w:r>
            <w:r>
              <w:rPr>
                <w:rStyle w:val="Hyperlink"/>
                <w:i/>
                <w:color w:val="auto"/>
                <w:sz w:val="20"/>
                <w:szCs w:val="20"/>
                <w:u w:val="none"/>
              </w:rPr>
              <w:t xml:space="preserve"> </w:t>
            </w:r>
            <w:r>
              <w:rPr>
                <w:rStyle w:val="Hyperlink"/>
                <w:i/>
                <w:color w:val="auto"/>
                <w:sz w:val="20"/>
                <w:szCs w:val="20"/>
                <w:u w:val="none"/>
              </w:rPr>
              <w:t xml:space="preserve">au niveau fonctionnel (niveau </w:t>
            </w:r>
            <w:r>
              <w:rPr>
                <w:rStyle w:val="Hyperlink"/>
                <w:i/>
                <w:color w:val="auto"/>
                <w:sz w:val="20"/>
                <w:szCs w:val="20"/>
                <w:u w:val="none"/>
              </w:rPr>
              <w:t>4</w:t>
            </w:r>
            <w:r>
              <w:rPr>
                <w:rStyle w:val="Hyperlink"/>
                <w:i/>
                <w:color w:val="auto"/>
                <w:sz w:val="20"/>
                <w:szCs w:val="20"/>
                <w:u w:val="none"/>
              </w:rPr>
              <w:t>)</w:t>
            </w:r>
          </w:p>
          <w:p>
            <w:pPr>
              <w:ind w:right="-932"/>
              <w:rPr>
                <w:rStyle w:val="Hyperlink"/>
                <w:i/>
                <w:color w:val="auto"/>
                <w:sz w:val="20"/>
                <w:szCs w:val="20"/>
                <w:u w:val="none"/>
              </w:rPr>
            </w:pPr>
            <w:r>
              <w:rPr>
                <w:rStyle w:val="Hyperlink"/>
                <w:i/>
                <w:color w:val="auto"/>
                <w:sz w:val="20"/>
                <w:szCs w:val="20"/>
                <w:u w:val="none"/>
              </w:rPr>
              <w:t>devraient être évaluées au moins une fois tous les</w:t>
            </w:r>
          </w:p>
          <w:p>
            <w:pPr>
              <w:ind w:right="-932"/>
              <w:rPr>
                <w:rStyle w:val="Hyperlink"/>
                <w:rFonts w:cstheme="majorBidi"/>
                <w:i/>
                <w:color w:val="auto"/>
                <w:sz w:val="20"/>
                <w:szCs w:val="20"/>
                <w:u w:val="none"/>
              </w:rPr>
            </w:pPr>
            <w:r>
              <w:rPr>
                <w:rStyle w:val="Hyperlink"/>
                <w:i/>
                <w:color w:val="auto"/>
                <w:sz w:val="20"/>
                <w:szCs w:val="20"/>
                <w:u w:val="none"/>
              </w:rPr>
              <w:t>trois ans; et</w:t>
            </w:r>
          </w:p>
          <w:p>
            <w:pPr>
              <w:ind w:right="-932"/>
              <w:rPr>
                <w:rStyle w:val="Hyperlink"/>
                <w:i/>
                <w:color w:val="auto"/>
                <w:sz w:val="20"/>
                <w:szCs w:val="20"/>
                <w:u w:val="none"/>
              </w:rPr>
            </w:pPr>
            <w:r>
              <w:rPr>
                <w:rStyle w:val="Hyperlink"/>
                <w:i/>
                <w:color w:val="auto"/>
                <w:sz w:val="20"/>
                <w:szCs w:val="20"/>
                <w:u w:val="none"/>
              </w:rPr>
              <w:t>b) les personnes ayant démontré un niveau de</w:t>
            </w:r>
          </w:p>
          <w:p>
            <w:pPr>
              <w:ind w:right="-932"/>
              <w:rPr>
                <w:rStyle w:val="Hyperlink"/>
                <w:i/>
                <w:color w:val="auto"/>
                <w:sz w:val="20"/>
                <w:szCs w:val="20"/>
                <w:u w:val="none"/>
              </w:rPr>
            </w:pPr>
            <w:r>
              <w:rPr>
                <w:rStyle w:val="Hyperlink"/>
                <w:i/>
                <w:color w:val="auto"/>
                <w:sz w:val="20"/>
                <w:szCs w:val="20"/>
                <w:u w:val="none"/>
              </w:rPr>
              <w:t xml:space="preserve">compétence égal au niveau avancé (niveau </w:t>
            </w:r>
            <w:r>
              <w:rPr>
                <w:rStyle w:val="Hyperlink"/>
                <w:i/>
                <w:color w:val="auto"/>
                <w:sz w:val="20"/>
                <w:szCs w:val="20"/>
                <w:u w:val="none"/>
              </w:rPr>
              <w:t>5</w:t>
            </w:r>
            <w:r>
              <w:rPr>
                <w:rStyle w:val="Hyperlink"/>
                <w:i/>
                <w:color w:val="auto"/>
                <w:sz w:val="20"/>
                <w:szCs w:val="20"/>
                <w:u w:val="none"/>
              </w:rPr>
              <w:t>)</w:t>
            </w:r>
          </w:p>
          <w:p>
            <w:pPr>
              <w:ind w:right="-932"/>
              <w:rPr>
                <w:rStyle w:val="Hyperlink"/>
                <w:i/>
                <w:color w:val="auto"/>
                <w:sz w:val="20"/>
                <w:szCs w:val="20"/>
                <w:u w:val="none"/>
              </w:rPr>
            </w:pPr>
            <w:r>
              <w:rPr>
                <w:rStyle w:val="Hyperlink"/>
                <w:i/>
                <w:color w:val="auto"/>
                <w:sz w:val="20"/>
                <w:szCs w:val="20"/>
                <w:u w:val="none"/>
              </w:rPr>
              <w:t>devraient être évaluées</w:t>
            </w:r>
            <w:r>
              <w:rPr>
                <w:rStyle w:val="Hyperlink"/>
                <w:i/>
                <w:color w:val="auto"/>
                <w:sz w:val="20"/>
                <w:szCs w:val="20"/>
                <w:u w:val="none"/>
              </w:rPr>
              <w:t xml:space="preserve"> </w:t>
            </w:r>
            <w:r>
              <w:rPr>
                <w:rStyle w:val="Hyperlink"/>
                <w:i/>
                <w:color w:val="auto"/>
                <w:sz w:val="20"/>
                <w:szCs w:val="20"/>
                <w:u w:val="none"/>
              </w:rPr>
              <w:t>au moins une fois tous les six</w:t>
            </w:r>
          </w:p>
          <w:p>
            <w:pPr>
              <w:ind w:right="-932"/>
              <w:rPr>
                <w:rStyle w:val="Hyperlink"/>
                <w:rFonts w:cstheme="majorBidi"/>
                <w:i/>
                <w:color w:val="auto"/>
                <w:sz w:val="20"/>
                <w:szCs w:val="20"/>
                <w:u w:val="none"/>
              </w:rPr>
            </w:pPr>
            <w:r>
              <w:rPr>
                <w:rStyle w:val="Hyperlink"/>
                <w:i/>
                <w:color w:val="auto"/>
                <w:sz w:val="20"/>
                <w:szCs w:val="20"/>
                <w:u w:val="none"/>
              </w:rPr>
              <w:t>ans.</w:t>
            </w:r>
          </w:p>
          <w:p>
            <w:pPr>
              <w:ind w:right="-930"/>
              <w:rPr>
                <w:rStyle w:val="Hyperlink"/>
                <w:i/>
                <w:color w:val="auto"/>
                <w:sz w:val="20"/>
                <w:szCs w:val="20"/>
                <w:u w:val="none"/>
              </w:rPr>
            </w:pPr>
          </w:p>
          <w:p>
            <w:pPr>
              <w:ind w:right="-930"/>
              <w:rPr>
                <w:rStyle w:val="Hyperlink"/>
                <w:rFonts w:cstheme="majorBidi"/>
                <w:i/>
                <w:color w:val="auto"/>
                <w:sz w:val="20"/>
                <w:szCs w:val="20"/>
                <w:u w:val="none"/>
              </w:rPr>
            </w:pPr>
            <w:r>
              <w:rPr>
                <w:rStyle w:val="Hyperlink"/>
                <w:i/>
                <w:color w:val="auto"/>
                <w:sz w:val="20"/>
                <w:szCs w:val="20"/>
                <w:u w:val="none"/>
              </w:rPr>
              <w:t xml:space="preserve">Note </w:t>
            </w:r>
            <w:r>
              <w:rPr>
                <w:rStyle w:val="Hyperlink"/>
                <w:i/>
                <w:color w:val="auto"/>
                <w:sz w:val="20"/>
                <w:szCs w:val="20"/>
                <w:u w:val="none"/>
              </w:rPr>
              <w:t>1</w:t>
            </w:r>
            <w:r>
              <w:rPr>
                <w:rStyle w:val="Hyperlink"/>
                <w:i/>
                <w:color w:val="auto"/>
                <w:sz w:val="20"/>
                <w:szCs w:val="20"/>
                <w:u w:val="none"/>
              </w:rPr>
              <w:t>.— Une évaluation formelle n’est pas requise</w:t>
            </w:r>
          </w:p>
          <w:p>
            <w:pPr>
              <w:ind w:right="-930"/>
              <w:rPr>
                <w:rStyle w:val="Hyperlink"/>
                <w:i/>
                <w:color w:val="auto"/>
                <w:sz w:val="20"/>
                <w:szCs w:val="20"/>
                <w:u w:val="none"/>
              </w:rPr>
            </w:pPr>
            <w:r>
              <w:rPr>
                <w:rStyle w:val="Hyperlink"/>
                <w:i/>
                <w:color w:val="auto"/>
                <w:sz w:val="20"/>
                <w:szCs w:val="20"/>
                <w:u w:val="none"/>
              </w:rPr>
              <w:t>des candidats qui font preuve d’une grande maîtrise</w:t>
            </w:r>
          </w:p>
          <w:p>
            <w:pPr>
              <w:ind w:right="-930"/>
              <w:rPr>
                <w:rStyle w:val="Hyperlink"/>
                <w:i/>
                <w:color w:val="auto"/>
                <w:sz w:val="20"/>
                <w:szCs w:val="20"/>
                <w:u w:val="none"/>
              </w:rPr>
            </w:pPr>
            <w:r>
              <w:rPr>
                <w:rStyle w:val="Hyperlink"/>
                <w:i/>
                <w:color w:val="auto"/>
                <w:sz w:val="20"/>
                <w:szCs w:val="20"/>
                <w:u w:val="none"/>
              </w:rPr>
              <w:t xml:space="preserve">de la langue, </w:t>
            </w:r>
            <w:r>
              <w:rPr>
                <w:rStyle w:val="Hyperlink"/>
                <w:i/>
                <w:color w:val="auto"/>
                <w:sz w:val="20"/>
                <w:szCs w:val="20"/>
                <w:u w:val="none"/>
              </w:rPr>
              <w:t>par exemple les personnes dont c’est la</w:t>
            </w:r>
          </w:p>
          <w:p>
            <w:pPr>
              <w:ind w:right="-930"/>
              <w:rPr>
                <w:rStyle w:val="Hyperlink"/>
                <w:i/>
                <w:color w:val="auto"/>
                <w:sz w:val="20"/>
                <w:szCs w:val="20"/>
                <w:u w:val="none"/>
              </w:rPr>
            </w:pPr>
            <w:r>
              <w:rPr>
                <w:rStyle w:val="Hyperlink"/>
                <w:i/>
                <w:color w:val="auto"/>
                <w:sz w:val="20"/>
                <w:szCs w:val="20"/>
                <w:u w:val="none"/>
              </w:rPr>
              <w:t>langue maternelle</w:t>
            </w:r>
            <w:r>
              <w:rPr>
                <w:rStyle w:val="Hyperlink"/>
                <w:i/>
                <w:color w:val="auto"/>
                <w:sz w:val="20"/>
                <w:szCs w:val="20"/>
                <w:u w:val="none"/>
              </w:rPr>
              <w:t xml:space="preserve"> </w:t>
            </w:r>
            <w:r>
              <w:rPr>
                <w:rStyle w:val="Hyperlink"/>
                <w:i/>
                <w:color w:val="auto"/>
                <w:sz w:val="20"/>
                <w:szCs w:val="20"/>
                <w:u w:val="none"/>
              </w:rPr>
              <w:t>ou les personnes ayant une très</w:t>
            </w:r>
          </w:p>
          <w:p>
            <w:pPr>
              <w:ind w:right="-930"/>
              <w:rPr>
                <w:rStyle w:val="Hyperlink"/>
                <w:i/>
                <w:color w:val="auto"/>
                <w:sz w:val="20"/>
                <w:szCs w:val="20"/>
                <w:u w:val="none"/>
              </w:rPr>
            </w:pPr>
            <w:r>
              <w:rPr>
                <w:rStyle w:val="Hyperlink"/>
                <w:i/>
                <w:color w:val="auto"/>
                <w:sz w:val="20"/>
                <w:szCs w:val="20"/>
                <w:u w:val="none"/>
              </w:rPr>
              <w:t xml:space="preserve">bonne connaissance de la langue </w:t>
            </w:r>
            <w:r>
              <w:rPr>
                <w:rStyle w:val="Hyperlink"/>
                <w:i/>
                <w:color w:val="auto"/>
                <w:sz w:val="20"/>
                <w:szCs w:val="20"/>
                <w:u w:val="none"/>
              </w:rPr>
              <w:t>et dont le parler ou</w:t>
            </w:r>
          </w:p>
          <w:p>
            <w:pPr>
              <w:ind w:right="-930"/>
              <w:rPr>
                <w:rStyle w:val="Hyperlink"/>
                <w:rFonts w:cstheme="majorBidi"/>
                <w:i/>
                <w:color w:val="auto"/>
                <w:sz w:val="20"/>
                <w:szCs w:val="20"/>
                <w:u w:val="none"/>
              </w:rPr>
            </w:pPr>
            <w:r>
              <w:rPr>
                <w:rStyle w:val="Hyperlink"/>
                <w:i/>
                <w:color w:val="auto"/>
                <w:sz w:val="20"/>
                <w:szCs w:val="20"/>
                <w:u w:val="none"/>
              </w:rPr>
              <w:t>l’accent est intelligible à la communauté aéronautique internationale.</w:t>
            </w:r>
          </w:p>
          <w:p>
            <w:pPr>
              <w:ind w:right="-932"/>
              <w:rPr>
                <w:rStyle w:val="Hyperlink"/>
                <w:i/>
                <w:color w:val="auto"/>
                <w:sz w:val="20"/>
                <w:szCs w:val="20"/>
                <w:u w:val="none"/>
              </w:rPr>
            </w:pPr>
            <w:r>
              <w:rPr>
                <w:rStyle w:val="Hyperlink"/>
                <w:i/>
                <w:color w:val="auto"/>
                <w:sz w:val="20"/>
                <w:szCs w:val="20"/>
                <w:u w:val="none"/>
              </w:rPr>
              <w:t>Les dispositions du point</w:t>
            </w:r>
            <w:r>
              <w:rPr>
                <w:rStyle w:val="Hyperlink"/>
                <w:i/>
                <w:color w:val="auto"/>
                <w:sz w:val="20"/>
                <w:szCs w:val="20"/>
                <w:u w:val="none"/>
              </w:rPr>
              <w:t> </w:t>
            </w:r>
            <w:r>
              <w:rPr>
                <w:rStyle w:val="Hyperlink"/>
                <w:i/>
                <w:color w:val="auto"/>
                <w:sz w:val="20"/>
                <w:szCs w:val="20"/>
                <w:u w:val="none"/>
              </w:rPr>
              <w:t>1</w:t>
            </w:r>
            <w:r>
              <w:rPr>
                <w:rStyle w:val="Hyperlink"/>
                <w:i/>
                <w:color w:val="auto"/>
                <w:sz w:val="20"/>
                <w:szCs w:val="20"/>
                <w:u w:val="none"/>
              </w:rPr>
              <w:t>.</w:t>
            </w:r>
            <w:r>
              <w:rPr>
                <w:rStyle w:val="Hyperlink"/>
                <w:i/>
                <w:color w:val="auto"/>
                <w:sz w:val="20"/>
                <w:szCs w:val="20"/>
                <w:u w:val="none"/>
              </w:rPr>
              <w:t>2</w:t>
            </w:r>
            <w:r>
              <w:rPr>
                <w:rStyle w:val="Hyperlink"/>
                <w:i/>
                <w:color w:val="auto"/>
                <w:sz w:val="20"/>
                <w:szCs w:val="20"/>
                <w:u w:val="none"/>
              </w:rPr>
              <w:t>.</w:t>
            </w:r>
            <w:r>
              <w:rPr>
                <w:rStyle w:val="Hyperlink"/>
                <w:i/>
                <w:color w:val="auto"/>
                <w:sz w:val="20"/>
                <w:szCs w:val="20"/>
                <w:u w:val="none"/>
              </w:rPr>
              <w:t>9</w:t>
            </w:r>
            <w:r>
              <w:rPr>
                <w:rStyle w:val="Hyperlink"/>
                <w:i/>
                <w:color w:val="auto"/>
                <w:sz w:val="20"/>
                <w:szCs w:val="20"/>
                <w:u w:val="none"/>
              </w:rPr>
              <w:t xml:space="preserve"> se rapportent à l’annexe</w:t>
            </w:r>
          </w:p>
          <w:p>
            <w:pPr>
              <w:ind w:right="-932"/>
              <w:rPr>
                <w:rStyle w:val="Hyperlink"/>
                <w:i/>
                <w:color w:val="auto"/>
                <w:sz w:val="20"/>
                <w:szCs w:val="20"/>
                <w:u w:val="none"/>
              </w:rPr>
            </w:pPr>
            <w:r>
              <w:rPr>
                <w:rStyle w:val="Hyperlink"/>
                <w:i/>
                <w:color w:val="auto"/>
                <w:sz w:val="20"/>
                <w:szCs w:val="20"/>
                <w:u w:val="none"/>
              </w:rPr>
              <w:t>10</w:t>
            </w:r>
            <w:r>
              <w:rPr>
                <w:rStyle w:val="Hyperlink"/>
                <w:i/>
                <w:color w:val="auto"/>
                <w:sz w:val="20"/>
                <w:szCs w:val="20"/>
                <w:u w:val="none"/>
              </w:rPr>
              <w:t xml:space="preserve">, Volume II, Chapitre </w:t>
            </w:r>
            <w:r>
              <w:rPr>
                <w:rStyle w:val="Hyperlink"/>
                <w:i/>
                <w:color w:val="auto"/>
                <w:sz w:val="20"/>
                <w:szCs w:val="20"/>
                <w:u w:val="none"/>
              </w:rPr>
              <w:t>5</w:t>
            </w:r>
            <w:r>
              <w:rPr>
                <w:rStyle w:val="Hyperlink"/>
                <w:i/>
                <w:color w:val="auto"/>
                <w:sz w:val="20"/>
                <w:szCs w:val="20"/>
                <w:u w:val="none"/>
              </w:rPr>
              <w:t>, qui indique que la langue</w:t>
            </w:r>
          </w:p>
          <w:p>
            <w:pPr>
              <w:ind w:right="-932"/>
              <w:rPr>
                <w:rStyle w:val="Hyperlink"/>
                <w:i/>
                <w:color w:val="auto"/>
                <w:sz w:val="20"/>
                <w:szCs w:val="20"/>
                <w:u w:val="none"/>
              </w:rPr>
            </w:pPr>
            <w:r>
              <w:rPr>
                <w:rStyle w:val="Hyperlink"/>
                <w:i/>
                <w:color w:val="auto"/>
                <w:sz w:val="20"/>
                <w:szCs w:val="20"/>
                <w:u w:val="none"/>
              </w:rPr>
              <w:t>U</w:t>
            </w:r>
            <w:r>
              <w:rPr>
                <w:rStyle w:val="Hyperlink"/>
                <w:i/>
                <w:color w:val="auto"/>
                <w:sz w:val="20"/>
                <w:szCs w:val="20"/>
                <w:u w:val="none"/>
              </w:rPr>
              <w:t>tilisée</w:t>
            </w:r>
            <w:r>
              <w:rPr>
                <w:rStyle w:val="Hyperlink"/>
                <w:i/>
                <w:color w:val="auto"/>
                <w:sz w:val="20"/>
                <w:szCs w:val="20"/>
                <w:u w:val="none"/>
              </w:rPr>
              <w:t xml:space="preserve"> </w:t>
            </w:r>
            <w:r>
              <w:rPr>
                <w:rStyle w:val="Hyperlink"/>
                <w:i/>
                <w:color w:val="auto"/>
                <w:sz w:val="20"/>
                <w:szCs w:val="20"/>
                <w:u w:val="none"/>
              </w:rPr>
              <w:t>dans les communications radiotéléphoniques</w:t>
            </w:r>
          </w:p>
          <w:p>
            <w:pPr>
              <w:ind w:right="-932"/>
              <w:rPr>
                <w:rStyle w:val="Hyperlink"/>
                <w:i/>
                <w:color w:val="auto"/>
                <w:sz w:val="20"/>
                <w:szCs w:val="20"/>
                <w:u w:val="none"/>
              </w:rPr>
            </w:pPr>
            <w:r>
              <w:rPr>
                <w:rStyle w:val="Hyperlink"/>
                <w:i/>
                <w:color w:val="auto"/>
                <w:sz w:val="20"/>
                <w:szCs w:val="20"/>
                <w:u w:val="none"/>
              </w:rPr>
              <w:t>peut être</w:t>
            </w:r>
            <w:r>
              <w:rPr>
                <w:rStyle w:val="Hyperlink"/>
                <w:i/>
                <w:color w:val="auto"/>
                <w:sz w:val="20"/>
                <w:szCs w:val="20"/>
                <w:u w:val="none"/>
              </w:rPr>
              <w:t xml:space="preserve"> </w:t>
            </w:r>
            <w:r>
              <w:rPr>
                <w:rStyle w:val="Hyperlink"/>
                <w:i/>
                <w:color w:val="auto"/>
                <w:sz w:val="20"/>
                <w:szCs w:val="20"/>
                <w:u w:val="none"/>
              </w:rPr>
              <w:t>celle qui est habituellement utilisée par la</w:t>
            </w:r>
          </w:p>
          <w:p>
            <w:pPr>
              <w:ind w:right="-932"/>
              <w:rPr>
                <w:rStyle w:val="Hyperlink"/>
                <w:rFonts w:cstheme="majorBidi"/>
                <w:i/>
                <w:color w:val="auto"/>
                <w:sz w:val="20"/>
                <w:szCs w:val="20"/>
                <w:u w:val="none"/>
              </w:rPr>
            </w:pPr>
            <w:r>
              <w:rPr>
                <w:rStyle w:val="Hyperlink"/>
                <w:i/>
                <w:color w:val="auto"/>
                <w:sz w:val="20"/>
                <w:szCs w:val="20"/>
                <w:u w:val="none"/>
              </w:rPr>
              <w:t>statio</w:t>
            </w:r>
            <w:r>
              <w:rPr>
                <w:rStyle w:val="Hyperlink"/>
                <w:i/>
                <w:color w:val="auto"/>
                <w:sz w:val="20"/>
                <w:szCs w:val="20"/>
                <w:u w:val="none"/>
              </w:rPr>
              <w:t xml:space="preserve">n </w:t>
            </w:r>
            <w:r>
              <w:rPr>
                <w:rStyle w:val="Hyperlink"/>
                <w:i/>
                <w:color w:val="auto"/>
                <w:sz w:val="20"/>
                <w:szCs w:val="20"/>
                <w:u w:val="none"/>
              </w:rPr>
              <w:t>au sol ou l’anglais.</w:t>
            </w:r>
          </w:p>
          <w:p>
            <w:pPr>
              <w:ind w:right="-932"/>
              <w:rPr>
                <w:rStyle w:val="Hyperlink"/>
                <w:rFonts w:cstheme="majorBidi"/>
                <w:i/>
                <w:color w:val="auto"/>
                <w:sz w:val="20"/>
                <w:szCs w:val="20"/>
                <w:u w:val="none"/>
              </w:rPr>
            </w:pPr>
            <w:r>
              <w:rPr>
                <w:rStyle w:val="Hyperlink"/>
                <w:i/>
                <w:color w:val="auto"/>
                <w:sz w:val="20"/>
                <w:szCs w:val="20"/>
                <w:u w:val="none"/>
              </w:rPr>
              <w:t xml:space="preserve">Dans la pratique, </w:t>
            </w:r>
            <w:r>
              <w:rPr>
                <w:rStyle w:val="Hyperlink"/>
                <w:i/>
                <w:color w:val="auto"/>
                <w:sz w:val="20"/>
                <w:szCs w:val="20"/>
                <w:u w:val="none"/>
              </w:rPr>
              <w:t>il se présentera donc des situations</w:t>
            </w:r>
          </w:p>
          <w:p>
            <w:pPr>
              <w:ind w:right="-932"/>
              <w:rPr>
                <w:rStyle w:val="Hyperlink"/>
                <w:rFonts w:cstheme="majorBidi"/>
                <w:i/>
                <w:color w:val="auto"/>
                <w:sz w:val="20"/>
                <w:szCs w:val="20"/>
                <w:u w:val="none"/>
              </w:rPr>
            </w:pPr>
            <w:r>
              <w:rPr>
                <w:rStyle w:val="Hyperlink"/>
                <w:i/>
                <w:color w:val="auto"/>
                <w:sz w:val="20"/>
                <w:szCs w:val="20"/>
                <w:u w:val="none"/>
              </w:rPr>
              <w:t>dans lesquelles les membres d’équipage de conduite</w:t>
            </w:r>
          </w:p>
          <w:p>
            <w:pPr>
              <w:ind w:right="-932"/>
              <w:rPr>
                <w:rStyle w:val="Hyperlink"/>
                <w:i/>
                <w:color w:val="auto"/>
                <w:sz w:val="20"/>
                <w:szCs w:val="20"/>
                <w:u w:val="none"/>
              </w:rPr>
            </w:pPr>
            <w:r>
              <w:rPr>
                <w:rStyle w:val="Hyperlink"/>
                <w:i/>
                <w:color w:val="auto"/>
                <w:sz w:val="20"/>
                <w:szCs w:val="20"/>
                <w:u w:val="none"/>
              </w:rPr>
              <w:t>devro</w:t>
            </w:r>
            <w:r>
              <w:rPr>
                <w:rStyle w:val="Hyperlink"/>
                <w:i/>
                <w:color w:val="auto"/>
                <w:sz w:val="20"/>
                <w:szCs w:val="20"/>
                <w:u w:val="none"/>
              </w:rPr>
              <w:t xml:space="preserve">nt uniquement parler la langue </w:t>
            </w:r>
            <w:r>
              <w:rPr>
                <w:rStyle w:val="Hyperlink"/>
                <w:i/>
                <w:color w:val="auto"/>
                <w:sz w:val="20"/>
                <w:szCs w:val="20"/>
                <w:u w:val="none"/>
              </w:rPr>
              <w:t>habituellement</w:t>
            </w:r>
          </w:p>
          <w:p>
            <w:pPr>
              <w:ind w:right="-932"/>
              <w:rPr>
                <w:rStyle w:val="Hyperlink"/>
                <w:rFonts w:cstheme="majorBidi"/>
                <w:b/>
                <w:color w:val="auto"/>
                <w:sz w:val="20"/>
                <w:szCs w:val="20"/>
                <w:u w:val="none"/>
              </w:rPr>
            </w:pPr>
            <w:r>
              <w:rPr>
                <w:rStyle w:val="Hyperlink"/>
                <w:i/>
                <w:color w:val="auto"/>
                <w:sz w:val="20"/>
                <w:szCs w:val="20"/>
                <w:u w:val="none"/>
              </w:rPr>
              <w:t>utilisée par la station au sol.</w:t>
            </w:r>
          </w:p>
        </w:tc>
        <w:tc>
          <w:tcPr>
            <w:tcW w:w="2554" w:type="dxa"/>
          </w:tcPr>
          <w:p>
            <w:pPr>
              <w:rPr>
                <w:rStyle w:val="Hyperlink"/>
                <w:rFonts w:cstheme="majorBidi"/>
                <w:color w:val="auto"/>
                <w:sz w:val="20"/>
                <w:szCs w:val="20"/>
              </w:rPr>
            </w:pPr>
            <w:r>
              <w:rPr>
                <w:rStyle w:val="Hyperlink"/>
                <w:color w:val="auto"/>
                <w:sz w:val="20"/>
                <w:szCs w:val="20"/>
              </w:rPr>
              <w:t xml:space="preserve">L’intervalle entre deux évaluations formelles des compétences linguistiques, prescrit par [l’État], des titulaires de licences de pilote d’avions et d’hélicoptères ayant démontré un niveau de compétence égal au niveau expert (niveau </w:t>
            </w:r>
            <w:r>
              <w:rPr>
                <w:rStyle w:val="Hyperlink"/>
                <w:color w:val="auto"/>
                <w:sz w:val="20"/>
                <w:szCs w:val="20"/>
              </w:rPr>
              <w:t>6</w:t>
            </w:r>
            <w:r>
              <w:rPr>
                <w:rStyle w:val="Hyperlink"/>
                <w:color w:val="auto"/>
                <w:sz w:val="20"/>
                <w:szCs w:val="20"/>
              </w:rPr>
              <w:t xml:space="preserve">) et dont l’attestation de compétences linguistiques vient à expiration, est prolongé de </w:t>
            </w:r>
            <w:r>
              <w:rPr>
                <w:rStyle w:val="Hyperlink"/>
                <w:color w:val="auto"/>
                <w:sz w:val="20"/>
                <w:szCs w:val="20"/>
              </w:rPr>
              <w:t>8</w:t>
            </w:r>
            <w:r>
              <w:rPr>
                <w:rStyle w:val="Hyperlink"/>
                <w:color w:val="auto"/>
                <w:sz w:val="20"/>
                <w:szCs w:val="20"/>
              </w:rPr>
              <w:t xml:space="preserve"> mois.</w:t>
            </w:r>
          </w:p>
          <w:p>
            <w:pPr>
              <w:rPr>
                <w:rStyle w:val="Hyperlink"/>
                <w:rFonts w:cstheme="majorBidi"/>
                <w:color w:val="auto"/>
                <w:sz w:val="20"/>
                <w:szCs w:val="20"/>
              </w:rPr>
            </w:pPr>
          </w:p>
          <w:p>
            <w:pPr>
              <w:rPr>
                <w:sz w:val="20"/>
                <w:szCs w:val="20"/>
              </w:rPr>
            </w:pPr>
            <w:r>
              <w:rPr>
                <w:sz w:val="20"/>
                <w:szCs w:val="20"/>
              </w:rPr>
              <w:t xml:space="preserve">L’intervalle entre deux évaluations des compétences linguistiques prescrit par [l’État] pour les contrôleurs de la circulation aérienne dont l’attestation de compétences linguistiques vient à expiration, est prolongé de </w:t>
            </w:r>
            <w:r>
              <w:rPr>
                <w:sz w:val="20"/>
                <w:szCs w:val="20"/>
              </w:rPr>
              <w:t>4</w:t>
            </w:r>
            <w:r>
              <w:rPr>
                <w:sz w:val="20"/>
                <w:szCs w:val="20"/>
              </w:rPr>
              <w:t xml:space="preserve"> mois.</w:t>
            </w:r>
          </w:p>
          <w:p>
            <w:pPr>
              <w:rPr>
                <w:rStyle w:val="Hyperlink"/>
                <w:rFonts w:cstheme="majorBidi"/>
                <w:color w:val="auto"/>
                <w:sz w:val="20"/>
                <w:szCs w:val="20"/>
              </w:rPr>
            </w:pPr>
          </w:p>
          <w:p>
            <w:pPr>
              <w:rPr>
                <w:rStyle w:val="Hyperlink"/>
                <w:rFonts w:cstheme="majorBidi"/>
                <w:color w:val="auto"/>
                <w:sz w:val="20"/>
                <w:szCs w:val="20"/>
              </w:rPr>
            </w:pPr>
            <w:r>
              <w:rPr>
                <w:rStyle w:val="Hyperlink"/>
                <w:color w:val="auto"/>
                <w:sz w:val="20"/>
                <w:szCs w:val="20"/>
              </w:rPr>
              <w:t>Si, vers la fin de la prolongation, les motifs de l’octroi de la mesure dérogatoire persistent, la validité de la période peut être à nouveau</w:t>
            </w:r>
          </w:p>
          <w:p>
            <w:pPr>
              <w:rPr>
                <w:rStyle w:val="Hyperlink"/>
                <w:rFonts w:cstheme="majorBidi"/>
                <w:color w:val="auto"/>
                <w:sz w:val="20"/>
                <w:szCs w:val="20"/>
              </w:rPr>
            </w:pPr>
            <w:r>
              <w:rPr>
                <w:rStyle w:val="Hyperlink"/>
                <w:color w:val="auto"/>
                <w:sz w:val="20"/>
                <w:szCs w:val="20"/>
              </w:rPr>
              <w:t xml:space="preserve">prolongé pour une période allant jusqu’à </w:t>
            </w:r>
          </w:p>
          <w:p>
            <w:pPr>
              <w:rPr>
                <w:rStyle w:val="Hyperlink"/>
                <w:rFonts w:cstheme="majorBidi"/>
                <w:color w:val="auto"/>
                <w:sz w:val="20"/>
                <w:szCs w:val="20"/>
              </w:rPr>
            </w:pPr>
            <w:r>
              <w:rPr>
                <w:rStyle w:val="Hyperlink"/>
                <w:color w:val="auto"/>
                <w:sz w:val="20"/>
                <w:szCs w:val="20"/>
              </w:rPr>
              <w:t>4</w:t>
            </w:r>
            <w:r>
              <w:rPr>
                <w:rStyle w:val="Hyperlink"/>
                <w:color w:val="auto"/>
                <w:sz w:val="20"/>
                <w:szCs w:val="20"/>
              </w:rPr>
              <w:t xml:space="preserve"> mois.</w:t>
            </w:r>
          </w:p>
          <w:p>
            <w:pPr>
              <w:rPr>
                <w:rStyle w:val="Hyperlink"/>
                <w:rFonts w:cstheme="majorBidi"/>
                <w:color w:val="auto"/>
                <w:sz w:val="20"/>
                <w:szCs w:val="20"/>
              </w:rPr>
            </w:pPr>
          </w:p>
          <w:p>
            <w:pPr>
              <w:rPr>
                <w:rStyle w:val="Hyperlink"/>
                <w:rFonts w:cstheme="majorBidi"/>
                <w:b/>
                <w:i/>
                <w:color w:val="auto"/>
                <w:sz w:val="20"/>
                <w:szCs w:val="20"/>
              </w:rPr>
            </w:pPr>
          </w:p>
        </w:tc>
        <w:tc>
          <w:tcPr>
            <w:tcW w:w="3966" w:type="dxa"/>
          </w:tcPr>
          <w:p>
            <w:pPr>
              <w:pStyle w:val="ListParagraph"/>
              <w:numPr>
                <w:ilvl w:val="0"/>
                <w:numId w:val="35"/>
              </w:numPr>
              <w:spacing w:before="0" w:after="0"/>
              <w:ind w:left="-45" w:right="-106"/>
              <w:jc w:val="left"/>
              <w:rPr>
                <w:rStyle w:val="Hyperlink"/>
                <w:rFonts w:cstheme="majorBidi"/>
                <w:color w:val="auto"/>
                <w:sz w:val="20"/>
                <w:szCs w:val="20"/>
                <w:u w:val="none"/>
              </w:rPr>
            </w:pPr>
            <w:r>
              <w:rPr>
                <w:rStyle w:val="Hyperlink"/>
                <w:color w:val="auto"/>
                <w:sz w:val="20"/>
                <w:szCs w:val="20"/>
              </w:rPr>
              <w:t>a) Justification</w:t>
            </w:r>
          </w:p>
          <w:p>
            <w:pPr>
              <w:pStyle w:val="ListParagraph"/>
              <w:numPr>
                <w:ilvl w:val="0"/>
                <w:numId w:val="35"/>
              </w:numPr>
              <w:spacing w:before="0" w:after="0"/>
              <w:ind w:left="-45" w:right="-106"/>
              <w:jc w:val="left"/>
              <w:rPr>
                <w:rStyle w:val="Hyperlink"/>
                <w:rFonts w:cstheme="majorBidi"/>
                <w:color w:val="auto"/>
                <w:sz w:val="20"/>
                <w:szCs w:val="20"/>
                <w:u w:val="none"/>
              </w:rPr>
            </w:pPr>
            <w:r>
              <w:rPr>
                <w:rStyle w:val="Hyperlink"/>
                <w:color w:val="auto"/>
                <w:sz w:val="20"/>
                <w:szCs w:val="20"/>
                <w:u w:val="none"/>
              </w:rPr>
              <w:t>La pandémie de COVID-</w:t>
            </w:r>
            <w:r>
              <w:rPr>
                <w:rStyle w:val="Hyperlink"/>
                <w:color w:val="auto"/>
                <w:sz w:val="20"/>
                <w:szCs w:val="20"/>
                <w:u w:val="none"/>
              </w:rPr>
              <w:t>19</w:t>
            </w:r>
            <w:r>
              <w:rPr>
                <w:rStyle w:val="Hyperlink"/>
                <w:color w:val="auto"/>
                <w:sz w:val="20"/>
                <w:szCs w:val="20"/>
                <w:u w:val="none"/>
              </w:rPr>
              <w:t xml:space="preserve"> a entraîné des restrictions drastiques en matière de déplacements et la fermeture des frontières entre la majorité des États.</w:t>
            </w:r>
          </w:p>
          <w:p>
            <w:pPr>
              <w:pStyle w:val="ListParagraph"/>
              <w:numPr>
                <w:ilvl w:val="0"/>
                <w:numId w:val="35"/>
              </w:numPr>
              <w:spacing w:before="0" w:after="0"/>
              <w:ind w:left="-45" w:right="-106"/>
              <w:jc w:val="left"/>
              <w:rPr>
                <w:rStyle w:val="Hyperlink"/>
                <w:rFonts w:cstheme="majorBidi"/>
                <w:color w:val="auto"/>
                <w:sz w:val="20"/>
                <w:szCs w:val="20"/>
                <w:u w:val="none"/>
              </w:rPr>
            </w:pPr>
            <w:r>
              <w:rPr>
                <w:rStyle w:val="Hyperlink"/>
                <w:color w:val="auto"/>
                <w:sz w:val="20"/>
                <w:szCs w:val="20"/>
                <w:u w:val="none"/>
              </w:rPr>
              <w:t>En conséquence, les pilotes et les</w:t>
            </w:r>
            <w:r>
              <w:rPr>
                <w:rFonts w:asciiTheme="minorHAnsi" w:hAnsiTheme="minorHAnsi"/>
                <w:bCs/>
              </w:rPr>
              <w:t xml:space="preserve"> </w:t>
            </w:r>
            <w:r>
              <w:rPr>
                <w:bCs/>
                <w:sz w:val="20"/>
                <w:szCs w:val="20"/>
              </w:rPr>
              <w:t xml:space="preserve">contrôleurs de la circulation aérienne, </w:t>
            </w:r>
            <w:r>
              <w:rPr>
                <w:rStyle w:val="Hyperlink"/>
                <w:color w:val="auto"/>
                <w:sz w:val="20"/>
                <w:szCs w:val="20"/>
                <w:u w:val="none"/>
              </w:rPr>
              <w:t>ne sont pas en mesure d’accéder en temps utile à un examen afin de maintenir leurs compétences linguistiques.</w:t>
            </w:r>
          </w:p>
          <w:p>
            <w:pPr>
              <w:pStyle w:val="ListParagraph"/>
              <w:numPr>
                <w:ilvl w:val="0"/>
                <w:numId w:val="35"/>
              </w:numPr>
              <w:spacing w:before="0" w:after="0"/>
              <w:ind w:left="-45" w:right="-106"/>
              <w:jc w:val="left"/>
              <w:rPr>
                <w:rStyle w:val="Hyperlink"/>
                <w:rFonts w:cstheme="majorBidi"/>
                <w:color w:val="auto"/>
                <w:sz w:val="20"/>
                <w:szCs w:val="20"/>
                <w:u w:val="none"/>
              </w:rPr>
            </w:pPr>
            <w:r>
              <w:rPr>
                <w:rStyle w:val="Hyperlink"/>
                <w:color w:val="auto"/>
                <w:sz w:val="20"/>
                <w:szCs w:val="20"/>
                <w:u w:val="none"/>
              </w:rPr>
              <w:t>Il résulterait de cette situation l’expiration de leur attestation de compétences linguistiques.</w:t>
            </w:r>
          </w:p>
          <w:p>
            <w:pPr>
              <w:ind w:right="-106"/>
              <w:rPr>
                <w:rStyle w:val="Hyperlink"/>
                <w:rFonts w:cstheme="majorBidi"/>
                <w:color w:val="auto"/>
                <w:sz w:val="18"/>
                <w:szCs w:val="18"/>
                <w:u w:val="none"/>
              </w:rPr>
            </w:pPr>
          </w:p>
          <w:p>
            <w:pPr>
              <w:pStyle w:val="ListParagraph"/>
              <w:numPr>
                <w:ilvl w:val="0"/>
                <w:numId w:val="35"/>
              </w:numPr>
              <w:spacing w:before="0" w:after="0"/>
              <w:ind w:left="-45"/>
              <w:jc w:val="left"/>
              <w:rPr>
                <w:rStyle w:val="Hyperlink"/>
                <w:rFonts w:cstheme="majorBidi"/>
                <w:color w:val="auto"/>
                <w:sz w:val="20"/>
                <w:szCs w:val="20"/>
                <w:u w:val="none"/>
              </w:rPr>
            </w:pPr>
            <w:r>
              <w:rPr>
                <w:rStyle w:val="Hyperlink"/>
                <w:color w:val="auto"/>
                <w:sz w:val="20"/>
                <w:szCs w:val="20"/>
                <w:u w:val="none"/>
              </w:rPr>
              <w:t>b) Conditions/mesures d’atténuation</w:t>
            </w:r>
          </w:p>
          <w:p>
            <w:pPr>
              <w:pStyle w:val="ListParagraph"/>
              <w:numPr>
                <w:ilvl w:val="0"/>
                <w:numId w:val="35"/>
              </w:numPr>
              <w:spacing w:before="0" w:after="0"/>
              <w:ind w:left="-45"/>
              <w:jc w:val="left"/>
              <w:rPr>
                <w:rStyle w:val="Hyperlink"/>
                <w:rFonts w:cstheme="majorBidi"/>
                <w:color w:val="auto"/>
                <w:sz w:val="20"/>
                <w:szCs w:val="20"/>
                <w:u w:val="none"/>
              </w:rPr>
            </w:pPr>
          </w:p>
          <w:p>
            <w:pPr>
              <w:pStyle w:val="ListParagraph"/>
              <w:numPr>
                <w:ilvl w:val="0"/>
                <w:numId w:val="35"/>
              </w:numPr>
              <w:spacing w:before="0" w:after="0"/>
              <w:ind w:left="-45"/>
              <w:jc w:val="left"/>
              <w:rPr>
                <w:rStyle w:val="Hyperlink"/>
                <w:rFonts w:cstheme="majorBidi"/>
                <w:color w:val="auto"/>
                <w:sz w:val="20"/>
                <w:szCs w:val="20"/>
                <w:u w:val="none"/>
              </w:rPr>
            </w:pPr>
            <w:r>
              <w:rPr>
                <w:rStyle w:val="Hyperlink"/>
                <w:color w:val="auto"/>
                <w:sz w:val="20"/>
                <w:szCs w:val="20"/>
                <w:u w:val="none"/>
              </w:rPr>
              <w:t>[L’État] impose les obligations suivantes.</w:t>
            </w:r>
          </w:p>
          <w:p>
            <w:pPr>
              <w:pStyle w:val="ListParagraph"/>
              <w:numPr>
                <w:ilvl w:val="0"/>
                <w:numId w:val="35"/>
              </w:numPr>
              <w:spacing w:before="0" w:after="0"/>
              <w:ind w:left="-45"/>
              <w:jc w:val="left"/>
              <w:rPr>
                <w:rStyle w:val="Hyperlink"/>
                <w:rFonts w:cstheme="majorBidi"/>
                <w:color w:val="auto"/>
                <w:sz w:val="20"/>
                <w:szCs w:val="20"/>
                <w:u w:val="none"/>
              </w:rPr>
            </w:pPr>
          </w:p>
          <w:p>
            <w:pPr>
              <w:pStyle w:val="ListParagraph"/>
              <w:numPr>
                <w:ilvl w:val="0"/>
                <w:numId w:val="35"/>
              </w:numPr>
              <w:spacing w:before="0" w:after="0"/>
              <w:ind w:left="-45"/>
              <w:jc w:val="left"/>
              <w:rPr>
                <w:rStyle w:val="Hyperlink"/>
                <w:rFonts w:cstheme="majorBidi"/>
                <w:color w:val="auto"/>
                <w:sz w:val="20"/>
                <w:szCs w:val="20"/>
                <w:u w:val="none"/>
              </w:rPr>
            </w:pPr>
            <w:r>
              <w:rPr>
                <w:rStyle w:val="Hyperlink"/>
                <w:color w:val="auto"/>
                <w:sz w:val="20"/>
                <w:szCs w:val="20"/>
                <w:u w:val="none"/>
              </w:rPr>
              <w:t>Les pilotes détiennent une attestation de compétences linguistiques en cours de validité et suivent un exposé d’un instructeur détenant les privilèges d’instruction pertinents, en vue de remettre à niveau leur capacité à parler et comprendre la langue utilisée dans les communications radiotéléphoniques de façon à exercer leurs fonctions en toute sécurité.</w:t>
            </w:r>
          </w:p>
          <w:p>
            <w:pPr>
              <w:ind w:left="-45"/>
              <w:rPr>
                <w:rStyle w:val="Hyperlink"/>
                <w:rFonts w:cstheme="majorBidi"/>
                <w:color w:val="auto"/>
                <w:sz w:val="20"/>
                <w:szCs w:val="20"/>
                <w:u w:val="none"/>
              </w:rPr>
            </w:pPr>
            <w:r>
              <w:rPr>
                <w:rStyle w:val="Hyperlink"/>
                <w:color w:val="auto"/>
                <w:sz w:val="20"/>
                <w:szCs w:val="20"/>
                <w:u w:val="none"/>
              </w:rPr>
              <w:t>À l’issue positive de l’exposé, la nouvelle date d’expiration sera inscrite dans la licence, ou un document officiel indiquant la nouvelle date d’expiration, délivré par [l’État], sera joint à la licence.</w:t>
            </w:r>
          </w:p>
          <w:p>
            <w:pPr>
              <w:ind w:left="-45"/>
              <w:rPr>
                <w:rStyle w:val="Hyperlink"/>
                <w:rFonts w:cstheme="majorBidi"/>
                <w:color w:val="auto"/>
                <w:sz w:val="20"/>
                <w:szCs w:val="20"/>
                <w:u w:val="none"/>
              </w:rPr>
            </w:pPr>
          </w:p>
          <w:p>
            <w:pPr>
              <w:ind w:left="-45"/>
              <w:rPr>
                <w:rStyle w:val="Hyperlink"/>
                <w:rFonts w:cstheme="majorBidi"/>
                <w:color w:val="auto"/>
                <w:sz w:val="20"/>
                <w:szCs w:val="20"/>
                <w:u w:val="none"/>
              </w:rPr>
            </w:pPr>
            <w:r>
              <w:rPr>
                <w:rStyle w:val="Hyperlink"/>
                <w:color w:val="auto"/>
                <w:sz w:val="20"/>
                <w:szCs w:val="20"/>
                <w:u w:val="none"/>
              </w:rPr>
              <w:t>Pour les contrôleurs de la circulation aérienne détenant une attestation de compétences linguistiques en cours de validité, en cas d’indisponibilité d’un organisme d’évaluation linguistique, les prestataires de services de navigation doivent veiller à ce que les compétences linguistiques soient garanties par d’autres moyens, par exemple des cours en ligne.</w:t>
            </w:r>
          </w:p>
          <w:p>
            <w:pPr>
              <w:ind w:left="-45" w:right="-932"/>
              <w:rPr>
                <w:rStyle w:val="Hyperlink"/>
                <w:rFonts w:cstheme="majorBidi"/>
                <w:color w:val="auto"/>
                <w:sz w:val="18"/>
                <w:szCs w:val="18"/>
                <w:u w:val="none"/>
              </w:rPr>
            </w:pPr>
          </w:p>
          <w:p>
            <w:pPr>
              <w:ind w:left="-45" w:right="-932"/>
              <w:rPr>
                <w:rStyle w:val="Hyperlink"/>
                <w:rFonts w:cstheme="majorBidi"/>
                <w:color w:val="auto"/>
                <w:sz w:val="18"/>
                <w:szCs w:val="18"/>
                <w:u w:val="none"/>
              </w:rPr>
            </w:pPr>
          </w:p>
          <w:p>
            <w:pPr>
              <w:ind w:left="-45" w:right="-932"/>
              <w:rPr>
                <w:rStyle w:val="Hyperlink"/>
                <w:rFonts w:cstheme="majorBidi"/>
                <w:color w:val="auto"/>
                <w:sz w:val="18"/>
                <w:szCs w:val="18"/>
              </w:rPr>
            </w:pPr>
          </w:p>
        </w:tc>
        <w:tc>
          <w:tcPr>
            <w:tcW w:w="1985" w:type="dxa"/>
          </w:tcPr>
          <w:p>
            <w:pPr>
              <w:rPr>
                <w:sz w:val="20"/>
                <w:szCs w:val="20"/>
              </w:rPr>
            </w:pPr>
          </w:p>
          <w:p>
            <w:pPr>
              <w:jc w:val="both"/>
              <w:rPr>
                <w:sz w:val="20"/>
                <w:szCs w:val="20"/>
              </w:rPr>
            </w:pPr>
            <w:r>
              <w:rPr>
                <w:sz w:val="20"/>
                <w:szCs w:val="20"/>
              </w:rPr>
              <w:t xml:space="preserve">En ce qui concerne les certificats et licences délivrés par les États membres de l’UE, les différences sont automatiquement reconnues sur la base du règlement (UE) </w:t>
            </w:r>
            <w:r>
              <w:rPr>
                <w:sz w:val="20"/>
                <w:szCs w:val="20"/>
              </w:rPr>
              <w:t>2018</w:t>
            </w:r>
            <w:r>
              <w:rPr>
                <w:sz w:val="20"/>
                <w:szCs w:val="20"/>
              </w:rPr>
              <w:t>/</w:t>
            </w:r>
            <w:r>
              <w:rPr>
                <w:sz w:val="20"/>
                <w:szCs w:val="20"/>
              </w:rPr>
              <w:t>1139</w:t>
            </w:r>
            <w:r>
              <w:rPr>
                <w:sz w:val="20"/>
                <w:szCs w:val="20"/>
              </w:rPr>
              <w:t>.</w:t>
            </w:r>
          </w:p>
          <w:p>
            <w:pPr>
              <w:jc w:val="both"/>
              <w:rPr>
                <w:sz w:val="20"/>
                <w:szCs w:val="20"/>
              </w:rPr>
            </w:pPr>
          </w:p>
          <w:p>
            <w:pPr>
              <w:rPr>
                <w:rStyle w:val="Hyperlink"/>
                <w:rFonts w:cstheme="majorBidi"/>
                <w:color w:val="auto"/>
                <w:sz w:val="20"/>
                <w:szCs w:val="20"/>
              </w:rPr>
            </w:pPr>
            <w:r>
              <w:rPr>
                <w:sz w:val="20"/>
                <w:szCs w:val="20"/>
              </w:rPr>
              <w:t>En ce qui concerne la reconnaissance ou l’acceptation de la validité des certificats et licences faisant l’objet des dispositions spéciales temporaires (liés à la pandémie de COVID-</w:t>
            </w:r>
            <w:r>
              <w:rPr>
                <w:sz w:val="20"/>
                <w:szCs w:val="20"/>
              </w:rPr>
              <w:t>19</w:t>
            </w:r>
            <w:r>
              <w:rPr>
                <w:sz w:val="20"/>
                <w:szCs w:val="20"/>
              </w:rPr>
              <w:t xml:space="preserve">) délivrés par des pays tiers, le règlement (UE) </w:t>
            </w:r>
            <w:r>
              <w:rPr>
                <w:sz w:val="20"/>
                <w:szCs w:val="20"/>
              </w:rPr>
              <w:t>452</w:t>
            </w:r>
            <w:r>
              <w:rPr>
                <w:sz w:val="20"/>
                <w:szCs w:val="20"/>
              </w:rPr>
              <w:t>/</w:t>
            </w:r>
            <w:r>
              <w:rPr>
                <w:sz w:val="20"/>
                <w:szCs w:val="20"/>
              </w:rPr>
              <w:t>2014</w:t>
            </w:r>
            <w:r>
              <w:rPr>
                <w:sz w:val="20"/>
                <w:szCs w:val="20"/>
              </w:rPr>
              <w:t xml:space="preserve"> déterminant les exigences techniques et les procédures administratives applicables aux opérations aériennes des exploitants de pays tiers s’applique.</w:t>
            </w:r>
            <w:r>
              <w:rPr>
                <w:sz w:val="20"/>
                <w:szCs w:val="20"/>
              </w:rPr>
              <w:br/>
            </w:r>
          </w:p>
        </w:tc>
      </w:tr>
      <w:tr>
        <w:tc>
          <w:tcPr>
            <w:tcW w:w="1702" w:type="dxa"/>
          </w:tcPr>
          <w:p>
            <w:pPr>
              <w:ind w:right="-932"/>
              <w:rPr>
                <w:rStyle w:val="Hyperlink"/>
                <w:rFonts w:cstheme="majorBidi"/>
                <w:color w:val="auto"/>
                <w:sz w:val="20"/>
                <w:szCs w:val="20"/>
              </w:rPr>
            </w:pPr>
            <w:r>
              <w:rPr>
                <w:rStyle w:val="Hyperlink"/>
                <w:color w:val="auto"/>
                <w:sz w:val="20"/>
                <w:szCs w:val="20"/>
              </w:rPr>
              <w:t xml:space="preserve">Annexe </w:t>
            </w:r>
            <w:r>
              <w:rPr>
                <w:rStyle w:val="Hyperlink"/>
                <w:color w:val="auto"/>
                <w:sz w:val="20"/>
                <w:szCs w:val="20"/>
              </w:rPr>
              <w:t>1</w:t>
            </w:r>
            <w:r>
              <w:rPr>
                <w:rStyle w:val="Hyperlink"/>
                <w:color w:val="auto"/>
                <w:sz w:val="20"/>
                <w:szCs w:val="20"/>
              </w:rPr>
              <w:t xml:space="preserve"> – </w:t>
            </w:r>
            <w:r>
              <w:rPr>
                <w:rStyle w:val="Hyperlink"/>
                <w:color w:val="auto"/>
                <w:sz w:val="20"/>
                <w:szCs w:val="20"/>
              </w:rPr>
              <w:t>4</w:t>
            </w:r>
            <w:r>
              <w:rPr>
                <w:rStyle w:val="Hyperlink"/>
                <w:color w:val="auto"/>
                <w:sz w:val="20"/>
                <w:szCs w:val="20"/>
              </w:rPr>
              <w:t>.</w:t>
            </w:r>
            <w:r>
              <w:rPr>
                <w:rStyle w:val="Hyperlink"/>
                <w:color w:val="auto"/>
                <w:sz w:val="20"/>
                <w:szCs w:val="20"/>
              </w:rPr>
              <w:t>2</w:t>
            </w:r>
            <w:r>
              <w:rPr>
                <w:rStyle w:val="Hyperlink"/>
                <w:color w:val="auto"/>
                <w:sz w:val="20"/>
                <w:szCs w:val="20"/>
              </w:rPr>
              <w:t>.</w:t>
            </w:r>
            <w:r>
              <w:rPr>
                <w:rStyle w:val="Hyperlink"/>
                <w:color w:val="auto"/>
                <w:sz w:val="20"/>
                <w:szCs w:val="20"/>
              </w:rPr>
              <w:t>2</w:t>
            </w:r>
          </w:p>
        </w:tc>
        <w:tc>
          <w:tcPr>
            <w:tcW w:w="4673" w:type="dxa"/>
          </w:tcPr>
          <w:p>
            <w:pPr>
              <w:rPr>
                <w:rFonts w:ascii="Calibri" w:hAnsi="Calibri" w:cs="Calibri"/>
              </w:rPr>
            </w:pPr>
            <w:r>
              <w:rPr>
                <w:rFonts w:ascii="Calibri" w:hAnsi="Calibri"/>
              </w:rPr>
              <w:t>4</w:t>
            </w:r>
            <w:r>
              <w:rPr>
                <w:rFonts w:ascii="Calibri" w:hAnsi="Calibri"/>
              </w:rPr>
              <w:t>.</w:t>
            </w:r>
            <w:r>
              <w:rPr>
                <w:rFonts w:ascii="Calibri" w:hAnsi="Calibri"/>
              </w:rPr>
              <w:t>2</w:t>
            </w:r>
            <w:r>
              <w:rPr>
                <w:rFonts w:ascii="Calibri" w:hAnsi="Calibri"/>
              </w:rPr>
              <w:t>.</w:t>
            </w:r>
            <w:r>
              <w:rPr>
                <w:rFonts w:ascii="Calibri" w:hAnsi="Calibri"/>
              </w:rPr>
              <w:t>2</w:t>
            </w:r>
            <w:r>
              <w:rPr>
                <w:rFonts w:ascii="Calibri" w:hAnsi="Calibri"/>
              </w:rPr>
              <w:t>.</w:t>
            </w:r>
            <w:r>
              <w:rPr>
                <w:rFonts w:ascii="Calibri" w:hAnsi="Calibri"/>
              </w:rPr>
              <w:t>2</w:t>
            </w:r>
            <w:r>
              <w:rPr>
                <w:rFonts w:ascii="Calibri" w:hAnsi="Calibri"/>
              </w:rPr>
              <w:tab/>
              <w:t>Le titulaire d’une licence de maintenance d’aéronef n’exercera les privilèges spécifiés au point</w:t>
            </w:r>
            <w:r>
              <w:rPr>
                <w:rFonts w:ascii="Calibri" w:hAnsi="Calibri"/>
              </w:rPr>
              <w:t> </w:t>
            </w:r>
            <w:r>
              <w:rPr>
                <w:rFonts w:ascii="Calibri" w:hAnsi="Calibri"/>
              </w:rPr>
              <w:t>4</w:t>
            </w:r>
            <w:r>
              <w:rPr>
                <w:rFonts w:ascii="Calibri" w:hAnsi="Calibri"/>
              </w:rPr>
              <w:t>.</w:t>
            </w:r>
            <w:r>
              <w:rPr>
                <w:rFonts w:ascii="Calibri" w:hAnsi="Calibri"/>
              </w:rPr>
              <w:t>2</w:t>
            </w:r>
            <w:r>
              <w:rPr>
                <w:rFonts w:ascii="Calibri" w:hAnsi="Calibri"/>
              </w:rPr>
              <w:t>.</w:t>
            </w:r>
            <w:r>
              <w:rPr>
                <w:rFonts w:ascii="Calibri" w:hAnsi="Calibri"/>
              </w:rPr>
              <w:t>2</w:t>
            </w:r>
            <w:r>
              <w:rPr>
                <w:rFonts w:ascii="Calibri" w:hAnsi="Calibri"/>
              </w:rPr>
              <w:t>.</w:t>
            </w:r>
            <w:r>
              <w:rPr>
                <w:rFonts w:ascii="Calibri" w:hAnsi="Calibri"/>
              </w:rPr>
              <w:t>1</w:t>
            </w:r>
          </w:p>
          <w:p>
            <w:pPr>
              <w:rPr>
                <w:rFonts w:ascii="Calibri" w:hAnsi="Calibri" w:cs="Calibri"/>
              </w:rPr>
            </w:pPr>
            <w:r>
              <w:rPr>
                <w:rFonts w:ascii="Calibri" w:hAnsi="Calibri"/>
              </w:rPr>
              <w:t>que:</w:t>
            </w:r>
          </w:p>
          <w:p>
            <w:pPr>
              <w:rPr>
                <w:rFonts w:ascii="Calibri" w:hAnsi="Calibri" w:cs="Calibri"/>
              </w:rPr>
            </w:pPr>
            <w:r>
              <w:rPr>
                <w:rFonts w:ascii="Calibri" w:hAnsi="Calibri"/>
              </w:rPr>
              <w:t>c) si, au cours des</w:t>
            </w:r>
          </w:p>
          <w:p>
            <w:pPr>
              <w:rPr>
                <w:rFonts w:ascii="Calibri" w:hAnsi="Calibri" w:cs="Calibri"/>
              </w:rPr>
            </w:pPr>
            <w:r>
              <w:rPr>
                <w:rFonts w:ascii="Calibri" w:hAnsi="Calibri"/>
              </w:rPr>
              <w:t>24</w:t>
            </w:r>
            <w:r>
              <w:rPr>
                <w:rFonts w:ascii="Calibri" w:hAnsi="Calibri"/>
              </w:rPr>
              <w:t xml:space="preserve"> mois précédents, il a soit</w:t>
            </w:r>
          </w:p>
          <w:p>
            <w:pPr>
              <w:rPr>
                <w:rFonts w:ascii="Calibri" w:hAnsi="Calibri" w:cs="Calibri"/>
              </w:rPr>
            </w:pPr>
            <w:r>
              <w:rPr>
                <w:rFonts w:ascii="Calibri" w:hAnsi="Calibri"/>
              </w:rPr>
              <w:t xml:space="preserve">accumulé au moins </w:t>
            </w:r>
            <w:r>
              <w:rPr>
                <w:rFonts w:ascii="Calibri" w:hAnsi="Calibri"/>
              </w:rPr>
              <w:t>6</w:t>
            </w:r>
            <w:r>
              <w:rPr>
                <w:rFonts w:ascii="Calibri" w:hAnsi="Calibri"/>
              </w:rPr>
              <w:t xml:space="preserve"> mois</w:t>
            </w:r>
          </w:p>
          <w:p>
            <w:pPr>
              <w:rPr>
                <w:rFonts w:ascii="Calibri" w:hAnsi="Calibri" w:cs="Calibri"/>
              </w:rPr>
            </w:pPr>
            <w:r>
              <w:rPr>
                <w:rFonts w:ascii="Calibri" w:hAnsi="Calibri"/>
              </w:rPr>
              <w:t>d’expérience de l’inspection, de l’entretien</w:t>
            </w:r>
          </w:p>
          <w:p>
            <w:pPr>
              <w:rPr>
                <w:rFonts w:ascii="Calibri" w:hAnsi="Calibri" w:cs="Calibri"/>
              </w:rPr>
            </w:pPr>
            <w:r>
              <w:rPr>
                <w:rFonts w:ascii="Calibri" w:hAnsi="Calibri"/>
              </w:rPr>
              <w:t>ou de la maintenance d’un aéronef ou d’éléments d’aéronefs</w:t>
            </w:r>
          </w:p>
          <w:p>
            <w:pPr>
              <w:rPr>
                <w:rFonts w:ascii="Calibri" w:hAnsi="Calibri" w:cs="Calibri"/>
              </w:rPr>
            </w:pPr>
            <w:r>
              <w:rPr>
                <w:rFonts w:ascii="Calibri" w:hAnsi="Calibri"/>
              </w:rPr>
              <w:t>conformément aux privilèges conférés par sa licence</w:t>
            </w:r>
          </w:p>
          <w:p>
            <w:pPr>
              <w:rPr>
                <w:rFonts w:ascii="Calibri" w:hAnsi="Calibri" w:cs="Calibri"/>
              </w:rPr>
            </w:pPr>
            <w:r>
              <w:rPr>
                <w:rFonts w:ascii="Calibri" w:hAnsi="Calibri"/>
              </w:rPr>
              <w:t>soit rempli les conditions de délivrance d’une licence</w:t>
            </w:r>
          </w:p>
          <w:p>
            <w:pPr>
              <w:rPr>
                <w:rFonts w:ascii="Calibri" w:hAnsi="Calibri" w:cs="Calibri"/>
              </w:rPr>
            </w:pPr>
            <w:r>
              <w:rPr>
                <w:rFonts w:ascii="Calibri" w:hAnsi="Calibri"/>
              </w:rPr>
              <w:t>conférant les privilèges en question de façon probante</w:t>
            </w:r>
          </w:p>
          <w:p>
            <w:pPr>
              <w:spacing w:after="120"/>
              <w:ind w:right="-930"/>
              <w:rPr>
                <w:rStyle w:val="Hyperlink"/>
                <w:rFonts w:cstheme="majorBidi"/>
                <w:color w:val="auto"/>
                <w:sz w:val="20"/>
                <w:szCs w:val="20"/>
              </w:rPr>
            </w:pPr>
            <w:r>
              <w:rPr>
                <w:rFonts w:ascii="Calibri" w:hAnsi="Calibri"/>
              </w:rPr>
              <w:t>pour le service de délivrance des licences.</w:t>
            </w:r>
          </w:p>
        </w:tc>
        <w:tc>
          <w:tcPr>
            <w:tcW w:w="2554" w:type="dxa"/>
          </w:tcPr>
          <w:p>
            <w:pPr>
              <w:rPr>
                <w:rStyle w:val="Hyperlink"/>
                <w:rFonts w:cstheme="majorBidi"/>
                <w:color w:val="auto"/>
                <w:sz w:val="20"/>
                <w:szCs w:val="20"/>
              </w:rPr>
            </w:pPr>
            <w:r>
              <w:rPr>
                <w:rFonts w:ascii="Calibri" w:hAnsi="Calibri"/>
              </w:rPr>
              <w:t xml:space="preserve">La période «précédente» est prolongée par [l’État] pour une période de </w:t>
            </w:r>
            <w:r>
              <w:rPr>
                <w:rFonts w:ascii="Calibri" w:hAnsi="Calibri"/>
              </w:rPr>
              <w:t>6</w:t>
            </w:r>
            <w:r>
              <w:rPr>
                <w:rFonts w:ascii="Calibri" w:hAnsi="Calibri"/>
              </w:rPr>
              <w:t xml:space="preserve"> mois, c’est-à-dire qu’elle est portée à </w:t>
            </w:r>
            <w:r>
              <w:rPr>
                <w:rFonts w:ascii="Calibri" w:hAnsi="Calibri"/>
              </w:rPr>
              <w:t>30</w:t>
            </w:r>
            <w:r>
              <w:rPr>
                <w:rFonts w:ascii="Calibri" w:hAnsi="Calibri"/>
              </w:rPr>
              <w:t xml:space="preserve"> mois. L’expérience récente de six mois n’est pas modifiée.</w:t>
            </w:r>
          </w:p>
        </w:tc>
        <w:tc>
          <w:tcPr>
            <w:tcW w:w="3966" w:type="dxa"/>
          </w:tcPr>
          <w:p>
            <w:pPr>
              <w:rPr>
                <w:rFonts w:ascii="Calibri" w:hAnsi="Calibri" w:cs="Calibri"/>
              </w:rPr>
            </w:pPr>
            <w:r>
              <w:rPr>
                <w:rFonts w:ascii="Calibri" w:hAnsi="Calibri"/>
              </w:rPr>
              <w:t>Justification</w:t>
            </w:r>
          </w:p>
          <w:p>
            <w:pPr>
              <w:rPr>
                <w:rFonts w:ascii="Calibri" w:hAnsi="Calibri" w:cs="Calibri"/>
              </w:rPr>
            </w:pPr>
            <w:r>
              <w:rPr>
                <w:rFonts w:ascii="Calibri" w:hAnsi="Calibri"/>
              </w:rPr>
              <w:t>La pandémie de COVID-</w:t>
            </w:r>
            <w:r>
              <w:rPr>
                <w:rFonts w:ascii="Calibri" w:hAnsi="Calibri"/>
              </w:rPr>
              <w:t>19</w:t>
            </w:r>
            <w:r>
              <w:rPr>
                <w:rFonts w:ascii="Calibri" w:hAnsi="Calibri"/>
              </w:rPr>
              <w:t xml:space="preserve"> </w:t>
            </w:r>
            <w:r>
              <w:rPr>
                <w:rFonts w:ascii="Calibri" w:hAnsi="Calibri"/>
              </w:rPr>
              <w:br/>
              <w:t xml:space="preserve">a entraîné des restrictions drastiques </w:t>
            </w:r>
            <w:r>
              <w:rPr>
                <w:rFonts w:ascii="Calibri" w:hAnsi="Calibri"/>
              </w:rPr>
              <w:br/>
              <w:t>en matière de déplacements. Les restrictions locales peuvent empêcher les organismes agréés et le personnel qualifié de démontrer qu’ils remplissent les conditions requises pour la reconduction de leurs certificats ou privilèges dans les délais.</w:t>
            </w:r>
          </w:p>
          <w:p>
            <w:pPr>
              <w:rPr>
                <w:rFonts w:ascii="Calibri" w:hAnsi="Calibri" w:cs="Calibri"/>
              </w:rPr>
            </w:pPr>
            <w:r>
              <w:rPr>
                <w:rFonts w:ascii="Calibri" w:hAnsi="Calibri"/>
              </w:rPr>
              <w:t>Conditions/mesures d’atténuation</w:t>
            </w:r>
          </w:p>
          <w:p>
            <w:pPr>
              <w:rPr>
                <w:rFonts w:ascii="Calibri" w:hAnsi="Calibri" w:cs="Calibri"/>
              </w:rPr>
            </w:pPr>
            <w:r>
              <w:rPr>
                <w:rFonts w:ascii="Calibri" w:hAnsi="Calibri"/>
              </w:rPr>
              <w:t xml:space="preserve">[L’État] exige que, lorsque le personnel chargé de la certification travaille pour un organisme de maintenance agréé, cet organisme puisse appliquer la prolongation aux exigences d’expérience récente des membres du personnel de certification lorsque l’organisme agréé n’est pas en attente de suspensions, révocations ou limitations, et n’a pas fait l’objet d’une suspension par l’autorité compétente au cours des </w:t>
            </w:r>
            <w:r>
              <w:rPr>
                <w:rFonts w:ascii="Calibri" w:hAnsi="Calibri"/>
              </w:rPr>
              <w:t>24</w:t>
            </w:r>
            <w:r>
              <w:rPr>
                <w:rFonts w:ascii="Calibri" w:hAnsi="Calibri"/>
              </w:rPr>
              <w:t xml:space="preserve"> derniers mois.</w:t>
            </w:r>
          </w:p>
          <w:p>
            <w:pPr>
              <w:pStyle w:val="ListParagraph"/>
              <w:numPr>
                <w:ilvl w:val="0"/>
                <w:numId w:val="35"/>
              </w:numPr>
              <w:spacing w:before="0" w:after="0"/>
              <w:ind w:left="-45" w:right="-106"/>
              <w:jc w:val="left"/>
              <w:rPr>
                <w:rStyle w:val="Hyperlink"/>
                <w:rFonts w:asciiTheme="minorHAnsi" w:eastAsiaTheme="minorHAnsi" w:hAnsiTheme="minorHAnsi" w:cstheme="majorBidi"/>
                <w:color w:val="auto"/>
                <w:sz w:val="20"/>
                <w:szCs w:val="20"/>
              </w:rPr>
            </w:pPr>
            <w:r>
              <w:rPr>
                <w:rFonts w:ascii="Calibri" w:hAnsi="Calibri"/>
                <w:sz w:val="22"/>
              </w:rPr>
              <w:t>En outre, le point</w:t>
            </w:r>
            <w:r>
              <w:rPr>
                <w:rFonts w:ascii="Calibri" w:hAnsi="Calibri"/>
                <w:sz w:val="22"/>
              </w:rPr>
              <w:t> </w:t>
            </w:r>
            <w:r>
              <w:rPr>
                <w:rFonts w:ascii="Calibri" w:hAnsi="Calibri"/>
                <w:sz w:val="22"/>
              </w:rPr>
              <w:t>66</w:t>
            </w:r>
            <w:r>
              <w:rPr>
                <w:rFonts w:ascii="Calibri" w:hAnsi="Calibri"/>
                <w:sz w:val="22"/>
              </w:rPr>
              <w:t>.B.</w:t>
            </w:r>
            <w:r>
              <w:rPr>
                <w:rFonts w:ascii="Calibri" w:hAnsi="Calibri"/>
                <w:sz w:val="22"/>
              </w:rPr>
              <w:t>500</w:t>
            </w:r>
            <w:r>
              <w:rPr>
                <w:rFonts w:ascii="Calibri" w:hAnsi="Calibri"/>
                <w:sz w:val="22"/>
              </w:rPr>
              <w:t xml:space="preserve"> de l’annexe III (partie </w:t>
            </w:r>
            <w:r>
              <w:rPr>
                <w:rFonts w:ascii="Calibri" w:hAnsi="Calibri"/>
                <w:sz w:val="22"/>
              </w:rPr>
              <w:t>66</w:t>
            </w:r>
            <w:r>
              <w:rPr>
                <w:rFonts w:ascii="Calibri" w:hAnsi="Calibri"/>
                <w:sz w:val="22"/>
              </w:rPr>
              <w:t xml:space="preserve">) du règlement (UE) nº </w:t>
            </w:r>
            <w:r>
              <w:rPr>
                <w:rFonts w:ascii="Calibri" w:hAnsi="Calibri"/>
                <w:sz w:val="22"/>
              </w:rPr>
              <w:t>1321</w:t>
            </w:r>
            <w:r>
              <w:rPr>
                <w:rFonts w:ascii="Calibri" w:hAnsi="Calibri"/>
                <w:sz w:val="22"/>
              </w:rPr>
              <w:t>/</w:t>
            </w:r>
            <w:r>
              <w:rPr>
                <w:rFonts w:ascii="Calibri" w:hAnsi="Calibri"/>
                <w:sz w:val="22"/>
              </w:rPr>
              <w:t>2014</w:t>
            </w:r>
            <w:r>
              <w:rPr>
                <w:rFonts w:ascii="Calibri" w:hAnsi="Calibri"/>
                <w:sz w:val="22"/>
              </w:rPr>
              <w:t xml:space="preserve"> prévoit des mesures d’atténuation supplémentaires, l’autorité compétente devant limiter ou retirer la licence de maintenance d'aéronefs lorsqu'elle a identifié un problème de sécurité ou une faute du titulaire de la licence.</w:t>
            </w:r>
          </w:p>
        </w:tc>
        <w:tc>
          <w:tcPr>
            <w:tcW w:w="1985" w:type="dxa"/>
          </w:tcPr>
          <w:p>
            <w:pPr>
              <w:rPr>
                <w:sz w:val="20"/>
                <w:szCs w:val="20"/>
              </w:rPr>
            </w:pPr>
          </w:p>
          <w:p>
            <w:pPr>
              <w:jc w:val="both"/>
              <w:rPr>
                <w:sz w:val="20"/>
                <w:szCs w:val="20"/>
              </w:rPr>
            </w:pPr>
            <w:r>
              <w:rPr>
                <w:sz w:val="20"/>
                <w:szCs w:val="20"/>
              </w:rPr>
              <w:t xml:space="preserve">En ce qui concerne les certificats et licences délivrés par les États membres de l’UE, les différences sont automatiquement reconnues sur la base du règlement (UE) </w:t>
            </w:r>
            <w:r>
              <w:rPr>
                <w:sz w:val="20"/>
                <w:szCs w:val="20"/>
              </w:rPr>
              <w:t>2018</w:t>
            </w:r>
            <w:r>
              <w:rPr>
                <w:sz w:val="20"/>
                <w:szCs w:val="20"/>
              </w:rPr>
              <w:t>/</w:t>
            </w:r>
            <w:r>
              <w:rPr>
                <w:sz w:val="20"/>
                <w:szCs w:val="20"/>
              </w:rPr>
              <w:t>1139</w:t>
            </w:r>
            <w:r>
              <w:rPr>
                <w:sz w:val="20"/>
                <w:szCs w:val="20"/>
              </w:rPr>
              <w:t>.</w:t>
            </w:r>
          </w:p>
          <w:p>
            <w:pPr>
              <w:jc w:val="both"/>
              <w:rPr>
                <w:sz w:val="20"/>
                <w:szCs w:val="20"/>
              </w:rPr>
            </w:pPr>
          </w:p>
          <w:p>
            <w:pPr>
              <w:rPr>
                <w:sz w:val="20"/>
                <w:szCs w:val="20"/>
              </w:rPr>
            </w:pPr>
            <w:r>
              <w:rPr>
                <w:sz w:val="20"/>
                <w:szCs w:val="20"/>
              </w:rPr>
              <w:t>En ce qui concerne la reconnaissance ou l’acceptation de la validité des certificats et licences faisant l’objet des dispositions spéciales temporaires (liés à la pandémie de COVID-</w:t>
            </w:r>
            <w:r>
              <w:rPr>
                <w:sz w:val="20"/>
                <w:szCs w:val="20"/>
              </w:rPr>
              <w:t>19</w:t>
            </w:r>
            <w:r>
              <w:rPr>
                <w:sz w:val="20"/>
                <w:szCs w:val="20"/>
              </w:rPr>
              <w:t xml:space="preserve">) délivrés par des pays tiers, le règlement (UE) </w:t>
            </w:r>
            <w:r>
              <w:rPr>
                <w:sz w:val="20"/>
                <w:szCs w:val="20"/>
              </w:rPr>
              <w:t>452</w:t>
            </w:r>
            <w:r>
              <w:rPr>
                <w:sz w:val="20"/>
                <w:szCs w:val="20"/>
              </w:rPr>
              <w:t>/</w:t>
            </w:r>
            <w:r>
              <w:rPr>
                <w:sz w:val="20"/>
                <w:szCs w:val="20"/>
              </w:rPr>
              <w:t>2014</w:t>
            </w:r>
            <w:r>
              <w:rPr>
                <w:sz w:val="20"/>
                <w:szCs w:val="20"/>
              </w:rPr>
              <w:t xml:space="preserve"> déterminant les exigences techniques et les procédures administratives applicables aux opérations aériennes des exploitants de pays tiers s’applique.</w:t>
            </w:r>
          </w:p>
        </w:tc>
      </w:tr>
    </w:tbl>
    <w:p>
      <w:pPr>
        <w:pStyle w:val="NumPar3"/>
        <w:numPr>
          <w:ilvl w:val="0"/>
          <w:numId w:val="0"/>
        </w:numPr>
        <w:rPr>
          <w:szCs w:val="24"/>
        </w:rPr>
      </w:pP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2825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655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888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fldChar w:fldCharType="end"/>
        </w:r>
      </w:p>
    </w:sdtContent>
  </w:sdt>
  <w:p>
    <w:pPr>
      <w:pStyle w:val="Footer"/>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 xml:space="preserve">Règlement (UE) nº 452/2014 de la Commission du 29 avril 2014 déterminant les exigences techniques et les procédures administratives applicables aux opérations aériennes des exploitants de pays tiers conformément au règlement (CE) nº 216/2008 du Parlement européen et du Conseil (JO L 133 du 6.5.2014, p. 12). 2014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4825" w:type="dxa"/>
      <w:tblInd w:w="-993" w:type="dxa"/>
      <w:shd w:val="clear" w:color="auto" w:fill="D9D9D9" w:themeFill="background1" w:themeFillShade="D9"/>
      <w:tblLook w:val="04A0" w:firstRow="1" w:lastRow="0" w:firstColumn="1" w:lastColumn="0" w:noHBand="0" w:noVBand="1"/>
    </w:tblPr>
    <w:tblGrid>
      <w:gridCol w:w="1697"/>
      <w:gridCol w:w="4233"/>
      <w:gridCol w:w="2965"/>
      <w:gridCol w:w="2965"/>
      <w:gridCol w:w="2965"/>
    </w:tblGrid>
    <w:tr>
      <w:trPr>
        <w:trHeight w:val="265"/>
      </w:trPr>
      <w:tc>
        <w:tcPr>
          <w:tcW w:w="1697" w:type="dxa"/>
          <w:vMerge w:val="restart"/>
          <w:shd w:val="clear" w:color="auto" w:fill="D9D9D9" w:themeFill="background1" w:themeFillShade="D9"/>
        </w:tcPr>
        <w:p>
          <w:pPr>
            <w:spacing w:before="100" w:beforeAutospacing="1" w:after="100" w:afterAutospacing="1"/>
            <w:jc w:val="center"/>
            <w:rPr>
              <w:b/>
              <w:sz w:val="20"/>
              <w:szCs w:val="20"/>
            </w:rPr>
          </w:pPr>
          <w:r>
            <w:rPr>
              <w:b/>
              <w:sz w:val="20"/>
              <w:szCs w:val="20"/>
            </w:rPr>
            <w:t xml:space="preserve">Annexe: </w:t>
          </w:r>
          <w:r>
            <w:rPr>
              <w:b/>
              <w:sz w:val="20"/>
              <w:szCs w:val="20"/>
            </w:rPr>
            <w:br/>
            <w:t xml:space="preserve">&amp; </w:t>
          </w:r>
          <w:r>
            <w:rPr>
              <w:b/>
              <w:sz w:val="20"/>
              <w:szCs w:val="20"/>
            </w:rPr>
            <w:br/>
            <w:t>Numéro de référence</w:t>
          </w:r>
        </w:p>
      </w:tc>
      <w:sdt>
        <w:sdtPr>
          <w:rPr>
            <w:b/>
            <w:sz w:val="20"/>
            <w:szCs w:val="20"/>
          </w:rPr>
          <w:alias w:val="Nomd’État"/>
          <w:tag w:val="StateName"/>
          <w:id w:val="292724802"/>
          <w:lock w:val="contentLocked"/>
          <w:placeholder>
            <w:docPart w:val="440BEEC102F64766A8AC4C2A0C30BE63"/>
          </w:placeholder>
          <w:dataBinding w:xpath="/Root[1]/StateName[1]" w:storeItemID="{7E9F76D9-DE21-4CB8-A87C-05F3AB5F5986}"/>
          <w:text/>
        </w:sdtPr>
        <w:sdtContent>
          <w:tc>
            <w:tcPr>
              <w:tcW w:w="4233" w:type="dxa"/>
              <w:shd w:val="clear" w:color="auto" w:fill="D9D9D9" w:themeFill="background1" w:themeFillShade="D9"/>
            </w:tcPr>
            <w:p>
              <w:pPr>
                <w:pStyle w:val="Header"/>
                <w:jc w:val="center"/>
                <w:rPr>
                  <w:b/>
                  <w:sz w:val="20"/>
                  <w:szCs w:val="20"/>
                </w:rPr>
              </w:pPr>
              <w:r>
                <w:rPr>
                  <w:b/>
                  <w:sz w:val="20"/>
                  <w:szCs w:val="20"/>
                </w:rPr>
                <w:t>Générique</w:t>
              </w:r>
            </w:p>
          </w:tc>
        </w:sdtContent>
      </w:sdt>
      <w:tc>
        <w:tcPr>
          <w:tcW w:w="2965" w:type="dxa"/>
          <w:vMerge w:val="restart"/>
          <w:shd w:val="clear" w:color="auto" w:fill="D9D9D9" w:themeFill="background1" w:themeFillShade="D9"/>
          <w:vAlign w:val="center"/>
        </w:tcPr>
        <w:p>
          <w:pPr>
            <w:jc w:val="center"/>
            <w:rPr>
              <w:b/>
              <w:sz w:val="20"/>
              <w:szCs w:val="20"/>
            </w:rPr>
          </w:pPr>
          <w:r>
            <w:rPr>
              <w:b/>
              <w:sz w:val="20"/>
              <w:szCs w:val="20"/>
            </w:rPr>
            <w:t>Détails de la différence</w:t>
          </w:r>
        </w:p>
      </w:tc>
      <w:tc>
        <w:tcPr>
          <w:tcW w:w="2965" w:type="dxa"/>
          <w:vMerge w:val="restart"/>
          <w:shd w:val="clear" w:color="auto" w:fill="D9D9D9" w:themeFill="background1" w:themeFillShade="D9"/>
          <w:vAlign w:val="center"/>
        </w:tcPr>
        <w:p>
          <w:pPr>
            <w:rPr>
              <w:rFonts w:ascii="Arial" w:hAnsi="Arial" w:cs="Arial"/>
              <w:b/>
              <w:sz w:val="16"/>
              <w:szCs w:val="16"/>
            </w:rPr>
          </w:pPr>
          <w:r>
            <w:rPr>
              <w:rFonts w:ascii="Arial" w:hAnsi="Arial"/>
              <w:b/>
              <w:sz w:val="16"/>
              <w:szCs w:val="16"/>
            </w:rPr>
            <w:t xml:space="preserve">          Remarques - à inclure:</w:t>
          </w:r>
        </w:p>
        <w:p>
          <w:pPr>
            <w:rPr>
              <w:rFonts w:ascii="Arial" w:hAnsi="Arial" w:cs="Arial"/>
              <w:b/>
              <w:sz w:val="16"/>
              <w:szCs w:val="16"/>
            </w:rPr>
          </w:pPr>
        </w:p>
        <w:p>
          <w:pPr>
            <w:rPr>
              <w:rFonts w:ascii="Arial" w:hAnsi="Arial" w:cs="Arial"/>
              <w:b/>
              <w:sz w:val="16"/>
              <w:szCs w:val="16"/>
            </w:rPr>
          </w:pPr>
          <w:r>
            <w:rPr>
              <w:rFonts w:ascii="Arial" w:hAnsi="Arial"/>
              <w:b/>
              <w:sz w:val="16"/>
              <w:szCs w:val="16"/>
            </w:rPr>
            <w:t xml:space="preserve">          a. Justification</w:t>
          </w:r>
        </w:p>
        <w:p>
          <w:pPr>
            <w:rPr>
              <w:b/>
              <w:sz w:val="16"/>
              <w:szCs w:val="16"/>
            </w:rPr>
          </w:pPr>
        </w:p>
        <w:p>
          <w:pPr>
            <w:rPr>
              <w:b/>
              <w:sz w:val="20"/>
              <w:szCs w:val="20"/>
            </w:rPr>
          </w:pPr>
          <w:r>
            <w:rPr>
              <w:rFonts w:ascii="Arial" w:hAnsi="Arial"/>
              <w:b/>
              <w:sz w:val="16"/>
              <w:szCs w:val="16"/>
            </w:rPr>
            <w:t xml:space="preserve">          b. Conditions/mesures d’atténuation</w:t>
          </w:r>
        </w:p>
      </w:tc>
      <w:tc>
        <w:tcPr>
          <w:tcW w:w="2965" w:type="dxa"/>
          <w:vMerge w:val="restart"/>
          <w:shd w:val="clear" w:color="auto" w:fill="D9D9D9" w:themeFill="background1" w:themeFillShade="D9"/>
          <w:vAlign w:val="center"/>
        </w:tcPr>
        <w:p>
          <w:pPr>
            <w:jc w:val="center"/>
            <w:rPr>
              <w:b/>
              <w:sz w:val="20"/>
              <w:szCs w:val="20"/>
            </w:rPr>
          </w:pPr>
          <w:r>
            <w:rPr>
              <w:b/>
              <w:sz w:val="20"/>
              <w:szCs w:val="20"/>
            </w:rPr>
            <w:t>Reconnaissance d’autres différences d’État</w:t>
          </w:r>
        </w:p>
      </w:tc>
    </w:tr>
    <w:tr>
      <w:trPr>
        <w:trHeight w:val="250"/>
      </w:trPr>
      <w:tc>
        <w:tcPr>
          <w:tcW w:w="1697" w:type="dxa"/>
          <w:vMerge/>
          <w:shd w:val="clear" w:color="auto" w:fill="D9D9D9" w:themeFill="background1" w:themeFillShade="D9"/>
        </w:tcPr>
        <w:p>
          <w:pPr>
            <w:pStyle w:val="Header"/>
          </w:pPr>
        </w:p>
      </w:tc>
      <w:tc>
        <w:tcPr>
          <w:tcW w:w="4233" w:type="dxa"/>
          <w:shd w:val="clear" w:color="auto" w:fill="D9D9D9" w:themeFill="background1" w:themeFillShade="D9"/>
        </w:tcPr>
        <w:p>
          <w:pPr>
            <w:pStyle w:val="Header"/>
            <w:jc w:val="center"/>
            <w:rPr>
              <w:b/>
            </w:rPr>
          </w:pPr>
          <w:r>
            <w:rPr>
              <w:b/>
              <w:sz w:val="24"/>
              <w:szCs w:val="24"/>
            </w:rPr>
            <w:t>Mesures dérogatoires</w:t>
          </w:r>
        </w:p>
      </w:tc>
      <w:tc>
        <w:tcPr>
          <w:tcW w:w="2965" w:type="dxa"/>
          <w:vMerge/>
          <w:shd w:val="clear" w:color="auto" w:fill="D9D9D9" w:themeFill="background1" w:themeFillShade="D9"/>
          <w:vAlign w:val="center"/>
        </w:tcPr>
        <w:p>
          <w:pPr>
            <w:rPr>
              <w:b/>
              <w:sz w:val="24"/>
              <w:szCs w:val="24"/>
            </w:rPr>
          </w:pPr>
        </w:p>
      </w:tc>
      <w:tc>
        <w:tcPr>
          <w:tcW w:w="2965" w:type="dxa"/>
          <w:vMerge/>
          <w:shd w:val="clear" w:color="auto" w:fill="D9D9D9" w:themeFill="background1" w:themeFillShade="D9"/>
          <w:vAlign w:val="center"/>
        </w:tcPr>
        <w:p>
          <w:pPr>
            <w:rPr>
              <w:b/>
              <w:sz w:val="24"/>
              <w:szCs w:val="24"/>
            </w:rPr>
          </w:pPr>
        </w:p>
      </w:tc>
      <w:tc>
        <w:tcPr>
          <w:tcW w:w="2965" w:type="dxa"/>
          <w:vMerge/>
          <w:shd w:val="clear" w:color="auto" w:fill="D9D9D9" w:themeFill="background1" w:themeFillShade="D9"/>
          <w:vAlign w:val="center"/>
        </w:tcPr>
        <w:p>
          <w:pPr>
            <w:rPr>
              <w:b/>
              <w:sz w:val="24"/>
              <w:szCs w:val="24"/>
            </w:rPr>
          </w:pPr>
        </w:p>
      </w:tc>
    </w:tr>
    <w:tr>
      <w:trPr>
        <w:trHeight w:val="250"/>
      </w:trPr>
      <w:tc>
        <w:tcPr>
          <w:tcW w:w="1697" w:type="dxa"/>
          <w:vMerge/>
          <w:shd w:val="clear" w:color="auto" w:fill="D9D9D9" w:themeFill="background1" w:themeFillShade="D9"/>
        </w:tcPr>
        <w:p>
          <w:pPr>
            <w:pStyle w:val="Header"/>
          </w:pPr>
        </w:p>
      </w:tc>
      <w:tc>
        <w:tcPr>
          <w:tcW w:w="4233" w:type="dxa"/>
          <w:shd w:val="clear" w:color="auto" w:fill="D9D9D9" w:themeFill="background1" w:themeFillShade="D9"/>
          <w:vAlign w:val="center"/>
        </w:tcPr>
        <w:p>
          <w:pPr>
            <w:jc w:val="center"/>
            <w:rPr>
              <w:b/>
              <w:sz w:val="24"/>
              <w:szCs w:val="24"/>
            </w:rPr>
          </w:pPr>
          <w:r>
            <w:rPr>
              <w:b/>
              <w:szCs w:val="20"/>
            </w:rPr>
            <w:t>Annexe Norme ou pratique recommandée</w:t>
          </w:r>
        </w:p>
      </w:tc>
      <w:tc>
        <w:tcPr>
          <w:tcW w:w="2965" w:type="dxa"/>
          <w:vMerge/>
          <w:shd w:val="clear" w:color="auto" w:fill="D9D9D9" w:themeFill="background1" w:themeFillShade="D9"/>
          <w:vAlign w:val="center"/>
        </w:tcPr>
        <w:p>
          <w:pPr>
            <w:rPr>
              <w:b/>
              <w:sz w:val="24"/>
              <w:szCs w:val="24"/>
            </w:rPr>
          </w:pPr>
        </w:p>
      </w:tc>
      <w:tc>
        <w:tcPr>
          <w:tcW w:w="2965" w:type="dxa"/>
          <w:vMerge/>
          <w:shd w:val="clear" w:color="auto" w:fill="D9D9D9" w:themeFill="background1" w:themeFillShade="D9"/>
          <w:vAlign w:val="center"/>
        </w:tcPr>
        <w:p>
          <w:pPr>
            <w:rPr>
              <w:b/>
              <w:sz w:val="24"/>
              <w:szCs w:val="24"/>
            </w:rPr>
          </w:pPr>
        </w:p>
      </w:tc>
      <w:tc>
        <w:tcPr>
          <w:tcW w:w="2965" w:type="dxa"/>
          <w:vMerge/>
          <w:shd w:val="clear" w:color="auto" w:fill="D9D9D9" w:themeFill="background1" w:themeFillShade="D9"/>
          <w:vAlign w:val="center"/>
        </w:tcPr>
        <w:p>
          <w:pPr>
            <w:rPr>
              <w:b/>
              <w:sz w:val="24"/>
              <w:szCs w:val="24"/>
            </w:rPr>
          </w:pPr>
        </w:p>
      </w:tc>
    </w:tr>
  </w:tbl>
  <w:p>
    <w:pPr>
      <w:pStyle w:val="Header"/>
      <w:ind w:left="-99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2865F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1F6E20"/>
    <w:multiLevelType w:val="hybridMultilevel"/>
    <w:tmpl w:val="1250F0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B532727"/>
    <w:multiLevelType w:val="hybridMultilevel"/>
    <w:tmpl w:val="CD9A16A0"/>
    <w:lvl w:ilvl="0" w:tplc="F856B6C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E0153B"/>
    <w:multiLevelType w:val="hybridMultilevel"/>
    <w:tmpl w:val="5D84EC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2E44180"/>
    <w:multiLevelType w:val="multilevel"/>
    <w:tmpl w:val="426487E2"/>
    <w:lvl w:ilvl="0">
      <w:start w:val="1"/>
      <w:numFmt w:val="decimal"/>
      <w:lvlRestart w:val="0"/>
      <w:pStyle w:val="NumPar1"/>
      <w:lvlText w:val="%1."/>
      <w:lvlJc w:val="left"/>
      <w:pPr>
        <w:tabs>
          <w:tab w:val="num" w:pos="850"/>
        </w:tabs>
        <w:ind w:left="850" w:hanging="850"/>
      </w:pPr>
      <w:rPr>
        <w:b/>
      </w:rPr>
    </w:lvl>
    <w:lvl w:ilvl="1">
      <w:start w:val="1"/>
      <w:numFmt w:val="decimal"/>
      <w:pStyle w:val="NumPar2"/>
      <w:lvlText w:val="%1.%2."/>
      <w:lvlJc w:val="left"/>
      <w:pPr>
        <w:tabs>
          <w:tab w:val="num" w:pos="850"/>
        </w:tabs>
        <w:ind w:left="850" w:hanging="85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
    <w:nsid w:val="52543769"/>
    <w:multiLevelType w:val="hybridMultilevel"/>
    <w:tmpl w:val="A3D262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5CD6421F"/>
    <w:multiLevelType w:val="hybridMultilevel"/>
    <w:tmpl w:val="E152A1A0"/>
    <w:lvl w:ilvl="0" w:tplc="95B251FE">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627E5599"/>
    <w:multiLevelType w:val="hybridMultilevel"/>
    <w:tmpl w:val="5EEE6BA2"/>
    <w:lvl w:ilvl="0" w:tplc="58227874">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0"/>
  </w:num>
  <w:num w:numId="3">
    <w:abstractNumId w:val="5"/>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9"/>
  </w:num>
  <w:num w:numId="29">
    <w:abstractNumId w:val="8"/>
  </w:num>
  <w:num w:numId="30">
    <w:abstractNumId w:val="4"/>
  </w:num>
  <w:num w:numId="31">
    <w:abstractNumId w:val="4"/>
  </w:num>
  <w:num w:numId="32">
    <w:abstractNumId w:val="4"/>
  </w:num>
  <w:num w:numId="33">
    <w:abstractNumId w:val="4"/>
  </w:num>
  <w:num w:numId="34">
    <w:abstractNumId w:val="1"/>
  </w:num>
  <w:num w:numId="35">
    <w:abstractNumId w:val="6"/>
  </w:num>
  <w:num w:numId="36">
    <w:abstractNumId w:val="0"/>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554D447E-32CE-471E-89F6-6B9909280DA1"/>
    <w:docVar w:name="LW_COVERPAGE_TYPE" w:val="1"/>
    <w:docVar w:name="LW_CROSSREFERENCE" w:val="&lt;UNUSED&gt;"/>
    <w:docVar w:name="LW_DocType" w:val="NORMAL"/>
    <w:docVar w:name="LW_EMISSION" w:val="12.6.2020"/>
    <w:docVar w:name="LW_EMISSION_ISODATE" w:val="2020-06-12"/>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position à prendre, au nom de l\u8217?Union européenne, au sein de l\u8217?Organisation de l\u8217?aviation civile internationale en ce qui concerne la notification des différences ayant trait aux annexes 1 et 6 de la convention relative à l\u8217?aviation civile internationale et liées à la pandémie de COVID-19_x000d__x000d__x000b_"/>
    <w:docVar w:name="LW_PART_NBR" w:val="1"/>
    <w:docVar w:name="LW_PART_NBR_TOTAL" w:val="1"/>
    <w:docVar w:name="LW_REF.INST.NEW" w:val="COM"/>
    <w:docVar w:name="LW_REF.INST.NEW_ADOPTED" w:val="final"/>
    <w:docVar w:name="LW_REF.INST.NEW_TEXT" w:val="(2020) 2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2"/>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2"/>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2"/>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NumPar1">
    <w:name w:val="NumPar 1"/>
    <w:basedOn w:val="Normal"/>
    <w:next w:val="Text1"/>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1"/>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3"/>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4"/>
      </w:numPr>
      <w:spacing w:before="120" w:after="120" w:line="240" w:lineRule="auto"/>
      <w:jc w:val="both"/>
    </w:pPr>
    <w:rPr>
      <w:rFonts w:ascii="Times New Roman" w:hAnsi="Times New Roman" w:cs="Times New Roman"/>
      <w:sz w:val="24"/>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styleId="ListParagraph">
    <w:name w:val="List Paragraph"/>
    <w:basedOn w:val="Normal"/>
    <w:uiPriority w:val="34"/>
    <w:qFormat/>
    <w:pPr>
      <w:spacing w:before="120" w:after="120" w:line="240" w:lineRule="auto"/>
      <w:ind w:left="720"/>
      <w:contextualSpacing/>
      <w:jc w:val="both"/>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99"/>
    <w:semiHidden/>
    <w:unhideWhenUsed/>
    <w:pPr>
      <w:numPr>
        <w:numId w:val="36"/>
      </w:numPr>
      <w:spacing w:before="120" w:after="120" w:line="240" w:lineRule="auto"/>
      <w:contextualSpacing/>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2"/>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2"/>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2"/>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NumPar1">
    <w:name w:val="NumPar 1"/>
    <w:basedOn w:val="Normal"/>
    <w:next w:val="Text1"/>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1"/>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3"/>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4"/>
      </w:numPr>
      <w:spacing w:before="120" w:after="120" w:line="240" w:lineRule="auto"/>
      <w:jc w:val="both"/>
    </w:pPr>
    <w:rPr>
      <w:rFonts w:ascii="Times New Roman" w:hAnsi="Times New Roman" w:cs="Times New Roman"/>
      <w:sz w:val="24"/>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styleId="ListParagraph">
    <w:name w:val="List Paragraph"/>
    <w:basedOn w:val="Normal"/>
    <w:uiPriority w:val="34"/>
    <w:qFormat/>
    <w:pPr>
      <w:spacing w:before="120" w:after="120" w:line="240" w:lineRule="auto"/>
      <w:ind w:left="720"/>
      <w:contextualSpacing/>
      <w:jc w:val="both"/>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99"/>
    <w:semiHidden/>
    <w:unhideWhenUsed/>
    <w:pPr>
      <w:numPr>
        <w:numId w:val="36"/>
      </w:numPr>
      <w:spacing w:before="120" w:after="120" w:line="240" w:lineRule="auto"/>
      <w:contextualSpacing/>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368">
      <w:bodyDiv w:val="1"/>
      <w:marLeft w:val="0"/>
      <w:marRight w:val="0"/>
      <w:marTop w:val="0"/>
      <w:marBottom w:val="0"/>
      <w:divBdr>
        <w:top w:val="none" w:sz="0" w:space="0" w:color="auto"/>
        <w:left w:val="none" w:sz="0" w:space="0" w:color="auto"/>
        <w:bottom w:val="none" w:sz="0" w:space="0" w:color="auto"/>
        <w:right w:val="none" w:sz="0" w:space="0" w:color="auto"/>
      </w:divBdr>
    </w:div>
    <w:div w:id="298340588">
      <w:bodyDiv w:val="1"/>
      <w:marLeft w:val="0"/>
      <w:marRight w:val="0"/>
      <w:marTop w:val="0"/>
      <w:marBottom w:val="0"/>
      <w:divBdr>
        <w:top w:val="none" w:sz="0" w:space="0" w:color="auto"/>
        <w:left w:val="none" w:sz="0" w:space="0" w:color="auto"/>
        <w:bottom w:val="none" w:sz="0" w:space="0" w:color="auto"/>
        <w:right w:val="none" w:sz="0" w:space="0" w:color="auto"/>
      </w:divBdr>
    </w:div>
    <w:div w:id="865287687">
      <w:bodyDiv w:val="1"/>
      <w:marLeft w:val="0"/>
      <w:marRight w:val="0"/>
      <w:marTop w:val="0"/>
      <w:marBottom w:val="0"/>
      <w:divBdr>
        <w:top w:val="none" w:sz="0" w:space="0" w:color="auto"/>
        <w:left w:val="none" w:sz="0" w:space="0" w:color="auto"/>
        <w:bottom w:val="none" w:sz="0" w:space="0" w:color="auto"/>
        <w:right w:val="none" w:sz="0" w:space="0" w:color="auto"/>
      </w:divBdr>
    </w:div>
    <w:div w:id="962688843">
      <w:bodyDiv w:val="1"/>
      <w:marLeft w:val="0"/>
      <w:marRight w:val="0"/>
      <w:marTop w:val="0"/>
      <w:marBottom w:val="0"/>
      <w:divBdr>
        <w:top w:val="none" w:sz="0" w:space="0" w:color="auto"/>
        <w:left w:val="none" w:sz="0" w:space="0" w:color="auto"/>
        <w:bottom w:val="none" w:sz="0" w:space="0" w:color="auto"/>
        <w:right w:val="none" w:sz="0" w:space="0" w:color="auto"/>
      </w:divBdr>
    </w:div>
    <w:div w:id="1068504346">
      <w:bodyDiv w:val="1"/>
      <w:marLeft w:val="0"/>
      <w:marRight w:val="0"/>
      <w:marTop w:val="0"/>
      <w:marBottom w:val="0"/>
      <w:divBdr>
        <w:top w:val="none" w:sz="0" w:space="0" w:color="auto"/>
        <w:left w:val="none" w:sz="0" w:space="0" w:color="auto"/>
        <w:bottom w:val="none" w:sz="0" w:space="0" w:color="auto"/>
        <w:right w:val="none" w:sz="0" w:space="0" w:color="auto"/>
      </w:divBdr>
    </w:div>
    <w:div w:id="1376394173">
      <w:bodyDiv w:val="1"/>
      <w:marLeft w:val="0"/>
      <w:marRight w:val="0"/>
      <w:marTop w:val="0"/>
      <w:marBottom w:val="0"/>
      <w:divBdr>
        <w:top w:val="none" w:sz="0" w:space="0" w:color="auto"/>
        <w:left w:val="none" w:sz="0" w:space="0" w:color="auto"/>
        <w:bottom w:val="none" w:sz="0" w:space="0" w:color="auto"/>
        <w:right w:val="none" w:sz="0" w:space="0" w:color="auto"/>
      </w:divBdr>
    </w:div>
    <w:div w:id="18945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ops@icao.int"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0BEEC102F64766A8AC4C2A0C30BE63"/>
        <w:category>
          <w:name w:val="General"/>
          <w:gallery w:val="placeholder"/>
        </w:category>
        <w:types>
          <w:type w:val="bbPlcHdr"/>
        </w:types>
        <w:behaviors>
          <w:behavior w:val="content"/>
        </w:behaviors>
        <w:guid w:val="{935B8F69-DBC2-4EF3-AD9F-E184500BDBC9}"/>
      </w:docPartPr>
      <w:docPartBody>
        <w:p>
          <w:pPr>
            <w:pStyle w:val="440BEEC102F64766A8AC4C2A0C30BE63"/>
          </w:pPr>
          <w:r>
            <w:rPr>
              <w:rStyle w:val="PlaceholderText"/>
            </w:rPr>
            <w:t>Click or tap here to enter text.</w:t>
          </w:r>
        </w:p>
      </w:docPartBody>
    </w:docPart>
    <w:docPart>
      <w:docPartPr>
        <w:name w:val="AE3DE094D9524B1CB176E63EDE8F9257"/>
        <w:category>
          <w:name w:val="General"/>
          <w:gallery w:val="placeholder"/>
        </w:category>
        <w:types>
          <w:type w:val="bbPlcHdr"/>
        </w:types>
        <w:behaviors>
          <w:behavior w:val="content"/>
        </w:behaviors>
        <w:guid w:val="{CCCF36CF-5C00-4F50-B380-3116E0FF5D15}"/>
      </w:docPartPr>
      <w:docPartBody>
        <w:p>
          <w:pPr>
            <w:pStyle w:val="AE3DE094D9524B1CB176E63EDE8F9257"/>
          </w:pPr>
          <w:r>
            <w:rPr>
              <w:rStyle w:val="PlaceholderText"/>
            </w:rPr>
            <w:t>Click or tap here to enter text.</w:t>
          </w:r>
        </w:p>
      </w:docPartBody>
    </w:docPart>
    <w:docPart>
      <w:docPartPr>
        <w:name w:val="3B39E02C3937451E950F8867D959DD31"/>
        <w:category>
          <w:name w:val="General"/>
          <w:gallery w:val="placeholder"/>
        </w:category>
        <w:types>
          <w:type w:val="bbPlcHdr"/>
        </w:types>
        <w:behaviors>
          <w:behavior w:val="content"/>
        </w:behaviors>
        <w:guid w:val="{75369DF5-D000-4AB3-83DA-D849D6038E83}"/>
      </w:docPartPr>
      <w:docPartBody>
        <w:p>
          <w:pPr>
            <w:pStyle w:val="3B39E02C3937451E950F8867D959DD31"/>
          </w:pPr>
          <w:r>
            <w:rPr>
              <w:rStyle w:val="PlaceholderText"/>
            </w:rPr>
            <w:t>Click or tap here to enter text.</w:t>
          </w:r>
        </w:p>
      </w:docPartBody>
    </w:docPart>
    <w:docPart>
      <w:docPartPr>
        <w:name w:val="319155465811459FB50C3FF8D526FBA7"/>
        <w:category>
          <w:name w:val="General"/>
          <w:gallery w:val="placeholder"/>
        </w:category>
        <w:types>
          <w:type w:val="bbPlcHdr"/>
        </w:types>
        <w:behaviors>
          <w:behavior w:val="content"/>
        </w:behaviors>
        <w:guid w:val="{39159748-582F-40C9-84EE-4F40200BE4C3}"/>
      </w:docPartPr>
      <w:docPartBody>
        <w:p>
          <w:pPr>
            <w:pStyle w:val="319155465811459FB50C3FF8D526FBA7"/>
          </w:pPr>
          <w:r>
            <w:rPr>
              <w:rStyle w:val="PlaceholderText"/>
            </w:rPr>
            <w:t>Click or tap here to enter text.</w:t>
          </w:r>
        </w:p>
      </w:docPartBody>
    </w:docPart>
    <w:docPart>
      <w:docPartPr>
        <w:name w:val="731902B27B6A430CAB62B85EE5A4B766"/>
        <w:category>
          <w:name w:val="General"/>
          <w:gallery w:val="placeholder"/>
        </w:category>
        <w:types>
          <w:type w:val="bbPlcHdr"/>
        </w:types>
        <w:behaviors>
          <w:behavior w:val="content"/>
        </w:behaviors>
        <w:guid w:val="{4782B130-A8D5-424C-B878-49945FB47C7F}"/>
      </w:docPartPr>
      <w:docPartBody>
        <w:p>
          <w:pPr>
            <w:pStyle w:val="731902B27B6A430CAB62B85EE5A4B766"/>
          </w:pPr>
          <w:r>
            <w:rPr>
              <w:rStyle w:val="PlaceholderText"/>
            </w:rPr>
            <w:t>Click or tap here to enter text.</w:t>
          </w:r>
        </w:p>
      </w:docPartBody>
    </w:docPart>
    <w:docPart>
      <w:docPartPr>
        <w:name w:val="4FA1EAFE31FD4C3A92CC9CD7C75B679A"/>
        <w:category>
          <w:name w:val="General"/>
          <w:gallery w:val="placeholder"/>
        </w:category>
        <w:types>
          <w:type w:val="bbPlcHdr"/>
        </w:types>
        <w:behaviors>
          <w:behavior w:val="content"/>
        </w:behaviors>
        <w:guid w:val="{594FFBEE-1878-4005-A9A1-A2F487B8A906}"/>
      </w:docPartPr>
      <w:docPartBody>
        <w:p>
          <w:r>
            <w:rPr>
              <w:rStyle w:val="PlaceholderText"/>
            </w:rPr>
            <w:t>Cliquer ou toucher ici pour introduire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62D"/>
    <w:rPr>
      <w:color w:val="808080"/>
    </w:rPr>
  </w:style>
  <w:style w:type="paragraph" w:customStyle="1" w:styleId="440BEEC102F64766A8AC4C2A0C30BE63">
    <w:name w:val="440BEEC102F64766A8AC4C2A0C30BE63"/>
    <w:rsid w:val="005D0A75"/>
  </w:style>
  <w:style w:type="paragraph" w:customStyle="1" w:styleId="9D0BAC178AEB4DD8A66F6F91DA785218">
    <w:name w:val="9D0BAC178AEB4DD8A66F6F91DA785218"/>
    <w:rsid w:val="005D0A75"/>
  </w:style>
  <w:style w:type="paragraph" w:customStyle="1" w:styleId="1DB8C45408F4460F9497D5B094A38C69">
    <w:name w:val="1DB8C45408F4460F9497D5B094A38C69"/>
    <w:rsid w:val="005D0A75"/>
  </w:style>
  <w:style w:type="paragraph" w:customStyle="1" w:styleId="52820C7881E34E6094503D79B79B237D">
    <w:name w:val="52820C7881E34E6094503D79B79B237D"/>
    <w:rsid w:val="005D0A75"/>
  </w:style>
  <w:style w:type="paragraph" w:customStyle="1" w:styleId="BAFE42BD356941C5A172EB80008137ED">
    <w:name w:val="BAFE42BD356941C5A172EB80008137ED"/>
    <w:rsid w:val="005D0A75"/>
  </w:style>
  <w:style w:type="paragraph" w:customStyle="1" w:styleId="AE3DE094D9524B1CB176E63EDE8F9257">
    <w:name w:val="AE3DE094D9524B1CB176E63EDE8F9257"/>
    <w:rsid w:val="005D0A75"/>
  </w:style>
  <w:style w:type="paragraph" w:customStyle="1" w:styleId="3B39E02C3937451E950F8867D959DD31">
    <w:name w:val="3B39E02C3937451E950F8867D959DD31"/>
    <w:rsid w:val="005D0A75"/>
  </w:style>
  <w:style w:type="paragraph" w:customStyle="1" w:styleId="319155465811459FB50C3FF8D526FBA7">
    <w:name w:val="319155465811459FB50C3FF8D526FBA7"/>
    <w:rsid w:val="005D0A75"/>
  </w:style>
  <w:style w:type="paragraph" w:customStyle="1" w:styleId="731902B27B6A430CAB62B85EE5A4B766">
    <w:name w:val="731902B27B6A430CAB62B85EE5A4B766"/>
    <w:rsid w:val="005D0A75"/>
  </w:style>
  <w:style w:type="paragraph" w:customStyle="1" w:styleId="4FA1EAFE31FD4C3A92CC9CD7C75B679A">
    <w:name w:val="4FA1EAFE31FD4C3A92CC9CD7C75B679A"/>
    <w:rsid w:val="005D0A75"/>
  </w:style>
  <w:style w:type="paragraph" w:customStyle="1" w:styleId="09720C6027724454A4739E4F34440754">
    <w:name w:val="09720C6027724454A4739E4F34440754"/>
    <w:rsid w:val="0059662D"/>
    <w:rPr>
      <w:lang w:val="en-GB" w:eastAsia="en-GB"/>
    </w:rPr>
  </w:style>
  <w:style w:type="paragraph" w:customStyle="1" w:styleId="9DE44FE69F014E129EC7DE45B8DF4DEE">
    <w:name w:val="9DE44FE69F014E129EC7DE45B8DF4DEE"/>
    <w:rsid w:val="0059662D"/>
    <w:rPr>
      <w:lang w:val="en-GB" w:eastAsia="en-GB"/>
    </w:rPr>
  </w:style>
  <w:style w:type="paragraph" w:customStyle="1" w:styleId="BBCD724AADC94507A1DDECD5A112B26F">
    <w:name w:val="BBCD724AADC94507A1DDECD5A112B26F"/>
    <w:rsid w:val="0059662D"/>
    <w:rPr>
      <w:lang w:val="en-GB" w:eastAsia="en-GB"/>
    </w:rPr>
  </w:style>
  <w:style w:type="paragraph" w:customStyle="1" w:styleId="788F103B29624E48BA8021EC6C88366F">
    <w:name w:val="788F103B29624E48BA8021EC6C88366F"/>
    <w:rsid w:val="0059662D"/>
    <w:rPr>
      <w:lang w:val="en-GB" w:eastAsia="en-GB"/>
    </w:rPr>
  </w:style>
  <w:style w:type="paragraph" w:customStyle="1" w:styleId="318624B1A65F4DCF9B190229A41BCFA9">
    <w:name w:val="318624B1A65F4DCF9B190229A41BCFA9"/>
    <w:rsid w:val="0059662D"/>
    <w:rPr>
      <w:lang w:val="en-GB" w:eastAsia="en-GB"/>
    </w:rPr>
  </w:style>
  <w:style w:type="paragraph" w:customStyle="1" w:styleId="CE8D1CD862A34C11AE49B7DB0786BE4D">
    <w:name w:val="CE8D1CD862A34C11AE49B7DB0786BE4D"/>
    <w:rsid w:val="0059662D"/>
    <w:rPr>
      <w:lang w:val="en-GB" w:eastAsia="en-GB"/>
    </w:rPr>
  </w:style>
  <w:style w:type="paragraph" w:customStyle="1" w:styleId="0B1E7F20E9F04C6DB85C73A13E47008A">
    <w:name w:val="0B1E7F20E9F04C6DB85C73A13E47008A"/>
    <w:rsid w:val="0059662D"/>
    <w:rPr>
      <w:lang w:val="en-GB" w:eastAsia="en-GB"/>
    </w:rPr>
  </w:style>
  <w:style w:type="paragraph" w:customStyle="1" w:styleId="6E2CE3C569A54757B1F602B4B19FA892">
    <w:name w:val="6E2CE3C569A54757B1F602B4B19FA892"/>
    <w:rsid w:val="0059662D"/>
    <w:rPr>
      <w:lang w:val="en-GB" w:eastAsia="en-GB"/>
    </w:rPr>
  </w:style>
  <w:style w:type="paragraph" w:customStyle="1" w:styleId="EFE3A120DEF24D5EB3C3DC506E7EC973">
    <w:name w:val="EFE3A120DEF24D5EB3C3DC506E7EC973"/>
    <w:rsid w:val="0059662D"/>
    <w:rPr>
      <w:lang w:val="en-GB" w:eastAsia="en-GB"/>
    </w:rPr>
  </w:style>
  <w:style w:type="paragraph" w:customStyle="1" w:styleId="A418138FA4E043B8AECA0359FFF3F6C8">
    <w:name w:val="A418138FA4E043B8AECA0359FFF3F6C8"/>
    <w:rsid w:val="0059662D"/>
    <w:rPr>
      <w:lang w:val="en-GB" w:eastAsia="en-GB"/>
    </w:rPr>
  </w:style>
  <w:style w:type="paragraph" w:customStyle="1" w:styleId="A13C6C9441C04404B0B4108BAA17CA6A">
    <w:name w:val="A13C6C9441C04404B0B4108BAA17CA6A"/>
    <w:rsid w:val="0059662D"/>
    <w:rPr>
      <w:lang w:val="en-GB" w:eastAsia="en-GB"/>
    </w:rPr>
  </w:style>
  <w:style w:type="paragraph" w:customStyle="1" w:styleId="A31AC85AAC884AC08C8A3EDFDCA6983B">
    <w:name w:val="A31AC85AAC884AC08C8A3EDFDCA6983B"/>
    <w:rsid w:val="0059662D"/>
    <w:rPr>
      <w:lang w:val="en-GB" w:eastAsia="en-GB"/>
    </w:rPr>
  </w:style>
  <w:style w:type="paragraph" w:customStyle="1" w:styleId="CD24A6EE2A314CBFBB40EE49DDFA0095">
    <w:name w:val="CD24A6EE2A314CBFBB40EE49DDFA0095"/>
    <w:rsid w:val="0059662D"/>
    <w:rPr>
      <w:lang w:val="en-GB" w:eastAsia="en-GB"/>
    </w:rPr>
  </w:style>
  <w:style w:type="paragraph" w:customStyle="1" w:styleId="D47DC9F2E703498986078887F21336B2">
    <w:name w:val="D47DC9F2E703498986078887F21336B2"/>
    <w:rsid w:val="0059662D"/>
    <w:rPr>
      <w:lang w:val="en-GB" w:eastAsia="en-GB"/>
    </w:rPr>
  </w:style>
  <w:style w:type="paragraph" w:customStyle="1" w:styleId="4AABEEA6408D4E6487A9F9D9C5F8A27D">
    <w:name w:val="4AABEEA6408D4E6487A9F9D9C5F8A27D"/>
    <w:rsid w:val="0059662D"/>
    <w:rPr>
      <w:lang w:val="en-GB" w:eastAsia="en-GB"/>
    </w:rPr>
  </w:style>
  <w:style w:type="paragraph" w:customStyle="1" w:styleId="1C3AF41FE30D41F2A6F3044A661983DA">
    <w:name w:val="1C3AF41FE30D41F2A6F3044A661983DA"/>
    <w:rsid w:val="0059662D"/>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62D"/>
    <w:rPr>
      <w:color w:val="808080"/>
    </w:rPr>
  </w:style>
  <w:style w:type="paragraph" w:customStyle="1" w:styleId="440BEEC102F64766A8AC4C2A0C30BE63">
    <w:name w:val="440BEEC102F64766A8AC4C2A0C30BE63"/>
    <w:rsid w:val="005D0A75"/>
  </w:style>
  <w:style w:type="paragraph" w:customStyle="1" w:styleId="9D0BAC178AEB4DD8A66F6F91DA785218">
    <w:name w:val="9D0BAC178AEB4DD8A66F6F91DA785218"/>
    <w:rsid w:val="005D0A75"/>
  </w:style>
  <w:style w:type="paragraph" w:customStyle="1" w:styleId="1DB8C45408F4460F9497D5B094A38C69">
    <w:name w:val="1DB8C45408F4460F9497D5B094A38C69"/>
    <w:rsid w:val="005D0A75"/>
  </w:style>
  <w:style w:type="paragraph" w:customStyle="1" w:styleId="52820C7881E34E6094503D79B79B237D">
    <w:name w:val="52820C7881E34E6094503D79B79B237D"/>
    <w:rsid w:val="005D0A75"/>
  </w:style>
  <w:style w:type="paragraph" w:customStyle="1" w:styleId="BAFE42BD356941C5A172EB80008137ED">
    <w:name w:val="BAFE42BD356941C5A172EB80008137ED"/>
    <w:rsid w:val="005D0A75"/>
  </w:style>
  <w:style w:type="paragraph" w:customStyle="1" w:styleId="AE3DE094D9524B1CB176E63EDE8F9257">
    <w:name w:val="AE3DE094D9524B1CB176E63EDE8F9257"/>
    <w:rsid w:val="005D0A75"/>
  </w:style>
  <w:style w:type="paragraph" w:customStyle="1" w:styleId="3B39E02C3937451E950F8867D959DD31">
    <w:name w:val="3B39E02C3937451E950F8867D959DD31"/>
    <w:rsid w:val="005D0A75"/>
  </w:style>
  <w:style w:type="paragraph" w:customStyle="1" w:styleId="319155465811459FB50C3FF8D526FBA7">
    <w:name w:val="319155465811459FB50C3FF8D526FBA7"/>
    <w:rsid w:val="005D0A75"/>
  </w:style>
  <w:style w:type="paragraph" w:customStyle="1" w:styleId="731902B27B6A430CAB62B85EE5A4B766">
    <w:name w:val="731902B27B6A430CAB62B85EE5A4B766"/>
    <w:rsid w:val="005D0A75"/>
  </w:style>
  <w:style w:type="paragraph" w:customStyle="1" w:styleId="4FA1EAFE31FD4C3A92CC9CD7C75B679A">
    <w:name w:val="4FA1EAFE31FD4C3A92CC9CD7C75B679A"/>
    <w:rsid w:val="005D0A75"/>
  </w:style>
  <w:style w:type="paragraph" w:customStyle="1" w:styleId="09720C6027724454A4739E4F34440754">
    <w:name w:val="09720C6027724454A4739E4F34440754"/>
    <w:rsid w:val="0059662D"/>
    <w:rPr>
      <w:lang w:val="en-GB" w:eastAsia="en-GB"/>
    </w:rPr>
  </w:style>
  <w:style w:type="paragraph" w:customStyle="1" w:styleId="9DE44FE69F014E129EC7DE45B8DF4DEE">
    <w:name w:val="9DE44FE69F014E129EC7DE45B8DF4DEE"/>
    <w:rsid w:val="0059662D"/>
    <w:rPr>
      <w:lang w:val="en-GB" w:eastAsia="en-GB"/>
    </w:rPr>
  </w:style>
  <w:style w:type="paragraph" w:customStyle="1" w:styleId="BBCD724AADC94507A1DDECD5A112B26F">
    <w:name w:val="BBCD724AADC94507A1DDECD5A112B26F"/>
    <w:rsid w:val="0059662D"/>
    <w:rPr>
      <w:lang w:val="en-GB" w:eastAsia="en-GB"/>
    </w:rPr>
  </w:style>
  <w:style w:type="paragraph" w:customStyle="1" w:styleId="788F103B29624E48BA8021EC6C88366F">
    <w:name w:val="788F103B29624E48BA8021EC6C88366F"/>
    <w:rsid w:val="0059662D"/>
    <w:rPr>
      <w:lang w:val="en-GB" w:eastAsia="en-GB"/>
    </w:rPr>
  </w:style>
  <w:style w:type="paragraph" w:customStyle="1" w:styleId="318624B1A65F4DCF9B190229A41BCFA9">
    <w:name w:val="318624B1A65F4DCF9B190229A41BCFA9"/>
    <w:rsid w:val="0059662D"/>
    <w:rPr>
      <w:lang w:val="en-GB" w:eastAsia="en-GB"/>
    </w:rPr>
  </w:style>
  <w:style w:type="paragraph" w:customStyle="1" w:styleId="CE8D1CD862A34C11AE49B7DB0786BE4D">
    <w:name w:val="CE8D1CD862A34C11AE49B7DB0786BE4D"/>
    <w:rsid w:val="0059662D"/>
    <w:rPr>
      <w:lang w:val="en-GB" w:eastAsia="en-GB"/>
    </w:rPr>
  </w:style>
  <w:style w:type="paragraph" w:customStyle="1" w:styleId="0B1E7F20E9F04C6DB85C73A13E47008A">
    <w:name w:val="0B1E7F20E9F04C6DB85C73A13E47008A"/>
    <w:rsid w:val="0059662D"/>
    <w:rPr>
      <w:lang w:val="en-GB" w:eastAsia="en-GB"/>
    </w:rPr>
  </w:style>
  <w:style w:type="paragraph" w:customStyle="1" w:styleId="6E2CE3C569A54757B1F602B4B19FA892">
    <w:name w:val="6E2CE3C569A54757B1F602B4B19FA892"/>
    <w:rsid w:val="0059662D"/>
    <w:rPr>
      <w:lang w:val="en-GB" w:eastAsia="en-GB"/>
    </w:rPr>
  </w:style>
  <w:style w:type="paragraph" w:customStyle="1" w:styleId="EFE3A120DEF24D5EB3C3DC506E7EC973">
    <w:name w:val="EFE3A120DEF24D5EB3C3DC506E7EC973"/>
    <w:rsid w:val="0059662D"/>
    <w:rPr>
      <w:lang w:val="en-GB" w:eastAsia="en-GB"/>
    </w:rPr>
  </w:style>
  <w:style w:type="paragraph" w:customStyle="1" w:styleId="A418138FA4E043B8AECA0359FFF3F6C8">
    <w:name w:val="A418138FA4E043B8AECA0359FFF3F6C8"/>
    <w:rsid w:val="0059662D"/>
    <w:rPr>
      <w:lang w:val="en-GB" w:eastAsia="en-GB"/>
    </w:rPr>
  </w:style>
  <w:style w:type="paragraph" w:customStyle="1" w:styleId="A13C6C9441C04404B0B4108BAA17CA6A">
    <w:name w:val="A13C6C9441C04404B0B4108BAA17CA6A"/>
    <w:rsid w:val="0059662D"/>
    <w:rPr>
      <w:lang w:val="en-GB" w:eastAsia="en-GB"/>
    </w:rPr>
  </w:style>
  <w:style w:type="paragraph" w:customStyle="1" w:styleId="A31AC85AAC884AC08C8A3EDFDCA6983B">
    <w:name w:val="A31AC85AAC884AC08C8A3EDFDCA6983B"/>
    <w:rsid w:val="0059662D"/>
    <w:rPr>
      <w:lang w:val="en-GB" w:eastAsia="en-GB"/>
    </w:rPr>
  </w:style>
  <w:style w:type="paragraph" w:customStyle="1" w:styleId="CD24A6EE2A314CBFBB40EE49DDFA0095">
    <w:name w:val="CD24A6EE2A314CBFBB40EE49DDFA0095"/>
    <w:rsid w:val="0059662D"/>
    <w:rPr>
      <w:lang w:val="en-GB" w:eastAsia="en-GB"/>
    </w:rPr>
  </w:style>
  <w:style w:type="paragraph" w:customStyle="1" w:styleId="D47DC9F2E703498986078887F21336B2">
    <w:name w:val="D47DC9F2E703498986078887F21336B2"/>
    <w:rsid w:val="0059662D"/>
    <w:rPr>
      <w:lang w:val="en-GB" w:eastAsia="en-GB"/>
    </w:rPr>
  </w:style>
  <w:style w:type="paragraph" w:customStyle="1" w:styleId="4AABEEA6408D4E6487A9F9D9C5F8A27D">
    <w:name w:val="4AABEEA6408D4E6487A9F9D9C5F8A27D"/>
    <w:rsid w:val="0059662D"/>
    <w:rPr>
      <w:lang w:val="en-GB" w:eastAsia="en-GB"/>
    </w:rPr>
  </w:style>
  <w:style w:type="paragraph" w:customStyle="1" w:styleId="1C3AF41FE30D41F2A6F3044A661983DA">
    <w:name w:val="1C3AF41FE30D41F2A6F3044A661983DA"/>
    <w:rsid w:val="0059662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A5A09-50EF-450C-B39D-74F953A2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5607</Words>
  <Characters>31628</Characters>
  <Application>Microsoft Office Word</Application>
  <DocSecurity>0</DocSecurity>
  <Lines>1216</Lines>
  <Paragraphs>318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36917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TURCINA Branislav (MOVE)</dc:creator>
  <cp:lastModifiedBy>WES PDFC Administrator</cp:lastModifiedBy>
  <cp:revision>22</cp:revision>
  <dcterms:created xsi:type="dcterms:W3CDTF">2020-06-08T06:39:00Z</dcterms:created>
  <dcterms:modified xsi:type="dcterms:W3CDTF">2020-06-24T08:52:00Z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7.0.1, Build 20190916</vt:lpwstr>
  </property>
</Properties>
</file>