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03" w:rsidRDefault="00873433" w:rsidP="00873433">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799253C-8F1D-42F3-8403-22208D83C516" style="width:450pt;height:403.7pt">
            <v:imagedata r:id="rId11" o:title=""/>
          </v:shape>
        </w:pict>
      </w:r>
    </w:p>
    <w:bookmarkEnd w:id="0"/>
    <w:p w:rsidR="000C6D03" w:rsidRDefault="000C6D03">
      <w:pPr>
        <w:rPr>
          <w:noProof/>
          <w:lang w:eastAsia="en-GB"/>
        </w:rPr>
        <w:sectPr w:rsidR="000C6D03" w:rsidSect="00873433">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bookmarkStart w:id="1" w:name="_GoBack" w:displacedByCustomXml="next"/>
    <w:bookmarkEnd w:id="1" w:displacedByCustomXml="next"/>
    <w:sdt>
      <w:sdtPr>
        <w:rPr>
          <w:rFonts w:ascii="Times New Roman" w:eastAsia="Times New Roman" w:hAnsi="Times New Roman" w:cs="Times New Roman"/>
          <w:noProof/>
          <w:sz w:val="24"/>
          <w:szCs w:val="20"/>
          <w:lang w:eastAsia="en-GB"/>
        </w:rPr>
        <w:id w:val="-1781396500"/>
        <w:docPartObj>
          <w:docPartGallery w:val="Table of Contents"/>
          <w:docPartUnique/>
        </w:docPartObj>
      </w:sdtPr>
      <w:sdtEndPr>
        <w:rPr>
          <w:bCs/>
          <w:sz w:val="18"/>
          <w:szCs w:val="18"/>
        </w:rPr>
      </w:sdtEndPr>
      <w:sdtContent>
        <w:p w:rsidR="000C6D03" w:rsidRDefault="00873433">
          <w:pPr>
            <w:spacing w:after="360" w:line="240" w:lineRule="auto"/>
            <w:jc w:val="center"/>
            <w:rPr>
              <w:rFonts w:ascii="EC Square Sans Pro" w:eastAsia="Times New Roman" w:hAnsi="EC Square Sans Pro" w:cs="Times New Roman"/>
              <w:noProof/>
              <w:color w:val="005D95"/>
              <w:sz w:val="40"/>
              <w:szCs w:val="40"/>
              <w:lang w:eastAsia="en-GB"/>
            </w:rPr>
          </w:pPr>
          <w:r>
            <w:rPr>
              <w:rFonts w:ascii="EC Square Sans Pro" w:eastAsia="Times New Roman" w:hAnsi="EC Square Sans Pro" w:cs="Times New Roman"/>
              <w:noProof/>
              <w:color w:val="005D95"/>
              <w:sz w:val="40"/>
              <w:szCs w:val="40"/>
              <w:lang w:eastAsia="en-GB"/>
            </w:rPr>
            <w:t>Table of Contents</w:t>
          </w:r>
        </w:p>
        <w:p w:rsidR="000C6D03" w:rsidRDefault="00873433">
          <w:pPr>
            <w:pStyle w:val="TOC1"/>
            <w:rPr>
              <w:rFonts w:asciiTheme="minorHAnsi" w:eastAsiaTheme="minorEastAsia" w:hAnsiTheme="minorHAnsi" w:cstheme="minorBidi"/>
              <w:smallCaps w:val="0"/>
              <w:color w:val="auto"/>
              <w:sz w:val="22"/>
              <w:lang w:val="en-US" w:eastAsia="en-US"/>
            </w:rPr>
          </w:pPr>
          <w:r>
            <w:rPr>
              <w:b/>
              <w:bCs/>
              <w:caps/>
            </w:rPr>
            <w:fldChar w:fldCharType="begin"/>
          </w:r>
          <w:r>
            <w:rPr>
              <w:b/>
              <w:bCs/>
              <w:caps/>
            </w:rPr>
            <w:instrText xml:space="preserve"> TOC \o "1-3" \h \z \u </w:instrText>
          </w:r>
          <w:r>
            <w:rPr>
              <w:b/>
              <w:bCs/>
              <w:caps/>
            </w:rPr>
            <w:fldChar w:fldCharType="separate"/>
          </w:r>
          <w:hyperlink w:anchor="_Toc42788122" w:history="1">
            <w:r>
              <w:rPr>
                <w:rStyle w:val="Hyperlink"/>
                <w:rFonts w:eastAsia="EC Square Sans Pro"/>
                <w:caps/>
              </w:rPr>
              <w:t>Content of this STAFF WORKING DOCUMENT</w:t>
            </w:r>
            <w:r>
              <w:rPr>
                <w:webHidden/>
              </w:rPr>
              <w:tab/>
            </w:r>
            <w:r>
              <w:rPr>
                <w:webHidden/>
              </w:rPr>
              <w:fldChar w:fldCharType="begin"/>
            </w:r>
            <w:r>
              <w:rPr>
                <w:webHidden/>
              </w:rPr>
              <w:instrText xml:space="preserve"> PAGEREF _Toc42788122 \h </w:instrText>
            </w:r>
            <w:r>
              <w:rPr>
                <w:webHidden/>
              </w:rPr>
            </w:r>
            <w:r>
              <w:rPr>
                <w:webHidden/>
              </w:rPr>
              <w:fldChar w:fldCharType="separate"/>
            </w:r>
            <w:r>
              <w:rPr>
                <w:webHidden/>
              </w:rPr>
              <w:t>5</w:t>
            </w:r>
            <w:r>
              <w:rPr>
                <w:webHidden/>
              </w:rPr>
              <w:fldChar w:fldCharType="end"/>
            </w:r>
          </w:hyperlink>
        </w:p>
        <w:p w:rsidR="000C6D03" w:rsidRDefault="00873433">
          <w:pPr>
            <w:pStyle w:val="TOC1"/>
            <w:rPr>
              <w:rFonts w:asciiTheme="minorHAnsi" w:eastAsiaTheme="minorEastAsia" w:hAnsiTheme="minorHAnsi" w:cstheme="minorBidi"/>
              <w:smallCaps w:val="0"/>
              <w:color w:val="auto"/>
              <w:sz w:val="22"/>
              <w:lang w:val="en-US" w:eastAsia="en-US"/>
            </w:rPr>
          </w:pPr>
          <w:hyperlink w:anchor="_Toc42788123" w:history="1">
            <w:r>
              <w:rPr>
                <w:rStyle w:val="Hyperlink"/>
                <w:rFonts w:eastAsia="EC Square Sans Pro"/>
              </w:rPr>
              <w:t>PART 1: Final reports</w:t>
            </w:r>
            <w:r>
              <w:rPr>
                <w:webHidden/>
              </w:rPr>
              <w:tab/>
            </w:r>
            <w:r>
              <w:rPr>
                <w:webHidden/>
              </w:rPr>
              <w:fldChar w:fldCharType="begin"/>
            </w:r>
            <w:r>
              <w:rPr>
                <w:webHidden/>
              </w:rPr>
              <w:instrText xml:space="preserve"> PAGEREF _Toc42788123 \h </w:instrText>
            </w:r>
            <w:r>
              <w:rPr>
                <w:webHidden/>
              </w:rPr>
            </w:r>
            <w:r>
              <w:rPr>
                <w:webHidden/>
              </w:rPr>
              <w:fldChar w:fldCharType="separate"/>
            </w:r>
            <w:r>
              <w:rPr>
                <w:webHidden/>
              </w:rPr>
              <w:t>6</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24" w:history="1">
            <w:r>
              <w:rPr>
                <w:rStyle w:val="Hyperlink"/>
                <w:rFonts w:eastAsia="EC Square Sans Pro"/>
                <w:b/>
                <w:lang w:eastAsia="zh-CN"/>
              </w:rPr>
              <w:t xml:space="preserve">Horizontal </w:t>
            </w:r>
            <w:r>
              <w:rPr>
                <w:rStyle w:val="Hyperlink"/>
                <w:rFonts w:eastAsia="EC Square Sans Pro"/>
                <w:b/>
                <w:lang w:eastAsia="zh-CN"/>
              </w:rPr>
              <w:t>audits</w:t>
            </w:r>
            <w:r>
              <w:rPr>
                <w:webHidden/>
              </w:rPr>
              <w:tab/>
            </w:r>
            <w:r>
              <w:rPr>
                <w:webHidden/>
              </w:rPr>
              <w:fldChar w:fldCharType="begin"/>
            </w:r>
            <w:r>
              <w:rPr>
                <w:webHidden/>
              </w:rPr>
              <w:instrText xml:space="preserve"> PAGEREF _Toc42788124 \h </w:instrText>
            </w:r>
            <w:r>
              <w:rPr>
                <w:webHidden/>
              </w:rPr>
            </w:r>
            <w:r>
              <w:rPr>
                <w:webHidden/>
              </w:rPr>
              <w:fldChar w:fldCharType="separate"/>
            </w:r>
            <w:r>
              <w:rPr>
                <w:webHidden/>
              </w:rPr>
              <w:t>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25"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evaluations and studies in DGs CLIMA and ENV</w:t>
            </w:r>
            <w:r>
              <w:rPr>
                <w:webHidden/>
              </w:rPr>
              <w:tab/>
            </w:r>
            <w:r>
              <w:rPr>
                <w:webHidden/>
              </w:rPr>
              <w:fldChar w:fldCharType="begin"/>
            </w:r>
            <w:r>
              <w:rPr>
                <w:webHidden/>
              </w:rPr>
              <w:instrText xml:space="preserve"> PAGEREF _Toc42788125 \h </w:instrText>
            </w:r>
            <w:r>
              <w:rPr>
                <w:webHidden/>
              </w:rPr>
            </w:r>
            <w:r>
              <w:rPr>
                <w:webHidden/>
              </w:rPr>
              <w:fldChar w:fldCharType="separate"/>
            </w:r>
            <w:r>
              <w:rPr>
                <w:webHidden/>
              </w:rPr>
              <w:t>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26"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monitoring the implementation and performance of 2014-2020 operational programmes by DGs REGIO, EMPL and MARE</w:t>
            </w:r>
            <w:r>
              <w:rPr>
                <w:webHidden/>
              </w:rPr>
              <w:tab/>
            </w:r>
            <w:r>
              <w:rPr>
                <w:webHidden/>
              </w:rPr>
              <w:fldChar w:fldCharType="begin"/>
            </w:r>
            <w:r>
              <w:rPr>
                <w:webHidden/>
              </w:rPr>
              <w:instrText xml:space="preserve"> PAGEREF _Toc42788126 \h </w:instrText>
            </w:r>
            <w:r>
              <w:rPr>
                <w:webHidden/>
              </w:rPr>
            </w:r>
            <w:r>
              <w:rPr>
                <w:webHidden/>
              </w:rPr>
              <w:fldChar w:fldCharType="separate"/>
            </w:r>
            <w:r>
              <w:rPr>
                <w:webHidden/>
              </w:rPr>
              <w:t>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27"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management of recovery orders for competition fines (including guarantees for competition fines) and for recovery orders in the context of the Commission’s 'corrective capacity' – phase 2 (DGs B</w:t>
            </w:r>
            <w:r>
              <w:rPr>
                <w:rStyle w:val="Hyperlink"/>
              </w:rPr>
              <w:t>UDG and COMP)</w:t>
            </w:r>
            <w:r>
              <w:rPr>
                <w:webHidden/>
              </w:rPr>
              <w:tab/>
            </w:r>
            <w:r>
              <w:rPr>
                <w:webHidden/>
              </w:rPr>
              <w:fldChar w:fldCharType="begin"/>
            </w:r>
            <w:r>
              <w:rPr>
                <w:webHidden/>
              </w:rPr>
              <w:instrText xml:space="preserve"> PAGEREF _Toc42788127 \h </w:instrText>
            </w:r>
            <w:r>
              <w:rPr>
                <w:webHidden/>
              </w:rPr>
            </w:r>
            <w:r>
              <w:rPr>
                <w:webHidden/>
              </w:rPr>
              <w:fldChar w:fldCharType="separate"/>
            </w:r>
            <w:r>
              <w:rPr>
                <w:webHidden/>
              </w:rPr>
              <w:t>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28"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Consulting engagement on the governance and supervision of executive agencies addressed to SG and DGs BUDG and HR</w:t>
            </w:r>
            <w:r>
              <w:rPr>
                <w:webHidden/>
              </w:rPr>
              <w:tab/>
            </w:r>
            <w:r>
              <w:rPr>
                <w:webHidden/>
              </w:rPr>
              <w:fldChar w:fldCharType="begin"/>
            </w:r>
            <w:r>
              <w:rPr>
                <w:webHidden/>
              </w:rPr>
              <w:instrText xml:space="preserve"> PAGEREF _Toc42788128 \h </w:instrText>
            </w:r>
            <w:r>
              <w:rPr>
                <w:webHidden/>
              </w:rPr>
            </w:r>
            <w:r>
              <w:rPr>
                <w:webHidden/>
              </w:rPr>
              <w:fldChar w:fldCharType="separate"/>
            </w:r>
            <w:r>
              <w:rPr>
                <w:webHidden/>
              </w:rPr>
              <w:t>10</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29" w:history="1">
            <w:r>
              <w:rPr>
                <w:rStyle w:val="Hyperlink"/>
                <w:rFonts w:eastAsia="EC Square Sans Pro"/>
                <w:b/>
                <w:lang w:eastAsia="zh-CN"/>
              </w:rPr>
              <w:t>Agriculture, natural resources and health</w:t>
            </w:r>
            <w:r>
              <w:rPr>
                <w:webHidden/>
              </w:rPr>
              <w:tab/>
            </w:r>
            <w:r>
              <w:rPr>
                <w:webHidden/>
              </w:rPr>
              <w:fldChar w:fldCharType="begin"/>
            </w:r>
            <w:r>
              <w:rPr>
                <w:webHidden/>
              </w:rPr>
              <w:instrText xml:space="preserve"> PAGEREF _Toc42788129 \h </w:instrText>
            </w:r>
            <w:r>
              <w:rPr>
                <w:webHidden/>
              </w:rPr>
            </w:r>
            <w:r>
              <w:rPr>
                <w:webHidden/>
              </w:rPr>
              <w:fldChar w:fldCharType="separate"/>
            </w:r>
            <w:r>
              <w:rPr>
                <w:webHidden/>
              </w:rPr>
              <w:t>11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0"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the management of the fruit and vegetables regime in DG AGRI</w:t>
            </w:r>
            <w:r>
              <w:rPr>
                <w:webHidden/>
              </w:rPr>
              <w:tab/>
            </w:r>
            <w:r>
              <w:rPr>
                <w:webHidden/>
              </w:rPr>
              <w:fldChar w:fldCharType="begin"/>
            </w:r>
            <w:r>
              <w:rPr>
                <w:webHidden/>
              </w:rPr>
              <w:instrText xml:space="preserve"> PAGEREF _Toc42788130 \h </w:instrText>
            </w:r>
            <w:r>
              <w:rPr>
                <w:webHidden/>
              </w:rPr>
            </w:r>
            <w:r>
              <w:rPr>
                <w:webHidden/>
              </w:rPr>
              <w:fldChar w:fldCharType="separate"/>
            </w:r>
            <w:r>
              <w:rPr>
                <w:webHidden/>
              </w:rPr>
              <w:t>11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1"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international activities in DG ENV</w:t>
            </w:r>
            <w:r>
              <w:rPr>
                <w:webHidden/>
              </w:rPr>
              <w:tab/>
            </w:r>
            <w:r>
              <w:rPr>
                <w:webHidden/>
              </w:rPr>
              <w:fldChar w:fldCharType="begin"/>
            </w:r>
            <w:r>
              <w:rPr>
                <w:webHidden/>
              </w:rPr>
              <w:instrText xml:space="preserve"> PAGEREF _Toc42788131 \h </w:instrText>
            </w:r>
            <w:r>
              <w:rPr>
                <w:webHidden/>
              </w:rPr>
            </w:r>
            <w:r>
              <w:rPr>
                <w:webHidden/>
              </w:rPr>
              <w:fldChar w:fldCharType="separate"/>
            </w:r>
            <w:r>
              <w:rPr>
                <w:webHidden/>
              </w:rPr>
              <w:t>12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2"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the efficiency and effectiveness of the Health and Food Audits and Analysis Directorate of DG SANTE</w:t>
            </w:r>
            <w:r>
              <w:rPr>
                <w:webHidden/>
              </w:rPr>
              <w:tab/>
            </w:r>
            <w:r>
              <w:rPr>
                <w:webHidden/>
              </w:rPr>
              <w:fldChar w:fldCharType="begin"/>
            </w:r>
            <w:r>
              <w:rPr>
                <w:webHidden/>
              </w:rPr>
              <w:instrText xml:space="preserve"> PAGEREF _Toc42788132 \h </w:instrText>
            </w:r>
            <w:r>
              <w:rPr>
                <w:webHidden/>
              </w:rPr>
            </w:r>
            <w:r>
              <w:rPr>
                <w:webHidden/>
              </w:rPr>
              <w:fldChar w:fldCharType="separate"/>
            </w:r>
            <w:r>
              <w:rPr>
                <w:webHidden/>
              </w:rPr>
              <w:t>12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3"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Audit on the management of food and feed programmes, including emergency measures in DG SANTE</w:t>
            </w:r>
            <w:r>
              <w:rPr>
                <w:webHidden/>
              </w:rPr>
              <w:tab/>
            </w:r>
            <w:r>
              <w:rPr>
                <w:webHidden/>
              </w:rPr>
              <w:fldChar w:fldCharType="begin"/>
            </w:r>
            <w:r>
              <w:rPr>
                <w:webHidden/>
              </w:rPr>
              <w:instrText xml:space="preserve"> PAGEREF _Toc42788133 \h </w:instrText>
            </w:r>
            <w:r>
              <w:rPr>
                <w:webHidden/>
              </w:rPr>
            </w:r>
            <w:r>
              <w:rPr>
                <w:webHidden/>
              </w:rPr>
              <w:fldChar w:fldCharType="separate"/>
            </w:r>
            <w:r>
              <w:rPr>
                <w:webHidden/>
              </w:rPr>
              <w:t>14</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34" w:history="1">
            <w:r>
              <w:rPr>
                <w:rStyle w:val="Hyperlink"/>
                <w:rFonts w:eastAsia="EC Square Sans Pro"/>
                <w:b/>
                <w:lang w:eastAsia="zh-CN"/>
              </w:rPr>
              <w:t>Cohesion</w:t>
            </w:r>
            <w:r>
              <w:rPr>
                <w:webHidden/>
              </w:rPr>
              <w:tab/>
            </w:r>
            <w:r>
              <w:rPr>
                <w:webHidden/>
              </w:rPr>
              <w:fldChar w:fldCharType="begin"/>
            </w:r>
            <w:r>
              <w:rPr>
                <w:webHidden/>
              </w:rPr>
              <w:instrText xml:space="preserve"> PAGEREF _Toc42788134 \h </w:instrText>
            </w:r>
            <w:r>
              <w:rPr>
                <w:webHidden/>
              </w:rPr>
            </w:r>
            <w:r>
              <w:rPr>
                <w:webHidden/>
              </w:rPr>
              <w:fldChar w:fldCharType="separate"/>
            </w:r>
            <w:r>
              <w:rPr>
                <w:webHidden/>
              </w:rPr>
              <w:t>15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5"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management of the employment and social inno</w:t>
            </w:r>
            <w:r>
              <w:rPr>
                <w:rStyle w:val="Hyperlink"/>
              </w:rPr>
              <w:t>vation programme, with special emphasis on the PROGRESS axis in DG EMPL</w:t>
            </w:r>
            <w:r>
              <w:rPr>
                <w:webHidden/>
              </w:rPr>
              <w:tab/>
            </w:r>
            <w:r>
              <w:rPr>
                <w:webHidden/>
              </w:rPr>
              <w:fldChar w:fldCharType="begin"/>
            </w:r>
            <w:r>
              <w:rPr>
                <w:webHidden/>
              </w:rPr>
              <w:instrText xml:space="preserve"> PAGEREF _Toc42788135 \h </w:instrText>
            </w:r>
            <w:r>
              <w:rPr>
                <w:webHidden/>
              </w:rPr>
            </w:r>
            <w:r>
              <w:rPr>
                <w:webHidden/>
              </w:rPr>
              <w:fldChar w:fldCharType="separate"/>
            </w:r>
            <w:r>
              <w:rPr>
                <w:webHidden/>
              </w:rPr>
              <w:t>15</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36" w:history="1">
            <w:r>
              <w:rPr>
                <w:rStyle w:val="Hyperlink"/>
                <w:rFonts w:eastAsia="EC Square Sans Pro"/>
                <w:b/>
                <w:lang w:eastAsia="zh-CN"/>
              </w:rPr>
              <w:t>Research, energy and transport</w:t>
            </w:r>
            <w:r>
              <w:rPr>
                <w:webHidden/>
              </w:rPr>
              <w:tab/>
            </w:r>
            <w:r>
              <w:rPr>
                <w:webHidden/>
              </w:rPr>
              <w:fldChar w:fldCharType="begin"/>
            </w:r>
            <w:r>
              <w:rPr>
                <w:webHidden/>
              </w:rPr>
              <w:instrText xml:space="preserve"> PAGEREF _Toc42788136 \h </w:instrText>
            </w:r>
            <w:r>
              <w:rPr>
                <w:webHidden/>
              </w:rPr>
            </w:r>
            <w:r>
              <w:rPr>
                <w:webHidden/>
              </w:rPr>
              <w:fldChar w:fldCharType="separate"/>
            </w:r>
            <w:r>
              <w:rPr>
                <w:webHidden/>
              </w:rPr>
              <w:t>16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7"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implementation of the better regulation principles in the preparation of digital single market policy proposals in DG CONNECT</w:t>
            </w:r>
            <w:r>
              <w:rPr>
                <w:webHidden/>
              </w:rPr>
              <w:tab/>
            </w:r>
            <w:r>
              <w:rPr>
                <w:webHidden/>
              </w:rPr>
              <w:fldChar w:fldCharType="begin"/>
            </w:r>
            <w:r>
              <w:rPr>
                <w:webHidden/>
              </w:rPr>
              <w:instrText xml:space="preserve"> PAGEREF _Toc42788137 \h </w:instrText>
            </w:r>
            <w:r>
              <w:rPr>
                <w:webHidden/>
              </w:rPr>
            </w:r>
            <w:r>
              <w:rPr>
                <w:webHidden/>
              </w:rPr>
              <w:fldChar w:fldCharType="separate"/>
            </w:r>
            <w:r>
              <w:rPr>
                <w:webHidden/>
              </w:rPr>
              <w:t>16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8"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the implementation of DG ENER’s control strategy for delegated bodies implementing the nuclear decommissioning assista</w:t>
            </w:r>
            <w:r>
              <w:rPr>
                <w:rStyle w:val="Hyperlink"/>
              </w:rPr>
              <w:t>nce programme</w:t>
            </w:r>
            <w:r>
              <w:rPr>
                <w:webHidden/>
              </w:rPr>
              <w:tab/>
            </w:r>
            <w:r>
              <w:rPr>
                <w:webHidden/>
              </w:rPr>
              <w:fldChar w:fldCharType="begin"/>
            </w:r>
            <w:r>
              <w:rPr>
                <w:webHidden/>
              </w:rPr>
              <w:instrText xml:space="preserve"> PAGEREF _Toc42788138 \h </w:instrText>
            </w:r>
            <w:r>
              <w:rPr>
                <w:webHidden/>
              </w:rPr>
            </w:r>
            <w:r>
              <w:rPr>
                <w:webHidden/>
              </w:rPr>
              <w:fldChar w:fldCharType="separate"/>
            </w:r>
            <w:r>
              <w:rPr>
                <w:webHidden/>
              </w:rPr>
              <w:t>16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39"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the governance structure in ERCEA</w:t>
            </w:r>
            <w:r>
              <w:rPr>
                <w:webHidden/>
              </w:rPr>
              <w:tab/>
            </w:r>
            <w:r>
              <w:rPr>
                <w:webHidden/>
              </w:rPr>
              <w:fldChar w:fldCharType="begin"/>
            </w:r>
            <w:r>
              <w:rPr>
                <w:webHidden/>
              </w:rPr>
              <w:instrText xml:space="preserve"> PAGEREF _Toc42788139 \h </w:instrText>
            </w:r>
            <w:r>
              <w:rPr>
                <w:webHidden/>
              </w:rPr>
            </w:r>
            <w:r>
              <w:rPr>
                <w:webHidden/>
              </w:rPr>
              <w:fldChar w:fldCharType="separate"/>
            </w:r>
            <w:r>
              <w:rPr>
                <w:webHidden/>
              </w:rPr>
              <w:t>17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0"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Audit on site management infrastructure support services in the JRC</w:t>
            </w:r>
            <w:r>
              <w:rPr>
                <w:webHidden/>
              </w:rPr>
              <w:tab/>
            </w:r>
            <w:r>
              <w:rPr>
                <w:webHidden/>
              </w:rPr>
              <w:fldChar w:fldCharType="begin"/>
            </w:r>
            <w:r>
              <w:rPr>
                <w:webHidden/>
              </w:rPr>
              <w:instrText xml:space="preserve"> PAGEREF _Toc42788140 \h </w:instrText>
            </w:r>
            <w:r>
              <w:rPr>
                <w:webHidden/>
              </w:rPr>
            </w:r>
            <w:r>
              <w:rPr>
                <w:webHidden/>
              </w:rPr>
              <w:fldChar w:fldCharType="separate"/>
            </w:r>
            <w:r>
              <w:rPr>
                <w:webHidden/>
              </w:rPr>
              <w:t>17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1" w:history="1">
            <w:r>
              <w:rPr>
                <w:rStyle w:val="Hyperlink"/>
              </w:rPr>
              <w:t>5.</w:t>
            </w:r>
            <w:r>
              <w:rPr>
                <w:rFonts w:asciiTheme="minorHAnsi" w:eastAsiaTheme="minorEastAsia" w:hAnsiTheme="minorHAnsi" w:cstheme="minorBidi"/>
                <w:b w:val="0"/>
                <w:i w:val="0"/>
                <w:color w:val="auto"/>
                <w:sz w:val="22"/>
                <w:lang w:val="en-US" w:eastAsia="en-US"/>
              </w:rPr>
              <w:tab/>
            </w:r>
            <w:r>
              <w:rPr>
                <w:rStyle w:val="Hyperlink"/>
              </w:rPr>
              <w:t>Audit on European Union Finance for Innovators (InnovFin) in DG</w:t>
            </w:r>
            <w:r>
              <w:rPr>
                <w:rStyle w:val="Hyperlink"/>
                <w:rFonts w:ascii="Calibri" w:hAnsi="Calibri" w:cs="Calibri"/>
              </w:rPr>
              <w:t> </w:t>
            </w:r>
            <w:r>
              <w:rPr>
                <w:rStyle w:val="Hyperlink"/>
              </w:rPr>
              <w:t>RTD</w:t>
            </w:r>
            <w:r>
              <w:rPr>
                <w:webHidden/>
              </w:rPr>
              <w:tab/>
            </w:r>
            <w:r>
              <w:rPr>
                <w:webHidden/>
              </w:rPr>
              <w:fldChar w:fldCharType="begin"/>
            </w:r>
            <w:r>
              <w:rPr>
                <w:webHidden/>
              </w:rPr>
              <w:instrText xml:space="preserve"> PAGEREF _Toc42788141 \h </w:instrText>
            </w:r>
            <w:r>
              <w:rPr>
                <w:webHidden/>
              </w:rPr>
            </w:r>
            <w:r>
              <w:rPr>
                <w:webHidden/>
              </w:rPr>
              <w:fldChar w:fldCharType="separate"/>
            </w:r>
            <w:r>
              <w:rPr>
                <w:webHidden/>
              </w:rPr>
              <w:t>19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2" w:history="1">
            <w:r>
              <w:rPr>
                <w:rStyle w:val="Hyperlink"/>
              </w:rPr>
              <w:t>6.</w:t>
            </w:r>
            <w:r>
              <w:rPr>
                <w:rFonts w:asciiTheme="minorHAnsi" w:eastAsiaTheme="minorEastAsia" w:hAnsiTheme="minorHAnsi" w:cstheme="minorBidi"/>
                <w:b w:val="0"/>
                <w:i w:val="0"/>
                <w:color w:val="auto"/>
                <w:sz w:val="22"/>
                <w:lang w:val="en-US" w:eastAsia="en-US"/>
              </w:rPr>
              <w:tab/>
            </w:r>
            <w:r>
              <w:rPr>
                <w:rStyle w:val="Hyperlink"/>
              </w:rPr>
              <w:t xml:space="preserve">Consulting engagement on policy feedback from research </w:t>
            </w:r>
            <w:r>
              <w:rPr>
                <w:rStyle w:val="Hyperlink"/>
              </w:rPr>
              <w:t>and innovation projects delegated to executive agencies and joint undertakings in DG RTD</w:t>
            </w:r>
            <w:r>
              <w:rPr>
                <w:webHidden/>
              </w:rPr>
              <w:tab/>
            </w:r>
            <w:r>
              <w:rPr>
                <w:webHidden/>
              </w:rPr>
              <w:fldChar w:fldCharType="begin"/>
            </w:r>
            <w:r>
              <w:rPr>
                <w:webHidden/>
              </w:rPr>
              <w:instrText xml:space="preserve"> PAGEREF _Toc42788142 \h </w:instrText>
            </w:r>
            <w:r>
              <w:rPr>
                <w:webHidden/>
              </w:rPr>
            </w:r>
            <w:r>
              <w:rPr>
                <w:webHidden/>
              </w:rPr>
              <w:fldChar w:fldCharType="separate"/>
            </w:r>
            <w:r>
              <w:rPr>
                <w:webHidden/>
              </w:rPr>
              <w:t>19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3" w:history="1">
            <w:r>
              <w:rPr>
                <w:rStyle w:val="Hyperlink"/>
              </w:rPr>
              <w:t>7.</w:t>
            </w:r>
            <w:r>
              <w:rPr>
                <w:rFonts w:asciiTheme="minorHAnsi" w:eastAsiaTheme="minorEastAsia" w:hAnsiTheme="minorHAnsi" w:cstheme="minorBidi"/>
                <w:b w:val="0"/>
                <w:i w:val="0"/>
                <w:color w:val="auto"/>
                <w:sz w:val="22"/>
                <w:lang w:val="en-US" w:eastAsia="en-US"/>
              </w:rPr>
              <w:tab/>
            </w:r>
            <w:r>
              <w:rPr>
                <w:rStyle w:val="Hyperlink"/>
              </w:rPr>
              <w:t>Audit on supervision of autonomous EU</w:t>
            </w:r>
            <w:r>
              <w:rPr>
                <w:rStyle w:val="Hyperlink"/>
              </w:rPr>
              <w:t xml:space="preserve"> entities by DG MOVE</w:t>
            </w:r>
            <w:r>
              <w:rPr>
                <w:webHidden/>
              </w:rPr>
              <w:tab/>
            </w:r>
            <w:r>
              <w:rPr>
                <w:webHidden/>
              </w:rPr>
              <w:fldChar w:fldCharType="begin"/>
            </w:r>
            <w:r>
              <w:rPr>
                <w:webHidden/>
              </w:rPr>
              <w:instrText xml:space="preserve"> PAGEREF _Toc42788143 \h </w:instrText>
            </w:r>
            <w:r>
              <w:rPr>
                <w:webHidden/>
              </w:rPr>
            </w:r>
            <w:r>
              <w:rPr>
                <w:webHidden/>
              </w:rPr>
              <w:fldChar w:fldCharType="separate"/>
            </w:r>
            <w:r>
              <w:rPr>
                <w:webHidden/>
              </w:rPr>
              <w:t>20</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44" w:history="1">
            <w:r>
              <w:rPr>
                <w:rStyle w:val="Hyperlink"/>
                <w:rFonts w:eastAsia="EC Square Sans Pro"/>
                <w:b/>
                <w:lang w:eastAsia="zh-CN"/>
              </w:rPr>
              <w:t>External actions</w:t>
            </w:r>
            <w:r>
              <w:rPr>
                <w:webHidden/>
              </w:rPr>
              <w:tab/>
            </w:r>
            <w:r>
              <w:rPr>
                <w:webHidden/>
              </w:rPr>
              <w:fldChar w:fldCharType="begin"/>
            </w:r>
            <w:r>
              <w:rPr>
                <w:webHidden/>
              </w:rPr>
              <w:instrText xml:space="preserve"> PAGEREF _Toc42788144 \h </w:instrText>
            </w:r>
            <w:r>
              <w:rPr>
                <w:webHidden/>
              </w:rPr>
            </w:r>
            <w:r>
              <w:rPr>
                <w:webHidden/>
              </w:rPr>
              <w:fldChar w:fldCharType="separate"/>
            </w:r>
            <w:r>
              <w:rPr>
                <w:webHidden/>
              </w:rPr>
              <w:t>20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5"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annual audit and verification plans in DG DEVCO</w:t>
            </w:r>
            <w:r>
              <w:rPr>
                <w:webHidden/>
              </w:rPr>
              <w:tab/>
            </w:r>
            <w:r>
              <w:rPr>
                <w:webHidden/>
              </w:rPr>
              <w:fldChar w:fldCharType="begin"/>
            </w:r>
            <w:r>
              <w:rPr>
                <w:webHidden/>
              </w:rPr>
              <w:instrText xml:space="preserve"> PAGEREF _Toc42788145 \h </w:instrText>
            </w:r>
            <w:r>
              <w:rPr>
                <w:webHidden/>
              </w:rPr>
            </w:r>
            <w:r>
              <w:rPr>
                <w:webHidden/>
              </w:rPr>
              <w:fldChar w:fldCharType="separate"/>
            </w:r>
            <w:r>
              <w:rPr>
                <w:webHidden/>
              </w:rPr>
              <w:t>20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6"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 xml:space="preserve">Audit on the control strategy </w:t>
            </w:r>
            <w:r>
              <w:rPr>
                <w:rStyle w:val="Hyperlink"/>
              </w:rPr>
              <w:t>for humanitarian aid actions in DG</w:t>
            </w:r>
            <w:r>
              <w:rPr>
                <w:rStyle w:val="Hyperlink"/>
                <w:rFonts w:ascii="Calibri" w:hAnsi="Calibri" w:cs="Calibri"/>
              </w:rPr>
              <w:t> </w:t>
            </w:r>
            <w:r>
              <w:rPr>
                <w:rStyle w:val="Hyperlink"/>
              </w:rPr>
              <w:t>ECHO</w:t>
            </w:r>
            <w:r>
              <w:rPr>
                <w:webHidden/>
              </w:rPr>
              <w:tab/>
            </w:r>
            <w:r>
              <w:rPr>
                <w:webHidden/>
              </w:rPr>
              <w:fldChar w:fldCharType="begin"/>
            </w:r>
            <w:r>
              <w:rPr>
                <w:webHidden/>
              </w:rPr>
              <w:instrText xml:space="preserve"> PAGEREF _Toc42788146 \h </w:instrText>
            </w:r>
            <w:r>
              <w:rPr>
                <w:webHidden/>
              </w:rPr>
            </w:r>
            <w:r>
              <w:rPr>
                <w:webHidden/>
              </w:rPr>
              <w:fldChar w:fldCharType="separate"/>
            </w:r>
            <w:r>
              <w:rPr>
                <w:webHidden/>
              </w:rPr>
              <w:t>21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7"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common foreign and security policy in FPI</w:t>
            </w:r>
            <w:r>
              <w:rPr>
                <w:webHidden/>
              </w:rPr>
              <w:tab/>
            </w:r>
            <w:r>
              <w:rPr>
                <w:webHidden/>
              </w:rPr>
              <w:fldChar w:fldCharType="begin"/>
            </w:r>
            <w:r>
              <w:rPr>
                <w:webHidden/>
              </w:rPr>
              <w:instrText xml:space="preserve"> PAGEREF _Toc42788147 \h </w:instrText>
            </w:r>
            <w:r>
              <w:rPr>
                <w:webHidden/>
              </w:rPr>
            </w:r>
            <w:r>
              <w:rPr>
                <w:webHidden/>
              </w:rPr>
              <w:fldChar w:fldCharType="separate"/>
            </w:r>
            <w:r>
              <w:rPr>
                <w:webHidden/>
              </w:rPr>
              <w:t>22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8"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Audit on annual audit plans in DG NEAR</w:t>
            </w:r>
            <w:r>
              <w:rPr>
                <w:webHidden/>
              </w:rPr>
              <w:tab/>
            </w:r>
            <w:r>
              <w:rPr>
                <w:webHidden/>
              </w:rPr>
              <w:fldChar w:fldCharType="begin"/>
            </w:r>
            <w:r>
              <w:rPr>
                <w:webHidden/>
              </w:rPr>
              <w:instrText xml:space="preserve"> PAGEREF _Toc42788148 \h </w:instrText>
            </w:r>
            <w:r>
              <w:rPr>
                <w:webHidden/>
              </w:rPr>
            </w:r>
            <w:r>
              <w:rPr>
                <w:webHidden/>
              </w:rPr>
              <w:fldChar w:fldCharType="separate"/>
            </w:r>
            <w:r>
              <w:rPr>
                <w:webHidden/>
              </w:rPr>
              <w:t>23</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49" w:history="1">
            <w:r>
              <w:rPr>
                <w:rStyle w:val="Hyperlink"/>
              </w:rPr>
              <w:t>5.</w:t>
            </w:r>
            <w:r>
              <w:rPr>
                <w:rFonts w:asciiTheme="minorHAnsi" w:eastAsiaTheme="minorEastAsia" w:hAnsiTheme="minorHAnsi" w:cstheme="minorBidi"/>
                <w:b w:val="0"/>
                <w:i w:val="0"/>
                <w:color w:val="auto"/>
                <w:sz w:val="22"/>
                <w:lang w:val="en-US" w:eastAsia="en-US"/>
              </w:rPr>
              <w:tab/>
            </w:r>
            <w:r>
              <w:rPr>
                <w:rStyle w:val="Hyperlink"/>
              </w:rPr>
              <w:t>Audit on ex ante control on payments under the European neighbourhood instrument and the European neighbourhood and partnership instrument in DG NEAR</w:t>
            </w:r>
            <w:r>
              <w:rPr>
                <w:webHidden/>
              </w:rPr>
              <w:tab/>
            </w:r>
            <w:r>
              <w:rPr>
                <w:webHidden/>
              </w:rPr>
              <w:fldChar w:fldCharType="begin"/>
            </w:r>
            <w:r>
              <w:rPr>
                <w:webHidden/>
              </w:rPr>
              <w:instrText xml:space="preserve"> PAGEREF _Toc42788149 \h </w:instrText>
            </w:r>
            <w:r>
              <w:rPr>
                <w:webHidden/>
              </w:rPr>
            </w:r>
            <w:r>
              <w:rPr>
                <w:webHidden/>
              </w:rPr>
              <w:fldChar w:fldCharType="separate"/>
            </w:r>
            <w:r>
              <w:rPr>
                <w:webHidden/>
              </w:rPr>
              <w:t>24</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50" w:history="1">
            <w:r>
              <w:rPr>
                <w:rStyle w:val="Hyperlink"/>
                <w:rFonts w:eastAsia="EC Square Sans Pro"/>
                <w:b/>
                <w:lang w:eastAsia="zh-CN"/>
              </w:rPr>
              <w:t>Education and citizenship</w:t>
            </w:r>
            <w:r>
              <w:rPr>
                <w:webHidden/>
              </w:rPr>
              <w:tab/>
            </w:r>
            <w:r>
              <w:rPr>
                <w:webHidden/>
              </w:rPr>
              <w:fldChar w:fldCharType="begin"/>
            </w:r>
            <w:r>
              <w:rPr>
                <w:webHidden/>
              </w:rPr>
              <w:instrText xml:space="preserve"> PAGEREF _Toc42788150 \h </w:instrText>
            </w:r>
            <w:r>
              <w:rPr>
                <w:webHidden/>
              </w:rPr>
            </w:r>
            <w:r>
              <w:rPr>
                <w:webHidden/>
              </w:rPr>
              <w:fldChar w:fldCharType="separate"/>
            </w:r>
            <w:r>
              <w:rPr>
                <w:webHidden/>
              </w:rPr>
              <w:t>25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1"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 xml:space="preserve">Audit on DG HOME’s </w:t>
            </w:r>
            <w:r>
              <w:rPr>
                <w:rStyle w:val="Hyperlink"/>
                <w:lang w:val="en-IE"/>
              </w:rPr>
              <w:t xml:space="preserve">audit activity and </w:t>
            </w:r>
            <w:r>
              <w:rPr>
                <w:rStyle w:val="Hyperlink"/>
              </w:rPr>
              <w:t>clearance of accounts</w:t>
            </w:r>
            <w:r>
              <w:rPr>
                <w:webHidden/>
              </w:rPr>
              <w:tab/>
            </w:r>
            <w:r>
              <w:rPr>
                <w:webHidden/>
              </w:rPr>
              <w:fldChar w:fldCharType="begin"/>
            </w:r>
            <w:r>
              <w:rPr>
                <w:webHidden/>
              </w:rPr>
              <w:instrText xml:space="preserve"> PAGEREF _Toc42788151 \h </w:instrText>
            </w:r>
            <w:r>
              <w:rPr>
                <w:webHidden/>
              </w:rPr>
            </w:r>
            <w:r>
              <w:rPr>
                <w:webHidden/>
              </w:rPr>
              <w:fldChar w:fldCharType="separate"/>
            </w:r>
            <w:r>
              <w:rPr>
                <w:webHidden/>
              </w:rPr>
              <w:t>25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2"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impact assessment in DG JUST</w:t>
            </w:r>
            <w:r>
              <w:rPr>
                <w:webHidden/>
              </w:rPr>
              <w:tab/>
            </w:r>
            <w:r>
              <w:rPr>
                <w:webHidden/>
              </w:rPr>
              <w:fldChar w:fldCharType="begin"/>
            </w:r>
            <w:r>
              <w:rPr>
                <w:webHidden/>
              </w:rPr>
              <w:instrText xml:space="preserve"> PAGEREF _Toc42788152 \h </w:instrText>
            </w:r>
            <w:r>
              <w:rPr>
                <w:webHidden/>
              </w:rPr>
            </w:r>
            <w:r>
              <w:rPr>
                <w:webHidden/>
              </w:rPr>
              <w:fldChar w:fldCharType="separate"/>
            </w:r>
            <w:r>
              <w:rPr>
                <w:webHidden/>
              </w:rPr>
              <w:t>26</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53" w:history="1">
            <w:r>
              <w:rPr>
                <w:rStyle w:val="Hyperlink"/>
                <w:rFonts w:eastAsia="EC Square Sans Pro"/>
                <w:b/>
                <w:lang w:eastAsia="zh-CN"/>
              </w:rPr>
              <w:t>Economic and financial affairs</w:t>
            </w:r>
            <w:r>
              <w:rPr>
                <w:webHidden/>
              </w:rPr>
              <w:tab/>
            </w:r>
            <w:r>
              <w:rPr>
                <w:webHidden/>
              </w:rPr>
              <w:fldChar w:fldCharType="begin"/>
            </w:r>
            <w:r>
              <w:rPr>
                <w:webHidden/>
              </w:rPr>
              <w:instrText xml:space="preserve"> PAGEREF _Toc42788153 \h </w:instrText>
            </w:r>
            <w:r>
              <w:rPr>
                <w:webHidden/>
              </w:rPr>
            </w:r>
            <w:r>
              <w:rPr>
                <w:webHidden/>
              </w:rPr>
              <w:fldChar w:fldCharType="separate"/>
            </w:r>
            <w:r>
              <w:rPr>
                <w:webHidden/>
              </w:rPr>
              <w:t>27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4"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Audit on EASME’s project management (project monitoring, payments and amendments) under the programme for the environment and climate action covering the</w:t>
            </w:r>
            <w:r>
              <w:rPr>
                <w:rStyle w:val="Hyperlink"/>
              </w:rPr>
              <w:t xml:space="preserve"> period from 1</w:t>
            </w:r>
            <w:r>
              <w:rPr>
                <w:rStyle w:val="Hyperlink"/>
                <w:rFonts w:ascii="Calibri" w:hAnsi="Calibri" w:cs="Calibri"/>
              </w:rPr>
              <w:t> </w:t>
            </w:r>
            <w:r>
              <w:rPr>
                <w:rStyle w:val="Hyperlink"/>
              </w:rPr>
              <w:t>January</w:t>
            </w:r>
            <w:r>
              <w:rPr>
                <w:rStyle w:val="Hyperlink"/>
                <w:rFonts w:ascii="Calibri" w:hAnsi="Calibri" w:cs="Calibri"/>
              </w:rPr>
              <w:t> </w:t>
            </w:r>
            <w:r>
              <w:rPr>
                <w:rStyle w:val="Hyperlink"/>
              </w:rPr>
              <w:t>2014 to 31</w:t>
            </w:r>
            <w:r>
              <w:rPr>
                <w:rStyle w:val="Hyperlink"/>
                <w:rFonts w:ascii="Calibri" w:hAnsi="Calibri" w:cs="Calibri"/>
              </w:rPr>
              <w:t> </w:t>
            </w:r>
            <w:r>
              <w:rPr>
                <w:rStyle w:val="Hyperlink"/>
              </w:rPr>
              <w:t>December</w:t>
            </w:r>
            <w:r>
              <w:rPr>
                <w:rStyle w:val="Hyperlink"/>
                <w:rFonts w:ascii="Calibri" w:hAnsi="Calibri" w:cs="Calibri"/>
              </w:rPr>
              <w:t> </w:t>
            </w:r>
            <w:r>
              <w:rPr>
                <w:rStyle w:val="Hyperlink"/>
              </w:rPr>
              <w:t>2020 (the LIFE programme)</w:t>
            </w:r>
            <w:r>
              <w:rPr>
                <w:webHidden/>
              </w:rPr>
              <w:tab/>
            </w:r>
            <w:r>
              <w:rPr>
                <w:webHidden/>
              </w:rPr>
              <w:fldChar w:fldCharType="begin"/>
            </w:r>
            <w:r>
              <w:rPr>
                <w:webHidden/>
              </w:rPr>
              <w:instrText xml:space="preserve"> PAGEREF _Toc42788154 \h </w:instrText>
            </w:r>
            <w:r>
              <w:rPr>
                <w:webHidden/>
              </w:rPr>
            </w:r>
            <w:r>
              <w:rPr>
                <w:webHidden/>
              </w:rPr>
              <w:fldChar w:fldCharType="separate"/>
            </w:r>
            <w:r>
              <w:rPr>
                <w:webHidden/>
              </w:rPr>
              <w:t>27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5"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effectiveness and efficiency of DG ECFIN's performance-management system</w:t>
            </w:r>
            <w:r>
              <w:rPr>
                <w:webHidden/>
              </w:rPr>
              <w:tab/>
            </w:r>
            <w:r>
              <w:rPr>
                <w:webHidden/>
              </w:rPr>
              <w:fldChar w:fldCharType="begin"/>
            </w:r>
            <w:r>
              <w:rPr>
                <w:webHidden/>
              </w:rPr>
              <w:instrText xml:space="preserve"> PAGEREF _Toc42788155 \h </w:instrText>
            </w:r>
            <w:r>
              <w:rPr>
                <w:webHidden/>
              </w:rPr>
            </w:r>
            <w:r>
              <w:rPr>
                <w:webHidden/>
              </w:rPr>
              <w:fldChar w:fldCharType="separate"/>
            </w:r>
            <w:r>
              <w:rPr>
                <w:webHidden/>
              </w:rPr>
              <w:t>28</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6"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monitoring of EU law implementation in DG TAXUD</w:t>
            </w:r>
            <w:r>
              <w:rPr>
                <w:webHidden/>
              </w:rPr>
              <w:tab/>
            </w:r>
            <w:r>
              <w:rPr>
                <w:webHidden/>
              </w:rPr>
              <w:fldChar w:fldCharType="begin"/>
            </w:r>
            <w:r>
              <w:rPr>
                <w:webHidden/>
              </w:rPr>
              <w:instrText xml:space="preserve"> PAGEREF _Toc42788156 \h </w:instrText>
            </w:r>
            <w:r>
              <w:rPr>
                <w:webHidden/>
              </w:rPr>
            </w:r>
            <w:r>
              <w:rPr>
                <w:webHidden/>
              </w:rPr>
              <w:fldChar w:fldCharType="separate"/>
            </w:r>
            <w:r>
              <w:rPr>
                <w:webHidden/>
              </w:rPr>
              <w:t>29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7"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 xml:space="preserve">Audit on human </w:t>
            </w:r>
            <w:r>
              <w:rPr>
                <w:rStyle w:val="Hyperlink"/>
              </w:rPr>
              <w:t>resources management in DG TAXUD</w:t>
            </w:r>
            <w:r>
              <w:rPr>
                <w:webHidden/>
              </w:rPr>
              <w:tab/>
            </w:r>
            <w:r>
              <w:rPr>
                <w:webHidden/>
              </w:rPr>
              <w:fldChar w:fldCharType="begin"/>
            </w:r>
            <w:r>
              <w:rPr>
                <w:webHidden/>
              </w:rPr>
              <w:instrText xml:space="preserve"> PAGEREF _Toc42788157 \h </w:instrText>
            </w:r>
            <w:r>
              <w:rPr>
                <w:webHidden/>
              </w:rPr>
            </w:r>
            <w:r>
              <w:rPr>
                <w:webHidden/>
              </w:rPr>
              <w:fldChar w:fldCharType="separate"/>
            </w:r>
            <w:r>
              <w:rPr>
                <w:webHidden/>
              </w:rPr>
              <w:t>29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58" w:history="1">
            <w:r>
              <w:rPr>
                <w:rStyle w:val="Hyperlink"/>
              </w:rPr>
              <w:t>5.</w:t>
            </w:r>
            <w:r>
              <w:rPr>
                <w:rFonts w:asciiTheme="minorHAnsi" w:eastAsiaTheme="minorEastAsia" w:hAnsiTheme="minorHAnsi" w:cstheme="minorBidi"/>
                <w:b w:val="0"/>
                <w:i w:val="0"/>
                <w:color w:val="auto"/>
                <w:sz w:val="22"/>
                <w:lang w:val="en-US" w:eastAsia="en-US"/>
              </w:rPr>
              <w:tab/>
            </w:r>
            <w:r>
              <w:rPr>
                <w:rStyle w:val="Hyperlink"/>
              </w:rPr>
              <w:t>Audit on human resources management in DG TRADE</w:t>
            </w:r>
            <w:r>
              <w:rPr>
                <w:webHidden/>
              </w:rPr>
              <w:tab/>
            </w:r>
            <w:r>
              <w:rPr>
                <w:webHidden/>
              </w:rPr>
              <w:fldChar w:fldCharType="begin"/>
            </w:r>
            <w:r>
              <w:rPr>
                <w:webHidden/>
              </w:rPr>
              <w:instrText xml:space="preserve"> PAGEREF _Toc42788158 \h </w:instrText>
            </w:r>
            <w:r>
              <w:rPr>
                <w:webHidden/>
              </w:rPr>
            </w:r>
            <w:r>
              <w:rPr>
                <w:webHidden/>
              </w:rPr>
              <w:fldChar w:fldCharType="separate"/>
            </w:r>
            <w:r>
              <w:rPr>
                <w:webHidden/>
              </w:rPr>
              <w:t>31</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59" w:history="1">
            <w:r>
              <w:rPr>
                <w:rStyle w:val="Hyperlink"/>
                <w:rFonts w:eastAsia="EC Square Sans Pro"/>
                <w:b/>
                <w:lang w:eastAsia="zh-CN"/>
              </w:rPr>
              <w:t>General services</w:t>
            </w:r>
            <w:r>
              <w:rPr>
                <w:webHidden/>
              </w:rPr>
              <w:tab/>
            </w:r>
            <w:r>
              <w:rPr>
                <w:webHidden/>
              </w:rPr>
              <w:fldChar w:fldCharType="begin"/>
            </w:r>
            <w:r>
              <w:rPr>
                <w:webHidden/>
              </w:rPr>
              <w:instrText xml:space="preserve"> PAGEREF _Toc42788159 \h </w:instrText>
            </w:r>
            <w:r>
              <w:rPr>
                <w:webHidden/>
              </w:rPr>
            </w:r>
            <w:r>
              <w:rPr>
                <w:webHidden/>
              </w:rPr>
              <w:fldChar w:fldCharType="separate"/>
            </w:r>
            <w:r>
              <w:rPr>
                <w:webHidden/>
              </w:rPr>
              <w:t>31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0"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Limited review on the effective implementation of the internal control framework in DG COMM</w:t>
            </w:r>
            <w:r>
              <w:rPr>
                <w:webHidden/>
              </w:rPr>
              <w:tab/>
            </w:r>
            <w:r>
              <w:rPr>
                <w:webHidden/>
              </w:rPr>
              <w:fldChar w:fldCharType="begin"/>
            </w:r>
            <w:r>
              <w:rPr>
                <w:webHidden/>
              </w:rPr>
              <w:instrText xml:space="preserve"> PAGEREF _Toc42788160 \h </w:instrText>
            </w:r>
            <w:r>
              <w:rPr>
                <w:webHidden/>
              </w:rPr>
            </w:r>
            <w:r>
              <w:rPr>
                <w:webHidden/>
              </w:rPr>
              <w:fldChar w:fldCharType="separate"/>
            </w:r>
            <w:r>
              <w:rPr>
                <w:webHidden/>
              </w:rPr>
              <w:t>31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1"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Limited review on the implementation of the new internal control framework in DGT</w:t>
            </w:r>
            <w:r>
              <w:rPr>
                <w:webHidden/>
              </w:rPr>
              <w:tab/>
            </w:r>
            <w:r>
              <w:rPr>
                <w:webHidden/>
              </w:rPr>
              <w:fldChar w:fldCharType="begin"/>
            </w:r>
            <w:r>
              <w:rPr>
                <w:webHidden/>
              </w:rPr>
              <w:instrText xml:space="preserve"> PAGEREF _Toc42788161 \h </w:instrText>
            </w:r>
            <w:r>
              <w:rPr>
                <w:webHidden/>
              </w:rPr>
            </w:r>
            <w:r>
              <w:rPr>
                <w:webHidden/>
              </w:rPr>
              <w:fldChar w:fldCharType="separate"/>
            </w:r>
            <w:r>
              <w:rPr>
                <w:webHidden/>
              </w:rPr>
              <w:t>31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2"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Limited review on the implementation of the new internal control framework in EPSO</w:t>
            </w:r>
            <w:r>
              <w:rPr>
                <w:webHidden/>
              </w:rPr>
              <w:tab/>
            </w:r>
            <w:r>
              <w:rPr>
                <w:webHidden/>
              </w:rPr>
              <w:fldChar w:fldCharType="begin"/>
            </w:r>
            <w:r>
              <w:rPr>
                <w:webHidden/>
              </w:rPr>
              <w:instrText xml:space="preserve"> PAGEREF _Toc42788162 \h </w:instrText>
            </w:r>
            <w:r>
              <w:rPr>
                <w:webHidden/>
              </w:rPr>
            </w:r>
            <w:r>
              <w:rPr>
                <w:webHidden/>
              </w:rPr>
              <w:fldChar w:fldCharType="separate"/>
            </w:r>
            <w:r>
              <w:rPr>
                <w:webHidden/>
              </w:rPr>
              <w:t>32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3"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 xml:space="preserve">Limited review on the </w:t>
            </w:r>
            <w:r>
              <w:rPr>
                <w:rStyle w:val="Hyperlink"/>
              </w:rPr>
              <w:t>implementation of the new internal control framework in OIB</w:t>
            </w:r>
            <w:r>
              <w:rPr>
                <w:webHidden/>
              </w:rPr>
              <w:tab/>
            </w:r>
            <w:r>
              <w:rPr>
                <w:webHidden/>
              </w:rPr>
              <w:fldChar w:fldCharType="begin"/>
            </w:r>
            <w:r>
              <w:rPr>
                <w:webHidden/>
              </w:rPr>
              <w:instrText xml:space="preserve"> PAGEREF _Toc42788163 \h </w:instrText>
            </w:r>
            <w:r>
              <w:rPr>
                <w:webHidden/>
              </w:rPr>
            </w:r>
            <w:r>
              <w:rPr>
                <w:webHidden/>
              </w:rPr>
              <w:fldChar w:fldCharType="separate"/>
            </w:r>
            <w:r>
              <w:rPr>
                <w:webHidden/>
              </w:rPr>
              <w:t>32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4" w:history="1">
            <w:r>
              <w:rPr>
                <w:rStyle w:val="Hyperlink"/>
              </w:rPr>
              <w:t>5.</w:t>
            </w:r>
            <w:r>
              <w:rPr>
                <w:rFonts w:asciiTheme="minorHAnsi" w:eastAsiaTheme="minorEastAsia" w:hAnsiTheme="minorHAnsi" w:cstheme="minorBidi"/>
                <w:b w:val="0"/>
                <w:i w:val="0"/>
                <w:color w:val="auto"/>
                <w:sz w:val="22"/>
                <w:lang w:val="en-US" w:eastAsia="en-US"/>
              </w:rPr>
              <w:tab/>
            </w:r>
            <w:r>
              <w:rPr>
                <w:rStyle w:val="Hyperlink"/>
              </w:rPr>
              <w:t>Limited review on the implementation of the new internal control fr</w:t>
            </w:r>
            <w:r>
              <w:rPr>
                <w:rStyle w:val="Hyperlink"/>
              </w:rPr>
              <w:t>amework in OIL</w:t>
            </w:r>
            <w:r>
              <w:rPr>
                <w:webHidden/>
              </w:rPr>
              <w:tab/>
            </w:r>
            <w:r>
              <w:rPr>
                <w:webHidden/>
              </w:rPr>
              <w:fldChar w:fldCharType="begin"/>
            </w:r>
            <w:r>
              <w:rPr>
                <w:webHidden/>
              </w:rPr>
              <w:instrText xml:space="preserve"> PAGEREF _Toc42788164 \h </w:instrText>
            </w:r>
            <w:r>
              <w:rPr>
                <w:webHidden/>
              </w:rPr>
            </w:r>
            <w:r>
              <w:rPr>
                <w:webHidden/>
              </w:rPr>
              <w:fldChar w:fldCharType="separate"/>
            </w:r>
            <w:r>
              <w:rPr>
                <w:webHidden/>
              </w:rPr>
              <w:t>32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5" w:history="1">
            <w:r>
              <w:rPr>
                <w:rStyle w:val="Hyperlink"/>
              </w:rPr>
              <w:t>6.</w:t>
            </w:r>
            <w:r>
              <w:rPr>
                <w:rFonts w:asciiTheme="minorHAnsi" w:eastAsiaTheme="minorEastAsia" w:hAnsiTheme="minorHAnsi" w:cstheme="minorBidi"/>
                <w:b w:val="0"/>
                <w:i w:val="0"/>
                <w:color w:val="auto"/>
                <w:sz w:val="22"/>
                <w:lang w:val="en-US" w:eastAsia="en-US"/>
              </w:rPr>
              <w:tab/>
            </w:r>
            <w:r>
              <w:rPr>
                <w:rStyle w:val="Hyperlink"/>
              </w:rPr>
              <w:t>Limited review on the implementation of the new internal control framework in DG SCIC</w:t>
            </w:r>
            <w:r>
              <w:rPr>
                <w:webHidden/>
              </w:rPr>
              <w:tab/>
            </w:r>
            <w:r>
              <w:rPr>
                <w:webHidden/>
              </w:rPr>
              <w:fldChar w:fldCharType="begin"/>
            </w:r>
            <w:r>
              <w:rPr>
                <w:webHidden/>
              </w:rPr>
              <w:instrText xml:space="preserve"> PAGEREF _Toc42788165 \h </w:instrText>
            </w:r>
            <w:r>
              <w:rPr>
                <w:webHidden/>
              </w:rPr>
            </w:r>
            <w:r>
              <w:rPr>
                <w:webHidden/>
              </w:rPr>
              <w:fldChar w:fldCharType="separate"/>
            </w:r>
            <w:r>
              <w:rPr>
                <w:webHidden/>
              </w:rPr>
              <w:t>32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6" w:history="1">
            <w:r>
              <w:rPr>
                <w:rStyle w:val="Hyperlink"/>
              </w:rPr>
              <w:t>7.</w:t>
            </w:r>
            <w:r>
              <w:rPr>
                <w:rFonts w:asciiTheme="minorHAnsi" w:eastAsiaTheme="minorEastAsia" w:hAnsiTheme="minorHAnsi" w:cstheme="minorBidi"/>
                <w:b w:val="0"/>
                <w:i w:val="0"/>
                <w:color w:val="auto"/>
                <w:sz w:val="22"/>
                <w:lang w:val="en-US" w:eastAsia="en-US"/>
              </w:rPr>
              <w:tab/>
            </w:r>
            <w:r>
              <w:rPr>
                <w:rStyle w:val="Hyperlink"/>
              </w:rPr>
              <w:t>Audit on DG ESTAT’s quality management of statistical processes</w:t>
            </w:r>
            <w:r>
              <w:rPr>
                <w:webHidden/>
              </w:rPr>
              <w:tab/>
            </w:r>
            <w:r>
              <w:rPr>
                <w:webHidden/>
              </w:rPr>
              <w:fldChar w:fldCharType="begin"/>
            </w:r>
            <w:r>
              <w:rPr>
                <w:webHidden/>
              </w:rPr>
              <w:instrText xml:space="preserve"> PAGEREF _Toc42788166 \h </w:instrText>
            </w:r>
            <w:r>
              <w:rPr>
                <w:webHidden/>
              </w:rPr>
            </w:r>
            <w:r>
              <w:rPr>
                <w:webHidden/>
              </w:rPr>
              <w:fldChar w:fldCharType="separate"/>
            </w:r>
            <w:r>
              <w:rPr>
                <w:webHidden/>
              </w:rPr>
              <w:t>32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7" w:history="1">
            <w:r>
              <w:rPr>
                <w:rStyle w:val="Hyperlink"/>
              </w:rPr>
              <w:t>8.</w:t>
            </w:r>
            <w:r>
              <w:rPr>
                <w:rFonts w:asciiTheme="minorHAnsi" w:eastAsiaTheme="minorEastAsia" w:hAnsiTheme="minorHAnsi" w:cstheme="minorBidi"/>
                <w:b w:val="0"/>
                <w:i w:val="0"/>
                <w:color w:val="auto"/>
                <w:sz w:val="22"/>
                <w:lang w:val="en-US" w:eastAsia="en-US"/>
              </w:rPr>
              <w:tab/>
            </w:r>
            <w:r>
              <w:rPr>
                <w:rStyle w:val="Hyperlink"/>
              </w:rPr>
              <w:t>Audit on OLAF’s human resources strategy</w:t>
            </w:r>
            <w:r>
              <w:rPr>
                <w:webHidden/>
              </w:rPr>
              <w:tab/>
            </w:r>
            <w:r>
              <w:rPr>
                <w:webHidden/>
              </w:rPr>
              <w:fldChar w:fldCharType="begin"/>
            </w:r>
            <w:r>
              <w:rPr>
                <w:webHidden/>
              </w:rPr>
              <w:instrText xml:space="preserve"> PAGEREF _Toc42788167 \h </w:instrText>
            </w:r>
            <w:r>
              <w:rPr>
                <w:webHidden/>
              </w:rPr>
            </w:r>
            <w:r>
              <w:rPr>
                <w:webHidden/>
              </w:rPr>
              <w:fldChar w:fldCharType="separate"/>
            </w:r>
            <w:r>
              <w:rPr>
                <w:webHidden/>
              </w:rPr>
              <w:t>33</w:t>
            </w:r>
            <w:r>
              <w:rPr>
                <w:webHidden/>
              </w:rPr>
              <w:fldChar w:fldCharType="end"/>
            </w:r>
          </w:hyperlink>
        </w:p>
        <w:p w:rsidR="000C6D03" w:rsidRDefault="00873433">
          <w:pPr>
            <w:pStyle w:val="TOC2"/>
            <w:rPr>
              <w:rFonts w:asciiTheme="minorHAnsi" w:eastAsiaTheme="minorEastAsia" w:hAnsiTheme="minorHAnsi" w:cstheme="minorBidi"/>
              <w:smallCaps w:val="0"/>
              <w:color w:val="auto"/>
              <w:sz w:val="22"/>
              <w:lang w:val="en-US"/>
            </w:rPr>
          </w:pPr>
          <w:hyperlink w:anchor="_Toc42788168" w:history="1">
            <w:r>
              <w:rPr>
                <w:rStyle w:val="Hyperlink"/>
                <w:rFonts w:eastAsia="EC Square Sans Pro"/>
                <w:b/>
                <w:lang w:eastAsia="zh-CN"/>
              </w:rPr>
              <w:t>Information-technology audits</w:t>
            </w:r>
            <w:r>
              <w:rPr>
                <w:webHidden/>
              </w:rPr>
              <w:tab/>
            </w:r>
            <w:r>
              <w:rPr>
                <w:webHidden/>
              </w:rPr>
              <w:fldChar w:fldCharType="begin"/>
            </w:r>
            <w:r>
              <w:rPr>
                <w:webHidden/>
              </w:rPr>
              <w:instrText xml:space="preserve"> PAGEREF _Toc42788168 \h </w:instrText>
            </w:r>
            <w:r>
              <w:rPr>
                <w:webHidden/>
              </w:rPr>
            </w:r>
            <w:r>
              <w:rPr>
                <w:webHidden/>
              </w:rPr>
              <w:fldChar w:fldCharType="separate"/>
            </w:r>
            <w:r>
              <w:rPr>
                <w:webHidden/>
              </w:rPr>
              <w:t>35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69" w:history="1">
            <w:r>
              <w:rPr>
                <w:rStyle w:val="Hyperlink"/>
                <w:lang w:val="en-IE"/>
              </w:rPr>
              <w:t>1.</w:t>
            </w:r>
            <w:r>
              <w:rPr>
                <w:rFonts w:asciiTheme="minorHAnsi" w:eastAsiaTheme="minorEastAsia" w:hAnsiTheme="minorHAnsi" w:cstheme="minorBidi"/>
                <w:b w:val="0"/>
                <w:i w:val="0"/>
                <w:color w:val="auto"/>
                <w:sz w:val="22"/>
                <w:lang w:val="en-US" w:eastAsia="en-US"/>
              </w:rPr>
              <w:tab/>
            </w:r>
            <w:r>
              <w:rPr>
                <w:rStyle w:val="Hyperlink"/>
              </w:rPr>
              <w:t>Audit on information-technology</w:t>
            </w:r>
            <w:r>
              <w:rPr>
                <w:rStyle w:val="Hyperlink"/>
                <w:lang w:val="en-IE"/>
              </w:rPr>
              <w:t xml:space="preserve"> project management practices in OLAF</w:t>
            </w:r>
            <w:r>
              <w:rPr>
                <w:webHidden/>
              </w:rPr>
              <w:tab/>
            </w:r>
            <w:r>
              <w:rPr>
                <w:webHidden/>
              </w:rPr>
              <w:fldChar w:fldCharType="begin"/>
            </w:r>
            <w:r>
              <w:rPr>
                <w:webHidden/>
              </w:rPr>
              <w:instrText xml:space="preserve"> PAGEREF _Toc42788169 \h </w:instrText>
            </w:r>
            <w:r>
              <w:rPr>
                <w:webHidden/>
              </w:rPr>
            </w:r>
            <w:r>
              <w:rPr>
                <w:webHidden/>
              </w:rPr>
              <w:fldChar w:fldCharType="separate"/>
            </w:r>
            <w:r>
              <w:rPr>
                <w:webHidden/>
              </w:rPr>
              <w:t>35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0"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Audit on information-technology project management practices for multi-Directorate-General projects in DG DIGIT</w:t>
            </w:r>
            <w:r>
              <w:rPr>
                <w:webHidden/>
              </w:rPr>
              <w:tab/>
            </w:r>
            <w:r>
              <w:rPr>
                <w:webHidden/>
              </w:rPr>
              <w:fldChar w:fldCharType="begin"/>
            </w:r>
            <w:r>
              <w:rPr>
                <w:webHidden/>
              </w:rPr>
              <w:instrText xml:space="preserve"> PAGEREF _Toc42788170 \h </w:instrText>
            </w:r>
            <w:r>
              <w:rPr>
                <w:webHidden/>
              </w:rPr>
            </w:r>
            <w:r>
              <w:rPr>
                <w:webHidden/>
              </w:rPr>
              <w:fldChar w:fldCharType="separate"/>
            </w:r>
            <w:r>
              <w:rPr>
                <w:webHidden/>
              </w:rPr>
              <w:t>36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1"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Audit on information-technology governance and project management in OP</w:t>
            </w:r>
            <w:r>
              <w:rPr>
                <w:webHidden/>
              </w:rPr>
              <w:tab/>
            </w:r>
            <w:r>
              <w:rPr>
                <w:webHidden/>
              </w:rPr>
              <w:fldChar w:fldCharType="begin"/>
            </w:r>
            <w:r>
              <w:rPr>
                <w:webHidden/>
              </w:rPr>
              <w:instrText xml:space="preserve"> PAGEREF _Toc42788171 \h </w:instrText>
            </w:r>
            <w:r>
              <w:rPr>
                <w:webHidden/>
              </w:rPr>
            </w:r>
            <w:r>
              <w:rPr>
                <w:webHidden/>
              </w:rPr>
              <w:fldChar w:fldCharType="separate"/>
            </w:r>
            <w:r>
              <w:rPr>
                <w:webHidden/>
              </w:rPr>
              <w:t>37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2"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Audit on information-technology governance and project management in DG</w:t>
            </w:r>
            <w:r>
              <w:rPr>
                <w:rStyle w:val="Hyperlink"/>
                <w:rFonts w:ascii="Calibri" w:hAnsi="Calibri"/>
              </w:rPr>
              <w:t> </w:t>
            </w:r>
            <w:r>
              <w:rPr>
                <w:rStyle w:val="Hyperlink"/>
              </w:rPr>
              <w:t>EAC</w:t>
            </w:r>
            <w:r>
              <w:rPr>
                <w:webHidden/>
              </w:rPr>
              <w:tab/>
            </w:r>
            <w:r>
              <w:rPr>
                <w:webHidden/>
              </w:rPr>
              <w:fldChar w:fldCharType="begin"/>
            </w:r>
            <w:r>
              <w:rPr>
                <w:webHidden/>
              </w:rPr>
              <w:instrText xml:space="preserve"> PAGEREF _Toc42788172 \h </w:instrText>
            </w:r>
            <w:r>
              <w:rPr>
                <w:webHidden/>
              </w:rPr>
            </w:r>
            <w:r>
              <w:rPr>
                <w:webHidden/>
              </w:rPr>
              <w:fldChar w:fldCharType="separate"/>
            </w:r>
            <w:r>
              <w:rPr>
                <w:webHidden/>
              </w:rPr>
              <w:t>38</w:t>
            </w:r>
            <w:r>
              <w:rPr>
                <w:webHidden/>
              </w:rPr>
              <w:fldChar w:fldCharType="end"/>
            </w:r>
          </w:hyperlink>
        </w:p>
        <w:p w:rsidR="000C6D03" w:rsidRDefault="00873433">
          <w:pPr>
            <w:pStyle w:val="TOC1"/>
            <w:rPr>
              <w:rFonts w:asciiTheme="minorHAnsi" w:eastAsiaTheme="minorEastAsia" w:hAnsiTheme="minorHAnsi" w:cstheme="minorBidi"/>
              <w:smallCaps w:val="0"/>
              <w:color w:val="auto"/>
              <w:sz w:val="22"/>
              <w:lang w:val="en-US" w:eastAsia="en-US"/>
            </w:rPr>
          </w:pPr>
          <w:hyperlink w:anchor="_Toc42788173" w:history="1">
            <w:r>
              <w:rPr>
                <w:rStyle w:val="Hyperlink"/>
                <w:rFonts w:eastAsia="EC Square Sans Pro"/>
              </w:rPr>
              <w:t>PART 2: Follow-up engagements (summarised)</w:t>
            </w:r>
            <w:r>
              <w:rPr>
                <w:webHidden/>
              </w:rPr>
              <w:tab/>
            </w:r>
            <w:r>
              <w:rPr>
                <w:webHidden/>
              </w:rPr>
              <w:fldChar w:fldCharType="begin"/>
            </w:r>
            <w:r>
              <w:rPr>
                <w:webHidden/>
              </w:rPr>
              <w:instrText xml:space="preserve"> PAGERE</w:instrText>
            </w:r>
            <w:r>
              <w:rPr>
                <w:webHidden/>
              </w:rPr>
              <w:instrText xml:space="preserve">F _Toc42788173 \h </w:instrText>
            </w:r>
            <w:r>
              <w:rPr>
                <w:webHidden/>
              </w:rPr>
            </w:r>
            <w:r>
              <w:rPr>
                <w:webHidden/>
              </w:rPr>
              <w:fldChar w:fldCharType="separate"/>
            </w:r>
            <w:r>
              <w:rPr>
                <w:webHidden/>
              </w:rPr>
              <w:t>39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4" w:history="1">
            <w:r>
              <w:rPr>
                <w:rStyle w:val="Hyperlink"/>
              </w:rPr>
              <w:t>1.</w:t>
            </w:r>
            <w:r>
              <w:rPr>
                <w:rFonts w:asciiTheme="minorHAnsi" w:eastAsiaTheme="minorEastAsia" w:hAnsiTheme="minorHAnsi" w:cstheme="minorBidi"/>
                <w:b w:val="0"/>
                <w:i w:val="0"/>
                <w:color w:val="auto"/>
                <w:sz w:val="22"/>
                <w:lang w:val="en-US" w:eastAsia="en-US"/>
              </w:rPr>
              <w:tab/>
            </w:r>
            <w:r>
              <w:rPr>
                <w:rStyle w:val="Hyperlink"/>
              </w:rPr>
              <w:t>Follow-up audit on DG AGRI’s control strategy for the 2014-2020 common agricultural policy</w:t>
            </w:r>
            <w:r>
              <w:rPr>
                <w:webHidden/>
              </w:rPr>
              <w:tab/>
            </w:r>
            <w:r>
              <w:rPr>
                <w:webHidden/>
              </w:rPr>
              <w:fldChar w:fldCharType="begin"/>
            </w:r>
            <w:r>
              <w:rPr>
                <w:webHidden/>
              </w:rPr>
              <w:instrText xml:space="preserve"> PAGEREF _Toc42788174 \h </w:instrText>
            </w:r>
            <w:r>
              <w:rPr>
                <w:webHidden/>
              </w:rPr>
            </w:r>
            <w:r>
              <w:rPr>
                <w:webHidden/>
              </w:rPr>
              <w:fldChar w:fldCharType="separate"/>
            </w:r>
            <w:r>
              <w:rPr>
                <w:webHidden/>
              </w:rPr>
              <w:t>39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5" w:history="1">
            <w:r>
              <w:rPr>
                <w:rStyle w:val="Hyperlink"/>
              </w:rPr>
              <w:t>2.</w:t>
            </w:r>
            <w:r>
              <w:rPr>
                <w:rFonts w:asciiTheme="minorHAnsi" w:eastAsiaTheme="minorEastAsia" w:hAnsiTheme="minorHAnsi" w:cstheme="minorBidi"/>
                <w:b w:val="0"/>
                <w:i w:val="0"/>
                <w:color w:val="auto"/>
                <w:sz w:val="22"/>
                <w:lang w:val="en-US" w:eastAsia="en-US"/>
              </w:rPr>
              <w:tab/>
            </w:r>
            <w:r>
              <w:rPr>
                <w:rStyle w:val="Hyperlink"/>
              </w:rPr>
              <w:t>Follow-up audit in DG AGRI on the process for managing and sharing data on agri-environmental climate issues in DG AGRI, DG CLIMA and DG ENV</w:t>
            </w:r>
            <w:r>
              <w:rPr>
                <w:webHidden/>
              </w:rPr>
              <w:tab/>
            </w:r>
            <w:r>
              <w:rPr>
                <w:webHidden/>
              </w:rPr>
              <w:fldChar w:fldCharType="begin"/>
            </w:r>
            <w:r>
              <w:rPr>
                <w:webHidden/>
              </w:rPr>
              <w:instrText xml:space="preserve"> PAGEREF _Toc42788175 \h </w:instrText>
            </w:r>
            <w:r>
              <w:rPr>
                <w:webHidden/>
              </w:rPr>
            </w:r>
            <w:r>
              <w:rPr>
                <w:webHidden/>
              </w:rPr>
              <w:fldChar w:fldCharType="separate"/>
            </w:r>
            <w:r>
              <w:rPr>
                <w:webHidden/>
              </w:rPr>
              <w:t>39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6" w:history="1">
            <w:r>
              <w:rPr>
                <w:rStyle w:val="Hyperlink"/>
              </w:rPr>
              <w:t>3.</w:t>
            </w:r>
            <w:r>
              <w:rPr>
                <w:rFonts w:asciiTheme="minorHAnsi" w:eastAsiaTheme="minorEastAsia" w:hAnsiTheme="minorHAnsi" w:cstheme="minorBidi"/>
                <w:b w:val="0"/>
                <w:i w:val="0"/>
                <w:color w:val="auto"/>
                <w:sz w:val="22"/>
                <w:lang w:val="en-US" w:eastAsia="en-US"/>
              </w:rPr>
              <w:tab/>
            </w:r>
            <w:r>
              <w:rPr>
                <w:rStyle w:val="Hyperlink"/>
              </w:rPr>
              <w:t>Follow-up audit in DG CLIMA on the process for managing and sharing data on agri-environmental climate issues in DG AGRI, DG CLIMA and DG ENV</w:t>
            </w:r>
            <w:r>
              <w:rPr>
                <w:webHidden/>
              </w:rPr>
              <w:tab/>
            </w:r>
            <w:r>
              <w:rPr>
                <w:webHidden/>
              </w:rPr>
              <w:fldChar w:fldCharType="begin"/>
            </w:r>
            <w:r>
              <w:rPr>
                <w:webHidden/>
              </w:rPr>
              <w:instrText xml:space="preserve"> PAGEREF _Toc42788176 \h </w:instrText>
            </w:r>
            <w:r>
              <w:rPr>
                <w:webHidden/>
              </w:rPr>
            </w:r>
            <w:r>
              <w:rPr>
                <w:webHidden/>
              </w:rPr>
              <w:fldChar w:fldCharType="separate"/>
            </w:r>
            <w:r>
              <w:rPr>
                <w:webHidden/>
              </w:rPr>
              <w:t>40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7" w:history="1">
            <w:r>
              <w:rPr>
                <w:rStyle w:val="Hyperlink"/>
              </w:rPr>
              <w:t>4.</w:t>
            </w:r>
            <w:r>
              <w:rPr>
                <w:rFonts w:asciiTheme="minorHAnsi" w:eastAsiaTheme="minorEastAsia" w:hAnsiTheme="minorHAnsi" w:cstheme="minorBidi"/>
                <w:b w:val="0"/>
                <w:i w:val="0"/>
                <w:color w:val="auto"/>
                <w:sz w:val="22"/>
                <w:lang w:val="en-US" w:eastAsia="en-US"/>
              </w:rPr>
              <w:tab/>
            </w:r>
            <w:r>
              <w:rPr>
                <w:rStyle w:val="Hyperlink"/>
              </w:rPr>
              <w:t>Follow-up audit in DG ENV on the process for managing and sharing data on agri-environmental climate issues in DG AGRI, DG CLIM</w:t>
            </w:r>
            <w:r>
              <w:rPr>
                <w:rStyle w:val="Hyperlink"/>
              </w:rPr>
              <w:t>A and DG ENV</w:t>
            </w:r>
            <w:r>
              <w:rPr>
                <w:webHidden/>
              </w:rPr>
              <w:tab/>
            </w:r>
            <w:r>
              <w:rPr>
                <w:webHidden/>
              </w:rPr>
              <w:fldChar w:fldCharType="begin"/>
            </w:r>
            <w:r>
              <w:rPr>
                <w:webHidden/>
              </w:rPr>
              <w:instrText xml:space="preserve"> PAGEREF _Toc42788177 \h </w:instrText>
            </w:r>
            <w:r>
              <w:rPr>
                <w:webHidden/>
              </w:rPr>
            </w:r>
            <w:r>
              <w:rPr>
                <w:webHidden/>
              </w:rPr>
              <w:fldChar w:fldCharType="separate"/>
            </w:r>
            <w:r>
              <w:rPr>
                <w:webHidden/>
              </w:rPr>
              <w:t>40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8" w:history="1">
            <w:r>
              <w:rPr>
                <w:rStyle w:val="Hyperlink"/>
              </w:rPr>
              <w:t>5.</w:t>
            </w:r>
            <w:r>
              <w:rPr>
                <w:rFonts w:asciiTheme="minorHAnsi" w:eastAsiaTheme="minorEastAsia" w:hAnsiTheme="minorHAnsi" w:cstheme="minorBidi"/>
                <w:b w:val="0"/>
                <w:i w:val="0"/>
                <w:color w:val="auto"/>
                <w:sz w:val="22"/>
                <w:lang w:val="en-US" w:eastAsia="en-US"/>
              </w:rPr>
              <w:tab/>
            </w:r>
            <w:r>
              <w:rPr>
                <w:rStyle w:val="Hyperlink"/>
              </w:rPr>
              <w:t>Follow-up audit on early implementation of the ESIF control strategy 2014-2020 in DG MARE (based on two follow-up</w:t>
            </w:r>
            <w:r>
              <w:rPr>
                <w:rStyle w:val="Hyperlink"/>
              </w:rPr>
              <w:t xml:space="preserve"> audits performed in 2019)</w:t>
            </w:r>
            <w:r>
              <w:rPr>
                <w:webHidden/>
              </w:rPr>
              <w:tab/>
            </w:r>
            <w:r>
              <w:rPr>
                <w:webHidden/>
              </w:rPr>
              <w:fldChar w:fldCharType="begin"/>
            </w:r>
            <w:r>
              <w:rPr>
                <w:webHidden/>
              </w:rPr>
              <w:instrText xml:space="preserve"> PAGEREF _Toc42788178 \h </w:instrText>
            </w:r>
            <w:r>
              <w:rPr>
                <w:webHidden/>
              </w:rPr>
            </w:r>
            <w:r>
              <w:rPr>
                <w:webHidden/>
              </w:rPr>
              <w:fldChar w:fldCharType="separate"/>
            </w:r>
            <w:r>
              <w:rPr>
                <w:webHidden/>
              </w:rPr>
              <w:t>41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79" w:history="1">
            <w:r>
              <w:rPr>
                <w:rStyle w:val="Hyperlink"/>
              </w:rPr>
              <w:t>6.</w:t>
            </w:r>
            <w:r>
              <w:rPr>
                <w:rFonts w:asciiTheme="minorHAnsi" w:eastAsiaTheme="minorEastAsia" w:hAnsiTheme="minorHAnsi" w:cstheme="minorBidi"/>
                <w:b w:val="0"/>
                <w:i w:val="0"/>
                <w:color w:val="auto"/>
                <w:sz w:val="22"/>
                <w:lang w:val="en-US" w:eastAsia="en-US"/>
              </w:rPr>
              <w:tab/>
            </w:r>
            <w:r>
              <w:rPr>
                <w:rStyle w:val="Hyperlink"/>
              </w:rPr>
              <w:t>Follow-up audit on early implementation of the ESIF control strategy 2014-2020 in DG EMPL (based on</w:t>
            </w:r>
            <w:r>
              <w:rPr>
                <w:rStyle w:val="Hyperlink"/>
              </w:rPr>
              <w:t xml:space="preserve"> two follow-up audits performed in 2019)</w:t>
            </w:r>
            <w:r>
              <w:rPr>
                <w:webHidden/>
              </w:rPr>
              <w:tab/>
            </w:r>
            <w:r>
              <w:rPr>
                <w:webHidden/>
              </w:rPr>
              <w:fldChar w:fldCharType="begin"/>
            </w:r>
            <w:r>
              <w:rPr>
                <w:webHidden/>
              </w:rPr>
              <w:instrText xml:space="preserve"> PAGEREF _Toc42788179 \h </w:instrText>
            </w:r>
            <w:r>
              <w:rPr>
                <w:webHidden/>
              </w:rPr>
            </w:r>
            <w:r>
              <w:rPr>
                <w:webHidden/>
              </w:rPr>
              <w:fldChar w:fldCharType="separate"/>
            </w:r>
            <w:r>
              <w:rPr>
                <w:webHidden/>
              </w:rPr>
              <w:t>41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0" w:history="1">
            <w:r>
              <w:rPr>
                <w:rStyle w:val="Hyperlink"/>
              </w:rPr>
              <w:t>7.</w:t>
            </w:r>
            <w:r>
              <w:rPr>
                <w:rFonts w:asciiTheme="minorHAnsi" w:eastAsiaTheme="minorEastAsia" w:hAnsiTheme="minorHAnsi" w:cstheme="minorBidi"/>
                <w:b w:val="0"/>
                <w:i w:val="0"/>
                <w:color w:val="auto"/>
                <w:sz w:val="22"/>
                <w:lang w:val="en-US" w:eastAsia="en-US"/>
              </w:rPr>
              <w:tab/>
            </w:r>
            <w:r>
              <w:rPr>
                <w:rStyle w:val="Hyperlink"/>
              </w:rPr>
              <w:t xml:space="preserve">Follow-up audit on early implementation of the ESIF control strategy 2014-2020 in DG </w:t>
            </w:r>
            <w:r>
              <w:rPr>
                <w:rStyle w:val="Hyperlink"/>
              </w:rPr>
              <w:t>REGIO (based on two follow-up audits performed in 2019)</w:t>
            </w:r>
            <w:r>
              <w:rPr>
                <w:webHidden/>
              </w:rPr>
              <w:tab/>
            </w:r>
            <w:r>
              <w:rPr>
                <w:webHidden/>
              </w:rPr>
              <w:fldChar w:fldCharType="begin"/>
            </w:r>
            <w:r>
              <w:rPr>
                <w:webHidden/>
              </w:rPr>
              <w:instrText xml:space="preserve"> PAGEREF _Toc42788180 \h </w:instrText>
            </w:r>
            <w:r>
              <w:rPr>
                <w:webHidden/>
              </w:rPr>
            </w:r>
            <w:r>
              <w:rPr>
                <w:webHidden/>
              </w:rPr>
              <w:fldChar w:fldCharType="separate"/>
            </w:r>
            <w:r>
              <w:rPr>
                <w:webHidden/>
              </w:rPr>
              <w:t>41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1" w:history="1">
            <w:r>
              <w:rPr>
                <w:rStyle w:val="Hyperlink"/>
              </w:rPr>
              <w:t>8.</w:t>
            </w:r>
            <w:r>
              <w:rPr>
                <w:rFonts w:asciiTheme="minorHAnsi" w:eastAsiaTheme="minorEastAsia" w:hAnsiTheme="minorHAnsi" w:cstheme="minorBidi"/>
                <w:b w:val="0"/>
                <w:i w:val="0"/>
                <w:color w:val="auto"/>
                <w:sz w:val="22"/>
                <w:lang w:val="en-US" w:eastAsia="en-US"/>
              </w:rPr>
              <w:tab/>
            </w:r>
            <w:r>
              <w:rPr>
                <w:rStyle w:val="Hyperlink"/>
              </w:rPr>
              <w:t>Follow-up audit on major projects in DG REGIO</w:t>
            </w:r>
            <w:r>
              <w:rPr>
                <w:webHidden/>
              </w:rPr>
              <w:tab/>
            </w:r>
            <w:r>
              <w:rPr>
                <w:webHidden/>
              </w:rPr>
              <w:fldChar w:fldCharType="begin"/>
            </w:r>
            <w:r>
              <w:rPr>
                <w:webHidden/>
              </w:rPr>
              <w:instrText xml:space="preserve"> PAGEREF _Toc42788181 \h </w:instrText>
            </w:r>
            <w:r>
              <w:rPr>
                <w:webHidden/>
              </w:rPr>
            </w:r>
            <w:r>
              <w:rPr>
                <w:webHidden/>
              </w:rPr>
              <w:fldChar w:fldCharType="separate"/>
            </w:r>
            <w:r>
              <w:rPr>
                <w:webHidden/>
              </w:rPr>
              <w:t>41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2" w:history="1">
            <w:r>
              <w:rPr>
                <w:rStyle w:val="Hyperlink"/>
              </w:rPr>
              <w:t>9.</w:t>
            </w:r>
            <w:r>
              <w:rPr>
                <w:rFonts w:asciiTheme="minorHAnsi" w:eastAsiaTheme="minorEastAsia" w:hAnsiTheme="minorHAnsi" w:cstheme="minorBidi"/>
                <w:b w:val="0"/>
                <w:i w:val="0"/>
                <w:color w:val="auto"/>
                <w:sz w:val="22"/>
                <w:lang w:val="en-US" w:eastAsia="en-US"/>
              </w:rPr>
              <w:tab/>
            </w:r>
            <w:r>
              <w:rPr>
                <w:rStyle w:val="Hyperlink"/>
              </w:rPr>
              <w:t>Follow-up audit on the management of recovery orders for competition fines and recovery orders in the context of the Commission’s corrective capacity –</w:t>
            </w:r>
            <w:r>
              <w:rPr>
                <w:rStyle w:val="Hyperlink"/>
              </w:rPr>
              <w:t xml:space="preserve"> Phase 1 in DG CONNECT (based on two follow-up audits performed in 2019)</w:t>
            </w:r>
            <w:r>
              <w:rPr>
                <w:webHidden/>
              </w:rPr>
              <w:tab/>
            </w:r>
            <w:r>
              <w:rPr>
                <w:webHidden/>
              </w:rPr>
              <w:fldChar w:fldCharType="begin"/>
            </w:r>
            <w:r>
              <w:rPr>
                <w:webHidden/>
              </w:rPr>
              <w:instrText xml:space="preserve"> PAGEREF _Toc42788182 \h </w:instrText>
            </w:r>
            <w:r>
              <w:rPr>
                <w:webHidden/>
              </w:rPr>
            </w:r>
            <w:r>
              <w:rPr>
                <w:webHidden/>
              </w:rPr>
              <w:fldChar w:fldCharType="separate"/>
            </w:r>
            <w:r>
              <w:rPr>
                <w:webHidden/>
              </w:rPr>
              <w:t>41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3" w:history="1">
            <w:r>
              <w:rPr>
                <w:rStyle w:val="Hyperlink"/>
              </w:rPr>
              <w:t>10.</w:t>
            </w:r>
            <w:r>
              <w:rPr>
                <w:rFonts w:asciiTheme="minorHAnsi" w:eastAsiaTheme="minorEastAsia" w:hAnsiTheme="minorHAnsi" w:cstheme="minorBidi"/>
                <w:b w:val="0"/>
                <w:i w:val="0"/>
                <w:color w:val="auto"/>
                <w:sz w:val="22"/>
                <w:lang w:val="en-US" w:eastAsia="en-US"/>
              </w:rPr>
              <w:tab/>
            </w:r>
            <w:r>
              <w:rPr>
                <w:rStyle w:val="Hyperlink"/>
              </w:rPr>
              <w:t>Follow-up audit on the production process and the qu</w:t>
            </w:r>
            <w:r>
              <w:rPr>
                <w:rStyle w:val="Hyperlink"/>
              </w:rPr>
              <w:t>ality of statistics not produced by Eurostat in DG ENER (based on two follow-up audits performed in 2019)</w:t>
            </w:r>
            <w:r>
              <w:rPr>
                <w:webHidden/>
              </w:rPr>
              <w:tab/>
            </w:r>
            <w:r>
              <w:rPr>
                <w:webHidden/>
              </w:rPr>
              <w:fldChar w:fldCharType="begin"/>
            </w:r>
            <w:r>
              <w:rPr>
                <w:webHidden/>
              </w:rPr>
              <w:instrText xml:space="preserve"> PAGEREF _Toc42788183 \h </w:instrText>
            </w:r>
            <w:r>
              <w:rPr>
                <w:webHidden/>
              </w:rPr>
            </w:r>
            <w:r>
              <w:rPr>
                <w:webHidden/>
              </w:rPr>
              <w:fldChar w:fldCharType="separate"/>
            </w:r>
            <w:r>
              <w:rPr>
                <w:webHidden/>
              </w:rPr>
              <w:t>42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4" w:history="1">
            <w:r>
              <w:rPr>
                <w:rStyle w:val="Hyperlink"/>
              </w:rPr>
              <w:t>11.</w:t>
            </w:r>
            <w:r>
              <w:rPr>
                <w:rFonts w:asciiTheme="minorHAnsi" w:eastAsiaTheme="minorEastAsia" w:hAnsiTheme="minorHAnsi" w:cstheme="minorBidi"/>
                <w:b w:val="0"/>
                <w:i w:val="0"/>
                <w:color w:val="auto"/>
                <w:sz w:val="22"/>
                <w:lang w:val="en-US" w:eastAsia="en-US"/>
              </w:rPr>
              <w:tab/>
            </w:r>
            <w:r>
              <w:rPr>
                <w:rStyle w:val="Hyperlink"/>
              </w:rPr>
              <w:t>Follow-up audit on l</w:t>
            </w:r>
            <w:r>
              <w:rPr>
                <w:rStyle w:val="Hyperlink"/>
              </w:rPr>
              <w:t>egacy programmes in DG ENER</w:t>
            </w:r>
            <w:r>
              <w:rPr>
                <w:webHidden/>
              </w:rPr>
              <w:tab/>
            </w:r>
            <w:r>
              <w:rPr>
                <w:webHidden/>
              </w:rPr>
              <w:fldChar w:fldCharType="begin"/>
            </w:r>
            <w:r>
              <w:rPr>
                <w:webHidden/>
              </w:rPr>
              <w:instrText xml:space="preserve"> PAGEREF _Toc42788184 \h </w:instrText>
            </w:r>
            <w:r>
              <w:rPr>
                <w:webHidden/>
              </w:rPr>
            </w:r>
            <w:r>
              <w:rPr>
                <w:webHidden/>
              </w:rPr>
              <w:fldChar w:fldCharType="separate"/>
            </w:r>
            <w:r>
              <w:rPr>
                <w:webHidden/>
              </w:rPr>
              <w:t>42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5" w:history="1">
            <w:r>
              <w:rPr>
                <w:rStyle w:val="Hyperlink"/>
              </w:rPr>
              <w:t>12.</w:t>
            </w:r>
            <w:r>
              <w:rPr>
                <w:rFonts w:asciiTheme="minorHAnsi" w:eastAsiaTheme="minorEastAsia" w:hAnsiTheme="minorHAnsi" w:cstheme="minorBidi"/>
                <w:b w:val="0"/>
                <w:i w:val="0"/>
                <w:color w:val="auto"/>
                <w:sz w:val="22"/>
                <w:lang w:val="en-US" w:eastAsia="en-US"/>
              </w:rPr>
              <w:tab/>
            </w:r>
            <w:r>
              <w:rPr>
                <w:rStyle w:val="Hyperlink"/>
              </w:rPr>
              <w:t>Follow-up audit on activities in the JRC to support intellectual-property rights</w:t>
            </w:r>
            <w:r>
              <w:rPr>
                <w:webHidden/>
              </w:rPr>
              <w:tab/>
            </w:r>
            <w:r>
              <w:rPr>
                <w:webHidden/>
              </w:rPr>
              <w:fldChar w:fldCharType="begin"/>
            </w:r>
            <w:r>
              <w:rPr>
                <w:webHidden/>
              </w:rPr>
              <w:instrText xml:space="preserve"> PAGEREF _Toc4278</w:instrText>
            </w:r>
            <w:r>
              <w:rPr>
                <w:webHidden/>
              </w:rPr>
              <w:instrText xml:space="preserve">8185 \h </w:instrText>
            </w:r>
            <w:r>
              <w:rPr>
                <w:webHidden/>
              </w:rPr>
            </w:r>
            <w:r>
              <w:rPr>
                <w:webHidden/>
              </w:rPr>
              <w:fldChar w:fldCharType="separate"/>
            </w:r>
            <w:r>
              <w:rPr>
                <w:webHidden/>
              </w:rPr>
              <w:t>42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6" w:history="1">
            <w:r>
              <w:rPr>
                <w:rStyle w:val="Hyperlink"/>
              </w:rPr>
              <w:t>13.</w:t>
            </w:r>
            <w:r>
              <w:rPr>
                <w:rFonts w:asciiTheme="minorHAnsi" w:eastAsiaTheme="minorEastAsia" w:hAnsiTheme="minorHAnsi" w:cstheme="minorBidi"/>
                <w:b w:val="0"/>
                <w:i w:val="0"/>
                <w:color w:val="auto"/>
                <w:sz w:val="22"/>
                <w:lang w:val="en-US" w:eastAsia="en-US"/>
              </w:rPr>
              <w:tab/>
            </w:r>
            <w:r>
              <w:rPr>
                <w:rStyle w:val="Hyperlink"/>
              </w:rPr>
              <w:t>Follow-up audit on human-resources management in the JRC</w:t>
            </w:r>
            <w:r>
              <w:rPr>
                <w:webHidden/>
              </w:rPr>
              <w:tab/>
            </w:r>
            <w:r>
              <w:rPr>
                <w:webHidden/>
              </w:rPr>
              <w:fldChar w:fldCharType="begin"/>
            </w:r>
            <w:r>
              <w:rPr>
                <w:webHidden/>
              </w:rPr>
              <w:instrText xml:space="preserve"> PAGEREF _Toc42788186 \h </w:instrText>
            </w:r>
            <w:r>
              <w:rPr>
                <w:webHidden/>
              </w:rPr>
            </w:r>
            <w:r>
              <w:rPr>
                <w:webHidden/>
              </w:rPr>
              <w:fldChar w:fldCharType="separate"/>
            </w:r>
            <w:r>
              <w:rPr>
                <w:webHidden/>
              </w:rPr>
              <w:t>42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7" w:history="1">
            <w:r>
              <w:rPr>
                <w:rStyle w:val="Hyperlink"/>
              </w:rPr>
              <w:t>14.</w:t>
            </w:r>
            <w:r>
              <w:rPr>
                <w:rFonts w:asciiTheme="minorHAnsi" w:eastAsiaTheme="minorEastAsia" w:hAnsiTheme="minorHAnsi" w:cstheme="minorBidi"/>
                <w:b w:val="0"/>
                <w:i w:val="0"/>
                <w:color w:val="auto"/>
                <w:sz w:val="22"/>
                <w:lang w:val="en-US" w:eastAsia="en-US"/>
              </w:rPr>
              <w:tab/>
            </w:r>
            <w:r>
              <w:rPr>
                <w:rStyle w:val="Hyperlink"/>
              </w:rPr>
              <w:t>Follow-up audit on past audits in DG RTD</w:t>
            </w:r>
            <w:r>
              <w:rPr>
                <w:webHidden/>
              </w:rPr>
              <w:tab/>
            </w:r>
            <w:r>
              <w:rPr>
                <w:webHidden/>
              </w:rPr>
              <w:fldChar w:fldCharType="begin"/>
            </w:r>
            <w:r>
              <w:rPr>
                <w:webHidden/>
              </w:rPr>
              <w:instrText xml:space="preserve"> PAGEREF _Toc42788187 \h </w:instrText>
            </w:r>
            <w:r>
              <w:rPr>
                <w:webHidden/>
              </w:rPr>
            </w:r>
            <w:r>
              <w:rPr>
                <w:webHidden/>
              </w:rPr>
              <w:fldChar w:fldCharType="separate"/>
            </w:r>
            <w:r>
              <w:rPr>
                <w:webHidden/>
              </w:rPr>
              <w:t>43</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8" w:history="1">
            <w:r>
              <w:rPr>
                <w:rStyle w:val="Hyperlink"/>
              </w:rPr>
              <w:t>15.</w:t>
            </w:r>
            <w:r>
              <w:rPr>
                <w:rFonts w:asciiTheme="minorHAnsi" w:eastAsiaTheme="minorEastAsia" w:hAnsiTheme="minorHAnsi" w:cstheme="minorBidi"/>
                <w:b w:val="0"/>
                <w:i w:val="0"/>
                <w:color w:val="auto"/>
                <w:sz w:val="22"/>
                <w:lang w:val="en-US" w:eastAsia="en-US"/>
              </w:rPr>
              <w:tab/>
            </w:r>
            <w:r>
              <w:rPr>
                <w:rStyle w:val="Hyperlink"/>
              </w:rPr>
              <w:t>Follow-up audit on direct management of grants in DG DEVCO</w:t>
            </w:r>
            <w:r>
              <w:rPr>
                <w:webHidden/>
              </w:rPr>
              <w:tab/>
            </w:r>
            <w:r>
              <w:rPr>
                <w:webHidden/>
              </w:rPr>
              <w:fldChar w:fldCharType="begin"/>
            </w:r>
            <w:r>
              <w:rPr>
                <w:webHidden/>
              </w:rPr>
              <w:instrText xml:space="preserve"> PAGEREF _Toc42788188 \h </w:instrText>
            </w:r>
            <w:r>
              <w:rPr>
                <w:webHidden/>
              </w:rPr>
            </w:r>
            <w:r>
              <w:rPr>
                <w:webHidden/>
              </w:rPr>
              <w:fldChar w:fldCharType="separate"/>
            </w:r>
            <w:r>
              <w:rPr>
                <w:webHidden/>
              </w:rPr>
              <w:t>43</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89" w:history="1">
            <w:r>
              <w:rPr>
                <w:rStyle w:val="Hyperlink"/>
              </w:rPr>
              <w:t>16.</w:t>
            </w:r>
            <w:r>
              <w:rPr>
                <w:rFonts w:asciiTheme="minorHAnsi" w:eastAsiaTheme="minorEastAsia" w:hAnsiTheme="minorHAnsi" w:cstheme="minorBidi"/>
                <w:b w:val="0"/>
                <w:i w:val="0"/>
                <w:color w:val="auto"/>
                <w:sz w:val="22"/>
                <w:lang w:val="en-US" w:eastAsia="en-US"/>
              </w:rPr>
              <w:tab/>
            </w:r>
            <w:r>
              <w:rPr>
                <w:rStyle w:val="Hyperlink"/>
              </w:rPr>
              <w:t>Follow-up audit on the assurance-building process in DG DEVCO’s Headquarters</w:t>
            </w:r>
            <w:r>
              <w:rPr>
                <w:webHidden/>
              </w:rPr>
              <w:tab/>
            </w:r>
            <w:r>
              <w:rPr>
                <w:webHidden/>
              </w:rPr>
              <w:fldChar w:fldCharType="begin"/>
            </w:r>
            <w:r>
              <w:rPr>
                <w:webHidden/>
              </w:rPr>
              <w:instrText xml:space="preserve"> PAGEREF _Toc42788189 \h </w:instrText>
            </w:r>
            <w:r>
              <w:rPr>
                <w:webHidden/>
              </w:rPr>
            </w:r>
            <w:r>
              <w:rPr>
                <w:webHidden/>
              </w:rPr>
              <w:fldChar w:fldCharType="separate"/>
            </w:r>
            <w:r>
              <w:rPr>
                <w:webHidden/>
              </w:rPr>
              <w:t>43</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0" w:history="1">
            <w:r>
              <w:rPr>
                <w:rStyle w:val="Hyperlink"/>
              </w:rPr>
              <w:t>17.</w:t>
            </w:r>
            <w:r>
              <w:rPr>
                <w:rFonts w:asciiTheme="minorHAnsi" w:eastAsiaTheme="minorEastAsia" w:hAnsiTheme="minorHAnsi" w:cstheme="minorBidi"/>
                <w:b w:val="0"/>
                <w:i w:val="0"/>
                <w:color w:val="auto"/>
                <w:sz w:val="22"/>
                <w:lang w:val="en-US" w:eastAsia="en-US"/>
              </w:rPr>
              <w:tab/>
            </w:r>
            <w:r>
              <w:rPr>
                <w:rStyle w:val="Hyperlink"/>
              </w:rPr>
              <w:t>Follow-up audit on the management of investment facilities (financial instruments) in DG DEVCO</w:t>
            </w:r>
            <w:r>
              <w:rPr>
                <w:webHidden/>
              </w:rPr>
              <w:tab/>
            </w:r>
            <w:r>
              <w:rPr>
                <w:webHidden/>
              </w:rPr>
              <w:fldChar w:fldCharType="begin"/>
            </w:r>
            <w:r>
              <w:rPr>
                <w:webHidden/>
              </w:rPr>
              <w:instrText xml:space="preserve"> PAGEREF _Toc42788190 \h </w:instrText>
            </w:r>
            <w:r>
              <w:rPr>
                <w:webHidden/>
              </w:rPr>
            </w:r>
            <w:r>
              <w:rPr>
                <w:webHidden/>
              </w:rPr>
              <w:fldChar w:fldCharType="separate"/>
            </w:r>
            <w:r>
              <w:rPr>
                <w:webHidden/>
              </w:rPr>
              <w:t>44</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1" w:history="1">
            <w:r>
              <w:rPr>
                <w:rStyle w:val="Hyperlink"/>
              </w:rPr>
              <w:t>18.</w:t>
            </w:r>
            <w:r>
              <w:rPr>
                <w:rFonts w:asciiTheme="minorHAnsi" w:eastAsiaTheme="minorEastAsia" w:hAnsiTheme="minorHAnsi" w:cstheme="minorBidi"/>
                <w:b w:val="0"/>
                <w:i w:val="0"/>
                <w:color w:val="auto"/>
                <w:sz w:val="22"/>
                <w:lang w:val="en-US" w:eastAsia="en-US"/>
              </w:rPr>
              <w:tab/>
            </w:r>
            <w:r>
              <w:rPr>
                <w:rStyle w:val="Hyperlink"/>
              </w:rPr>
              <w:t>Follow-up audit on the performance-management system in DG DEVCO</w:t>
            </w:r>
            <w:r>
              <w:rPr>
                <w:webHidden/>
              </w:rPr>
              <w:tab/>
            </w:r>
            <w:r>
              <w:rPr>
                <w:webHidden/>
              </w:rPr>
              <w:fldChar w:fldCharType="begin"/>
            </w:r>
            <w:r>
              <w:rPr>
                <w:webHidden/>
              </w:rPr>
              <w:instrText xml:space="preserve"> PAGEREF _Toc42788191 \h </w:instrText>
            </w:r>
            <w:r>
              <w:rPr>
                <w:webHidden/>
              </w:rPr>
            </w:r>
            <w:r>
              <w:rPr>
                <w:webHidden/>
              </w:rPr>
              <w:fldChar w:fldCharType="separate"/>
            </w:r>
            <w:r>
              <w:rPr>
                <w:webHidden/>
              </w:rPr>
              <w:t>44</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2" w:history="1">
            <w:r>
              <w:rPr>
                <w:rStyle w:val="Hyperlink"/>
              </w:rPr>
              <w:t>19.</w:t>
            </w:r>
            <w:r>
              <w:rPr>
                <w:rFonts w:asciiTheme="minorHAnsi" w:eastAsiaTheme="minorEastAsia" w:hAnsiTheme="minorHAnsi" w:cstheme="minorBidi"/>
                <w:b w:val="0"/>
                <w:i w:val="0"/>
                <w:color w:val="auto"/>
                <w:sz w:val="22"/>
                <w:lang w:val="en-US" w:eastAsia="en-US"/>
              </w:rPr>
              <w:tab/>
            </w:r>
            <w:r>
              <w:rPr>
                <w:rStyle w:val="Hyperlink"/>
              </w:rPr>
              <w:t xml:space="preserve">Follow-up audit on the instrument </w:t>
            </w:r>
            <w:r>
              <w:rPr>
                <w:rStyle w:val="Hyperlink"/>
              </w:rPr>
              <w:t>contributing to stability and peace in FPI</w:t>
            </w:r>
            <w:r>
              <w:rPr>
                <w:webHidden/>
              </w:rPr>
              <w:tab/>
            </w:r>
            <w:r>
              <w:rPr>
                <w:webHidden/>
              </w:rPr>
              <w:fldChar w:fldCharType="begin"/>
            </w:r>
            <w:r>
              <w:rPr>
                <w:webHidden/>
              </w:rPr>
              <w:instrText xml:space="preserve"> PAGEREF _Toc42788192 \h </w:instrText>
            </w:r>
            <w:r>
              <w:rPr>
                <w:webHidden/>
              </w:rPr>
            </w:r>
            <w:r>
              <w:rPr>
                <w:webHidden/>
              </w:rPr>
              <w:fldChar w:fldCharType="separate"/>
            </w:r>
            <w:r>
              <w:rPr>
                <w:webHidden/>
              </w:rPr>
              <w:t>46</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3" w:history="1">
            <w:r>
              <w:rPr>
                <w:rStyle w:val="Hyperlink"/>
              </w:rPr>
              <w:t>20.</w:t>
            </w:r>
            <w:r>
              <w:rPr>
                <w:rFonts w:asciiTheme="minorHAnsi" w:eastAsiaTheme="minorEastAsia" w:hAnsiTheme="minorHAnsi" w:cstheme="minorBidi"/>
                <w:b w:val="0"/>
                <w:i w:val="0"/>
                <w:color w:val="auto"/>
                <w:sz w:val="22"/>
                <w:lang w:val="en-US" w:eastAsia="en-US"/>
              </w:rPr>
              <w:tab/>
            </w:r>
            <w:r>
              <w:rPr>
                <w:rStyle w:val="Hyperlink"/>
              </w:rPr>
              <w:t>Follow-up audit on Erasmus+ and Creative Europe – grant-management phase 2 (from p</w:t>
            </w:r>
            <w:r>
              <w:rPr>
                <w:rStyle w:val="Hyperlink"/>
              </w:rPr>
              <w:t>roject monitoring to payment) in EACEA</w:t>
            </w:r>
            <w:r>
              <w:rPr>
                <w:webHidden/>
              </w:rPr>
              <w:tab/>
            </w:r>
            <w:r>
              <w:rPr>
                <w:webHidden/>
              </w:rPr>
              <w:fldChar w:fldCharType="begin"/>
            </w:r>
            <w:r>
              <w:rPr>
                <w:webHidden/>
              </w:rPr>
              <w:instrText xml:space="preserve"> PAGEREF _Toc42788193 \h </w:instrText>
            </w:r>
            <w:r>
              <w:rPr>
                <w:webHidden/>
              </w:rPr>
            </w:r>
            <w:r>
              <w:rPr>
                <w:webHidden/>
              </w:rPr>
              <w:fldChar w:fldCharType="separate"/>
            </w:r>
            <w:r>
              <w:rPr>
                <w:webHidden/>
              </w:rPr>
              <w:t>47</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4" w:history="1">
            <w:r>
              <w:rPr>
                <w:rStyle w:val="Hyperlink"/>
              </w:rPr>
              <w:t>21.</w:t>
            </w:r>
            <w:r>
              <w:rPr>
                <w:rFonts w:asciiTheme="minorHAnsi" w:eastAsiaTheme="minorEastAsia" w:hAnsiTheme="minorHAnsi" w:cstheme="minorBidi"/>
                <w:b w:val="0"/>
                <w:i w:val="0"/>
                <w:color w:val="auto"/>
                <w:sz w:val="22"/>
                <w:lang w:val="en-US" w:eastAsia="en-US"/>
              </w:rPr>
              <w:tab/>
            </w:r>
            <w:r>
              <w:rPr>
                <w:rStyle w:val="Hyperlink"/>
              </w:rPr>
              <w:t>Follow-up audit on monitoring the implementation and performance of 2014-2020 national</w:t>
            </w:r>
            <w:r>
              <w:rPr>
                <w:rStyle w:val="Hyperlink"/>
              </w:rPr>
              <w:t xml:space="preserve"> programmes by DG HOME</w:t>
            </w:r>
            <w:r>
              <w:rPr>
                <w:webHidden/>
              </w:rPr>
              <w:tab/>
            </w:r>
            <w:r>
              <w:rPr>
                <w:webHidden/>
              </w:rPr>
              <w:fldChar w:fldCharType="begin"/>
            </w:r>
            <w:r>
              <w:rPr>
                <w:webHidden/>
              </w:rPr>
              <w:instrText xml:space="preserve"> PAGEREF _Toc42788194 \h </w:instrText>
            </w:r>
            <w:r>
              <w:rPr>
                <w:webHidden/>
              </w:rPr>
            </w:r>
            <w:r>
              <w:rPr>
                <w:webHidden/>
              </w:rPr>
              <w:fldChar w:fldCharType="separate"/>
            </w:r>
            <w:r>
              <w:rPr>
                <w:webHidden/>
              </w:rPr>
              <w:t>49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5" w:history="1">
            <w:r>
              <w:rPr>
                <w:rStyle w:val="Hyperlink"/>
              </w:rPr>
              <w:t>22.</w:t>
            </w:r>
            <w:r>
              <w:rPr>
                <w:rFonts w:asciiTheme="minorHAnsi" w:eastAsiaTheme="minorEastAsia" w:hAnsiTheme="minorHAnsi" w:cstheme="minorBidi"/>
                <w:b w:val="0"/>
                <w:i w:val="0"/>
                <w:color w:val="auto"/>
                <w:sz w:val="22"/>
                <w:lang w:val="en-US" w:eastAsia="en-US"/>
              </w:rPr>
              <w:tab/>
            </w:r>
            <w:r>
              <w:rPr>
                <w:rStyle w:val="Hyperlink"/>
              </w:rPr>
              <w:t>Follow-up audit on activities in DG</w:t>
            </w:r>
            <w:r>
              <w:rPr>
                <w:rStyle w:val="Hyperlink"/>
                <w:rFonts w:ascii="Calibri" w:hAnsi="Calibri"/>
              </w:rPr>
              <w:t> </w:t>
            </w:r>
            <w:r>
              <w:rPr>
                <w:rStyle w:val="Hyperlink"/>
              </w:rPr>
              <w:t>DEFIS to support intellectual-property rights</w:t>
            </w:r>
            <w:r>
              <w:rPr>
                <w:webHidden/>
              </w:rPr>
              <w:tab/>
            </w:r>
            <w:r>
              <w:rPr>
                <w:webHidden/>
              </w:rPr>
              <w:fldChar w:fldCharType="begin"/>
            </w:r>
            <w:r>
              <w:rPr>
                <w:webHidden/>
              </w:rPr>
              <w:instrText xml:space="preserve"> PAGEREF _Toc4278819</w:instrText>
            </w:r>
            <w:r>
              <w:rPr>
                <w:webHidden/>
              </w:rPr>
              <w:instrText xml:space="preserve">5 \h </w:instrText>
            </w:r>
            <w:r>
              <w:rPr>
                <w:webHidden/>
              </w:rPr>
            </w:r>
            <w:r>
              <w:rPr>
                <w:webHidden/>
              </w:rPr>
              <w:fldChar w:fldCharType="separate"/>
            </w:r>
            <w:r>
              <w:rPr>
                <w:webHidden/>
              </w:rPr>
              <w:t>49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6" w:history="1">
            <w:r>
              <w:rPr>
                <w:rStyle w:val="Hyperlink"/>
              </w:rPr>
              <w:t>23.</w:t>
            </w:r>
            <w:r>
              <w:rPr>
                <w:rFonts w:asciiTheme="minorHAnsi" w:eastAsiaTheme="minorEastAsia" w:hAnsiTheme="minorHAnsi" w:cstheme="minorBidi"/>
                <w:b w:val="0"/>
                <w:i w:val="0"/>
                <w:color w:val="auto"/>
                <w:sz w:val="22"/>
                <w:lang w:val="en-US" w:eastAsia="en-US"/>
              </w:rPr>
              <w:tab/>
            </w:r>
            <w:r>
              <w:rPr>
                <w:rStyle w:val="Hyperlink"/>
              </w:rPr>
              <w:t>Follow-up audit on evaluation in DG ECFIN</w:t>
            </w:r>
            <w:r>
              <w:rPr>
                <w:webHidden/>
              </w:rPr>
              <w:tab/>
            </w:r>
            <w:r>
              <w:rPr>
                <w:webHidden/>
              </w:rPr>
              <w:fldChar w:fldCharType="begin"/>
            </w:r>
            <w:r>
              <w:rPr>
                <w:webHidden/>
              </w:rPr>
              <w:instrText xml:space="preserve"> PAGEREF _Toc42788196 \h </w:instrText>
            </w:r>
            <w:r>
              <w:rPr>
                <w:webHidden/>
              </w:rPr>
            </w:r>
            <w:r>
              <w:rPr>
                <w:webHidden/>
              </w:rPr>
              <w:fldChar w:fldCharType="separate"/>
            </w:r>
            <w:r>
              <w:rPr>
                <w:webHidden/>
              </w:rPr>
              <w:t>49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7" w:history="1">
            <w:r>
              <w:rPr>
                <w:rStyle w:val="Hyperlink"/>
              </w:rPr>
              <w:t>24.</w:t>
            </w:r>
            <w:r>
              <w:rPr>
                <w:rFonts w:asciiTheme="minorHAnsi" w:eastAsiaTheme="minorEastAsia" w:hAnsiTheme="minorHAnsi" w:cstheme="minorBidi"/>
                <w:b w:val="0"/>
                <w:i w:val="0"/>
                <w:color w:val="auto"/>
                <w:sz w:val="22"/>
                <w:lang w:val="en-US" w:eastAsia="en-US"/>
              </w:rPr>
              <w:tab/>
            </w:r>
            <w:r>
              <w:rPr>
                <w:rStyle w:val="Hyperlink"/>
              </w:rPr>
              <w:t>Follow-up audit on the effectiveness and efficiency of the performance-management system in DG FISMA</w:t>
            </w:r>
            <w:r>
              <w:rPr>
                <w:webHidden/>
              </w:rPr>
              <w:tab/>
            </w:r>
            <w:r>
              <w:rPr>
                <w:webHidden/>
              </w:rPr>
              <w:fldChar w:fldCharType="begin"/>
            </w:r>
            <w:r>
              <w:rPr>
                <w:webHidden/>
              </w:rPr>
              <w:instrText xml:space="preserve"> PAGEREF _Toc42788197 \h </w:instrText>
            </w:r>
            <w:r>
              <w:rPr>
                <w:webHidden/>
              </w:rPr>
            </w:r>
            <w:r>
              <w:rPr>
                <w:webHidden/>
              </w:rPr>
              <w:fldChar w:fldCharType="separate"/>
            </w:r>
            <w:r>
              <w:rPr>
                <w:webHidden/>
              </w:rPr>
              <w:t>49</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8" w:history="1">
            <w:r>
              <w:rPr>
                <w:rStyle w:val="Hyperlink"/>
              </w:rPr>
              <w:t>25.</w:t>
            </w:r>
            <w:r>
              <w:rPr>
                <w:rFonts w:asciiTheme="minorHAnsi" w:eastAsiaTheme="minorEastAsia" w:hAnsiTheme="minorHAnsi" w:cstheme="minorBidi"/>
                <w:b w:val="0"/>
                <w:i w:val="0"/>
                <w:color w:val="auto"/>
                <w:sz w:val="22"/>
                <w:lang w:val="en-US" w:eastAsia="en-US"/>
              </w:rPr>
              <w:tab/>
            </w:r>
            <w:r>
              <w:rPr>
                <w:rStyle w:val="Hyperlink"/>
              </w:rPr>
              <w:t>Follow-up audit on the production process and the quality of statistics not produced by Eurostat in DG FISMA</w:t>
            </w:r>
            <w:r>
              <w:rPr>
                <w:webHidden/>
              </w:rPr>
              <w:tab/>
            </w:r>
            <w:r>
              <w:rPr>
                <w:webHidden/>
              </w:rPr>
              <w:fldChar w:fldCharType="begin"/>
            </w:r>
            <w:r>
              <w:rPr>
                <w:webHidden/>
              </w:rPr>
              <w:instrText xml:space="preserve"> PAGEREF _Toc42788198 \h </w:instrText>
            </w:r>
            <w:r>
              <w:rPr>
                <w:webHidden/>
              </w:rPr>
            </w:r>
            <w:r>
              <w:rPr>
                <w:webHidden/>
              </w:rPr>
              <w:fldChar w:fldCharType="separate"/>
            </w:r>
            <w:r>
              <w:rPr>
                <w:webHidden/>
              </w:rPr>
              <w:t>50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199" w:history="1">
            <w:r>
              <w:rPr>
                <w:rStyle w:val="Hyperlink"/>
              </w:rPr>
              <w:t>26.</w:t>
            </w:r>
            <w:r>
              <w:rPr>
                <w:rFonts w:asciiTheme="minorHAnsi" w:eastAsiaTheme="minorEastAsia" w:hAnsiTheme="minorHAnsi" w:cstheme="minorBidi"/>
                <w:b w:val="0"/>
                <w:i w:val="0"/>
                <w:color w:val="auto"/>
                <w:sz w:val="22"/>
                <w:lang w:val="en-US" w:eastAsia="en-US"/>
              </w:rPr>
              <w:tab/>
            </w:r>
            <w:r>
              <w:rPr>
                <w:rStyle w:val="Hyperlink"/>
              </w:rPr>
              <w:t>Follow</w:t>
            </w:r>
            <w:r>
              <w:rPr>
                <w:rStyle w:val="Hyperlink"/>
              </w:rPr>
              <w:t>-up audit on the production process and the quality of statistics not produced by Eurostat in DG GROW</w:t>
            </w:r>
            <w:r>
              <w:rPr>
                <w:webHidden/>
              </w:rPr>
              <w:tab/>
            </w:r>
            <w:r>
              <w:rPr>
                <w:webHidden/>
              </w:rPr>
              <w:fldChar w:fldCharType="begin"/>
            </w:r>
            <w:r>
              <w:rPr>
                <w:webHidden/>
              </w:rPr>
              <w:instrText xml:space="preserve"> PAGEREF _Toc42788199 \h </w:instrText>
            </w:r>
            <w:r>
              <w:rPr>
                <w:webHidden/>
              </w:rPr>
            </w:r>
            <w:r>
              <w:rPr>
                <w:webHidden/>
              </w:rPr>
              <w:fldChar w:fldCharType="separate"/>
            </w:r>
            <w:r>
              <w:rPr>
                <w:webHidden/>
              </w:rPr>
              <w:t>50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0" w:history="1">
            <w:r>
              <w:rPr>
                <w:rStyle w:val="Hyperlink"/>
              </w:rPr>
              <w:t>27.</w:t>
            </w:r>
            <w:r>
              <w:rPr>
                <w:rFonts w:asciiTheme="minorHAnsi" w:eastAsiaTheme="minorEastAsia" w:hAnsiTheme="minorHAnsi" w:cstheme="minorBidi"/>
                <w:b w:val="0"/>
                <w:i w:val="0"/>
                <w:color w:val="auto"/>
                <w:sz w:val="22"/>
                <w:lang w:val="en-US" w:eastAsia="en-US"/>
              </w:rPr>
              <w:tab/>
            </w:r>
            <w:r>
              <w:rPr>
                <w:rStyle w:val="Hyperlink"/>
              </w:rPr>
              <w:t>Follow-up audit on the s</w:t>
            </w:r>
            <w:r>
              <w:rPr>
                <w:rStyle w:val="Hyperlink"/>
              </w:rPr>
              <w:t>upervision of outsourced information-technology operations in DG TAXUD</w:t>
            </w:r>
            <w:r>
              <w:rPr>
                <w:webHidden/>
              </w:rPr>
              <w:tab/>
            </w:r>
            <w:r>
              <w:rPr>
                <w:webHidden/>
              </w:rPr>
              <w:fldChar w:fldCharType="begin"/>
            </w:r>
            <w:r>
              <w:rPr>
                <w:webHidden/>
              </w:rPr>
              <w:instrText xml:space="preserve"> PAGEREF _Toc42788200 \h </w:instrText>
            </w:r>
            <w:r>
              <w:rPr>
                <w:webHidden/>
              </w:rPr>
            </w:r>
            <w:r>
              <w:rPr>
                <w:webHidden/>
              </w:rPr>
              <w:fldChar w:fldCharType="separate"/>
            </w:r>
            <w:r>
              <w:rPr>
                <w:webHidden/>
              </w:rPr>
              <w:t>50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1" w:history="1">
            <w:r>
              <w:rPr>
                <w:rStyle w:val="Hyperlink"/>
              </w:rPr>
              <w:t>28.</w:t>
            </w:r>
            <w:r>
              <w:rPr>
                <w:rFonts w:asciiTheme="minorHAnsi" w:eastAsiaTheme="minorEastAsia" w:hAnsiTheme="minorHAnsi" w:cstheme="minorBidi"/>
                <w:b w:val="0"/>
                <w:i w:val="0"/>
                <w:color w:val="auto"/>
                <w:sz w:val="22"/>
                <w:lang w:val="en-US" w:eastAsia="en-US"/>
              </w:rPr>
              <w:tab/>
            </w:r>
            <w:r>
              <w:rPr>
                <w:rStyle w:val="Hyperlink"/>
              </w:rPr>
              <w:t>Follow-up audit on past audits in DG TRADE</w:t>
            </w:r>
            <w:r>
              <w:rPr>
                <w:webHidden/>
              </w:rPr>
              <w:tab/>
            </w:r>
            <w:r>
              <w:rPr>
                <w:webHidden/>
              </w:rPr>
              <w:fldChar w:fldCharType="begin"/>
            </w:r>
            <w:r>
              <w:rPr>
                <w:webHidden/>
              </w:rPr>
              <w:instrText xml:space="preserve"> PAGEREF _T</w:instrText>
            </w:r>
            <w:r>
              <w:rPr>
                <w:webHidden/>
              </w:rPr>
              <w:instrText xml:space="preserve">oc42788201 \h </w:instrText>
            </w:r>
            <w:r>
              <w:rPr>
                <w:webHidden/>
              </w:rPr>
            </w:r>
            <w:r>
              <w:rPr>
                <w:webHidden/>
              </w:rPr>
              <w:fldChar w:fldCharType="separate"/>
            </w:r>
            <w:r>
              <w:rPr>
                <w:webHidden/>
              </w:rPr>
              <w:t>50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2" w:history="1">
            <w:r>
              <w:rPr>
                <w:rStyle w:val="Hyperlink"/>
              </w:rPr>
              <w:t>29.</w:t>
            </w:r>
            <w:r>
              <w:rPr>
                <w:rFonts w:asciiTheme="minorHAnsi" w:eastAsiaTheme="minorEastAsia" w:hAnsiTheme="minorHAnsi" w:cstheme="minorBidi"/>
                <w:b w:val="0"/>
                <w:i w:val="0"/>
                <w:color w:val="auto"/>
                <w:sz w:val="22"/>
                <w:lang w:val="en-US" w:eastAsia="en-US"/>
              </w:rPr>
              <w:tab/>
            </w:r>
            <w:r>
              <w:rPr>
                <w:rStyle w:val="Hyperlink"/>
              </w:rPr>
              <w:t xml:space="preserve">Follow-up audit on the effectiveness and efficiency of the new early-detection and exclusion system in protecting the EU’s financial </w:t>
            </w:r>
            <w:r>
              <w:rPr>
                <w:rStyle w:val="Hyperlink"/>
              </w:rPr>
              <w:t>interests – DG BUDG</w:t>
            </w:r>
            <w:r>
              <w:rPr>
                <w:webHidden/>
              </w:rPr>
              <w:tab/>
            </w:r>
            <w:r>
              <w:rPr>
                <w:webHidden/>
              </w:rPr>
              <w:fldChar w:fldCharType="begin"/>
            </w:r>
            <w:r>
              <w:rPr>
                <w:webHidden/>
              </w:rPr>
              <w:instrText xml:space="preserve"> PAGEREF _Toc42788202 \h </w:instrText>
            </w:r>
            <w:r>
              <w:rPr>
                <w:webHidden/>
              </w:rPr>
            </w:r>
            <w:r>
              <w:rPr>
                <w:webHidden/>
              </w:rPr>
              <w:fldChar w:fldCharType="separate"/>
            </w:r>
            <w:r>
              <w:rPr>
                <w:webHidden/>
              </w:rPr>
              <w:t>50</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3" w:history="1">
            <w:r>
              <w:rPr>
                <w:rStyle w:val="Hyperlink"/>
              </w:rPr>
              <w:t>30.</w:t>
            </w:r>
            <w:r>
              <w:rPr>
                <w:rFonts w:asciiTheme="minorHAnsi" w:eastAsiaTheme="minorEastAsia" w:hAnsiTheme="minorHAnsi" w:cstheme="minorBidi"/>
                <w:b w:val="0"/>
                <w:i w:val="0"/>
                <w:color w:val="auto"/>
                <w:sz w:val="22"/>
                <w:lang w:val="en-US" w:eastAsia="en-US"/>
              </w:rPr>
              <w:tab/>
            </w:r>
            <w:r>
              <w:rPr>
                <w:rStyle w:val="Hyperlink"/>
              </w:rPr>
              <w:t>Follow-up audit on the procurement process in DG DIGIT</w:t>
            </w:r>
            <w:r>
              <w:rPr>
                <w:webHidden/>
              </w:rPr>
              <w:tab/>
            </w:r>
            <w:r>
              <w:rPr>
                <w:webHidden/>
              </w:rPr>
              <w:fldChar w:fldCharType="begin"/>
            </w:r>
            <w:r>
              <w:rPr>
                <w:webHidden/>
              </w:rPr>
              <w:instrText xml:space="preserve"> PAGEREF _Toc42788203 \h </w:instrText>
            </w:r>
            <w:r>
              <w:rPr>
                <w:webHidden/>
              </w:rPr>
            </w:r>
            <w:r>
              <w:rPr>
                <w:webHidden/>
              </w:rPr>
              <w:fldChar w:fldCharType="separate"/>
            </w:r>
            <w:r>
              <w:rPr>
                <w:webHidden/>
              </w:rPr>
              <w:t>51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4" w:history="1">
            <w:r>
              <w:rPr>
                <w:rStyle w:val="Hyperlink"/>
              </w:rPr>
              <w:t>31.</w:t>
            </w:r>
            <w:r>
              <w:rPr>
                <w:rFonts w:asciiTheme="minorHAnsi" w:eastAsiaTheme="minorEastAsia" w:hAnsiTheme="minorHAnsi" w:cstheme="minorBidi"/>
                <w:b w:val="0"/>
                <w:i w:val="0"/>
                <w:color w:val="auto"/>
                <w:sz w:val="22"/>
                <w:lang w:val="en-US" w:eastAsia="en-US"/>
              </w:rPr>
              <w:tab/>
            </w:r>
            <w:r>
              <w:rPr>
                <w:rStyle w:val="Hyperlink"/>
              </w:rPr>
              <w:t>Follow-up audit on the statistical production process and the quality of statistics not produced by Eurostat in DG ESTAT</w:t>
            </w:r>
            <w:r>
              <w:rPr>
                <w:webHidden/>
              </w:rPr>
              <w:tab/>
            </w:r>
            <w:r>
              <w:rPr>
                <w:webHidden/>
              </w:rPr>
              <w:fldChar w:fldCharType="begin"/>
            </w:r>
            <w:r>
              <w:rPr>
                <w:webHidden/>
              </w:rPr>
              <w:instrText xml:space="preserve"> PAGEREF _Toc42788204 \h </w:instrText>
            </w:r>
            <w:r>
              <w:rPr>
                <w:webHidden/>
              </w:rPr>
            </w:r>
            <w:r>
              <w:rPr>
                <w:webHidden/>
              </w:rPr>
              <w:fldChar w:fldCharType="separate"/>
            </w:r>
            <w:r>
              <w:rPr>
                <w:webHidden/>
              </w:rPr>
              <w:t>51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5" w:history="1">
            <w:r>
              <w:rPr>
                <w:rStyle w:val="Hyperlink"/>
              </w:rPr>
              <w:t>32.</w:t>
            </w:r>
            <w:r>
              <w:rPr>
                <w:rFonts w:asciiTheme="minorHAnsi" w:eastAsiaTheme="minorEastAsia" w:hAnsiTheme="minorHAnsi" w:cstheme="minorBidi"/>
                <w:b w:val="0"/>
                <w:i w:val="0"/>
                <w:color w:val="auto"/>
                <w:sz w:val="22"/>
                <w:lang w:val="en-US" w:eastAsia="en-US"/>
              </w:rPr>
              <w:tab/>
            </w:r>
            <w:r>
              <w:rPr>
                <w:rStyle w:val="Hyperlink"/>
              </w:rPr>
              <w:t>Follow-up audit on management of intra-muros contractors in DG HR</w:t>
            </w:r>
            <w:r>
              <w:rPr>
                <w:webHidden/>
              </w:rPr>
              <w:tab/>
            </w:r>
            <w:r>
              <w:rPr>
                <w:webHidden/>
              </w:rPr>
              <w:fldChar w:fldCharType="begin"/>
            </w:r>
            <w:r>
              <w:rPr>
                <w:webHidden/>
              </w:rPr>
              <w:instrText xml:space="preserve"> PAGEREF _Toc42788205 \h </w:instrText>
            </w:r>
            <w:r>
              <w:rPr>
                <w:webHidden/>
              </w:rPr>
            </w:r>
            <w:r>
              <w:rPr>
                <w:webHidden/>
              </w:rPr>
              <w:fldChar w:fldCharType="separate"/>
            </w:r>
            <w:r>
              <w:rPr>
                <w:webHidden/>
              </w:rPr>
              <w:t>51</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6" w:history="1">
            <w:r>
              <w:rPr>
                <w:rStyle w:val="Hyperlink"/>
              </w:rPr>
              <w:t>33.</w:t>
            </w:r>
            <w:r>
              <w:rPr>
                <w:rFonts w:asciiTheme="minorHAnsi" w:eastAsiaTheme="minorEastAsia" w:hAnsiTheme="minorHAnsi" w:cstheme="minorBidi"/>
                <w:b w:val="0"/>
                <w:i w:val="0"/>
                <w:color w:val="auto"/>
                <w:sz w:val="22"/>
                <w:lang w:val="en-US" w:eastAsia="en-US"/>
              </w:rPr>
              <w:tab/>
            </w:r>
            <w:r>
              <w:rPr>
                <w:rStyle w:val="Hyperlink"/>
              </w:rPr>
              <w:t>Follow-up audit on ethics in OLAF</w:t>
            </w:r>
            <w:r>
              <w:rPr>
                <w:webHidden/>
              </w:rPr>
              <w:tab/>
            </w:r>
            <w:r>
              <w:rPr>
                <w:webHidden/>
              </w:rPr>
              <w:fldChar w:fldCharType="begin"/>
            </w:r>
            <w:r>
              <w:rPr>
                <w:webHidden/>
              </w:rPr>
              <w:instrText xml:space="preserve"> PAGEREF _Toc42788206 \h </w:instrText>
            </w:r>
            <w:r>
              <w:rPr>
                <w:webHidden/>
              </w:rPr>
            </w:r>
            <w:r>
              <w:rPr>
                <w:webHidden/>
              </w:rPr>
              <w:fldChar w:fldCharType="separate"/>
            </w:r>
            <w:r>
              <w:rPr>
                <w:webHidden/>
              </w:rPr>
              <w:t>52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7" w:history="1">
            <w:r>
              <w:rPr>
                <w:rStyle w:val="Hyperlink"/>
              </w:rPr>
              <w:t>34.</w:t>
            </w:r>
            <w:r>
              <w:rPr>
                <w:rFonts w:asciiTheme="minorHAnsi" w:eastAsiaTheme="minorEastAsia" w:hAnsiTheme="minorHAnsi" w:cstheme="minorBidi"/>
                <w:b w:val="0"/>
                <w:i w:val="0"/>
                <w:color w:val="auto"/>
                <w:sz w:val="22"/>
                <w:lang w:val="en-US" w:eastAsia="en-US"/>
              </w:rPr>
              <w:tab/>
            </w:r>
            <w:r>
              <w:rPr>
                <w:rStyle w:val="Hyperlink"/>
              </w:rPr>
              <w:t>Follow-up audit on the charge-back process in PMO</w:t>
            </w:r>
            <w:r>
              <w:rPr>
                <w:webHidden/>
              </w:rPr>
              <w:tab/>
            </w:r>
            <w:r>
              <w:rPr>
                <w:webHidden/>
              </w:rPr>
              <w:fldChar w:fldCharType="begin"/>
            </w:r>
            <w:r>
              <w:rPr>
                <w:webHidden/>
              </w:rPr>
              <w:instrText xml:space="preserve"> PAGEREF _Toc42788207 \h </w:instrText>
            </w:r>
            <w:r>
              <w:rPr>
                <w:webHidden/>
              </w:rPr>
            </w:r>
            <w:r>
              <w:rPr>
                <w:webHidden/>
              </w:rPr>
              <w:fldChar w:fldCharType="separate"/>
            </w:r>
            <w:r>
              <w:rPr>
                <w:webHidden/>
              </w:rPr>
              <w:t>52</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8" w:history="1">
            <w:r>
              <w:rPr>
                <w:rStyle w:val="Hyperlink"/>
              </w:rPr>
              <w:t>35.</w:t>
            </w:r>
            <w:r>
              <w:rPr>
                <w:rFonts w:asciiTheme="minorHAnsi" w:eastAsiaTheme="minorEastAsia" w:hAnsiTheme="minorHAnsi" w:cstheme="minorBidi"/>
                <w:b w:val="0"/>
                <w:i w:val="0"/>
                <w:color w:val="auto"/>
                <w:sz w:val="22"/>
                <w:lang w:val="en-US" w:eastAsia="en-US"/>
              </w:rPr>
              <w:tab/>
            </w:r>
            <w:r>
              <w:rPr>
                <w:rStyle w:val="Hyperlink"/>
              </w:rPr>
              <w:t>Follow-up audit on former Internal Audit Capability (IAC) audits in PMO</w:t>
            </w:r>
            <w:r>
              <w:rPr>
                <w:webHidden/>
              </w:rPr>
              <w:tab/>
            </w:r>
            <w:r>
              <w:rPr>
                <w:webHidden/>
              </w:rPr>
              <w:fldChar w:fldCharType="begin"/>
            </w:r>
            <w:r>
              <w:rPr>
                <w:webHidden/>
              </w:rPr>
              <w:instrText xml:space="preserve"> PAGEREF _Toc42788208 \h </w:instrText>
            </w:r>
            <w:r>
              <w:rPr>
                <w:webHidden/>
              </w:rPr>
            </w:r>
            <w:r>
              <w:rPr>
                <w:webHidden/>
              </w:rPr>
              <w:fldChar w:fldCharType="separate"/>
            </w:r>
            <w:r>
              <w:rPr>
                <w:webHidden/>
              </w:rPr>
              <w:t>53</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09" w:history="1">
            <w:r>
              <w:rPr>
                <w:rStyle w:val="Hyperlink"/>
              </w:rPr>
              <w:t>36.</w:t>
            </w:r>
            <w:r>
              <w:rPr>
                <w:rFonts w:asciiTheme="minorHAnsi" w:eastAsiaTheme="minorEastAsia" w:hAnsiTheme="minorHAnsi" w:cstheme="minorBidi"/>
                <w:b w:val="0"/>
                <w:i w:val="0"/>
                <w:color w:val="auto"/>
                <w:sz w:val="22"/>
                <w:lang w:val="en-US" w:eastAsia="en-US"/>
              </w:rPr>
              <w:tab/>
            </w:r>
            <w:r>
              <w:rPr>
                <w:rStyle w:val="Hyperlink"/>
              </w:rPr>
              <w:t>Follow-up audit on information-technology governance in DG DEVCO</w:t>
            </w:r>
            <w:r>
              <w:rPr>
                <w:webHidden/>
              </w:rPr>
              <w:tab/>
            </w:r>
            <w:r>
              <w:rPr>
                <w:webHidden/>
              </w:rPr>
              <w:fldChar w:fldCharType="begin"/>
            </w:r>
            <w:r>
              <w:rPr>
                <w:webHidden/>
              </w:rPr>
              <w:instrText xml:space="preserve"> PAGEREF _Toc42788209 \h </w:instrText>
            </w:r>
            <w:r>
              <w:rPr>
                <w:webHidden/>
              </w:rPr>
            </w:r>
            <w:r>
              <w:rPr>
                <w:webHidden/>
              </w:rPr>
              <w:fldChar w:fldCharType="separate"/>
            </w:r>
            <w:r>
              <w:rPr>
                <w:webHidden/>
              </w:rPr>
              <w:t>54</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10" w:history="1">
            <w:r>
              <w:rPr>
                <w:rStyle w:val="Hyperlink"/>
              </w:rPr>
              <w:t>37.</w:t>
            </w:r>
            <w:r>
              <w:rPr>
                <w:rFonts w:asciiTheme="minorHAnsi" w:eastAsiaTheme="minorEastAsia" w:hAnsiTheme="minorHAnsi" w:cstheme="minorBidi"/>
                <w:b w:val="0"/>
                <w:i w:val="0"/>
                <w:color w:val="auto"/>
                <w:sz w:val="22"/>
                <w:lang w:val="en-US" w:eastAsia="en-US"/>
              </w:rPr>
              <w:tab/>
            </w:r>
            <w:r>
              <w:rPr>
                <w:rStyle w:val="Hyperlink"/>
              </w:rPr>
              <w:t>Follow-u</w:t>
            </w:r>
            <w:r>
              <w:rPr>
                <w:rStyle w:val="Hyperlink"/>
              </w:rPr>
              <w:t>p audit on the security of information-technology applications supporting nuclear accountancy and nuclear-inspection processes in DG ENER</w:t>
            </w:r>
            <w:r>
              <w:rPr>
                <w:webHidden/>
              </w:rPr>
              <w:tab/>
            </w:r>
            <w:r>
              <w:rPr>
                <w:webHidden/>
              </w:rPr>
              <w:fldChar w:fldCharType="begin"/>
            </w:r>
            <w:r>
              <w:rPr>
                <w:webHidden/>
              </w:rPr>
              <w:instrText xml:space="preserve"> PAGEREF _Toc42788210 \h </w:instrText>
            </w:r>
            <w:r>
              <w:rPr>
                <w:webHidden/>
              </w:rPr>
            </w:r>
            <w:r>
              <w:rPr>
                <w:webHidden/>
              </w:rPr>
              <w:fldChar w:fldCharType="separate"/>
            </w:r>
            <w:r>
              <w:rPr>
                <w:webHidden/>
              </w:rPr>
              <w:t>54</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11" w:history="1">
            <w:r>
              <w:rPr>
                <w:rStyle w:val="Hyperlink"/>
              </w:rPr>
              <w:t>38.</w:t>
            </w:r>
            <w:r>
              <w:rPr>
                <w:rFonts w:asciiTheme="minorHAnsi" w:eastAsiaTheme="minorEastAsia" w:hAnsiTheme="minorHAnsi" w:cstheme="minorBidi"/>
                <w:b w:val="0"/>
                <w:i w:val="0"/>
                <w:color w:val="auto"/>
                <w:sz w:val="22"/>
                <w:lang w:val="en-US" w:eastAsia="en-US"/>
              </w:rPr>
              <w:tab/>
            </w:r>
            <w:r>
              <w:rPr>
                <w:rStyle w:val="Hyperlink"/>
              </w:rPr>
              <w:t>Follow-up audit on information-technology governance and portfolio management in DG GROW</w:t>
            </w:r>
            <w:r>
              <w:rPr>
                <w:webHidden/>
              </w:rPr>
              <w:tab/>
            </w:r>
            <w:r>
              <w:rPr>
                <w:webHidden/>
              </w:rPr>
              <w:fldChar w:fldCharType="begin"/>
            </w:r>
            <w:r>
              <w:rPr>
                <w:webHidden/>
              </w:rPr>
              <w:instrText xml:space="preserve"> PAGEREF _Toc42788211 \h </w:instrText>
            </w:r>
            <w:r>
              <w:rPr>
                <w:webHidden/>
              </w:rPr>
            </w:r>
            <w:r>
              <w:rPr>
                <w:webHidden/>
              </w:rPr>
              <w:fldChar w:fldCharType="separate"/>
            </w:r>
            <w:r>
              <w:rPr>
                <w:webHidden/>
              </w:rPr>
              <w:t>55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12" w:history="1">
            <w:r>
              <w:rPr>
                <w:rStyle w:val="Hyperlink"/>
              </w:rPr>
              <w:t>39.</w:t>
            </w:r>
            <w:r>
              <w:rPr>
                <w:rFonts w:asciiTheme="minorHAnsi" w:eastAsiaTheme="minorEastAsia" w:hAnsiTheme="minorHAnsi" w:cstheme="minorBidi"/>
                <w:b w:val="0"/>
                <w:i w:val="0"/>
                <w:color w:val="auto"/>
                <w:sz w:val="22"/>
                <w:lang w:val="en-US" w:eastAsia="en-US"/>
              </w:rPr>
              <w:tab/>
            </w:r>
            <w:r>
              <w:rPr>
                <w:rStyle w:val="Hyperlink"/>
              </w:rPr>
              <w:t xml:space="preserve">Follow-up audit on </w:t>
            </w:r>
            <w:r>
              <w:rPr>
                <w:rStyle w:val="Hyperlink"/>
              </w:rPr>
              <w:t>information-technology security in the information-and-communications-technology (ICT) systems of the JRC</w:t>
            </w:r>
            <w:r>
              <w:rPr>
                <w:webHidden/>
              </w:rPr>
              <w:tab/>
            </w:r>
            <w:r>
              <w:rPr>
                <w:webHidden/>
              </w:rPr>
              <w:fldChar w:fldCharType="begin"/>
            </w:r>
            <w:r>
              <w:rPr>
                <w:webHidden/>
              </w:rPr>
              <w:instrText xml:space="preserve"> PAGEREF _Toc42788212 \h </w:instrText>
            </w:r>
            <w:r>
              <w:rPr>
                <w:webHidden/>
              </w:rPr>
            </w:r>
            <w:r>
              <w:rPr>
                <w:webHidden/>
              </w:rPr>
              <w:fldChar w:fldCharType="separate"/>
            </w:r>
            <w:r>
              <w:rPr>
                <w:webHidden/>
              </w:rPr>
              <w:t>55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13" w:history="1">
            <w:r>
              <w:rPr>
                <w:rStyle w:val="Hyperlink"/>
              </w:rPr>
              <w:t>40.</w:t>
            </w:r>
            <w:r>
              <w:rPr>
                <w:rFonts w:asciiTheme="minorHAnsi" w:eastAsiaTheme="minorEastAsia" w:hAnsiTheme="minorHAnsi" w:cstheme="minorBidi"/>
                <w:b w:val="0"/>
                <w:i w:val="0"/>
                <w:color w:val="auto"/>
                <w:sz w:val="22"/>
                <w:lang w:val="en-US" w:eastAsia="en-US"/>
              </w:rPr>
              <w:tab/>
            </w:r>
            <w:r>
              <w:rPr>
                <w:rStyle w:val="Hyperlink"/>
              </w:rPr>
              <w:t>Follow-up audit on s</w:t>
            </w:r>
            <w:r>
              <w:rPr>
                <w:rStyle w:val="Hyperlink"/>
              </w:rPr>
              <w:t>upervision of outsourced information-technology operations in DG TAXUD</w:t>
            </w:r>
            <w:r>
              <w:rPr>
                <w:webHidden/>
              </w:rPr>
              <w:tab/>
            </w:r>
            <w:r>
              <w:rPr>
                <w:webHidden/>
              </w:rPr>
              <w:fldChar w:fldCharType="begin"/>
            </w:r>
            <w:r>
              <w:rPr>
                <w:webHidden/>
              </w:rPr>
              <w:instrText xml:space="preserve"> PAGEREF _Toc42788213 \h </w:instrText>
            </w:r>
            <w:r>
              <w:rPr>
                <w:webHidden/>
              </w:rPr>
            </w:r>
            <w:r>
              <w:rPr>
                <w:webHidden/>
              </w:rPr>
              <w:fldChar w:fldCharType="separate"/>
            </w:r>
            <w:r>
              <w:rPr>
                <w:webHidden/>
              </w:rPr>
              <w:t>55</w:t>
            </w:r>
            <w:r>
              <w:rPr>
                <w:webHidden/>
              </w:rPr>
              <w:fldChar w:fldCharType="end"/>
            </w:r>
          </w:hyperlink>
        </w:p>
        <w:p w:rsidR="000C6D03" w:rsidRDefault="00873433">
          <w:pPr>
            <w:pStyle w:val="TOC3"/>
            <w:rPr>
              <w:rFonts w:asciiTheme="minorHAnsi" w:eastAsiaTheme="minorEastAsia" w:hAnsiTheme="minorHAnsi" w:cstheme="minorBidi"/>
              <w:b w:val="0"/>
              <w:i w:val="0"/>
              <w:color w:val="auto"/>
              <w:sz w:val="22"/>
              <w:lang w:val="en-US" w:eastAsia="en-US"/>
            </w:rPr>
          </w:pPr>
          <w:hyperlink w:anchor="_Toc42788214" w:history="1">
            <w:r>
              <w:rPr>
                <w:rStyle w:val="Hyperlink"/>
              </w:rPr>
              <w:t>List of follow-up audits performed in 2019 for which all r</w:t>
            </w:r>
            <w:r>
              <w:rPr>
                <w:rStyle w:val="Hyperlink"/>
              </w:rPr>
              <w:t>ecommendations have been closed after the follow-up</w:t>
            </w:r>
            <w:r>
              <w:rPr>
                <w:webHidden/>
              </w:rPr>
              <w:tab/>
            </w:r>
            <w:r>
              <w:rPr>
                <w:webHidden/>
              </w:rPr>
              <w:fldChar w:fldCharType="begin"/>
            </w:r>
            <w:r>
              <w:rPr>
                <w:webHidden/>
              </w:rPr>
              <w:instrText xml:space="preserve"> PAGEREF _Toc42788214 \h </w:instrText>
            </w:r>
            <w:r>
              <w:rPr>
                <w:webHidden/>
              </w:rPr>
            </w:r>
            <w:r>
              <w:rPr>
                <w:webHidden/>
              </w:rPr>
              <w:fldChar w:fldCharType="separate"/>
            </w:r>
            <w:r>
              <w:rPr>
                <w:webHidden/>
              </w:rPr>
              <w:t>56</w:t>
            </w:r>
            <w:r>
              <w:rPr>
                <w:webHidden/>
              </w:rPr>
              <w:fldChar w:fldCharType="end"/>
            </w:r>
          </w:hyperlink>
        </w:p>
        <w:p w:rsidR="000C6D03" w:rsidRDefault="00873433">
          <w:pPr>
            <w:pStyle w:val="TOC1"/>
            <w:rPr>
              <w:rFonts w:asciiTheme="minorHAnsi" w:eastAsiaTheme="minorEastAsia" w:hAnsiTheme="minorHAnsi" w:cstheme="minorBidi"/>
              <w:smallCaps w:val="0"/>
              <w:color w:val="auto"/>
              <w:sz w:val="22"/>
              <w:lang w:val="en-US" w:eastAsia="en-US"/>
            </w:rPr>
          </w:pPr>
          <w:hyperlink w:anchor="_Toc42788215" w:history="1">
            <w:r>
              <w:rPr>
                <w:rStyle w:val="Hyperlink"/>
              </w:rPr>
              <w:t>Part 3: summary of long-outstanding recommendations – state of play as at 31</w:t>
            </w:r>
            <w:r>
              <w:rPr>
                <w:rStyle w:val="Hyperlink"/>
                <w:rFonts w:ascii="Calibri" w:hAnsi="Calibri" w:cs="Calibri"/>
              </w:rPr>
              <w:t> </w:t>
            </w:r>
            <w:r>
              <w:rPr>
                <w:rStyle w:val="Hyperlink"/>
              </w:rPr>
              <w:t>J</w:t>
            </w:r>
            <w:r>
              <w:rPr>
                <w:rStyle w:val="Hyperlink"/>
              </w:rPr>
              <w:t>anuary 2020</w:t>
            </w:r>
            <w:r>
              <w:rPr>
                <w:webHidden/>
              </w:rPr>
              <w:tab/>
            </w:r>
            <w:r>
              <w:rPr>
                <w:webHidden/>
              </w:rPr>
              <w:fldChar w:fldCharType="begin"/>
            </w:r>
            <w:r>
              <w:rPr>
                <w:webHidden/>
              </w:rPr>
              <w:instrText xml:space="preserve"> PAGEREF _Toc42788215 \h </w:instrText>
            </w:r>
            <w:r>
              <w:rPr>
                <w:webHidden/>
              </w:rPr>
            </w:r>
            <w:r>
              <w:rPr>
                <w:webHidden/>
              </w:rPr>
              <w:fldChar w:fldCharType="separate"/>
            </w:r>
            <w:r>
              <w:rPr>
                <w:webHidden/>
              </w:rPr>
              <w:t>59</w:t>
            </w:r>
            <w:r>
              <w:rPr>
                <w:webHidden/>
              </w:rPr>
              <w:fldChar w:fldCharType="end"/>
            </w:r>
          </w:hyperlink>
        </w:p>
        <w:p w:rsidR="000C6D03" w:rsidRDefault="00873433">
          <w:pPr>
            <w:spacing w:after="240" w:line="240" w:lineRule="auto"/>
            <w:jc w:val="both"/>
            <w:rPr>
              <w:rFonts w:ascii="Times New Roman" w:eastAsia="Times New Roman" w:hAnsi="Times New Roman" w:cs="Times New Roman"/>
              <w:noProof/>
              <w:sz w:val="18"/>
              <w:szCs w:val="18"/>
              <w:lang w:eastAsia="en-GB"/>
            </w:rPr>
          </w:pPr>
          <w:r>
            <w:rPr>
              <w:rFonts w:ascii="EC Square Sans Pro" w:eastAsia="Times New Roman" w:hAnsi="EC Square Sans Pro" w:cs="Times New Roman"/>
              <w:b/>
              <w:bCs/>
              <w:noProof/>
              <w:color w:val="005D95"/>
              <w:sz w:val="18"/>
              <w:szCs w:val="18"/>
              <w:lang w:eastAsia="en-GB"/>
            </w:rPr>
            <w:fldChar w:fldCharType="end"/>
          </w:r>
        </w:p>
      </w:sdtContent>
    </w:sdt>
    <w:p w:rsidR="000C6D03" w:rsidRDefault="00873433">
      <w:pPr>
        <w:spacing w:after="0" w:line="240" w:lineRule="auto"/>
        <w:jc w:val="center"/>
        <w:rPr>
          <w:rFonts w:ascii="EC Square Sans Pro" w:eastAsia="Times New Roman" w:hAnsi="EC Square Sans Pro" w:cs="Times New Roman"/>
          <w:b/>
          <w:noProof/>
          <w:color w:val="005D95"/>
          <w:sz w:val="32"/>
          <w:szCs w:val="32"/>
          <w:lang w:eastAsia="en-GB"/>
        </w:rPr>
      </w:pPr>
      <w:r>
        <w:rPr>
          <w:rFonts w:ascii="Times New Roman" w:eastAsia="Times New Roman" w:hAnsi="Times New Roman" w:cs="Times New Roman"/>
          <w:noProof/>
          <w:sz w:val="20"/>
          <w:szCs w:val="20"/>
          <w:lang w:eastAsia="en-GB"/>
        </w:rPr>
        <w:br w:type="page"/>
      </w:r>
      <w:r>
        <w:rPr>
          <w:rFonts w:ascii="EC Square Sans Pro" w:eastAsia="Times New Roman" w:hAnsi="EC Square Sans Pro" w:cs="Times New Roman"/>
          <w:b/>
          <w:noProof/>
          <w:color w:val="005D95"/>
          <w:sz w:val="32"/>
          <w:szCs w:val="32"/>
          <w:lang w:eastAsia="en-GB"/>
        </w:rPr>
        <w:lastRenderedPageBreak/>
        <w:t xml:space="preserve">List of abbreviations </w:t>
      </w:r>
    </w:p>
    <w:p w:rsidR="000C6D03" w:rsidRDefault="000C6D03">
      <w:pPr>
        <w:spacing w:after="0" w:line="240" w:lineRule="auto"/>
        <w:rPr>
          <w:rFonts w:ascii="EC Square Sans Pro" w:eastAsia="Times New Roman" w:hAnsi="EC Square Sans Pro" w:cs="Times New Roman"/>
          <w:noProof/>
          <w:sz w:val="24"/>
          <w:szCs w:val="24"/>
          <w:lang w:eastAsia="en-GB"/>
        </w:rPr>
      </w:pP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SG: Secretariat-General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SJ: Legal Service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COMM: Directorate-General for Communication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ECFIN: </w:t>
      </w:r>
      <w:r>
        <w:rPr>
          <w:rFonts w:ascii="EC Square Sans Pro" w:eastAsia="Times New Roman" w:hAnsi="EC Square Sans Pro" w:cs="Times New Roman"/>
          <w:noProof/>
          <w:sz w:val="20"/>
          <w:szCs w:val="20"/>
          <w:lang w:eastAsia="en-GB"/>
        </w:rPr>
        <w:t>Directorate-General for Economic and Financial Affairs</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GROW: Directorate-General for Internal Market, Industry, Entrepreneurship and SMEs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COMP: Directorate-General for Competition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DEFIS: Directorate-General for Defence Industry and Space</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EMPL</w:t>
      </w:r>
      <w:r>
        <w:rPr>
          <w:rFonts w:ascii="EC Square Sans Pro" w:eastAsia="Times New Roman" w:hAnsi="EC Square Sans Pro" w:cs="Times New Roman"/>
          <w:noProof/>
          <w:sz w:val="20"/>
          <w:szCs w:val="20"/>
          <w:lang w:eastAsia="en-GB"/>
        </w:rPr>
        <w:t xml:space="preserve">: Directorate-General for Employment, Social Affairs and Inclusion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AGRI: Directorate-General for Agriculture and Rural Development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ENER: Directorate-General for Energy</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MOVE: Directorate-General for Mobility and Transport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CLIMA: Directorate-G</w:t>
      </w:r>
      <w:r>
        <w:rPr>
          <w:rFonts w:ascii="EC Square Sans Pro" w:eastAsia="Times New Roman" w:hAnsi="EC Square Sans Pro" w:cs="Times New Roman"/>
          <w:noProof/>
          <w:sz w:val="20"/>
          <w:szCs w:val="20"/>
          <w:lang w:eastAsia="en-GB"/>
        </w:rPr>
        <w:t xml:space="preserve">eneral for Climate Action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ENV: Directorate-General for Environment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RTD: Directorate-General for Research and Innovation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JRC: Joint Research Centre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CNECT: Directorate-General for Communications Networks, Content and Technology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MARE: Directo</w:t>
      </w:r>
      <w:r>
        <w:rPr>
          <w:rFonts w:ascii="EC Square Sans Pro" w:eastAsia="Times New Roman" w:hAnsi="EC Square Sans Pro" w:cs="Times New Roman"/>
          <w:noProof/>
          <w:sz w:val="20"/>
          <w:szCs w:val="20"/>
          <w:lang w:eastAsia="en-GB"/>
        </w:rPr>
        <w:t xml:space="preserve">rate-General for Maritime Affairs and Fisheries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FISMA: Directorate-General for Financial Stability, Financial Services and Capital Markets Union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REGIO: Directorate-General for Regional and Urban Policy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REFORM/SRSS: Directorate-General for Refor</w:t>
      </w:r>
      <w:r>
        <w:rPr>
          <w:rFonts w:ascii="EC Square Sans Pro" w:eastAsia="Times New Roman" w:hAnsi="EC Square Sans Pro" w:cs="Times New Roman"/>
          <w:noProof/>
          <w:sz w:val="20"/>
          <w:szCs w:val="20"/>
          <w:lang w:eastAsia="en-GB"/>
        </w:rPr>
        <w:t>m (former SRSS - Structural Reform Support Service)</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TAXUD: Directorate-General for Taxation and Customs Union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EAC: Directorate-General for Education, Youth, Sport and Culture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SANTE: Directorate-General for Health and Food Safety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HOME: Directorate-General for Migration and Home Affairs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JUST: Directorate-General for Justice and Consumers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FPI: Service for Foreign Policy Instruments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TRADE: Directorate-General for Trade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NEAR: Directorate-General for Neighbourhood and En</w:t>
      </w:r>
      <w:r>
        <w:rPr>
          <w:rFonts w:ascii="EC Square Sans Pro" w:eastAsia="Times New Roman" w:hAnsi="EC Square Sans Pro" w:cs="Times New Roman"/>
          <w:noProof/>
          <w:sz w:val="20"/>
          <w:szCs w:val="20"/>
          <w:lang w:eastAsia="en-GB"/>
        </w:rPr>
        <w:t xml:space="preserve">largement Negotiations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DEVCO: Directorate-General for International Cooperation and Development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ECHO: Directorate-General for European Civil Protection and Humanitarian Aid Operations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ESTAT: Eurostat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HR: Directorate-General for Human Resour</w:t>
      </w:r>
      <w:r>
        <w:rPr>
          <w:rFonts w:ascii="EC Square Sans Pro" w:eastAsia="Times New Roman" w:hAnsi="EC Square Sans Pro" w:cs="Times New Roman"/>
          <w:noProof/>
          <w:sz w:val="20"/>
          <w:szCs w:val="20"/>
          <w:lang w:eastAsia="en-GB"/>
        </w:rPr>
        <w:t xml:space="preserve">ces and Security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DIGIT: Directorate-General for Informatics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BUDG: Directorate-General for Budget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IAS: Internal Audit Service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OLAF: European Anti-Fraud Office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DG SCIC: Directorate-General for Interpretation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DGT: Directorate-General for Translati</w:t>
      </w:r>
      <w:r>
        <w:rPr>
          <w:rFonts w:ascii="EC Square Sans Pro" w:eastAsia="Times New Roman" w:hAnsi="EC Square Sans Pro" w:cs="Times New Roman"/>
          <w:noProof/>
          <w:sz w:val="20"/>
          <w:szCs w:val="20"/>
          <w:lang w:eastAsia="en-GB"/>
        </w:rPr>
        <w:t xml:space="preserve">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OP: Publications Office of the European Union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OIB: Office for Infrastructure and Logistics in Brussels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PMO: Office for the Administration and Payment of Individual Entitlements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OIL: Office for Infrastructure and Logistics in Luxembourg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EPSO: Europe</w:t>
      </w:r>
      <w:r>
        <w:rPr>
          <w:rFonts w:ascii="EC Square Sans Pro" w:eastAsia="Times New Roman" w:hAnsi="EC Square Sans Pro" w:cs="Times New Roman"/>
          <w:noProof/>
          <w:sz w:val="20"/>
          <w:szCs w:val="20"/>
          <w:lang w:eastAsia="en-GB"/>
        </w:rPr>
        <w:t xml:space="preserve">an Personnel Selection Office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EASME: Executive Agency for Small and Medium-sized Enterprises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EACEA: Education, Audiovisual and Culture Executive Agency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CHAFEA: Consumers, Health, Agriculture and Food Executive Agency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INEA: Innovation and Networks Executive Agency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ERCEA: European Research Council Executive Agency </w:t>
      </w:r>
    </w:p>
    <w:p w:rsidR="000C6D03" w:rsidRDefault="00873433">
      <w:pPr>
        <w:spacing w:after="0" w:line="240" w:lineRule="auto"/>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REA: Research Executive Agency </w:t>
      </w:r>
    </w:p>
    <w:p w:rsidR="000C6D03" w:rsidRDefault="000C6D03">
      <w:pPr>
        <w:spacing w:after="0" w:line="240" w:lineRule="auto"/>
        <w:rPr>
          <w:rFonts w:ascii="EC Square Sans Pro" w:eastAsia="Times New Roman" w:hAnsi="EC Square Sans Pro" w:cs="Times New Roman"/>
          <w:noProof/>
          <w:sz w:val="20"/>
          <w:szCs w:val="20"/>
          <w:lang w:eastAsia="en-GB"/>
        </w:rPr>
      </w:pPr>
    </w:p>
    <w:p w:rsidR="000C6D03" w:rsidRDefault="000C6D03">
      <w:pPr>
        <w:spacing w:after="240" w:line="240" w:lineRule="auto"/>
        <w:rPr>
          <w:rFonts w:ascii="Times New Roman" w:eastAsia="Times New Roman" w:hAnsi="Times New Roman" w:cs="Times New Roman"/>
          <w:noProof/>
          <w:sz w:val="20"/>
          <w:szCs w:val="20"/>
          <w:lang w:eastAsia="en-GB"/>
        </w:rPr>
      </w:pPr>
    </w:p>
    <w:p w:rsidR="000C6D03" w:rsidRDefault="000C6D03">
      <w:pPr>
        <w:spacing w:after="240" w:line="240" w:lineRule="auto"/>
        <w:rPr>
          <w:rFonts w:ascii="Times New Roman" w:eastAsia="Times New Roman" w:hAnsi="Times New Roman" w:cs="Times New Roman"/>
          <w:noProof/>
          <w:sz w:val="20"/>
          <w:szCs w:val="20"/>
          <w:lang w:eastAsia="en-GB"/>
        </w:rPr>
        <w:sectPr w:rsidR="000C6D03">
          <w:headerReference w:type="even" r:id="rId18"/>
          <w:headerReference w:type="default" r:id="rId19"/>
          <w:footerReference w:type="even" r:id="rId20"/>
          <w:footerReference w:type="default" r:id="rId21"/>
          <w:headerReference w:type="first" r:id="rId22"/>
          <w:footerReference w:type="first" r:id="rId23"/>
          <w:pgSz w:w="11906" w:h="16838" w:code="9"/>
          <w:pgMar w:top="851" w:right="1418" w:bottom="851" w:left="1418" w:header="567" w:footer="567" w:gutter="0"/>
          <w:cols w:space="720"/>
          <w:docGrid w:linePitch="326"/>
        </w:sectPr>
      </w:pPr>
    </w:p>
    <w:p w:rsidR="000C6D03" w:rsidRDefault="00873433">
      <w:pPr>
        <w:keepNext/>
        <w:keepLines/>
        <w:pageBreakBefore/>
        <w:spacing w:after="120" w:line="240" w:lineRule="auto"/>
        <w:outlineLvl w:val="0"/>
        <w:rPr>
          <w:rFonts w:ascii="EC Square Sans Pro" w:eastAsia="EC Square Sans Pro" w:hAnsi="EC Square Sans Pro" w:cs="Times New Roman"/>
          <w:caps/>
          <w:noProof/>
          <w:color w:val="005D95"/>
          <w:sz w:val="52"/>
          <w:lang w:eastAsia="en-GB"/>
        </w:rPr>
      </w:pPr>
      <w:bookmarkStart w:id="2" w:name="_Toc2946411"/>
      <w:bookmarkStart w:id="3" w:name="_Toc42788122"/>
      <w:r>
        <w:rPr>
          <w:rFonts w:ascii="EC Square Sans Pro" w:eastAsia="EC Square Sans Pro" w:hAnsi="EC Square Sans Pro" w:cs="Times New Roman"/>
          <w:caps/>
          <w:noProof/>
          <w:color w:val="005D95"/>
          <w:sz w:val="52"/>
        </w:rPr>
        <w:lastRenderedPageBreak/>
        <w:t>Content</w:t>
      </w:r>
      <w:r>
        <w:rPr>
          <w:rFonts w:ascii="EC Square Sans Pro" w:eastAsia="EC Square Sans Pro" w:hAnsi="EC Square Sans Pro" w:cs="Times New Roman"/>
          <w:caps/>
          <w:noProof/>
          <w:color w:val="005D95"/>
          <w:sz w:val="52"/>
          <w:lang w:eastAsia="en-GB"/>
        </w:rPr>
        <w:t xml:space="preserve"> of this </w:t>
      </w:r>
      <w:bookmarkEnd w:id="2"/>
      <w:r>
        <w:rPr>
          <w:rFonts w:ascii="EC Square Sans Pro" w:eastAsia="EC Square Sans Pro" w:hAnsi="EC Square Sans Pro" w:cs="Times New Roman"/>
          <w:caps/>
          <w:noProof/>
          <w:color w:val="005D95"/>
          <w:sz w:val="52"/>
          <w:lang w:eastAsia="en-GB"/>
        </w:rPr>
        <w:t>STAFF WORKING DOCUMENT</w:t>
      </w:r>
      <w:bookmarkEnd w:id="3"/>
    </w:p>
    <w:p w:rsidR="000C6D03" w:rsidRDefault="00873433">
      <w:pPr>
        <w:autoSpaceDE w:val="0"/>
        <w:autoSpaceDN w:val="0"/>
        <w:adjustRightInd w:val="0"/>
        <w:spacing w:after="240" w:line="240" w:lineRule="auto"/>
        <w:jc w:val="both"/>
        <w:rPr>
          <w:rFonts w:ascii="EC Square Sans Pro" w:eastAsia="Times New Roman" w:hAnsi="EC Square Sans Pro" w:cs="TimesNewRoman"/>
          <w:noProof/>
          <w:sz w:val="20"/>
          <w:szCs w:val="20"/>
          <w:lang w:eastAsia="en-GB"/>
        </w:rPr>
      </w:pPr>
      <w:r>
        <w:rPr>
          <w:rFonts w:ascii="EC Square Sans Pro" w:eastAsia="Times New Roman" w:hAnsi="EC Square Sans Pro" w:cs="TimesNewRoman"/>
          <w:noProof/>
          <w:sz w:val="20"/>
          <w:szCs w:val="20"/>
          <w:lang w:eastAsia="en-GB"/>
        </w:rPr>
        <w:t xml:space="preserve">Part 1 of this document contains: </w:t>
      </w:r>
    </w:p>
    <w:p w:rsidR="000C6D03" w:rsidRDefault="00873433">
      <w:pPr>
        <w:pStyle w:val="ListParagraph"/>
        <w:numPr>
          <w:ilvl w:val="0"/>
          <w:numId w:val="53"/>
        </w:numPr>
        <w:autoSpaceDE w:val="0"/>
        <w:autoSpaceDN w:val="0"/>
        <w:adjustRightInd w:val="0"/>
        <w:spacing w:after="240"/>
        <w:jc w:val="both"/>
        <w:rPr>
          <w:rFonts w:eastAsia="Times New Roman" w:cs="TimesNewRoman"/>
          <w:noProof/>
          <w:szCs w:val="20"/>
          <w:lang w:eastAsia="en-GB"/>
        </w:rPr>
      </w:pPr>
      <w:r>
        <w:rPr>
          <w:rFonts w:eastAsia="Times New Roman" w:cs="TimesNewRoman"/>
          <w:noProof/>
          <w:szCs w:val="20"/>
          <w:lang w:eastAsia="en-GB"/>
        </w:rPr>
        <w:t xml:space="preserve">a summary of the internal audit engagements performed as part of the 2019 Internal Audit Service (IAS) audit plan (reports issued between 1 February 2019 and 31 January 2020); and </w:t>
      </w:r>
    </w:p>
    <w:p w:rsidR="000C6D03" w:rsidRDefault="00873433">
      <w:pPr>
        <w:pStyle w:val="ListParagraph"/>
        <w:numPr>
          <w:ilvl w:val="0"/>
          <w:numId w:val="53"/>
        </w:numPr>
        <w:autoSpaceDE w:val="0"/>
        <w:autoSpaceDN w:val="0"/>
        <w:adjustRightInd w:val="0"/>
        <w:spacing w:after="240"/>
        <w:jc w:val="both"/>
        <w:rPr>
          <w:rFonts w:eastAsia="Times New Roman" w:cs="TimesNewRoman"/>
          <w:noProof/>
          <w:szCs w:val="20"/>
          <w:lang w:eastAsia="en-GB"/>
        </w:rPr>
      </w:pPr>
      <w:r>
        <w:rPr>
          <w:rFonts w:eastAsia="Times New Roman" w:cs="TimesNewRoman"/>
          <w:noProof/>
          <w:szCs w:val="20"/>
          <w:lang w:eastAsia="en-GB"/>
        </w:rPr>
        <w:t xml:space="preserve">the principal recommendations (critical </w:t>
      </w:r>
      <w:r>
        <w:rPr>
          <w:rFonts w:eastAsia="Times New Roman" w:cs="TimesNewRoman"/>
          <w:noProof/>
          <w:szCs w:val="20"/>
          <w:lang w:eastAsia="en-GB"/>
        </w:rPr>
        <w:t>and very important)</w:t>
      </w:r>
      <w:r>
        <w:rPr>
          <w:rFonts w:ascii="Calibri" w:eastAsia="Times New Roman" w:hAnsi="Calibri" w:cs="Calibri"/>
          <w:noProof/>
          <w:szCs w:val="20"/>
          <w:lang w:eastAsia="en-GB"/>
        </w:rPr>
        <w:t> </w:t>
      </w:r>
      <w:r>
        <w:rPr>
          <w:rFonts w:ascii="Calibri" w:eastAsia="Times New Roman" w:hAnsi="Calibri" w:cs="Calibri"/>
          <w:noProof/>
          <w:szCs w:val="20"/>
          <w:vertAlign w:val="superscript"/>
          <w:lang w:eastAsia="en-GB"/>
        </w:rPr>
        <w:t>(</w:t>
      </w:r>
      <w:r>
        <w:rPr>
          <w:rFonts w:eastAsia="Times New Roman" w:cs="TimesNewRoman"/>
          <w:noProof/>
          <w:szCs w:val="20"/>
          <w:vertAlign w:val="superscript"/>
          <w:lang w:val="nl" w:eastAsia="en-GB"/>
        </w:rPr>
        <w:footnoteReference w:id="2"/>
      </w:r>
      <w:r>
        <w:rPr>
          <w:rFonts w:ascii="Calibri" w:eastAsia="Times New Roman" w:hAnsi="Calibri" w:cs="Calibri"/>
          <w:noProof/>
          <w:szCs w:val="20"/>
          <w:vertAlign w:val="superscript"/>
          <w:lang w:val="nl" w:eastAsia="en-GB"/>
        </w:rPr>
        <w:t>)</w:t>
      </w:r>
      <w:r>
        <w:rPr>
          <w:rFonts w:eastAsia="Times New Roman" w:cs="TimesNewRoman"/>
          <w:noProof/>
          <w:szCs w:val="20"/>
          <w:lang w:eastAsia="en-GB"/>
        </w:rPr>
        <w:t xml:space="preserve"> made. </w:t>
      </w:r>
    </w:p>
    <w:p w:rsidR="000C6D03" w:rsidRDefault="00873433">
      <w:pPr>
        <w:autoSpaceDE w:val="0"/>
        <w:autoSpaceDN w:val="0"/>
        <w:adjustRightInd w:val="0"/>
        <w:spacing w:after="240" w:line="240" w:lineRule="auto"/>
        <w:jc w:val="both"/>
        <w:rPr>
          <w:rFonts w:ascii="EC Square Sans Pro" w:eastAsia="Times New Roman" w:hAnsi="EC Square Sans Pro" w:cs="TimesNewRoman"/>
          <w:noProof/>
          <w:sz w:val="20"/>
          <w:szCs w:val="20"/>
          <w:lang w:eastAsia="en-GB"/>
        </w:rPr>
      </w:pPr>
      <w:r>
        <w:rPr>
          <w:rFonts w:ascii="EC Square Sans Pro" w:eastAsia="Times New Roman" w:hAnsi="EC Square Sans Pro" w:cs="TimesNewRoman"/>
          <w:noProof/>
          <w:sz w:val="20"/>
          <w:szCs w:val="20"/>
          <w:lang w:eastAsia="en-GB"/>
        </w:rPr>
        <w:t>The information contained in this document reflects the state of play when the audit engagements were finalised. Each audit followed the applicable standard professional validation and contradictory procedures between auditor</w:t>
      </w:r>
      <w:r>
        <w:rPr>
          <w:rFonts w:ascii="EC Square Sans Pro" w:eastAsia="Times New Roman" w:hAnsi="EC Square Sans Pro" w:cs="TimesNewRoman"/>
          <w:noProof/>
          <w:sz w:val="20"/>
          <w:szCs w:val="20"/>
          <w:lang w:eastAsia="en-GB"/>
        </w:rPr>
        <w:t xml:space="preserve"> and auditee at the time of the finalisation of the engagement. The enclosed summary of each engagement aims to provide an overview of the audits and their main results. Additional, up-to-date information is provided in specific sections by the auditees on</w:t>
      </w:r>
      <w:r>
        <w:rPr>
          <w:rFonts w:ascii="EC Square Sans Pro" w:eastAsia="Times New Roman" w:hAnsi="EC Square Sans Pro" w:cs="TimesNewRoman"/>
          <w:noProof/>
          <w:sz w:val="20"/>
          <w:szCs w:val="20"/>
          <w:lang w:eastAsia="en-GB"/>
        </w:rPr>
        <w:t xml:space="preserve"> measures drawn up and already implemented after the internal audit engagements were finalised.</w:t>
      </w:r>
    </w:p>
    <w:p w:rsidR="000C6D03" w:rsidRDefault="00873433">
      <w:pPr>
        <w:autoSpaceDE w:val="0"/>
        <w:autoSpaceDN w:val="0"/>
        <w:adjustRightInd w:val="0"/>
        <w:spacing w:after="240" w:line="240" w:lineRule="auto"/>
        <w:jc w:val="both"/>
        <w:rPr>
          <w:rFonts w:ascii="EC Square Sans Pro" w:eastAsia="Times New Roman" w:hAnsi="EC Square Sans Pro" w:cs="TimesNewRoman"/>
          <w:noProof/>
          <w:sz w:val="20"/>
          <w:szCs w:val="20"/>
          <w:lang w:eastAsia="en-GB"/>
        </w:rPr>
      </w:pPr>
      <w:r>
        <w:rPr>
          <w:rFonts w:ascii="EC Square Sans Pro" w:eastAsia="Times New Roman" w:hAnsi="EC Square Sans Pro" w:cs="TimesNewRoman"/>
          <w:noProof/>
          <w:sz w:val="20"/>
          <w:szCs w:val="20"/>
          <w:lang w:eastAsia="en-GB"/>
        </w:rPr>
        <w:t>Part 2 of this document contains a summary of the results of the Internal Audit Service’s follow-up engagements performed between 1 February 2019 and 31 January</w:t>
      </w:r>
      <w:r>
        <w:rPr>
          <w:rFonts w:ascii="EC Square Sans Pro" w:eastAsia="Times New Roman" w:hAnsi="EC Square Sans Pro" w:cs="TimesNewRoman"/>
          <w:noProof/>
          <w:sz w:val="20"/>
          <w:szCs w:val="20"/>
          <w:lang w:eastAsia="en-GB"/>
        </w:rPr>
        <w:t> 2020</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NewRoman"/>
          <w:noProof/>
          <w:sz w:val="20"/>
          <w:szCs w:val="20"/>
          <w:vertAlign w:val="superscript"/>
          <w:lang w:val="nl" w:eastAsia="en-GB"/>
        </w:rPr>
        <w:footnoteReference w:id="3"/>
      </w:r>
      <w:r>
        <w:rPr>
          <w:rFonts w:ascii="Calibri" w:eastAsia="Times New Roman" w:hAnsi="Calibri" w:cs="Calibri"/>
          <w:noProof/>
          <w:sz w:val="20"/>
          <w:szCs w:val="20"/>
          <w:vertAlign w:val="superscript"/>
          <w:lang w:val="nl" w:eastAsia="en-GB"/>
        </w:rPr>
        <w:t>)</w:t>
      </w:r>
      <w:r>
        <w:rPr>
          <w:rFonts w:ascii="EC Square Sans Pro" w:eastAsia="Times New Roman" w:hAnsi="EC Square Sans Pro" w:cs="TimesNewRoman"/>
          <w:noProof/>
          <w:sz w:val="20"/>
          <w:szCs w:val="20"/>
          <w:lang w:eastAsia="en-GB"/>
        </w:rPr>
        <w:t>.</w:t>
      </w:r>
    </w:p>
    <w:p w:rsidR="000C6D03" w:rsidRDefault="00873433">
      <w:pPr>
        <w:autoSpaceDE w:val="0"/>
        <w:autoSpaceDN w:val="0"/>
        <w:adjustRightInd w:val="0"/>
        <w:spacing w:after="240" w:line="240" w:lineRule="auto"/>
        <w:jc w:val="both"/>
        <w:rPr>
          <w:rFonts w:ascii="TimesNewRoman" w:eastAsia="Times New Roman" w:hAnsi="TimesNewRoman" w:cs="TimesNewRoman"/>
          <w:noProof/>
          <w:sz w:val="24"/>
          <w:szCs w:val="24"/>
          <w:lang w:eastAsia="en-GB"/>
        </w:rPr>
      </w:pPr>
      <w:r>
        <w:rPr>
          <w:rFonts w:ascii="EC Square Sans Pro" w:eastAsia="Times New Roman" w:hAnsi="EC Square Sans Pro" w:cs="TimesNewRoman"/>
          <w:noProof/>
          <w:sz w:val="20"/>
          <w:szCs w:val="20"/>
          <w:lang w:eastAsia="en-GB"/>
        </w:rPr>
        <w:t>Part 3 provides a summarised overview of the six long-overdue very important recommendations as at 31</w:t>
      </w:r>
      <w:r>
        <w:rPr>
          <w:rFonts w:ascii="Calibri" w:eastAsia="Times New Roman" w:hAnsi="Calibri" w:cs="Calibri"/>
          <w:noProof/>
          <w:sz w:val="20"/>
          <w:szCs w:val="20"/>
          <w:lang w:eastAsia="en-GB"/>
        </w:rPr>
        <w:t> </w:t>
      </w:r>
      <w:r>
        <w:rPr>
          <w:rFonts w:ascii="EC Square Sans Pro" w:eastAsia="Times New Roman" w:hAnsi="EC Square Sans Pro" w:cs="TimesNewRoman"/>
          <w:noProof/>
          <w:sz w:val="20"/>
          <w:szCs w:val="20"/>
          <w:lang w:eastAsia="en-GB"/>
        </w:rPr>
        <w:t>January</w:t>
      </w:r>
      <w:r>
        <w:rPr>
          <w:rFonts w:ascii="Calibri" w:eastAsia="Times New Roman" w:hAnsi="Calibri" w:cs="Calibri"/>
          <w:noProof/>
          <w:sz w:val="20"/>
          <w:szCs w:val="20"/>
          <w:lang w:eastAsia="en-GB"/>
        </w:rPr>
        <w:t> </w:t>
      </w:r>
      <w:r>
        <w:rPr>
          <w:rFonts w:ascii="EC Square Sans Pro" w:eastAsia="Times New Roman" w:hAnsi="EC Square Sans Pro" w:cs="TimesNewRoman"/>
          <w:noProof/>
          <w:sz w:val="20"/>
          <w:szCs w:val="20"/>
          <w:lang w:eastAsia="en-GB"/>
        </w:rPr>
        <w:t>2020.</w:t>
      </w:r>
    </w:p>
    <w:p w:rsidR="000C6D03" w:rsidRDefault="000C6D03">
      <w:pPr>
        <w:autoSpaceDE w:val="0"/>
        <w:autoSpaceDN w:val="0"/>
        <w:adjustRightInd w:val="0"/>
        <w:spacing w:after="240" w:line="240" w:lineRule="auto"/>
        <w:jc w:val="both"/>
        <w:rPr>
          <w:rFonts w:ascii="TimesNewRoman" w:eastAsia="Times New Roman" w:hAnsi="TimesNewRoman" w:cs="TimesNewRoman"/>
          <w:noProof/>
          <w:sz w:val="24"/>
          <w:szCs w:val="24"/>
          <w:lang w:eastAsia="en-GB"/>
        </w:rPr>
        <w:sectPr w:rsidR="000C6D03">
          <w:headerReference w:type="even" r:id="rId24"/>
          <w:headerReference w:type="default" r:id="rId25"/>
          <w:footerReference w:type="even" r:id="rId26"/>
          <w:footerReference w:type="default" r:id="rId27"/>
          <w:headerReference w:type="first" r:id="rId28"/>
          <w:footerReference w:type="first" r:id="rId29"/>
          <w:pgSz w:w="11906" w:h="16838" w:code="9"/>
          <w:pgMar w:top="851" w:right="1418" w:bottom="851" w:left="1418" w:header="567" w:footer="567" w:gutter="0"/>
          <w:cols w:space="708"/>
          <w:docGrid w:linePitch="360"/>
        </w:sectPr>
      </w:pPr>
    </w:p>
    <w:p w:rsidR="000C6D03" w:rsidRDefault="00873433">
      <w:pPr>
        <w:keepNext/>
        <w:keepLines/>
        <w:pageBreakBefore/>
        <w:spacing w:after="120" w:line="240" w:lineRule="auto"/>
        <w:outlineLvl w:val="0"/>
        <w:rPr>
          <w:rFonts w:ascii="EC Square Sans Pro" w:eastAsia="EC Square Sans Pro" w:hAnsi="EC Square Sans Pro" w:cs="Times New Roman"/>
          <w:noProof/>
          <w:color w:val="005D95"/>
          <w:sz w:val="52"/>
          <w:lang w:eastAsia="en-GB"/>
        </w:rPr>
      </w:pPr>
      <w:bookmarkStart w:id="4" w:name="_Toc2946412"/>
      <w:bookmarkStart w:id="5" w:name="_Toc42788123"/>
      <w:r>
        <w:rPr>
          <w:rFonts w:ascii="EC Square Sans Pro" w:eastAsia="EC Square Sans Pro" w:hAnsi="EC Square Sans Pro" w:cs="Times New Roman"/>
          <w:noProof/>
          <w:color w:val="005D95"/>
          <w:sz w:val="52"/>
          <w:lang w:eastAsia="en-GB"/>
        </w:rPr>
        <w:t xml:space="preserve">PART 1: </w:t>
      </w:r>
      <w:r>
        <w:rPr>
          <w:rFonts w:ascii="EC Square Sans Pro" w:eastAsia="EC Square Sans Pro" w:hAnsi="EC Square Sans Pro" w:cs="Times New Roman"/>
          <w:noProof/>
          <w:color w:val="005D95"/>
          <w:sz w:val="52"/>
        </w:rPr>
        <w:t>Final</w:t>
      </w:r>
      <w:r>
        <w:rPr>
          <w:rFonts w:ascii="EC Square Sans Pro" w:eastAsia="EC Square Sans Pro" w:hAnsi="EC Square Sans Pro" w:cs="Times New Roman"/>
          <w:noProof/>
          <w:color w:val="005D95"/>
          <w:sz w:val="52"/>
          <w:lang w:eastAsia="en-GB"/>
        </w:rPr>
        <w:t xml:space="preserve"> reports</w:t>
      </w:r>
      <w:bookmarkEnd w:id="4"/>
      <w:bookmarkEnd w:id="5"/>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4"/>
          <w:lang w:eastAsia="zh-CN"/>
        </w:rPr>
      </w:pPr>
      <w:bookmarkStart w:id="6" w:name="_Toc2946413"/>
      <w:bookmarkStart w:id="7" w:name="_Toc42788124"/>
      <w:r>
        <w:rPr>
          <w:rFonts w:ascii="EC Square Sans Pro" w:eastAsia="EC Square Sans Pro" w:hAnsi="EC Square Sans Pro" w:cs="Times New Roman"/>
          <w:b/>
          <w:noProof/>
          <w:color w:val="005D95"/>
          <w:sz w:val="28"/>
          <w:szCs w:val="21"/>
          <w:lang w:eastAsia="zh-CN"/>
        </w:rPr>
        <w:t>Horizontal audits</w:t>
      </w:r>
      <w:bookmarkEnd w:id="6"/>
      <w:bookmarkEnd w:id="7"/>
    </w:p>
    <w:p w:rsidR="000C6D03" w:rsidRDefault="00873433">
      <w:pPr>
        <w:numPr>
          <w:ilvl w:val="0"/>
          <w:numId w:val="43"/>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8" w:name="_Toc3473261"/>
      <w:bookmarkStart w:id="9" w:name="_Toc2946416"/>
      <w:bookmarkStart w:id="10" w:name="_Toc42788125"/>
      <w:bookmarkEnd w:id="8"/>
      <w:r>
        <w:rPr>
          <w:rFonts w:ascii="EC Square Sans Pro" w:eastAsia="Times New Roman" w:hAnsi="EC Square Sans Pro" w:cs="Times New Roman"/>
          <w:b/>
          <w:i/>
          <w:noProof/>
          <w:color w:val="005D95"/>
          <w:sz w:val="24"/>
          <w:szCs w:val="20"/>
          <w:lang w:eastAsia="en-GB"/>
        </w:rPr>
        <w:t xml:space="preserve">Audit on </w:t>
      </w:r>
      <w:bookmarkEnd w:id="9"/>
      <w:r>
        <w:rPr>
          <w:rFonts w:ascii="EC Square Sans Pro" w:eastAsia="Times New Roman" w:hAnsi="EC Square Sans Pro" w:cs="Times New Roman"/>
          <w:b/>
          <w:i/>
          <w:noProof/>
          <w:color w:val="005D95"/>
          <w:sz w:val="24"/>
          <w:szCs w:val="20"/>
          <w:lang w:eastAsia="en-GB"/>
        </w:rPr>
        <w:t>evaluations and studies in DGs CLIMA and ENV</w:t>
      </w:r>
      <w:bookmarkEnd w:id="10"/>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whether studies in the Directorate-General for Climate Action (DG CLIMA) and the Directorate-General for Environment (DG ENV) are managed effectively, efficientl</w:t>
      </w:r>
      <w:r>
        <w:rPr>
          <w:rFonts w:ascii="EC Square Sans Pro" w:eastAsia="Times New Roman" w:hAnsi="EC Square Sans Pro" w:cs="Times New Roman"/>
          <w:noProof/>
          <w:sz w:val="20"/>
          <w:szCs w:val="20"/>
          <w:lang w:eastAsia="en-GB"/>
        </w:rPr>
        <w:t>y and in accordance with the applicable legislation and corporate guidance.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No reservations were made in the 2018 annual activity reports for the two Directorates-General that relate to the area audited. The fieldwork was finalised on 30 September</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2019. Al</w:t>
      </w:r>
      <w:r>
        <w:rPr>
          <w:rFonts w:ascii="EC Square Sans Pro" w:eastAsia="Times New Roman" w:hAnsi="EC Square Sans Pro" w:cs="Times New Roman"/>
          <w:noProof/>
          <w:sz w:val="20"/>
          <w:szCs w:val="20"/>
          <w:lang w:eastAsia="en-GB"/>
        </w:rPr>
        <w:t>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recognised the commitment and expertise of key staff in the financial and operational units of both the Directorate-General for Climate Action and the Directorate-General</w:t>
      </w:r>
      <w:r>
        <w:rPr>
          <w:rFonts w:ascii="EC Square Sans Pro" w:eastAsia="Times New Roman" w:hAnsi="EC Square Sans Pro" w:cs="Times New Roman"/>
          <w:noProof/>
          <w:sz w:val="20"/>
          <w:szCs w:val="20"/>
          <w:lang w:eastAsia="en-GB"/>
        </w:rPr>
        <w:t xml:space="preserve"> for Environment.</w:t>
      </w:r>
    </w:p>
    <w:p w:rsidR="000C6D03" w:rsidRDefault="00873433">
      <w:p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w:t>
      </w:r>
      <w:r>
        <w:rPr>
          <w:rFonts w:ascii="EC Square Sans Pro" w:eastAsia="Times New Roman" w:hAnsi="EC Square Sans Pro" w:cs="Times New Roman"/>
          <w:i/>
          <w:noProof/>
          <w:sz w:val="20"/>
          <w:szCs w:val="20"/>
          <w:lang w:eastAsia="en-GB"/>
        </w:rPr>
        <w:t>procurement</w:t>
      </w:r>
      <w:r>
        <w:rPr>
          <w:rFonts w:ascii="EC Square Sans Pro" w:eastAsia="Times New Roman" w:hAnsi="EC Square Sans Pro" w:cs="Times New Roman"/>
          <w:noProof/>
          <w:sz w:val="20"/>
          <w:szCs w:val="20"/>
          <w:lang w:eastAsia="en-GB"/>
        </w:rPr>
        <w:t xml:space="preserve"> in the Directorate-General for Environment and formulated the following very important recommendation:</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color w:val="000000"/>
          <w:sz w:val="20"/>
          <w:szCs w:val="20"/>
          <w:lang w:eastAsia="en-GB"/>
        </w:rPr>
        <w:t xml:space="preserve">The Directorate-General for Environment </w:t>
      </w:r>
      <w:r>
        <w:rPr>
          <w:rFonts w:ascii="EC Square Sans Pro" w:eastAsia="Times New Roman" w:hAnsi="EC Square Sans Pro" w:cs="Times New Roman"/>
          <w:noProof/>
          <w:sz w:val="20"/>
          <w:szCs w:val="20"/>
          <w:lang w:eastAsia="en-GB"/>
        </w:rPr>
        <w:t>should ensure that</w:t>
      </w:r>
      <w:r>
        <w:rPr>
          <w:rFonts w:ascii="EC Square Sans Pro" w:eastAsia="Times New Roman" w:hAnsi="EC Square Sans Pro" w:cs="Times New Roman"/>
          <w:noProof/>
          <w:sz w:val="20"/>
          <w:szCs w:val="20"/>
          <w:lang w:eastAsia="en-GB"/>
        </w:rPr>
        <w:fldChar w:fldCharType="begin"/>
      </w:r>
      <w:r>
        <w:rPr>
          <w:rFonts w:ascii="EC Square Sans Pro" w:eastAsia="Times New Roman" w:hAnsi="EC Square Sans Pro" w:cs="Times New Roman"/>
          <w:noProof/>
          <w:sz w:val="20"/>
          <w:szCs w:val="20"/>
          <w:lang w:eastAsia="en-GB"/>
        </w:rPr>
        <w:instrText xml:space="preserve"> &lt;xsl:</w:instrText>
      </w:r>
      <w:r>
        <w:rPr>
          <w:rFonts w:ascii="EC Square Sans Pro" w:eastAsia="Times New Roman" w:hAnsi="EC Square Sans Pro" w:cs="Times New Roman"/>
          <w:noProof/>
          <w:sz w:val="20"/>
          <w:szCs w:val="20"/>
          <w:lang w:eastAsia="en-GB"/>
        </w:rPr>
        <w:instrText xml:space="preserve">value-of select="Title"/&gt; </w:instrText>
      </w:r>
      <w:r>
        <w:rPr>
          <w:rFonts w:ascii="EC Square Sans Pro" w:eastAsia="Times New Roman" w:hAnsi="EC Square Sans Pro" w:cs="Times New Roman"/>
          <w:noProof/>
          <w:sz w:val="20"/>
          <w:szCs w:val="20"/>
          <w:lang w:eastAsia="en-GB"/>
        </w:rPr>
        <w:fldChar w:fldCharType="end"/>
      </w:r>
      <w:r>
        <w:rPr>
          <w:rFonts w:ascii="EC Square Sans Pro" w:eastAsia="Times New Roman" w:hAnsi="EC Square Sans Pro" w:cs="Times New Roman"/>
          <w:noProof/>
          <w:sz w:val="20"/>
          <w:szCs w:val="20"/>
          <w:lang w:eastAsia="ko-KR"/>
        </w:rPr>
        <w:t xml:space="preserve"> non-compliance events are properly recorded, in line with the applicable corporate guidance. Written guidance should be applied on a more consistent basis. It should also strengthen its monitoring of the implementation of the external contractors’ work, i</w:t>
      </w:r>
      <w:r>
        <w:rPr>
          <w:rFonts w:ascii="EC Square Sans Pro" w:eastAsia="Times New Roman" w:hAnsi="EC Square Sans Pro" w:cs="Times New Roman"/>
          <w:noProof/>
          <w:sz w:val="20"/>
          <w:szCs w:val="20"/>
          <w:lang w:eastAsia="ko-KR"/>
        </w:rPr>
        <w:t>n particular by performing technical evaluations of all reports/deliverables linked to payments. In addition, it should streamline its document management system and access to procurement files and finally it should improve the supervision and quality revi</w:t>
      </w:r>
      <w:r>
        <w:rPr>
          <w:rFonts w:ascii="EC Square Sans Pro" w:eastAsia="Times New Roman" w:hAnsi="EC Square Sans Pro" w:cs="Times New Roman"/>
          <w:noProof/>
          <w:sz w:val="20"/>
          <w:szCs w:val="20"/>
          <w:lang w:eastAsia="ko-KR"/>
        </w:rPr>
        <w:t>ew of procurement documents.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u w:val="single"/>
          <w:lang w:eastAsia="fr-BE"/>
        </w:rPr>
      </w:pPr>
      <w:r>
        <w:rPr>
          <w:rFonts w:ascii="EC Square Sans Pro" w:eastAsia="EC Square Sans Pro" w:hAnsi="EC Square Sans Pro" w:cs="Times New Roman"/>
          <w:b/>
          <w:noProof/>
          <w:color w:val="005D95"/>
          <w:sz w:val="20"/>
          <w:lang w:eastAsia="fr-BE"/>
        </w:rPr>
        <w:t>Additional information provided by DGs CLIMA and ENV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audit of the Directorate-General for Climate Action did not identify any critical o</w:t>
      </w:r>
      <w:r>
        <w:rPr>
          <w:rFonts w:ascii="EC Square Sans Pro" w:eastAsia="EC Square Sans Pro" w:hAnsi="EC Square Sans Pro" w:cs="Times New Roman"/>
          <w:noProof/>
          <w:sz w:val="20"/>
          <w:lang w:eastAsia="fr-BE"/>
        </w:rPr>
        <w:t>r very important issues, but there is room for improvement in the planning and design of evaluations and studies and on some specific procurement procedures. The Directorate-General provided an action plan to mitigate the risks identified.</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In the Directora</w:t>
      </w:r>
      <w:r>
        <w:rPr>
          <w:rFonts w:ascii="EC Square Sans Pro" w:eastAsia="EC Square Sans Pro" w:hAnsi="EC Square Sans Pro" w:cs="Times New Roman"/>
          <w:noProof/>
          <w:sz w:val="20"/>
          <w:lang w:eastAsia="fr-BE"/>
        </w:rPr>
        <w:t>te-General for Environment, the auditors found a number of individual weaknesses in the internal control system underpinning the procurement process. While some of these shortcomings have been addressed immediately, further measures will be taken to ensure</w:t>
      </w:r>
      <w:r>
        <w:rPr>
          <w:rFonts w:ascii="EC Square Sans Pro" w:eastAsia="EC Square Sans Pro" w:hAnsi="EC Square Sans Pro" w:cs="Times New Roman"/>
          <w:noProof/>
          <w:sz w:val="20"/>
          <w:lang w:eastAsia="fr-BE"/>
        </w:rPr>
        <w:t xml:space="preserve"> that the recommendations from this audit are fully addressed in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To mitigate the risks identified by the Internal Audit Service in this recommendation, the Directorate-General for Environment envisaged the following actions: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It strengthened monitori</w:t>
      </w:r>
      <w:r>
        <w:rPr>
          <w:rFonts w:ascii="EC Square Sans Pro" w:eastAsia="EC Square Sans Pro" w:hAnsi="EC Square Sans Pro" w:cs="Times New Roman"/>
          <w:noProof/>
          <w:sz w:val="20"/>
          <w:lang w:eastAsia="fr-BE"/>
        </w:rPr>
        <w:t>ng of the implementation of external contractors’ work by performing technical evaluations for all reports/deliverables linked to payment. This was achieved by including additional checks for all payments (interims and final), including intellectual-proper</w:t>
      </w:r>
      <w:r>
        <w:rPr>
          <w:rFonts w:ascii="EC Square Sans Pro" w:eastAsia="EC Square Sans Pro" w:hAnsi="EC Square Sans Pro" w:cs="Times New Roman"/>
          <w:noProof/>
          <w:sz w:val="20"/>
          <w:lang w:eastAsia="fr-BE"/>
        </w:rPr>
        <w:t>ty-rights checks and monitoring of planned publication of studies, if applicable.</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public procurement management tool (PPMT) is used by the Directorate-General for Environment for all procedures above EUR</w:t>
      </w:r>
      <w:r>
        <w:rPr>
          <w:rFonts w:ascii="Calibri" w:eastAsia="EC Square Sans Pro" w:hAnsi="Calibri" w:cs="Calibri"/>
          <w:noProof/>
          <w:sz w:val="20"/>
          <w:lang w:eastAsia="fr-BE"/>
        </w:rPr>
        <w:t> </w:t>
      </w:r>
      <w:r>
        <w:rPr>
          <w:rFonts w:ascii="EC Square Sans Pro" w:eastAsia="EC Square Sans Pro" w:hAnsi="EC Square Sans Pro" w:cs="Times New Roman"/>
          <w:noProof/>
          <w:sz w:val="20"/>
          <w:lang w:eastAsia="fr-BE"/>
        </w:rPr>
        <w:t>15</w:t>
      </w:r>
      <w:r>
        <w:rPr>
          <w:rFonts w:ascii="Calibri" w:eastAsia="EC Square Sans Pro" w:hAnsi="Calibri" w:cs="Calibri"/>
          <w:noProof/>
          <w:sz w:val="20"/>
          <w:lang w:eastAsia="fr-BE"/>
        </w:rPr>
        <w:t> </w:t>
      </w:r>
      <w:r>
        <w:rPr>
          <w:rFonts w:ascii="EC Square Sans Pro" w:eastAsia="EC Square Sans Pro" w:hAnsi="EC Square Sans Pro" w:cs="Times New Roman"/>
          <w:noProof/>
          <w:sz w:val="20"/>
          <w:lang w:eastAsia="fr-BE"/>
        </w:rPr>
        <w:t>000 except specific contracts under the frame</w:t>
      </w:r>
      <w:r>
        <w:rPr>
          <w:rFonts w:ascii="EC Square Sans Pro" w:eastAsia="EC Square Sans Pro" w:hAnsi="EC Square Sans Pro" w:cs="Times New Roman"/>
          <w:noProof/>
          <w:sz w:val="20"/>
          <w:lang w:eastAsia="fr-BE"/>
        </w:rPr>
        <w:t>work contract agreements. The tool: (i) ensures consistent application of all procurement procedures; (ii) streamlines document management; (iii) allows for access arrangements for the Directorate-General’s advisory committee members; and (iv) makes it imp</w:t>
      </w:r>
      <w:r>
        <w:rPr>
          <w:rFonts w:ascii="EC Square Sans Pro" w:eastAsia="EC Square Sans Pro" w:hAnsi="EC Square Sans Pro" w:cs="Times New Roman"/>
          <w:noProof/>
          <w:sz w:val="20"/>
          <w:lang w:eastAsia="fr-BE"/>
        </w:rPr>
        <w:t xml:space="preserve">ossible to omit procedural steps. Guidelines how to apply PPMT are available on the Directorate-General’s intranet. Revisions of other procurement guidance and associated templates following the Directorate-General for Budget’s instructions are updated on </w:t>
      </w:r>
      <w:r>
        <w:rPr>
          <w:rFonts w:ascii="EC Square Sans Pro" w:eastAsia="EC Square Sans Pro" w:hAnsi="EC Square Sans Pro" w:cs="Times New Roman"/>
          <w:noProof/>
          <w:sz w:val="20"/>
          <w:lang w:eastAsia="fr-BE"/>
        </w:rPr>
        <w:t>the intranet of the Directorate-General for Environment on a regular</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br w:type="column"/>
        <w:t>basis.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To improve supervision throughout the internal management plan and quality review of procurement documents, the financial fiche templates have been modified; they will be used for</w:t>
      </w:r>
      <w:r>
        <w:rPr>
          <w:rFonts w:ascii="EC Square Sans Pro" w:eastAsia="EC Square Sans Pro" w:hAnsi="EC Square Sans Pro" w:cs="Times New Roman"/>
          <w:noProof/>
          <w:sz w:val="20"/>
          <w:lang w:eastAsia="fr-BE"/>
        </w:rPr>
        <w:t xml:space="preserve"> the next management plan (2021). In addition, a studies-tracking system from management-plan request to publication by the Publications Office of the European Union, has been established and will be introduced in the next management plan.</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w:t>
      </w:r>
      <w:r>
        <w:rPr>
          <w:rFonts w:ascii="EC Square Sans Pro" w:eastAsia="EC Square Sans Pro" w:hAnsi="EC Square Sans Pro" w:cs="Times New Roman"/>
          <w:noProof/>
          <w:sz w:val="20"/>
          <w:lang w:eastAsia="fr-BE"/>
        </w:rPr>
        <w:t>General for Environment envisaged the following further actions in the course of the year: (i) reminders about the importance of reporting non-compliance events, through training for financial officers in all units of the Directorate-General; (ii) awarenes</w:t>
      </w:r>
      <w:r>
        <w:rPr>
          <w:rFonts w:ascii="EC Square Sans Pro" w:eastAsia="EC Square Sans Pro" w:hAnsi="EC Square Sans Pro" w:cs="Times New Roman"/>
          <w:noProof/>
          <w:sz w:val="20"/>
          <w:lang w:eastAsia="fr-BE"/>
        </w:rPr>
        <w:t>s raising for all Authorising Officers by Sub-delegation in the Directorate-General; (iii) specific internal training on filing of procurement files in the ARES IT tool; and (iv) guidance on intellectual-property rights.</w:t>
      </w:r>
    </w:p>
    <w:p w:rsidR="000C6D03" w:rsidRDefault="00873433">
      <w:pPr>
        <w:numPr>
          <w:ilvl w:val="0"/>
          <w:numId w:val="43"/>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11" w:name="_Toc3473265"/>
      <w:bookmarkStart w:id="12" w:name="_Toc42788126"/>
      <w:bookmarkStart w:id="13" w:name="_Toc2946419"/>
      <w:bookmarkEnd w:id="11"/>
      <w:r>
        <w:rPr>
          <w:rFonts w:ascii="EC Square Sans Pro" w:eastAsia="Times New Roman" w:hAnsi="EC Square Sans Pro" w:cs="Times New Roman"/>
          <w:b/>
          <w:i/>
          <w:noProof/>
          <w:color w:val="005D95"/>
          <w:sz w:val="24"/>
          <w:szCs w:val="20"/>
          <w:lang w:eastAsia="en-GB"/>
        </w:rPr>
        <w:t xml:space="preserve">Audit on monitoring the </w:t>
      </w:r>
      <w:r>
        <w:rPr>
          <w:rFonts w:ascii="EC Square Sans Pro" w:eastAsia="Times New Roman" w:hAnsi="EC Square Sans Pro" w:cs="Times New Roman"/>
          <w:b/>
          <w:i/>
          <w:noProof/>
          <w:color w:val="005D95"/>
          <w:sz w:val="24"/>
          <w:szCs w:val="20"/>
          <w:lang w:eastAsia="en-GB"/>
        </w:rPr>
        <w:t>implementation and performance of 2014-2020 operational programmes by DGs REGIO, EMPL and MARE</w:t>
      </w:r>
      <w:bookmarkEnd w:id="12"/>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 xml:space="preserve">The objective of the audit was to assess whether the Directorate-Generals for Regional and Urban Policy, for Employment, Social Affairs and Inclusion and for </w:t>
      </w:r>
      <w:r>
        <w:rPr>
          <w:rFonts w:ascii="EC Square Sans Pro" w:eastAsia="Calibri" w:hAnsi="EC Square Sans Pro" w:cs="Times New Roman"/>
          <w:noProof/>
          <w:sz w:val="20"/>
          <w:szCs w:val="20"/>
        </w:rPr>
        <w:t>Maritime Affairs and Fisheries effectively monitor the implementation and performance of their 2014-2020 operational programmes and whether they were well prepared for the 2019 performance review.</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No reservations were made in the 2018 annual activity repor</w:t>
      </w:r>
      <w:r>
        <w:rPr>
          <w:rFonts w:ascii="EC Square Sans Pro" w:eastAsia="Times New Roman" w:hAnsi="EC Square Sans Pro" w:cs="Times New Roman"/>
          <w:noProof/>
          <w:sz w:val="20"/>
          <w:szCs w:val="20"/>
          <w:lang w:eastAsia="en-GB"/>
        </w:rPr>
        <w:t>t concerning the implementation and performance of the programmes. However reservations were made by both the Directorate-General for Regional and Urban Policy and the Directorate-General for Employment, Social Affairs and Inclusion for deficiencies in the</w:t>
      </w:r>
      <w:r>
        <w:rPr>
          <w:rFonts w:ascii="EC Square Sans Pro" w:eastAsia="Times New Roman" w:hAnsi="EC Square Sans Pro" w:cs="Times New Roman"/>
          <w:noProof/>
          <w:sz w:val="20"/>
          <w:szCs w:val="20"/>
          <w:lang w:eastAsia="en-GB"/>
        </w:rPr>
        <w:t xml:space="preserve"> management and control systems of a number of programmes</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4"/>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which affect the legality and regularity of the payments concerned. The fieldwork was finalised on 30 September</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w:t>
      </w:r>
      <w:r>
        <w:rPr>
          <w:rFonts w:ascii="EC Square Sans Pro" w:eastAsia="Times New Roman" w:hAnsi="EC Square Sans Pro" w:cs="Times New Roman"/>
          <w:noProof/>
          <w:sz w:val="20"/>
          <w:szCs w:val="20"/>
          <w:lang w:eastAsia="en-GB"/>
        </w:rPr>
        <w:t>e-General for Regional and Urban Policy and the Directorate-General for Employment, Social Affairs and Inclusion each adopted a strategy for performance-based culture</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bCs/>
          <w:noProof/>
          <w:sz w:val="20"/>
          <w:szCs w:val="20"/>
          <w:vertAlign w:val="superscript"/>
          <w:lang w:eastAsia="en-GB"/>
        </w:rPr>
        <w:footnoteReference w:id="5"/>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bCs/>
          <w:noProof/>
          <w:sz w:val="20"/>
          <w:szCs w:val="20"/>
          <w:lang w:eastAsia="en-GB"/>
        </w:rPr>
        <w:t>. These strategies provide a comprehensive overview of the objectives of monitoring ac</w:t>
      </w:r>
      <w:r>
        <w:rPr>
          <w:rFonts w:ascii="EC Square Sans Pro" w:eastAsia="Times New Roman" w:hAnsi="EC Square Sans Pro" w:cs="Times New Roman"/>
          <w:bCs/>
          <w:noProof/>
          <w:sz w:val="20"/>
          <w:szCs w:val="20"/>
          <w:lang w:eastAsia="en-GB"/>
        </w:rPr>
        <w:t xml:space="preserve">tivities. </w:t>
      </w:r>
      <w:r>
        <w:rPr>
          <w:rFonts w:ascii="EC Square Sans Pro" w:eastAsia="Times New Roman" w:hAnsi="EC Square Sans Pro" w:cs="Times New Roman"/>
          <w:noProof/>
          <w:sz w:val="20"/>
          <w:szCs w:val="20"/>
          <w:lang w:eastAsia="en-GB"/>
        </w:rPr>
        <w:t>The Directorates-General’s strategies are translated into clear procedures, which results in staff focusing on performance of programmes in their monitoring activities. There are detailed operational guidelines in all three Directorates-General a</w:t>
      </w:r>
      <w:r>
        <w:rPr>
          <w:rFonts w:ascii="EC Square Sans Pro" w:eastAsia="Times New Roman" w:hAnsi="EC Square Sans Pro" w:cs="Times New Roman"/>
          <w:noProof/>
          <w:sz w:val="20"/>
          <w:szCs w:val="20"/>
          <w:lang w:eastAsia="en-GB"/>
        </w:rPr>
        <w:t>nd comprehensive manuals on monitoring activities at the Directorates-General for Regional and Urban Policy and for Maritime Affairs and Fisheries.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Furthermore, the Internal Audit Service found a number of good practices that the Directorates-General apply</w:t>
      </w:r>
      <w:r>
        <w:rPr>
          <w:rFonts w:ascii="EC Square Sans Pro" w:eastAsia="Times New Roman" w:hAnsi="EC Square Sans Pro" w:cs="Times New Roman"/>
          <w:noProof/>
          <w:sz w:val="20"/>
          <w:szCs w:val="20"/>
          <w:lang w:eastAsia="en-GB"/>
        </w:rPr>
        <w:t xml:space="preserve"> in their monitoring activities. Some examples of these practices are set out below.</w:t>
      </w:r>
    </w:p>
    <w:p w:rsidR="000C6D03" w:rsidRDefault="00873433">
      <w:pPr>
        <w:numPr>
          <w:ilvl w:val="0"/>
          <w:numId w:val="34"/>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‘Stock-taking Group’ and its regular meetings provide an effective platform for coordinating procedures and sharing knowledge among the Directorates-General responsibl</w:t>
      </w:r>
      <w:r>
        <w:rPr>
          <w:rFonts w:ascii="EC Square Sans Pro" w:eastAsia="Times New Roman" w:hAnsi="EC Square Sans Pro" w:cs="Times New Roman"/>
          <w:noProof/>
          <w:sz w:val="20"/>
          <w:szCs w:val="20"/>
          <w:lang w:eastAsia="en-GB"/>
        </w:rPr>
        <w:t>e for the European Structural and Investment Fund.</w:t>
      </w:r>
    </w:p>
    <w:p w:rsidR="000C6D03" w:rsidRDefault="00873433">
      <w:pPr>
        <w:numPr>
          <w:ilvl w:val="0"/>
          <w:numId w:val="34"/>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management of the Directorate-General for Regional and Urban Policy regularly monitors the implementation of the programmes using a number of internal reporting tools (in particular the implementation </w:t>
      </w:r>
      <w:r>
        <w:rPr>
          <w:rFonts w:ascii="EC Square Sans Pro" w:eastAsia="Times New Roman" w:hAnsi="EC Square Sans Pro" w:cs="Times New Roman"/>
          <w:noProof/>
          <w:sz w:val="20"/>
          <w:szCs w:val="20"/>
          <w:lang w:eastAsia="en-GB"/>
        </w:rPr>
        <w:t>reports). This includes close monitoring of programmes ‘in difficulty’, which are identified based on a risk assessment.</w:t>
      </w:r>
    </w:p>
    <w:p w:rsidR="000C6D03" w:rsidRDefault="00873433">
      <w:pPr>
        <w:numPr>
          <w:ilvl w:val="0"/>
          <w:numId w:val="34"/>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use of information-technology tools (such as monitoring scorecards) to support desk officers’ plausibility and consistency checks of the data reported in the annual implementation reports. </w:t>
      </w:r>
    </w:p>
    <w:p w:rsidR="000C6D03" w:rsidRDefault="00873433">
      <w:pPr>
        <w:numPr>
          <w:ilvl w:val="0"/>
          <w:numId w:val="34"/>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Following its assessment of the audit authorities’ work report</w:t>
      </w:r>
      <w:r>
        <w:rPr>
          <w:rFonts w:ascii="EC Square Sans Pro" w:eastAsia="Times New Roman" w:hAnsi="EC Square Sans Pro" w:cs="Times New Roman"/>
          <w:noProof/>
          <w:sz w:val="20"/>
          <w:szCs w:val="20"/>
          <w:lang w:eastAsia="en-GB"/>
        </w:rPr>
        <w:t>ed in the 2019 annual control reports, the Directorate-General for Employment, Social Affairs and Inclusion plans to perform additional audit work to close assurance gaps related to performance data reliability.</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lang w:eastAsia="en-GB"/>
        </w:rPr>
        <w:t>The Internal Audit Service identified two is</w:t>
      </w:r>
      <w:r>
        <w:rPr>
          <w:rFonts w:ascii="EC Square Sans Pro" w:eastAsia="Times New Roman" w:hAnsi="EC Square Sans Pro" w:cs="Times New Roman"/>
          <w:noProof/>
          <w:sz w:val="20"/>
          <w:szCs w:val="20"/>
          <w:lang w:eastAsia="en-GB"/>
        </w:rPr>
        <w:t xml:space="preserve">sues, one concerning </w:t>
      </w:r>
      <w:r>
        <w:rPr>
          <w:rFonts w:ascii="EC Square Sans Pro" w:eastAsia="Times New Roman" w:hAnsi="EC Square Sans Pro" w:cs="Times New Roman"/>
          <w:i/>
          <w:noProof/>
          <w:sz w:val="20"/>
          <w:szCs w:val="20"/>
          <w:lang w:eastAsia="en-GB"/>
        </w:rPr>
        <w:t>a</w:t>
      </w:r>
      <w:r>
        <w:rPr>
          <w:rFonts w:ascii="EC Square Sans Pro" w:eastAsia="Times New Roman" w:hAnsi="EC Square Sans Pro" w:cs="Times New Roman"/>
          <w:bCs/>
          <w:i/>
          <w:iCs/>
          <w:noProof/>
          <w:sz w:val="20"/>
          <w:szCs w:val="20"/>
          <w:lang w:eastAsia="en-GB"/>
        </w:rPr>
        <w:t xml:space="preserve">ssessing programme performance, identifying and following up on implementation weaknesses </w:t>
      </w:r>
      <w:r>
        <w:rPr>
          <w:rFonts w:ascii="EC Square Sans Pro" w:eastAsia="Times New Roman" w:hAnsi="EC Square Sans Pro" w:cs="Times New Roman"/>
          <w:bCs/>
          <w:iCs/>
          <w:noProof/>
          <w:sz w:val="20"/>
          <w:szCs w:val="20"/>
          <w:lang w:eastAsia="en-GB"/>
        </w:rPr>
        <w:t xml:space="preserve">and one on </w:t>
      </w:r>
      <w:r>
        <w:rPr>
          <w:rFonts w:ascii="EC Square Sans Pro" w:eastAsia="Times New Roman" w:hAnsi="EC Square Sans Pro" w:cs="Times New Roman"/>
          <w:bCs/>
          <w:i/>
          <w:iCs/>
          <w:noProof/>
          <w:sz w:val="20"/>
          <w:szCs w:val="20"/>
          <w:lang w:eastAsia="en-GB"/>
        </w:rPr>
        <w:t>performance data reliability</w:t>
      </w:r>
      <w:r>
        <w:rPr>
          <w:rFonts w:ascii="EC Square Sans Pro" w:eastAsia="Times New Roman" w:hAnsi="EC Square Sans Pro" w:cs="Times New Roman"/>
          <w:bCs/>
          <w:iCs/>
          <w:noProof/>
          <w:sz w:val="20"/>
          <w:szCs w:val="20"/>
          <w:lang w:eastAsia="en-GB"/>
        </w:rPr>
        <w:t>,</w:t>
      </w:r>
      <w:r>
        <w:rPr>
          <w:rFonts w:ascii="EC Square Sans Pro" w:eastAsia="Times New Roman" w:hAnsi="EC Square Sans Pro" w:cs="Times New Roman"/>
          <w:i/>
          <w:noProof/>
          <w:color w:val="000000"/>
          <w:sz w:val="20"/>
          <w:szCs w:val="20"/>
          <w:lang w:eastAsia="en-GB"/>
        </w:rPr>
        <w:t xml:space="preserve"> </w:t>
      </w:r>
      <w:r>
        <w:rPr>
          <w:rFonts w:ascii="EC Square Sans Pro" w:eastAsia="Times New Roman" w:hAnsi="EC Square Sans Pro" w:cs="Times New Roman"/>
          <w:noProof/>
          <w:color w:val="000000"/>
          <w:sz w:val="20"/>
          <w:szCs w:val="20"/>
          <w:lang w:eastAsia="en-GB"/>
        </w:rPr>
        <w:t>and formulated the following very important recommendations:</w:t>
      </w:r>
    </w:p>
    <w:p w:rsidR="000C6D03" w:rsidRDefault="00873433">
      <w:pPr>
        <w:spacing w:after="240" w:line="240" w:lineRule="auto"/>
        <w:jc w:val="both"/>
        <w:rPr>
          <w:rFonts w:ascii="EC Square Sans Pro" w:eastAsia="Times New Roman" w:hAnsi="EC Square Sans Pro" w:cs="Times New Roman"/>
          <w:i/>
          <w:noProof/>
          <w:color w:val="000000"/>
          <w:sz w:val="20"/>
          <w:szCs w:val="20"/>
          <w:highlight w:val="yellow"/>
          <w:lang w:eastAsia="en-GB"/>
        </w:rPr>
      </w:pPr>
      <w:r>
        <w:rPr>
          <w:rFonts w:ascii="EC Square Sans Pro" w:eastAsia="Times New Roman" w:hAnsi="EC Square Sans Pro" w:cs="Times New Roman"/>
          <w:bCs/>
          <w:i/>
          <w:iCs/>
          <w:noProof/>
          <w:sz w:val="20"/>
          <w:szCs w:val="20"/>
          <w:lang w:eastAsia="en-GB"/>
        </w:rPr>
        <w:t>Assessing programme performance, identifyi</w:t>
      </w:r>
      <w:r>
        <w:rPr>
          <w:rFonts w:ascii="EC Square Sans Pro" w:eastAsia="Times New Roman" w:hAnsi="EC Square Sans Pro" w:cs="Times New Roman"/>
          <w:bCs/>
          <w:i/>
          <w:iCs/>
          <w:noProof/>
          <w:sz w:val="20"/>
          <w:szCs w:val="20"/>
          <w:lang w:eastAsia="en-GB"/>
        </w:rPr>
        <w:t>ng and following up on implementation weaknesses</w:t>
      </w:r>
    </w:p>
    <w:p w:rsidR="000C6D03" w:rsidRDefault="00873433">
      <w:pPr>
        <w:spacing w:after="240" w:line="240" w:lineRule="auto"/>
        <w:jc w:val="both"/>
        <w:rPr>
          <w:rFonts w:ascii="EC Square Sans Pro" w:eastAsia="Times New Roman" w:hAnsi="EC Square Sans Pro" w:cs="Times New Roman"/>
          <w:noProof/>
          <w:sz w:val="20"/>
          <w:szCs w:val="20"/>
          <w:lang w:val="en-IE"/>
        </w:rPr>
      </w:pPr>
      <w:r>
        <w:rPr>
          <w:rFonts w:ascii="EC Square Sans Pro" w:eastAsia="Times New Roman" w:hAnsi="EC Square Sans Pro" w:cs="Times New Roman"/>
          <w:noProof/>
          <w:sz w:val="20"/>
          <w:szCs w:val="20"/>
          <w:lang w:eastAsia="en-GB"/>
        </w:rPr>
        <w:t xml:space="preserve">The Directorate-General for Regional and Urban Policy, the Directorate-General for Employment, Social Affairs and Inclusion and the Directorate-General for Maritime Affairs and Fisheries should </w:t>
      </w:r>
      <w:r>
        <w:rPr>
          <w:rFonts w:ascii="EC Square Sans Pro" w:eastAsia="Times New Roman" w:hAnsi="EC Square Sans Pro" w:cs="Times New Roman"/>
          <w:noProof/>
          <w:sz w:val="20"/>
          <w:szCs w:val="20"/>
          <w:lang w:val="en-IE"/>
        </w:rPr>
        <w:t xml:space="preserve">improve the </w:t>
      </w:r>
      <w:r>
        <w:rPr>
          <w:rFonts w:ascii="EC Square Sans Pro" w:eastAsia="Times New Roman" w:hAnsi="EC Square Sans Pro" w:cs="Times New Roman"/>
          <w:noProof/>
          <w:sz w:val="20"/>
          <w:szCs w:val="20"/>
          <w:lang w:val="en-IE"/>
        </w:rPr>
        <w:t>review process of the annual implementation reports by clarifying the scope of the assessment of implementation issues</w:t>
      </w:r>
      <w:r>
        <w:rPr>
          <w:rFonts w:ascii="EC Square Sans Pro" w:eastAsia="Times New Roman" w:hAnsi="EC Square Sans Pro" w:cs="Times New Roman"/>
          <w:noProof/>
          <w:sz w:val="20"/>
          <w:szCs w:val="20"/>
        </w:rPr>
        <w:t xml:space="preserve"> and </w:t>
      </w:r>
      <w:r>
        <w:rPr>
          <w:rFonts w:ascii="EC Square Sans Pro" w:eastAsia="Times New Roman" w:hAnsi="EC Square Sans Pro" w:cs="Times New Roman"/>
          <w:noProof/>
          <w:sz w:val="20"/>
          <w:szCs w:val="20"/>
          <w:lang w:val="en-IE"/>
        </w:rPr>
        <w:t>providing guidance on how to formulate a clear overall assessment on the performance of programmes. Their Article 50(8) letters shoul</w:t>
      </w:r>
      <w:r>
        <w:rPr>
          <w:rFonts w:ascii="EC Square Sans Pro" w:eastAsia="Times New Roman" w:hAnsi="EC Square Sans Pro" w:cs="Times New Roman"/>
          <w:noProof/>
          <w:sz w:val="20"/>
          <w:szCs w:val="20"/>
          <w:lang w:val="en-IE"/>
        </w:rPr>
        <w:t>d communicate clearly on all serious implementation issues identified following their own assessment of operational programme implementation and their expectations about the elements that the managing authorities should include in their replies to facilita</w:t>
      </w:r>
      <w:r>
        <w:rPr>
          <w:rFonts w:ascii="EC Square Sans Pro" w:eastAsia="Times New Roman" w:hAnsi="EC Square Sans Pro" w:cs="Times New Roman"/>
          <w:noProof/>
          <w:sz w:val="20"/>
          <w:szCs w:val="20"/>
          <w:lang w:val="en-IE"/>
        </w:rPr>
        <w:t xml:space="preserve">te follow-up. Finally, </w:t>
      </w:r>
      <w:r>
        <w:rPr>
          <w:rFonts w:ascii="EC Square Sans Pro" w:eastAsia="Times New Roman" w:hAnsi="EC Square Sans Pro" w:cs="Times New Roman"/>
          <w:noProof/>
          <w:sz w:val="20"/>
          <w:szCs w:val="20"/>
          <w:lang w:val="en-IE" w:eastAsia="en-GB"/>
        </w:rPr>
        <w:t xml:space="preserve">apart from enhanced monitoring by the Directorate-General for Regional and Urban Policy of the implementation of ‘programmes in difficulty’, </w:t>
      </w:r>
      <w:r>
        <w:rPr>
          <w:rFonts w:ascii="EC Square Sans Pro" w:eastAsia="Times New Roman" w:hAnsi="EC Square Sans Pro" w:cs="Times New Roman"/>
          <w:noProof/>
          <w:sz w:val="20"/>
          <w:szCs w:val="20"/>
          <w:lang w:eastAsia="en-GB"/>
        </w:rPr>
        <w:t xml:space="preserve">the Directorates-General should </w:t>
      </w:r>
      <w:r>
        <w:rPr>
          <w:rFonts w:ascii="EC Square Sans Pro" w:eastAsia="Times New Roman" w:hAnsi="EC Square Sans Pro" w:cs="Times New Roman"/>
          <w:noProof/>
          <w:sz w:val="20"/>
          <w:szCs w:val="20"/>
          <w:lang w:val="en-IE" w:eastAsia="en-GB"/>
        </w:rPr>
        <w:t>strengthen their follow-up on issues that significantly affe</w:t>
      </w:r>
      <w:r>
        <w:rPr>
          <w:rFonts w:ascii="EC Square Sans Pro" w:eastAsia="Times New Roman" w:hAnsi="EC Square Sans Pro" w:cs="Times New Roman"/>
          <w:noProof/>
          <w:sz w:val="20"/>
          <w:szCs w:val="20"/>
          <w:lang w:val="en-IE" w:eastAsia="en-GB"/>
        </w:rPr>
        <w:t>ct programme implementation</w:t>
      </w:r>
      <w:r>
        <w:rPr>
          <w:rFonts w:ascii="EC Square Sans Pro" w:eastAsia="Times New Roman" w:hAnsi="EC Square Sans Pro" w:cs="Times New Roman"/>
          <w:noProof/>
          <w:sz w:val="20"/>
          <w:szCs w:val="20"/>
          <w:lang w:eastAsia="en-GB"/>
        </w:rPr>
        <w:t xml:space="preserve">. They should therefore </w:t>
      </w:r>
      <w:r>
        <w:rPr>
          <w:rFonts w:ascii="EC Square Sans Pro" w:eastAsia="Times New Roman" w:hAnsi="EC Square Sans Pro" w:cs="Times New Roman"/>
          <w:noProof/>
          <w:sz w:val="20"/>
          <w:szCs w:val="20"/>
          <w:lang w:val="en-IE"/>
        </w:rPr>
        <w:t>critically review the corrective actions communicated by Member States, and follow-up on and keep track of the effective implementation of these corrective actions in a more structured manner through the v</w:t>
      </w:r>
      <w:r>
        <w:rPr>
          <w:rFonts w:ascii="EC Square Sans Pro" w:eastAsia="Times New Roman" w:hAnsi="EC Square Sans Pro" w:cs="Times New Roman"/>
          <w:noProof/>
          <w:sz w:val="20"/>
          <w:szCs w:val="20"/>
          <w:lang w:val="en-IE"/>
        </w:rPr>
        <w:t>arious monitoring activities.</w:t>
      </w:r>
    </w:p>
    <w:p w:rsidR="000C6D03" w:rsidRDefault="00873433">
      <w:pPr>
        <w:spacing w:after="240" w:line="240" w:lineRule="auto"/>
        <w:rPr>
          <w:rFonts w:ascii="EC Square Sans Pro" w:eastAsia="Times New Roman" w:hAnsi="EC Square Sans Pro" w:cs="Times New Roman"/>
          <w:i/>
          <w:noProof/>
          <w:color w:val="000000"/>
          <w:sz w:val="20"/>
          <w:szCs w:val="20"/>
          <w:highlight w:val="yellow"/>
          <w:lang w:eastAsia="en-GB"/>
        </w:rPr>
      </w:pPr>
      <w:r>
        <w:rPr>
          <w:rFonts w:ascii="EC Square Sans Pro" w:eastAsia="Times New Roman" w:hAnsi="EC Square Sans Pro" w:cs="Times New Roman"/>
          <w:bCs/>
          <w:i/>
          <w:iCs/>
          <w:noProof/>
          <w:sz w:val="20"/>
          <w:szCs w:val="20"/>
          <w:lang w:eastAsia="en-GB"/>
        </w:rPr>
        <w:t>Performance data reliability</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 xml:space="preserve">The Directorate-General for Regional and Urban Policy and the Directorate-General for Employment, Social Affairs and Inclusion </w:t>
      </w:r>
      <w:r>
        <w:rPr>
          <w:rFonts w:ascii="EC Square Sans Pro" w:eastAsia="Times New Roman" w:hAnsi="EC Square Sans Pro" w:cs="Times New Roman"/>
          <w:noProof/>
          <w:sz w:val="20"/>
          <w:szCs w:val="20"/>
        </w:rPr>
        <w:t>should align their strategies for a performance-based culture to ensur</w:t>
      </w:r>
      <w:r>
        <w:rPr>
          <w:rFonts w:ascii="EC Square Sans Pro" w:eastAsia="Times New Roman" w:hAnsi="EC Square Sans Pro" w:cs="Times New Roman"/>
          <w:noProof/>
          <w:sz w:val="20"/>
          <w:szCs w:val="20"/>
        </w:rPr>
        <w:t>e a consistent approach on how to build up assurance on the reliability of performance data. They should conclude on the level of assurance that can be drawn from the work of the audit authorities on performance data reliability during the review of the as</w:t>
      </w:r>
      <w:r>
        <w:rPr>
          <w:rFonts w:ascii="EC Square Sans Pro" w:eastAsia="Times New Roman" w:hAnsi="EC Square Sans Pro" w:cs="Times New Roman"/>
          <w:noProof/>
          <w:sz w:val="20"/>
          <w:szCs w:val="20"/>
        </w:rPr>
        <w:t>surance packages. If the level of assurance is not sufficient, they should apply mitigating measures for closing assurance gaps. Finally, the Directorates-General should give additional clear instructions to the audit authorities on reporting and concludin</w:t>
      </w:r>
      <w:r>
        <w:rPr>
          <w:rFonts w:ascii="EC Square Sans Pro" w:eastAsia="Times New Roman" w:hAnsi="EC Square Sans Pro" w:cs="Times New Roman"/>
          <w:noProof/>
          <w:sz w:val="20"/>
          <w:szCs w:val="20"/>
        </w:rPr>
        <w:t>g on their work on performance data in the annual control reports in the years prior to closure and in the annual control report of the last accounting year</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DGs REGIO, EMPL and MARE on the measures drawn up and/or impleme</w:t>
      </w:r>
      <w:r>
        <w:rPr>
          <w:rFonts w:ascii="EC Square Sans Pro" w:eastAsia="EC Square Sans Pro" w:hAnsi="EC Square Sans Pro" w:cs="Times New Roman"/>
          <w:b/>
          <w:noProof/>
          <w:color w:val="005D95"/>
          <w:sz w:val="20"/>
          <w:lang w:eastAsia="fr-BE"/>
        </w:rPr>
        <w:t>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The Directorate-General for Regional and Urban Policy’s action plan was agreed with the Internal Audit Service and sent in February 2020. The Directorate-General has plans in place to implement three (out of three) recommendations concerning assessment of </w:t>
      </w:r>
      <w:r>
        <w:rPr>
          <w:rFonts w:ascii="EC Square Sans Pro" w:eastAsia="EC Square Sans Pro" w:hAnsi="EC Square Sans Pro" w:cs="Times New Roman"/>
          <w:noProof/>
          <w:sz w:val="20"/>
          <w:lang w:eastAsia="fr-BE"/>
        </w:rPr>
        <w:t xml:space="preserve">programme performance, performance data reliability and reporting on implementation. Most of these are expected to be implemented by mid-2020.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As regards the Directorate-General for Employment, Social Affairs and Inclusion, the action plan was agreed with</w:t>
      </w:r>
      <w:r>
        <w:rPr>
          <w:rFonts w:ascii="EC Square Sans Pro" w:eastAsia="EC Square Sans Pro" w:hAnsi="EC Square Sans Pro" w:cs="Times New Roman"/>
          <w:noProof/>
          <w:sz w:val="20"/>
          <w:lang w:eastAsia="fr-BE"/>
        </w:rPr>
        <w:t xml:space="preserve"> the Internal Audit Service and sent on 14 February 2020, and the Directorate-General plans to implement all three recommendations in the first half of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Maritime Affairs and Fisheries is affected by two out of three recomme</w:t>
      </w:r>
      <w:r>
        <w:rPr>
          <w:rFonts w:ascii="EC Square Sans Pro" w:eastAsia="EC Square Sans Pro" w:hAnsi="EC Square Sans Pro" w:cs="Times New Roman"/>
          <w:noProof/>
          <w:sz w:val="20"/>
          <w:lang w:eastAsia="fr-BE"/>
        </w:rPr>
        <w:t>ndations relating to assessing programme performance and following up on implementation weaknesses (very important). The Directorate-General has drafted its related consolidated action plan and communicated to the Internal Audit Service on time; the action</w:t>
      </w:r>
      <w:r>
        <w:rPr>
          <w:rFonts w:ascii="EC Square Sans Pro" w:eastAsia="EC Square Sans Pro" w:hAnsi="EC Square Sans Pro" w:cs="Times New Roman"/>
          <w:noProof/>
          <w:sz w:val="20"/>
          <w:lang w:eastAsia="fr-BE"/>
        </w:rPr>
        <w:t>s will be implemented jointly with the Directorates-General for Regional and Urban Policy and for Employment, Social Affairs and Inclusion.</w:t>
      </w:r>
    </w:p>
    <w:p w:rsidR="000C6D03" w:rsidRDefault="00873433">
      <w:pPr>
        <w:keepNext/>
        <w:numPr>
          <w:ilvl w:val="0"/>
          <w:numId w:val="43"/>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14" w:name="_Toc42788127"/>
      <w:r>
        <w:rPr>
          <w:rFonts w:ascii="EC Square Sans Pro" w:eastAsia="Times New Roman" w:hAnsi="EC Square Sans Pro" w:cs="Times New Roman"/>
          <w:b/>
          <w:i/>
          <w:noProof/>
          <w:color w:val="005D95"/>
          <w:sz w:val="24"/>
          <w:szCs w:val="20"/>
          <w:lang w:eastAsia="en-GB"/>
        </w:rPr>
        <w:t>Audit on management of recovery orders for competition fines (including guarantees for competition fines) and for re</w:t>
      </w:r>
      <w:r>
        <w:rPr>
          <w:rFonts w:ascii="EC Square Sans Pro" w:eastAsia="Times New Roman" w:hAnsi="EC Square Sans Pro" w:cs="Times New Roman"/>
          <w:b/>
          <w:i/>
          <w:noProof/>
          <w:color w:val="005D95"/>
          <w:sz w:val="24"/>
          <w:szCs w:val="20"/>
          <w:lang w:eastAsia="en-GB"/>
        </w:rPr>
        <w:t>covery orders in the context of the Commission’s 'corrective capacity' – phase 2 (DGs BUDG and COMP)</w:t>
      </w:r>
      <w:bookmarkEnd w:id="14"/>
    </w:p>
    <w:p w:rsidR="000C6D03" w:rsidRDefault="00873433">
      <w:pPr>
        <w:keepNext/>
        <w:spacing w:after="240" w:line="240" w:lineRule="auto"/>
        <w:jc w:val="both"/>
        <w:rPr>
          <w:rFonts w:ascii="EC Square Sans Pro" w:eastAsia="Calibri" w:hAnsi="EC Square Sans Pro" w:cs="Times New Roman"/>
          <w:b/>
          <w:noProof/>
          <w:sz w:val="20"/>
          <w:szCs w:val="20"/>
        </w:rPr>
      </w:pPr>
      <w:r>
        <w:rPr>
          <w:rFonts w:ascii="EC Square Sans Pro" w:eastAsia="Calibri" w:hAnsi="EC Square Sans Pro" w:cs="Times New Roman"/>
          <w:noProof/>
          <w:sz w:val="20"/>
          <w:szCs w:val="20"/>
        </w:rPr>
        <w:t>The audit was conducted in a phased approach. This involved first assessing the management of the recovery orders at operational level in a number of selec</w:t>
      </w:r>
      <w:r>
        <w:rPr>
          <w:rFonts w:ascii="EC Square Sans Pro" w:eastAsia="Calibri" w:hAnsi="EC Square Sans Pro" w:cs="Times New Roman"/>
          <w:noProof/>
          <w:sz w:val="20"/>
          <w:szCs w:val="20"/>
        </w:rPr>
        <w:t>ted Directorates-General (focus in phase 1) and then doing the same at central level (focus in phase 2).</w:t>
      </w:r>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 audit’s overall objective (</w:t>
      </w:r>
      <w:r>
        <w:rPr>
          <w:rFonts w:ascii="EC Square Sans Pro" w:eastAsia="Calibri" w:hAnsi="EC Square Sans Pro" w:cs="Times New Roman"/>
          <w:i/>
          <w:iCs/>
          <w:noProof/>
          <w:sz w:val="20"/>
          <w:szCs w:val="20"/>
        </w:rPr>
        <w:t xml:space="preserve">phase 1 </w:t>
      </w:r>
      <w:r>
        <w:rPr>
          <w:rFonts w:ascii="EC Square Sans Pro" w:eastAsia="Calibri" w:hAnsi="EC Square Sans Pro" w:cs="Times New Roman"/>
          <w:iCs/>
          <w:noProof/>
          <w:sz w:val="20"/>
          <w:szCs w:val="20"/>
        </w:rPr>
        <w:t>and</w:t>
      </w:r>
      <w:r>
        <w:rPr>
          <w:rFonts w:ascii="EC Square Sans Pro" w:eastAsia="Calibri" w:hAnsi="EC Square Sans Pro" w:cs="Times New Roman"/>
          <w:i/>
          <w:iCs/>
          <w:noProof/>
          <w:sz w:val="20"/>
          <w:szCs w:val="20"/>
        </w:rPr>
        <w:t xml:space="preserve"> phase 2</w:t>
      </w:r>
      <w:r>
        <w:rPr>
          <w:rFonts w:ascii="EC Square Sans Pro" w:eastAsia="Calibri" w:hAnsi="EC Square Sans Pro" w:cs="Times New Roman"/>
          <w:noProof/>
          <w:sz w:val="20"/>
          <w:szCs w:val="20"/>
        </w:rPr>
        <w:t xml:space="preserve">) was to assess whether the Commission has put in place an effective and efficient control system to </w:t>
      </w:r>
      <w:r>
        <w:rPr>
          <w:rFonts w:ascii="EC Square Sans Pro" w:eastAsia="Calibri" w:hAnsi="EC Square Sans Pro" w:cs="Times New Roman"/>
          <w:noProof/>
          <w:sz w:val="20"/>
          <w:szCs w:val="20"/>
        </w:rPr>
        <w:t>manage: (i) recovery orders for competition fines (including guarantees for competition fines), and (ii) recovery orders in the context of the Commission's 'corrective capacity', both at central and operational level.</w:t>
      </w:r>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Phase 1 of the audit, which was finali</w:t>
      </w:r>
      <w:r>
        <w:rPr>
          <w:rFonts w:ascii="EC Square Sans Pro" w:eastAsia="Calibri" w:hAnsi="EC Square Sans Pro" w:cs="Times New Roman"/>
          <w:noProof/>
          <w:sz w:val="20"/>
          <w:szCs w:val="20"/>
        </w:rPr>
        <w:t>sed in September 2017, assessed the efficiency and effectiveness of the system put in place to manage recovery orders in a sample of three services: the Directorate-General for Communications Networks, Content and Technology, the Directorate-General for En</w:t>
      </w:r>
      <w:r>
        <w:rPr>
          <w:rFonts w:ascii="EC Square Sans Pro" w:eastAsia="Calibri" w:hAnsi="EC Square Sans Pro" w:cs="Times New Roman"/>
          <w:noProof/>
          <w:sz w:val="20"/>
          <w:szCs w:val="20"/>
        </w:rPr>
        <w:t>ergy and the Education, Audiovisual and Culture Executive Agency. It also assessed the timeliness and efficiency of the enforced recovery process performed by the Legal Service, as well as the support and guidance offered by that service to Authorising Off</w:t>
      </w:r>
      <w:r>
        <w:rPr>
          <w:rFonts w:ascii="EC Square Sans Pro" w:eastAsia="Calibri" w:hAnsi="EC Square Sans Pro" w:cs="Times New Roman"/>
          <w:noProof/>
          <w:sz w:val="20"/>
          <w:szCs w:val="20"/>
        </w:rPr>
        <w:t>icers by Delegation. The Internal Audit Service issued a separate audit report to each of the auditees, as well as a management letter to the Directorate-General for Budget.</w:t>
      </w:r>
    </w:p>
    <w:p w:rsidR="000C6D03" w:rsidRDefault="00873433">
      <w:pPr>
        <w:spacing w:after="240" w:line="240" w:lineRule="auto"/>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 objective of phase 2 of this audit was to assess whether:</w:t>
      </w:r>
    </w:p>
    <w:p w:rsidR="000C6D03" w:rsidRDefault="00873433">
      <w:pPr>
        <w:numPr>
          <w:ilvl w:val="0"/>
          <w:numId w:val="35"/>
        </w:numPr>
        <w:spacing w:after="240" w:line="240" w:lineRule="auto"/>
        <w:ind w:left="357" w:hanging="357"/>
        <w:jc w:val="both"/>
        <w:rPr>
          <w:rFonts w:ascii="EC Square Sans Pro" w:eastAsia="Calibri" w:hAnsi="EC Square Sans Pro" w:cs="Times New Roman"/>
          <w:noProof/>
          <w:sz w:val="20"/>
          <w:szCs w:val="20"/>
          <w:lang w:val="en-IE" w:eastAsia="ko-KR"/>
        </w:rPr>
      </w:pPr>
      <w:r>
        <w:rPr>
          <w:rFonts w:ascii="EC Square Sans Pro" w:eastAsia="Times New Roman" w:hAnsi="EC Square Sans Pro" w:cs="Times New Roman"/>
          <w:noProof/>
          <w:sz w:val="20"/>
          <w:szCs w:val="20"/>
          <w:lang w:val="en-IE" w:eastAsia="ko-KR"/>
        </w:rPr>
        <w:t xml:space="preserve">at central level, </w:t>
      </w:r>
      <w:r>
        <w:rPr>
          <w:rFonts w:ascii="EC Square Sans Pro" w:eastAsia="Times New Roman" w:hAnsi="EC Square Sans Pro" w:cs="Times New Roman"/>
          <w:noProof/>
          <w:sz w:val="20"/>
          <w:szCs w:val="20"/>
          <w:lang w:val="en-IE" w:eastAsia="ko-KR"/>
        </w:rPr>
        <w:t>the Directorate-General for Budget has put in place an effective and efficient control system to: (i) manage recovery orders for competition fines (including guarantees for competition fines); and (ii) manage recovery orders in the context of the Commissio</w:t>
      </w:r>
      <w:r>
        <w:rPr>
          <w:rFonts w:ascii="EC Square Sans Pro" w:eastAsia="Times New Roman" w:hAnsi="EC Square Sans Pro" w:cs="Times New Roman"/>
          <w:noProof/>
          <w:sz w:val="20"/>
          <w:szCs w:val="20"/>
          <w:lang w:val="en-IE" w:eastAsia="ko-KR"/>
        </w:rPr>
        <w:t>n's 'corrective capacity';</w:t>
      </w:r>
    </w:p>
    <w:p w:rsidR="000C6D03" w:rsidRDefault="00873433">
      <w:pPr>
        <w:numPr>
          <w:ilvl w:val="0"/>
          <w:numId w:val="35"/>
        </w:numPr>
        <w:spacing w:after="240" w:line="240" w:lineRule="auto"/>
        <w:ind w:left="360"/>
        <w:jc w:val="both"/>
        <w:rPr>
          <w:rFonts w:ascii="EC Square Sans Pro" w:eastAsia="Calibri" w:hAnsi="EC Square Sans Pro" w:cs="Times New Roman"/>
          <w:noProof/>
          <w:sz w:val="20"/>
          <w:szCs w:val="20"/>
          <w:lang w:val="en-IE" w:eastAsia="ko-KR"/>
        </w:rPr>
      </w:pPr>
      <w:r>
        <w:rPr>
          <w:rFonts w:ascii="EC Square Sans Pro" w:eastAsia="Times New Roman" w:hAnsi="EC Square Sans Pro" w:cs="Times New Roman"/>
          <w:noProof/>
          <w:sz w:val="20"/>
          <w:szCs w:val="20"/>
          <w:lang w:val="en-IE" w:eastAsia="ko-KR"/>
        </w:rPr>
        <w:t>at operational level, the Directorate-General for Competition has put in place efficient and effective control systems to manage recovery orders for competition fines.</w:t>
      </w:r>
    </w:p>
    <w:p w:rsidR="000C6D03" w:rsidRDefault="00873433">
      <w:pPr>
        <w:spacing w:after="240" w:line="240" w:lineRule="auto"/>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There were no reservations in the 2018 annual activity report</w:t>
      </w:r>
      <w:r>
        <w:rPr>
          <w:rFonts w:ascii="EC Square Sans Pro" w:eastAsia="Times New Roman" w:hAnsi="EC Square Sans Pro" w:cs="Times New Roman"/>
          <w:noProof/>
          <w:sz w:val="20"/>
          <w:szCs w:val="20"/>
          <w:lang w:val="en-IE" w:eastAsia="en-GB"/>
        </w:rPr>
        <w:t>s of the Directorate-General for Budget or the Directorate-General for Competition that relate to the area/process audited. The fieldwork was finalised in June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D</w:t>
      </w:r>
      <w:r>
        <w:rPr>
          <w:rFonts w:ascii="EC Square Sans Pro" w:eastAsia="Times New Roman" w:hAnsi="EC Square Sans Pro" w:cs="Times New Roman"/>
          <w:noProof/>
          <w:sz w:val="20"/>
          <w:szCs w:val="20"/>
          <w:lang w:eastAsia="en-GB"/>
        </w:rPr>
        <w:t xml:space="preserve">irectorate-General for Budget’s ongoing efforts to develop and improve the recovery process. In particular, the auditors identified the following strengths: </w:t>
      </w:r>
    </w:p>
    <w:p w:rsidR="000C6D03" w:rsidRDefault="00873433">
      <w:pPr>
        <w:numPr>
          <w:ilvl w:val="0"/>
          <w:numId w:val="3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clarity of the roles and responsibilities between the actors involved in the recovery process </w:t>
      </w:r>
      <w:r>
        <w:rPr>
          <w:rFonts w:ascii="EC Square Sans Pro" w:eastAsia="Times New Roman" w:hAnsi="EC Square Sans Pro" w:cs="Times New Roman"/>
          <w:noProof/>
          <w:sz w:val="20"/>
          <w:szCs w:val="20"/>
          <w:lang w:eastAsia="en-GB"/>
        </w:rPr>
        <w:t>(i.e. the Directorate-General for Budget, Authorising Officers by Delegation and the Legal Service);</w:t>
      </w:r>
    </w:p>
    <w:p w:rsidR="000C6D03" w:rsidRDefault="00873433">
      <w:pPr>
        <w:numPr>
          <w:ilvl w:val="0"/>
          <w:numId w:val="3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good quality of the instructions and guidance provided by the Directorate-General for Budget to the Directorates-General and Agencies, enabling them to</w:t>
      </w:r>
      <w:r>
        <w:rPr>
          <w:rFonts w:ascii="EC Square Sans Pro" w:eastAsia="Times New Roman" w:hAnsi="EC Square Sans Pro" w:cs="Times New Roman"/>
          <w:noProof/>
          <w:sz w:val="20"/>
          <w:szCs w:val="20"/>
          <w:lang w:eastAsia="en-GB"/>
        </w:rPr>
        <w:t xml:space="preserve"> take informed decisions on recoveries;</w:t>
      </w:r>
    </w:p>
    <w:p w:rsidR="000C6D03" w:rsidRDefault="00873433">
      <w:pPr>
        <w:numPr>
          <w:ilvl w:val="0"/>
          <w:numId w:val="3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the quarterly information provided by the Accounting Officer to the relevant Resources Directors on any outstanding issues observed at Authorising Officers by Delegation level in order to speed up the recovery proces</w:t>
      </w:r>
      <w:r>
        <w:rPr>
          <w:rFonts w:ascii="EC Square Sans Pro" w:eastAsia="Times New Roman" w:hAnsi="EC Square Sans Pro" w:cs="Times New Roman"/>
          <w:noProof/>
          <w:sz w:val="20"/>
          <w:szCs w:val="20"/>
          <w:lang w:val="en-IE" w:eastAsia="en-GB"/>
        </w:rPr>
        <w:t>s and ensure that it is effective;</w:t>
      </w:r>
    </w:p>
    <w:p w:rsidR="000C6D03" w:rsidRDefault="00873433">
      <w:pPr>
        <w:numPr>
          <w:ilvl w:val="0"/>
          <w:numId w:val="3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the new requirement for the Resources Directors to sign a note on the quality of the financial data; this formalises the Authorising Officers’ responsibility to guarantee the reliability of the information (including on r</w:t>
      </w:r>
      <w:r>
        <w:rPr>
          <w:rFonts w:ascii="EC Square Sans Pro" w:eastAsia="Times New Roman" w:hAnsi="EC Square Sans Pro" w:cs="Times New Roman"/>
          <w:noProof/>
          <w:sz w:val="20"/>
          <w:szCs w:val="20"/>
          <w:lang w:val="en-IE" w:eastAsia="en-GB"/>
        </w:rPr>
        <w:t>ecoveries) used to produce the annual accounts of the Commission</w:t>
      </w:r>
      <w:r>
        <w:rPr>
          <w:rFonts w:ascii="EC Square Sans Pro" w:eastAsia="Times New Roman" w:hAnsi="EC Square Sans Pro" w:cs="Times New Roman"/>
          <w:noProof/>
          <w:sz w:val="20"/>
          <w:szCs w:val="20"/>
          <w:lang w:eastAsia="en-GB"/>
        </w:rPr>
        <w: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two issues, one on </w:t>
      </w:r>
      <w:r>
        <w:rPr>
          <w:rFonts w:ascii="EC Square Sans Pro" w:eastAsia="Times New Roman" w:hAnsi="EC Square Sans Pro" w:cs="Times New Roman"/>
          <w:bCs/>
          <w:i/>
          <w:noProof/>
          <w:sz w:val="20"/>
          <w:szCs w:val="20"/>
          <w:lang w:eastAsia="en-GB"/>
        </w:rPr>
        <w:t xml:space="preserve">dealing with insolvencies and bankruptcies </w:t>
      </w:r>
      <w:r>
        <w:rPr>
          <w:rFonts w:ascii="EC Square Sans Pro" w:eastAsia="Times New Roman" w:hAnsi="EC Square Sans Pro" w:cs="Times New Roman"/>
          <w:bCs/>
          <w:noProof/>
          <w:sz w:val="20"/>
          <w:szCs w:val="20"/>
          <w:lang w:eastAsia="en-GB"/>
        </w:rPr>
        <w:t xml:space="preserve">and one concerning </w:t>
      </w:r>
      <w:r>
        <w:rPr>
          <w:rFonts w:ascii="EC Square Sans Pro" w:eastAsia="Times New Roman" w:hAnsi="EC Square Sans Pro" w:cs="Times New Roman"/>
          <w:bCs/>
          <w:i/>
          <w:noProof/>
          <w:sz w:val="20"/>
          <w:szCs w:val="20"/>
          <w:lang w:eastAsia="en-GB"/>
        </w:rPr>
        <w:t>t</w:t>
      </w:r>
      <w:r>
        <w:rPr>
          <w:rFonts w:ascii="EC Square Sans Pro" w:eastAsia="Times New Roman" w:hAnsi="EC Square Sans Pro" w:cs="Times New Roman"/>
          <w:bCs/>
          <w:i/>
          <w:noProof/>
          <w:sz w:val="20"/>
          <w:szCs w:val="20"/>
          <w:lang w:val="en-IE" w:eastAsia="en-GB"/>
        </w:rPr>
        <w:t>he offsetting process by the Accounting Officer</w:t>
      </w:r>
      <w:r>
        <w:rPr>
          <w:rFonts w:ascii="EC Square Sans Pro" w:eastAsia="Times New Roman" w:hAnsi="EC Square Sans Pro" w:cs="Times New Roman"/>
          <w:bCs/>
          <w:noProof/>
          <w:sz w:val="20"/>
          <w:szCs w:val="20"/>
          <w:lang w:val="en-IE" w:eastAsia="en-GB"/>
        </w:rPr>
        <w:t>, and formulated the fo</w:t>
      </w:r>
      <w:r>
        <w:rPr>
          <w:rFonts w:ascii="EC Square Sans Pro" w:eastAsia="Times New Roman" w:hAnsi="EC Square Sans Pro" w:cs="Times New Roman"/>
          <w:bCs/>
          <w:noProof/>
          <w:sz w:val="20"/>
          <w:szCs w:val="20"/>
          <w:lang w:val="en-IE" w:eastAsia="en-GB"/>
        </w:rPr>
        <w:t>llowing very important recommendations:</w:t>
      </w:r>
    </w:p>
    <w:p w:rsidR="000C6D03" w:rsidRDefault="00873433">
      <w:pPr>
        <w:spacing w:after="240" w:line="240" w:lineRule="auto"/>
        <w:jc w:val="both"/>
        <w:rPr>
          <w:rFonts w:ascii="EC Square Sans Pro" w:eastAsia="Times New Roman" w:hAnsi="EC Square Sans Pro" w:cs="Times New Roman"/>
          <w:i/>
          <w:iCs/>
          <w:noProof/>
          <w:sz w:val="20"/>
          <w:szCs w:val="20"/>
          <w:lang w:eastAsia="en-GB"/>
        </w:rPr>
      </w:pPr>
      <w:r>
        <w:rPr>
          <w:rFonts w:ascii="EC Square Sans Pro" w:eastAsia="Times New Roman" w:hAnsi="EC Square Sans Pro" w:cs="Times New Roman"/>
          <w:bCs/>
          <w:i/>
          <w:noProof/>
          <w:sz w:val="20"/>
          <w:szCs w:val="20"/>
          <w:lang w:eastAsia="en-GB"/>
        </w:rPr>
        <w:t>Dealing with insolvencies and bankruptcies</w:t>
      </w:r>
    </w:p>
    <w:p w:rsidR="000C6D03" w:rsidRDefault="00873433">
      <w:pPr>
        <w:spacing w:after="240" w:line="240" w:lineRule="auto"/>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eastAsia="en-GB"/>
        </w:rPr>
        <w:t xml:space="preserve">The Directorate-General for Budget should instruct the Authorising Officers by Delegation to ensure that the information on insolvent and bankrupt legal entities is </w:t>
      </w:r>
      <w:r>
        <w:rPr>
          <w:rFonts w:ascii="EC Square Sans Pro" w:eastAsia="Times New Roman" w:hAnsi="EC Square Sans Pro" w:cs="Times New Roman"/>
          <w:noProof/>
          <w:sz w:val="20"/>
          <w:szCs w:val="20"/>
          <w:lang w:eastAsia="en-GB"/>
        </w:rPr>
        <w:t>accurately and timely reported in the relevant databases. It should also put in place preventive and detective risk-based controls to review regularly</w:t>
      </w:r>
      <w:r>
        <w:rPr>
          <w:rFonts w:ascii="EC Square Sans Pro" w:eastAsia="Times New Roman" w:hAnsi="EC Square Sans Pro" w:cs="Times New Roman"/>
          <w:noProof/>
          <w:sz w:val="20"/>
          <w:szCs w:val="20"/>
          <w:lang w:val="en-IE" w:eastAsia="en-GB"/>
        </w:rPr>
        <w:t xml:space="preserve"> the financial and legal situation of economic operators with pending recovery orders. Finally, the Direct</w:t>
      </w:r>
      <w:r>
        <w:rPr>
          <w:rFonts w:ascii="EC Square Sans Pro" w:eastAsia="Times New Roman" w:hAnsi="EC Square Sans Pro" w:cs="Times New Roman"/>
          <w:noProof/>
          <w:sz w:val="20"/>
          <w:szCs w:val="20"/>
          <w:lang w:val="en-IE" w:eastAsia="en-GB"/>
        </w:rPr>
        <w:t>orate-General for Budget should invite the Commission’s Corporate Management Board to decide on the set-up of a comprehensive and reliable set of tools at Commission level, enabling the Authorising Officers and ultimately the Accounting Officer to be infor</w:t>
      </w:r>
      <w:r>
        <w:rPr>
          <w:rFonts w:ascii="EC Square Sans Pro" w:eastAsia="Times New Roman" w:hAnsi="EC Square Sans Pro" w:cs="Times New Roman"/>
          <w:noProof/>
          <w:sz w:val="20"/>
          <w:szCs w:val="20"/>
          <w:lang w:val="en-IE" w:eastAsia="en-GB"/>
        </w:rPr>
        <w:t xml:space="preserve">med and alerted in a timely manner about the financial and legal situation of contractors and beneficiaries and take remedial action when necessary. </w:t>
      </w:r>
    </w:p>
    <w:p w:rsidR="000C6D03" w:rsidRDefault="00873433">
      <w:pPr>
        <w:autoSpaceDE w:val="0"/>
        <w:autoSpaceDN w:val="0"/>
        <w:adjustRightInd w:val="0"/>
        <w:spacing w:after="240" w:line="240" w:lineRule="auto"/>
        <w:rPr>
          <w:rFonts w:ascii="EC Square Sans Pro" w:eastAsia="Calibri" w:hAnsi="EC Square Sans Pro" w:cs="Times New Roman"/>
          <w:i/>
          <w:iCs/>
          <w:noProof/>
          <w:color w:val="000000"/>
          <w:sz w:val="20"/>
          <w:szCs w:val="20"/>
          <w:lang w:val="en-IE"/>
        </w:rPr>
      </w:pPr>
      <w:r>
        <w:rPr>
          <w:rFonts w:ascii="EC Square Sans Pro" w:eastAsia="Calibri" w:hAnsi="EC Square Sans Pro" w:cs="Times New Roman"/>
          <w:bCs/>
          <w:i/>
          <w:noProof/>
          <w:color w:val="000000"/>
          <w:sz w:val="20"/>
          <w:szCs w:val="20"/>
          <w:lang w:val="en-IE"/>
        </w:rPr>
        <w:t>The offsetting process by the Accounting Officer</w:t>
      </w:r>
    </w:p>
    <w:p w:rsidR="000C6D03" w:rsidRDefault="00873433">
      <w:pPr>
        <w:spacing w:after="240" w:line="240" w:lineRule="auto"/>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The Directorate-General for Budget should clarify with th</w:t>
      </w:r>
      <w:r>
        <w:rPr>
          <w:rFonts w:ascii="EC Square Sans Pro" w:eastAsia="Times New Roman" w:hAnsi="EC Square Sans Pro" w:cs="Times New Roman"/>
          <w:noProof/>
          <w:sz w:val="20"/>
          <w:szCs w:val="20"/>
          <w:lang w:val="en-IE" w:eastAsia="en-GB"/>
        </w:rPr>
        <w:t>e Legal Service whether its approach/criteria for not offsetting payments complies with the legal basis and take the necessary actions following the Legal Service’s advice. Furthermore, it should improve the information flows between units, maintain and up</w:t>
      </w:r>
      <w:r>
        <w:rPr>
          <w:rFonts w:ascii="EC Square Sans Pro" w:eastAsia="Times New Roman" w:hAnsi="EC Square Sans Pro" w:cs="Times New Roman"/>
          <w:noProof/>
          <w:sz w:val="20"/>
          <w:szCs w:val="20"/>
          <w:lang w:val="en-IE" w:eastAsia="en-GB"/>
        </w:rPr>
        <w:t>date the ELC</w:t>
      </w:r>
      <w:r>
        <w:rPr>
          <w:rFonts w:ascii="Calibri" w:eastAsia="Times New Roman" w:hAnsi="Calibri" w:cs="Calibri"/>
          <w:noProof/>
          <w:sz w:val="20"/>
          <w:szCs w:val="20"/>
          <w:lang w:val="en-IE" w:eastAsia="en-GB"/>
        </w:rPr>
        <w:t> </w:t>
      </w:r>
      <w:r>
        <w:rPr>
          <w:rFonts w:ascii="Calibri" w:eastAsia="Times New Roman" w:hAnsi="Calibri" w:cs="Calibri"/>
          <w:noProof/>
          <w:sz w:val="20"/>
          <w:szCs w:val="20"/>
          <w:vertAlign w:val="superscript"/>
          <w:lang w:val="en-IE" w:eastAsia="en-GB"/>
        </w:rPr>
        <w:t>(</w:t>
      </w:r>
      <w:r>
        <w:rPr>
          <w:rFonts w:ascii="EC Square Sans Pro" w:eastAsia="Times New Roman" w:hAnsi="EC Square Sans Pro" w:cs="Times New Roman"/>
          <w:noProof/>
          <w:sz w:val="20"/>
          <w:szCs w:val="20"/>
          <w:vertAlign w:val="superscript"/>
          <w:lang w:val="nl" w:eastAsia="en-GB"/>
        </w:rPr>
        <w:footnoteReference w:id="6"/>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val="en-IE" w:eastAsia="en-GB"/>
        </w:rPr>
        <w:t xml:space="preserve"> database in a more efficient way and consider in the long term integrating the ELC database into SUMMA</w:t>
      </w:r>
      <w:r>
        <w:rPr>
          <w:rFonts w:ascii="Calibri" w:eastAsia="Times New Roman" w:hAnsi="Calibri" w:cs="Calibri"/>
          <w:noProof/>
          <w:sz w:val="20"/>
          <w:szCs w:val="20"/>
          <w:lang w:val="en-IE" w:eastAsia="en-GB"/>
        </w:rPr>
        <w:t> </w:t>
      </w:r>
      <w:r>
        <w:rPr>
          <w:rFonts w:ascii="Calibri" w:eastAsia="Times New Roman" w:hAnsi="Calibri" w:cs="Calibri"/>
          <w:noProof/>
          <w:sz w:val="20"/>
          <w:szCs w:val="20"/>
          <w:vertAlign w:val="superscript"/>
          <w:lang w:val="en-IE" w:eastAsia="en-GB"/>
        </w:rPr>
        <w:t>(</w:t>
      </w:r>
      <w:r>
        <w:rPr>
          <w:rFonts w:ascii="EC Square Sans Pro" w:eastAsia="Times New Roman" w:hAnsi="EC Square Sans Pro" w:cs="Times New Roman"/>
          <w:noProof/>
          <w:sz w:val="20"/>
          <w:szCs w:val="20"/>
          <w:vertAlign w:val="superscript"/>
          <w:lang w:val="nl" w:eastAsia="en-GB"/>
        </w:rPr>
        <w:footnoteReference w:id="7"/>
      </w:r>
      <w:r>
        <w:rPr>
          <w:rFonts w:ascii="Calibri" w:eastAsia="Times New Roman" w:hAnsi="Calibri" w:cs="Calibri"/>
          <w:noProof/>
          <w:sz w:val="20"/>
          <w:szCs w:val="20"/>
          <w:vertAlign w:val="superscript"/>
          <w:lang w:val="en-IE" w:eastAsia="en-GB"/>
        </w:rPr>
        <w:t>)</w:t>
      </w:r>
      <w:r>
        <w:rPr>
          <w:rFonts w:ascii="EC Square Sans Pro" w:eastAsia="Times New Roman" w:hAnsi="EC Square Sans Pro" w:cs="Times New Roman"/>
          <w:noProof/>
          <w:sz w:val="20"/>
          <w:szCs w:val="20"/>
          <w:lang w:val="en-IE" w:eastAsia="en-GB"/>
        </w:rPr>
        <w: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u w:val="single"/>
          <w:lang w:eastAsia="fr-BE"/>
        </w:rPr>
      </w:pPr>
      <w:r>
        <w:rPr>
          <w:rFonts w:ascii="EC Square Sans Pro" w:eastAsia="EC Square Sans Pro" w:hAnsi="EC Square Sans Pro" w:cs="Times New Roman"/>
          <w:b/>
          <w:noProof/>
          <w:color w:val="005D95"/>
          <w:sz w:val="20"/>
          <w:lang w:eastAsia="fr-BE"/>
        </w:rPr>
        <w:t>Additional information provided by DG BUDG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Budget accepted the recommendations and submitted to the Internal Audit Service an action plan on 10 January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According to this action plan the two very important recommendations will be implemented as follows: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Concerning t</w:t>
      </w:r>
      <w:r>
        <w:rPr>
          <w:rFonts w:ascii="EC Square Sans Pro" w:eastAsia="EC Square Sans Pro" w:hAnsi="EC Square Sans Pro" w:cs="Times New Roman"/>
          <w:noProof/>
          <w:sz w:val="20"/>
          <w:lang w:eastAsia="fr-BE"/>
        </w:rPr>
        <w:t xml:space="preserve">he recommendation on dealing with insolvencies and bankruptcies, actions will be implemented between Q1 2020 and Q2 2021. As for the recommendation on the offsetting process by the Accounting Officer, the action to ‘Provide the staff member(s) responsible </w:t>
      </w:r>
      <w:r>
        <w:rPr>
          <w:rFonts w:ascii="EC Square Sans Pro" w:eastAsia="EC Square Sans Pro" w:hAnsi="EC Square Sans Pro" w:cs="Times New Roman"/>
          <w:noProof/>
          <w:sz w:val="20"/>
          <w:lang w:eastAsia="fr-BE"/>
        </w:rPr>
        <w:t>to update the ELC database with access to the Orbis database to obtain reliable information on the legal entities’ structure’ had already been implemented when the action plan was submitted to the Internal Audit Service. The action on the interpretation of</w:t>
      </w:r>
      <w:r>
        <w:rPr>
          <w:rFonts w:ascii="EC Square Sans Pro" w:eastAsia="EC Square Sans Pro" w:hAnsi="EC Square Sans Pro" w:cs="Times New Roman"/>
          <w:noProof/>
          <w:sz w:val="20"/>
          <w:lang w:eastAsia="fr-BE"/>
        </w:rPr>
        <w:t xml:space="preserve"> Article 102 of the Financial Regulation is under development.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rest of the actions will be implemented by end-2020.</w:t>
      </w:r>
    </w:p>
    <w:p w:rsidR="000C6D03" w:rsidRDefault="00873433">
      <w:pPr>
        <w:numPr>
          <w:ilvl w:val="0"/>
          <w:numId w:val="43"/>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15" w:name="_Toc42788128"/>
      <w:r>
        <w:rPr>
          <w:rFonts w:ascii="EC Square Sans Pro" w:eastAsia="Times New Roman" w:hAnsi="EC Square Sans Pro" w:cs="Times New Roman"/>
          <w:b/>
          <w:i/>
          <w:noProof/>
          <w:color w:val="005D95"/>
          <w:sz w:val="24"/>
          <w:szCs w:val="20"/>
          <w:lang w:eastAsia="en-GB"/>
        </w:rPr>
        <w:t>Consulting engagement on the governance and supervision of executive agencies addressed to SG and DGs BUDG and HR</w:t>
      </w:r>
      <w:bookmarkEnd w:id="15"/>
    </w:p>
    <w:p w:rsidR="000C6D03" w:rsidRDefault="00873433">
      <w:pPr>
        <w:tabs>
          <w:tab w:val="left" w:pos="589"/>
        </w:tabs>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As set out in the </w:t>
      </w:r>
      <w:r>
        <w:rPr>
          <w:rFonts w:ascii="EC Square Sans Pro" w:eastAsia="Times New Roman" w:hAnsi="EC Square Sans Pro" w:cs="Times New Roman"/>
          <w:noProof/>
          <w:sz w:val="20"/>
          <w:szCs w:val="20"/>
          <w:lang w:eastAsia="en-GB"/>
        </w:rPr>
        <w:t>terms of reference agreed between the Internal Audit Service</w:t>
      </w:r>
      <w:r>
        <w:rPr>
          <w:noProof/>
        </w:rPr>
        <w:t xml:space="preserve"> </w:t>
      </w:r>
      <w:r>
        <w:rPr>
          <w:rFonts w:ascii="EC Square Sans Pro" w:eastAsia="Times New Roman" w:hAnsi="EC Square Sans Pro" w:cs="Times New Roman"/>
          <w:noProof/>
          <w:sz w:val="20"/>
          <w:szCs w:val="20"/>
          <w:lang w:eastAsia="en-GB"/>
        </w:rPr>
        <w:t xml:space="preserve">and the central services (the Secretariat-General, Directorates-General for Budget and for Human Resources and Security), the objectives of this engagement were to: </w:t>
      </w:r>
    </w:p>
    <w:p w:rsidR="000C6D03" w:rsidRDefault="00873433">
      <w:pPr>
        <w:numPr>
          <w:ilvl w:val="0"/>
          <w:numId w:val="37"/>
        </w:numPr>
        <w:tabs>
          <w:tab w:val="left" w:pos="589"/>
        </w:tabs>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define the scope of the super</w:t>
      </w:r>
      <w:r>
        <w:rPr>
          <w:rFonts w:ascii="EC Square Sans Pro" w:eastAsia="Calibri" w:hAnsi="EC Square Sans Pro" w:cs="Times New Roman"/>
          <w:noProof/>
          <w:sz w:val="20"/>
          <w:szCs w:val="20"/>
        </w:rPr>
        <w:t>vision;</w:t>
      </w:r>
    </w:p>
    <w:p w:rsidR="000C6D03" w:rsidRDefault="00873433">
      <w:pPr>
        <w:numPr>
          <w:ilvl w:val="0"/>
          <w:numId w:val="37"/>
        </w:numPr>
        <w:tabs>
          <w:tab w:val="left" w:pos="589"/>
        </w:tabs>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examine the roles and responsibilities in order to identify possible overlaps;</w:t>
      </w:r>
    </w:p>
    <w:p w:rsidR="000C6D03" w:rsidRDefault="00873433">
      <w:pPr>
        <w:numPr>
          <w:ilvl w:val="0"/>
          <w:numId w:val="37"/>
        </w:numPr>
        <w:tabs>
          <w:tab w:val="left" w:pos="589"/>
        </w:tabs>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assess if the existing legal base is fit for purpose;</w:t>
      </w:r>
    </w:p>
    <w:p w:rsidR="000C6D03" w:rsidRDefault="00873433">
      <w:pPr>
        <w:numPr>
          <w:ilvl w:val="0"/>
          <w:numId w:val="37"/>
        </w:numPr>
        <w:tabs>
          <w:tab w:val="left" w:pos="589"/>
        </w:tabs>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identify good practices to replicate across the Commission.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 this was a consulting engagement, no audit recommend</w:t>
      </w:r>
      <w:r>
        <w:rPr>
          <w:rFonts w:ascii="EC Square Sans Pro" w:eastAsia="Times New Roman" w:hAnsi="EC Square Sans Pro" w:cs="Times New Roman"/>
          <w:noProof/>
          <w:sz w:val="20"/>
          <w:szCs w:val="20"/>
          <w:lang w:eastAsia="en-GB"/>
        </w:rPr>
        <w:t>ations were formulated.</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16" w:name="_Toc42788129"/>
      <w:bookmarkStart w:id="17" w:name="_Toc2946427"/>
      <w:bookmarkEnd w:id="13"/>
      <w:r>
        <w:rPr>
          <w:rFonts w:ascii="EC Square Sans Pro" w:eastAsia="EC Square Sans Pro" w:hAnsi="EC Square Sans Pro" w:cs="Times New Roman"/>
          <w:b/>
          <w:noProof/>
          <w:color w:val="005D95"/>
          <w:sz w:val="28"/>
          <w:szCs w:val="21"/>
          <w:lang w:eastAsia="zh-CN"/>
        </w:rPr>
        <w:t>Agriculture, natural resources and health</w:t>
      </w:r>
      <w:bookmarkEnd w:id="16"/>
    </w:p>
    <w:p w:rsidR="000C6D03" w:rsidRDefault="00873433">
      <w:pPr>
        <w:keepNext/>
        <w:numPr>
          <w:ilvl w:val="0"/>
          <w:numId w:val="44"/>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18" w:name="_Toc42788130"/>
      <w:r>
        <w:rPr>
          <w:rFonts w:ascii="EC Square Sans Pro" w:eastAsia="Times New Roman" w:hAnsi="EC Square Sans Pro" w:cs="Times New Roman"/>
          <w:b/>
          <w:i/>
          <w:noProof/>
          <w:color w:val="005D95"/>
          <w:sz w:val="24"/>
          <w:szCs w:val="20"/>
          <w:lang w:eastAsia="en-GB"/>
        </w:rPr>
        <w:t xml:space="preserve">Audit on the management of the fruit and vegetables regime in </w:t>
      </w:r>
      <w:bookmarkEnd w:id="17"/>
      <w:r>
        <w:rPr>
          <w:rFonts w:ascii="EC Square Sans Pro" w:eastAsia="Times New Roman" w:hAnsi="EC Square Sans Pro" w:cs="Times New Roman"/>
          <w:b/>
          <w:i/>
          <w:noProof/>
          <w:color w:val="005D95"/>
          <w:sz w:val="24"/>
          <w:szCs w:val="20"/>
          <w:lang w:eastAsia="en-GB"/>
        </w:rPr>
        <w:t>DG AGRI</w:t>
      </w:r>
      <w:bookmarkEnd w:id="1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whether the Directorate-General for Agriculture and Rural Development has put i</w:t>
      </w:r>
      <w:r>
        <w:rPr>
          <w:rFonts w:ascii="EC Square Sans Pro" w:eastAsia="Times New Roman" w:hAnsi="EC Square Sans Pro" w:cs="Times New Roman"/>
          <w:noProof/>
          <w:sz w:val="20"/>
          <w:szCs w:val="20"/>
          <w:lang w:eastAsia="en-GB"/>
        </w:rPr>
        <w:t xml:space="preserve">n place adequately designed, efficient and effective internal control processes to manage and supervise the fruit and vegetables regime, thus ensuring that its policy objectives are achieved. </w:t>
      </w:r>
    </w:p>
    <w:p w:rsidR="000C6D03" w:rsidRDefault="00873433">
      <w:pPr>
        <w:spacing w:after="240" w:line="240" w:lineRule="auto"/>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 xml:space="preserve">The 2017 annual activity report included a reservation related </w:t>
      </w:r>
      <w:r>
        <w:rPr>
          <w:rFonts w:ascii="EC Square Sans Pro" w:eastAsia="Times New Roman" w:hAnsi="EC Square Sans Pro" w:cs="Times New Roman"/>
          <w:noProof/>
          <w:sz w:val="20"/>
          <w:szCs w:val="20"/>
          <w:lang w:eastAsia="fr-BE"/>
        </w:rPr>
        <w:t>to expenditure on market measures for fruit and vegetables operational programmes for producer organisations in Spain and Italy, as well as a general reservation on expenditure on market measures managed by the French paying agency Agrimer</w:t>
      </w:r>
      <w:r>
        <w:rPr>
          <w:rFonts w:ascii="EC Square Sans Pro" w:eastAsia="Times New Roman" w:hAnsi="EC Square Sans Pro" w:cs="Times New Roman"/>
          <w:noProof/>
          <w:sz w:val="20"/>
          <w:szCs w:val="20"/>
          <w:vertAlign w:val="superscript"/>
          <w:lang w:eastAsia="fr-BE"/>
        </w:rPr>
        <w:t>(</w:t>
      </w:r>
      <w:r>
        <w:rPr>
          <w:rFonts w:ascii="EC Square Sans Pro" w:eastAsia="Times New Roman" w:hAnsi="EC Square Sans Pro" w:cs="Times New Roman"/>
          <w:noProof/>
          <w:sz w:val="20"/>
          <w:szCs w:val="20"/>
          <w:vertAlign w:val="superscript"/>
          <w:lang w:val="nl" w:eastAsia="fr-BE"/>
        </w:rPr>
        <w:footnoteReference w:id="8"/>
      </w:r>
      <w:r>
        <w:rPr>
          <w:rFonts w:ascii="EC Square Sans Pro" w:eastAsia="Times New Roman" w:hAnsi="EC Square Sans Pro" w:cs="Times New Roman"/>
          <w:noProof/>
          <w:sz w:val="20"/>
          <w:szCs w:val="20"/>
          <w:vertAlign w:val="superscript"/>
          <w:lang w:eastAsia="fr-BE"/>
        </w:rPr>
        <w:t>)</w:t>
      </w:r>
      <w:r>
        <w:rPr>
          <w:rFonts w:ascii="EC Square Sans Pro" w:eastAsia="Times New Roman" w:hAnsi="EC Square Sans Pro" w:cs="Times New Roman"/>
          <w:noProof/>
          <w:sz w:val="20"/>
          <w:szCs w:val="20"/>
          <w:lang w:eastAsia="fr-BE"/>
        </w:rPr>
        <w:t>. The 2018 ann</w:t>
      </w:r>
      <w:r>
        <w:rPr>
          <w:rFonts w:ascii="EC Square Sans Pro" w:eastAsia="Times New Roman" w:hAnsi="EC Square Sans Pro" w:cs="Times New Roman"/>
          <w:noProof/>
          <w:sz w:val="20"/>
          <w:szCs w:val="20"/>
          <w:lang w:eastAsia="fr-BE"/>
        </w:rPr>
        <w:t>ual activity report included a similar reservation for Spain, the United Kingdom, Italy and Portugal, and a general reservation on expenditure managed by the French paying agency Agrimer</w:t>
      </w:r>
      <w:r>
        <w:rPr>
          <w:rFonts w:ascii="Calibri" w:eastAsia="Times New Roman" w:hAnsi="Calibri" w:cs="Calibri"/>
          <w:noProof/>
          <w:sz w:val="20"/>
          <w:szCs w:val="20"/>
          <w:lang w:eastAsia="fr-BE"/>
        </w:rPr>
        <w:t> </w:t>
      </w:r>
      <w:r>
        <w:rPr>
          <w:rFonts w:ascii="Calibri" w:eastAsia="Times New Roman" w:hAnsi="Calibri" w:cs="Calibri"/>
          <w:noProof/>
          <w:sz w:val="20"/>
          <w:szCs w:val="20"/>
          <w:vertAlign w:val="superscript"/>
          <w:lang w:eastAsia="fr-BE"/>
        </w:rPr>
        <w:t>(</w:t>
      </w:r>
      <w:r>
        <w:rPr>
          <w:rFonts w:ascii="EC Square Sans Pro" w:eastAsia="Times New Roman" w:hAnsi="EC Square Sans Pro" w:cs="Times New Roman"/>
          <w:noProof/>
          <w:sz w:val="20"/>
          <w:szCs w:val="20"/>
          <w:vertAlign w:val="superscript"/>
          <w:lang w:val="nl" w:eastAsia="fr-BE"/>
        </w:rPr>
        <w:footnoteReference w:id="9"/>
      </w:r>
      <w:r>
        <w:rPr>
          <w:rFonts w:ascii="Calibri" w:eastAsia="Times New Roman" w:hAnsi="Calibri" w:cs="Calibri"/>
          <w:noProof/>
          <w:sz w:val="20"/>
          <w:szCs w:val="20"/>
          <w:vertAlign w:val="superscript"/>
          <w:lang w:eastAsia="fr-BE"/>
        </w:rPr>
        <w:t>)</w:t>
      </w:r>
      <w:r>
        <w:rPr>
          <w:rFonts w:ascii="EC Square Sans Pro" w:eastAsia="Times New Roman" w:hAnsi="EC Square Sans Pro" w:cs="Times New Roman"/>
          <w:noProof/>
          <w:sz w:val="20"/>
          <w:szCs w:val="20"/>
          <w:lang w:eastAsia="fr-BE"/>
        </w:rPr>
        <w:t>. The fieldwork was finalised on 24 June 2019. All recommendations</w:t>
      </w:r>
      <w:r>
        <w:rPr>
          <w:rFonts w:ascii="EC Square Sans Pro" w:eastAsia="Times New Roman" w:hAnsi="EC Square Sans Pro" w:cs="Times New Roman"/>
          <w:noProof/>
          <w:sz w:val="20"/>
          <w:szCs w:val="20"/>
          <w:lang w:eastAsia="fr-BE"/>
        </w:rPr>
        <w:t xml:space="preserve"> relate to the situation as of that date.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in-depth knowledge, expertise and commitment of staff managing the fruit and vegetables regime.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two issues, one concerning the </w:t>
      </w:r>
      <w:r>
        <w:rPr>
          <w:rFonts w:ascii="EC Square Sans Pro" w:eastAsia="Times New Roman" w:hAnsi="EC Square Sans Pro" w:cs="Times New Roman"/>
          <w:i/>
          <w:noProof/>
          <w:sz w:val="20"/>
          <w:szCs w:val="20"/>
          <w:lang w:eastAsia="en-GB"/>
        </w:rPr>
        <w:t>instructions provide</w:t>
      </w:r>
      <w:r>
        <w:rPr>
          <w:rFonts w:ascii="EC Square Sans Pro" w:eastAsia="Times New Roman" w:hAnsi="EC Square Sans Pro" w:cs="Times New Roman"/>
          <w:i/>
          <w:noProof/>
          <w:sz w:val="20"/>
          <w:szCs w:val="20"/>
          <w:lang w:eastAsia="en-GB"/>
        </w:rPr>
        <w:t xml:space="preserve">d to Member States for implementing (and controlling) the fruit and vegetables regime </w:t>
      </w:r>
      <w:r>
        <w:rPr>
          <w:rFonts w:ascii="EC Square Sans Pro" w:eastAsia="Times New Roman" w:hAnsi="EC Square Sans Pro" w:cs="Times New Roman"/>
          <w:noProof/>
          <w:sz w:val="20"/>
          <w:szCs w:val="20"/>
          <w:lang w:eastAsia="en-GB"/>
        </w:rPr>
        <w:t xml:space="preserve">and one on the </w:t>
      </w:r>
      <w:r>
        <w:rPr>
          <w:rFonts w:ascii="EC Square Sans Pro" w:eastAsia="Times New Roman" w:hAnsi="EC Square Sans Pro" w:cs="Times New Roman"/>
          <w:i/>
          <w:noProof/>
          <w:sz w:val="20"/>
          <w:szCs w:val="20"/>
          <w:lang w:eastAsia="en-GB"/>
        </w:rPr>
        <w:t>monitoring and evaluation of the fruit and vegetables regime</w:t>
      </w:r>
      <w:r>
        <w:rPr>
          <w:rFonts w:ascii="EC Square Sans Pro" w:eastAsia="Times New Roman" w:hAnsi="EC Square Sans Pro" w:cs="Times New Roman"/>
          <w:noProof/>
          <w:sz w:val="20"/>
          <w:szCs w:val="20"/>
          <w:lang w:eastAsia="en-GB"/>
        </w:rPr>
        <w:t>, and formulated the following very important recommendations:</w:t>
      </w:r>
    </w:p>
    <w:p w:rsidR="000C6D03" w:rsidRDefault="00873433">
      <w:pPr>
        <w:spacing w:after="240" w:line="276"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Instructions to Member States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Agriculture and Rural Development should analyse the root causes of detected weaknesses and develop appropriate targeted actions with Member States to address these issues.</w:t>
      </w:r>
    </w:p>
    <w:p w:rsidR="000C6D03" w:rsidRDefault="00873433">
      <w:pPr>
        <w:spacing w:after="240" w:line="276"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Monitoring and evaluation of the fruit and vegetables </w:t>
      </w:r>
      <w:r>
        <w:rPr>
          <w:rFonts w:ascii="EC Square Sans Pro" w:eastAsia="Times New Roman" w:hAnsi="EC Square Sans Pro" w:cs="Times New Roman"/>
          <w:i/>
          <w:noProof/>
          <w:sz w:val="20"/>
          <w:szCs w:val="20"/>
          <w:lang w:eastAsia="en-GB"/>
        </w:rPr>
        <w:t>regime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Directorate-General for Agriculture and Rural Development should develop guidance for Member States on the expected content of the quality assessment section of the annual reports. In addition, the roles and duties of each official, as laid out </w:t>
      </w:r>
      <w:r>
        <w:rPr>
          <w:rFonts w:ascii="EC Square Sans Pro" w:eastAsia="Times New Roman" w:hAnsi="EC Square Sans Pro" w:cs="Times New Roman"/>
          <w:noProof/>
          <w:sz w:val="20"/>
          <w:szCs w:val="20"/>
          <w:lang w:eastAsia="en-GB"/>
        </w:rPr>
        <w:t>in the job descriptions, should be summarised in a procedure manual or workflow.</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AGRI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Agriculture and R</w:t>
      </w:r>
      <w:r>
        <w:rPr>
          <w:rFonts w:ascii="EC Square Sans Pro" w:eastAsia="EC Square Sans Pro" w:hAnsi="EC Square Sans Pro" w:cs="Times New Roman"/>
          <w:noProof/>
          <w:sz w:val="20"/>
          <w:lang w:eastAsia="fr-BE"/>
        </w:rPr>
        <w:t>ural Development has properly addressed this issue in the corresponding action plan and has been implementing all planned measures according to the agreed timeline.</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sectPr w:rsidR="000C6D03">
          <w:headerReference w:type="even" r:id="rId30"/>
          <w:headerReference w:type="default" r:id="rId31"/>
          <w:footerReference w:type="even" r:id="rId32"/>
          <w:footerReference w:type="default" r:id="rId33"/>
          <w:headerReference w:type="first" r:id="rId34"/>
          <w:footerReference w:type="first" r:id="rId35"/>
          <w:pgSz w:w="11906" w:h="16838" w:code="9"/>
          <w:pgMar w:top="851" w:right="1418" w:bottom="851" w:left="1418" w:header="567" w:footer="567" w:gutter="0"/>
          <w:cols w:space="720"/>
          <w:docGrid w:linePitch="360"/>
        </w:sectPr>
      </w:pPr>
      <w:r>
        <w:rPr>
          <w:rFonts w:ascii="EC Square Sans Pro" w:eastAsia="EC Square Sans Pro" w:hAnsi="EC Square Sans Pro" w:cs="Times New Roman"/>
          <w:noProof/>
          <w:sz w:val="20"/>
          <w:lang w:eastAsia="fr-BE"/>
        </w:rPr>
        <w:t>In relation to improving guidance to Member States for implementing (and controlling) the fruit and vegetables regime, the Directorate-General for Agriculture and Rural Development has resolved the backlog of legal interpretations. As of 2020, the Director</w:t>
      </w:r>
      <w:r>
        <w:rPr>
          <w:rFonts w:ascii="EC Square Sans Pro" w:eastAsia="EC Square Sans Pro" w:hAnsi="EC Square Sans Pro" w:cs="Times New Roman"/>
          <w:noProof/>
          <w:sz w:val="20"/>
          <w:lang w:eastAsia="fr-BE"/>
        </w:rPr>
        <w:t>ate-General uploads letters of interest of all Member States to CIRCABC (an IT secure platform for sharing information with Member State administrations) when the letters are sent out. It has also updated the Europa website concerning the current fruit and</w:t>
      </w:r>
      <w:r>
        <w:rPr>
          <w:rFonts w:ascii="EC Square Sans Pro" w:eastAsia="EC Square Sans Pro" w:hAnsi="EC Square Sans Pro" w:cs="Times New Roman"/>
          <w:noProof/>
          <w:sz w:val="20"/>
          <w:lang w:eastAsia="fr-BE"/>
        </w:rPr>
        <w:t xml:space="preserve"> vegetables regime. </w:t>
      </w:r>
      <w:r>
        <w:rPr>
          <w:noProof/>
        </w:rPr>
        <w:t xml:space="preserve"> T</w:t>
      </w:r>
      <w:r>
        <w:rPr>
          <w:rFonts w:ascii="EC Square Sans Pro" w:eastAsia="EC Square Sans Pro" w:hAnsi="EC Square Sans Pro" w:cs="Times New Roman"/>
          <w:noProof/>
          <w:sz w:val="20"/>
          <w:lang w:eastAsia="fr-BE"/>
        </w:rPr>
        <w:t>he analysis of the root causes of the main weaknesses identified regarding the fruit and vegetables regime emanating from audits, the exercise of clarification to Member States was finalised in April 2020 with a note on ‘technical iss</w:t>
      </w:r>
      <w:r>
        <w:rPr>
          <w:rFonts w:ascii="EC Square Sans Pro" w:eastAsia="EC Square Sans Pro" w:hAnsi="EC Square Sans Pro" w:cs="Times New Roman"/>
          <w:noProof/>
          <w:sz w:val="20"/>
          <w:lang w:eastAsia="fr-BE"/>
        </w:rPr>
        <w:t>ues following audit findings’ to the delegates of the fruits and vegatables management committee.The Directorate-General for Agriculture and Rural Development will soon finalise internal working tools and instructions to review the draft amended National F</w:t>
      </w:r>
      <w:r>
        <w:rPr>
          <w:rFonts w:ascii="EC Square Sans Pro" w:eastAsia="EC Square Sans Pro" w:hAnsi="EC Square Sans Pro" w:cs="Times New Roman"/>
          <w:noProof/>
          <w:sz w:val="20"/>
          <w:lang w:eastAsia="fr-BE"/>
        </w:rPr>
        <w:t xml:space="preserve">ramework for Environmental actions to ensure that the reviews are consistent and complete. As regards monitoring and evaluation of the fruit and vegetables regime, the Directorate-General finalised a guidance note enabling Member States to evalute in 2020 </w:t>
      </w:r>
      <w:r>
        <w:rPr>
          <w:rFonts w:ascii="EC Square Sans Pro" w:eastAsia="EC Square Sans Pro" w:hAnsi="EC Square Sans Pro" w:cs="Times New Roman"/>
          <w:noProof/>
          <w:sz w:val="20"/>
          <w:lang w:eastAsia="fr-BE"/>
        </w:rPr>
        <w:t>progress towards the overall objectives of their national strategies. The note was finalised</w:t>
      </w:r>
      <w:r>
        <w:rPr>
          <w:rFonts w:ascii="EC Square Sans Pro" w:eastAsia="EC Square Sans Pro" w:hAnsi="EC Square Sans Pro" w:cs="Times New Roman"/>
          <w:noProof/>
          <w:sz w:val="20"/>
          <w:lang w:eastAsia="fr-BE"/>
        </w:rPr>
        <w:br/>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after discussion with the Member States in the September and November 2019 Agricultural Management Committee meetings (i.e. of the Committee for common organisati</w:t>
      </w:r>
      <w:r>
        <w:rPr>
          <w:rFonts w:ascii="EC Square Sans Pro" w:eastAsia="EC Square Sans Pro" w:hAnsi="EC Square Sans Pro" w:cs="Times New Roman"/>
          <w:noProof/>
          <w:sz w:val="20"/>
          <w:lang w:eastAsia="fr-BE"/>
        </w:rPr>
        <w:t xml:space="preserve">on of agricultural markets). Dashboards on fruit and vegetables are published on the Agri-food data portal. Staff were also briefed on how to make better use of the data and information provided by Member States as part of the monitoring and evaluation of </w:t>
      </w:r>
      <w:r>
        <w:rPr>
          <w:rFonts w:ascii="EC Square Sans Pro" w:eastAsia="EC Square Sans Pro" w:hAnsi="EC Square Sans Pro" w:cs="Times New Roman"/>
          <w:noProof/>
          <w:sz w:val="20"/>
          <w:lang w:eastAsia="fr-BE"/>
        </w:rPr>
        <w:t>the common agricultural policy.</w:t>
      </w:r>
    </w:p>
    <w:p w:rsidR="000C6D03" w:rsidRDefault="00873433">
      <w:pPr>
        <w:keepNext/>
        <w:numPr>
          <w:ilvl w:val="0"/>
          <w:numId w:val="44"/>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19" w:name="_Toc2946428"/>
      <w:bookmarkStart w:id="20" w:name="_Toc42788131"/>
      <w:r>
        <w:rPr>
          <w:rFonts w:ascii="EC Square Sans Pro" w:eastAsia="Times New Roman" w:hAnsi="EC Square Sans Pro" w:cs="Times New Roman"/>
          <w:b/>
          <w:i/>
          <w:noProof/>
          <w:color w:val="005D95"/>
          <w:sz w:val="24"/>
          <w:szCs w:val="20"/>
          <w:lang w:eastAsia="en-GB"/>
        </w:rPr>
        <w:t>Audit on international activities in DG ENV</w:t>
      </w:r>
      <w:bookmarkEnd w:id="19"/>
      <w:bookmarkEnd w:id="20"/>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extent to which the Directorate-General for Environment effectively and efficiently manages its international activities (strategy, int</w:t>
      </w:r>
      <w:r>
        <w:rPr>
          <w:rFonts w:ascii="EC Square Sans Pro" w:eastAsia="Times New Roman" w:hAnsi="EC Square Sans Pro" w:cs="Times New Roman"/>
          <w:noProof/>
          <w:sz w:val="20"/>
          <w:szCs w:val="20"/>
          <w:lang w:eastAsia="en-GB"/>
        </w:rPr>
        <w:t xml:space="preserve">ernal organisation and operational processes, priority setting and spending).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relate to the area/process audited. The fieldwork was finalised on 19</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June 2019. All rec</w:t>
      </w:r>
      <w:r>
        <w:rPr>
          <w:rFonts w:ascii="EC Square Sans Pro" w:eastAsia="Times New Roman" w:hAnsi="EC Square Sans Pro" w:cs="Times New Roman"/>
          <w:noProof/>
          <w:sz w:val="20"/>
          <w:szCs w:val="20"/>
          <w:lang w:eastAsia="en-GB"/>
        </w:rPr>
        <w:t>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The Internal Audit Service identified one issue concerning </w:t>
      </w:r>
      <w:r>
        <w:rPr>
          <w:rFonts w:ascii="EC Square Sans Pro" w:eastAsia="Times New Roman" w:hAnsi="EC Square Sans Pro" w:cs="Times New Roman"/>
          <w:i/>
          <w:noProof/>
          <w:sz w:val="20"/>
          <w:szCs w:val="20"/>
          <w:lang w:eastAsia="ko-KR"/>
        </w:rPr>
        <w:t xml:space="preserve">coordination with the Directorate-General for International Cooperation and Development </w:t>
      </w:r>
      <w:r>
        <w:rPr>
          <w:rFonts w:ascii="EC Square Sans Pro" w:eastAsia="Times New Roman" w:hAnsi="EC Square Sans Pro" w:cs="Times New Roman"/>
          <w:noProof/>
          <w:sz w:val="20"/>
          <w:szCs w:val="20"/>
          <w:lang w:eastAsia="ko-KR"/>
        </w:rPr>
        <w:t>as regards</w:t>
      </w:r>
      <w:r>
        <w:rPr>
          <w:rFonts w:ascii="EC Square Sans Pro" w:eastAsia="Times New Roman" w:hAnsi="EC Square Sans Pro" w:cs="Times New Roman"/>
          <w:i/>
          <w:noProof/>
          <w:sz w:val="20"/>
          <w:szCs w:val="20"/>
          <w:lang w:eastAsia="ko-KR"/>
        </w:rPr>
        <w:t xml:space="preserve"> voluntary partnership agreements</w:t>
      </w:r>
      <w:r>
        <w:rPr>
          <w:rFonts w:ascii="EC Square Sans Pro" w:eastAsia="Times New Roman" w:hAnsi="EC Square Sans Pro" w:cs="Times New Roman"/>
          <w:noProof/>
          <w:sz w:val="20"/>
          <w:szCs w:val="20"/>
          <w:lang w:eastAsia="ko-KR"/>
        </w:rPr>
        <w:t xml:space="preserve"> and formulated the following very important recommendation:</w:t>
      </w:r>
    </w:p>
    <w:p w:rsidR="000C6D03" w:rsidRDefault="00873433">
      <w:pPr>
        <w:spacing w:after="240" w:line="240" w:lineRule="auto"/>
        <w:jc w:val="both"/>
        <w:rPr>
          <w:rFonts w:ascii="EC Square Sans Pro" w:eastAsia="Arial Unicode MS" w:hAnsi="EC Square Sans Pro" w:cs="Arial Unicode MS"/>
          <w:noProof/>
          <w:color w:val="000000"/>
          <w:sz w:val="20"/>
          <w:szCs w:val="20"/>
          <w:u w:color="000000"/>
          <w:lang w:eastAsia="en-GB"/>
        </w:rPr>
      </w:pPr>
      <w:r>
        <w:rPr>
          <w:rFonts w:ascii="EC Square Sans Pro" w:eastAsia="Arial Unicode MS" w:hAnsi="EC Square Sans Pro" w:cs="Arial Unicode MS"/>
          <w:noProof/>
          <w:color w:val="000000"/>
          <w:sz w:val="20"/>
          <w:szCs w:val="20"/>
          <w:u w:color="000000"/>
          <w:lang w:eastAsia="en-GB"/>
        </w:rPr>
        <w:t>The Directorate-General for Environment should establish in writing the responsibility for various v</w:t>
      </w:r>
      <w:r>
        <w:rPr>
          <w:rFonts w:ascii="EC Square Sans Pro" w:eastAsia="Arial Unicode MS" w:hAnsi="EC Square Sans Pro" w:cs="Arial Unicode MS"/>
          <w:iCs/>
          <w:noProof/>
          <w:color w:val="000000"/>
          <w:sz w:val="20"/>
          <w:szCs w:val="20"/>
          <w:u w:color="000000"/>
          <w:lang w:eastAsia="en-GB"/>
        </w:rPr>
        <w:t>oluntary partnership agreement</w:t>
      </w:r>
      <w:r>
        <w:rPr>
          <w:rFonts w:ascii="EC Square Sans Pro" w:eastAsia="Arial Unicode MS" w:hAnsi="EC Square Sans Pro" w:cs="Arial Unicode MS"/>
          <w:noProof/>
          <w:color w:val="000000"/>
          <w:sz w:val="20"/>
          <w:szCs w:val="20"/>
          <w:u w:color="000000"/>
          <w:lang w:eastAsia="en-GB"/>
        </w:rPr>
        <w:t xml:space="preserve">s with the Directorate-General for International Cooperation and </w:t>
      </w:r>
      <w:r>
        <w:rPr>
          <w:rFonts w:ascii="EC Square Sans Pro" w:eastAsia="Arial Unicode MS" w:hAnsi="EC Square Sans Pro" w:cs="Arial Unicode MS"/>
          <w:noProof/>
          <w:color w:val="000000"/>
          <w:sz w:val="20"/>
          <w:szCs w:val="20"/>
          <w:u w:color="000000"/>
          <w:lang w:eastAsia="en-GB"/>
        </w:rPr>
        <w:t>Development. It should also prepare and agree with the Directorate-General for International Cooperation and Development working arrangements regarding v</w:t>
      </w:r>
      <w:r>
        <w:rPr>
          <w:rFonts w:ascii="EC Square Sans Pro" w:eastAsia="Arial Unicode MS" w:hAnsi="EC Square Sans Pro" w:cs="Arial Unicode MS"/>
          <w:iCs/>
          <w:noProof/>
          <w:color w:val="000000"/>
          <w:sz w:val="20"/>
          <w:szCs w:val="20"/>
          <w:u w:color="000000"/>
          <w:lang w:eastAsia="en-GB"/>
        </w:rPr>
        <w:t>oluntary partnership agreement</w:t>
      </w:r>
      <w:r>
        <w:rPr>
          <w:rFonts w:ascii="EC Square Sans Pro" w:eastAsia="Arial Unicode MS" w:hAnsi="EC Square Sans Pro" w:cs="Arial Unicode MS"/>
          <w:noProof/>
          <w:color w:val="000000"/>
          <w:sz w:val="20"/>
          <w:szCs w:val="20"/>
          <w:u w:color="000000"/>
          <w:lang w:eastAsia="en-GB"/>
        </w:rPr>
        <w:t>s, including coordination and reporting mechanisms. These arrangements sh</w:t>
      </w:r>
      <w:r>
        <w:rPr>
          <w:rFonts w:ascii="EC Square Sans Pro" w:eastAsia="Arial Unicode MS" w:hAnsi="EC Square Sans Pro" w:cs="Arial Unicode MS"/>
          <w:noProof/>
          <w:color w:val="000000"/>
          <w:sz w:val="20"/>
          <w:szCs w:val="20"/>
          <w:u w:color="000000"/>
          <w:lang w:eastAsia="en-GB"/>
        </w:rPr>
        <w:t>ould be regularly reviewed.</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ENV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To mitigate the risks identified by the Internal Audit Service in this recommendation, the </w:t>
      </w:r>
      <w:r>
        <w:rPr>
          <w:rFonts w:ascii="EC Square Sans Pro" w:eastAsia="EC Square Sans Pro" w:hAnsi="EC Square Sans Pro" w:cs="Times New Roman"/>
          <w:noProof/>
          <w:sz w:val="20"/>
          <w:lang w:eastAsia="fr-BE"/>
        </w:rPr>
        <w:t xml:space="preserve">Directorate-General for Environment has envisaged: (i) establishing in writing the responsibility for the various voluntary partnership agreements between itself and the Directorate-General for International Cooperation and Development; and (ii) preparing </w:t>
      </w:r>
      <w:r>
        <w:rPr>
          <w:rFonts w:ascii="EC Square Sans Pro" w:eastAsia="EC Square Sans Pro" w:hAnsi="EC Square Sans Pro" w:cs="Times New Roman"/>
          <w:noProof/>
          <w:sz w:val="20"/>
          <w:lang w:eastAsia="fr-BE"/>
        </w:rPr>
        <w:t>and agreeing with the Directorate-General for International Cooperation and Development working arrangements for the voluntary partnership agreements, including coordination and reporting mechanisms. These arrangements should be regularly reviewed.</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imp</w:t>
      </w:r>
      <w:r>
        <w:rPr>
          <w:rFonts w:ascii="EC Square Sans Pro" w:eastAsia="EC Square Sans Pro" w:hAnsi="EC Square Sans Pro" w:cs="Times New Roman"/>
          <w:noProof/>
          <w:sz w:val="20"/>
          <w:lang w:eastAsia="fr-BE"/>
        </w:rPr>
        <w:t xml:space="preserve">lementation of these actions is under way. </w:t>
      </w:r>
    </w:p>
    <w:p w:rsidR="000C6D03" w:rsidRDefault="00873433">
      <w:pPr>
        <w:numPr>
          <w:ilvl w:val="0"/>
          <w:numId w:val="44"/>
        </w:numPr>
        <w:spacing w:before="12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21" w:name="_Toc3473276"/>
      <w:bookmarkStart w:id="22" w:name="_Toc2946429"/>
      <w:bookmarkStart w:id="23" w:name="_Toc42788132"/>
      <w:bookmarkEnd w:id="21"/>
      <w:r>
        <w:rPr>
          <w:rFonts w:ascii="EC Square Sans Pro" w:eastAsia="Times New Roman" w:hAnsi="EC Square Sans Pro" w:cs="Times New Roman"/>
          <w:b/>
          <w:i/>
          <w:noProof/>
          <w:color w:val="005D95"/>
          <w:sz w:val="24"/>
          <w:szCs w:val="20"/>
          <w:lang w:eastAsia="en-GB"/>
        </w:rPr>
        <w:t>Audit on the efficiency and effectiveness of the Health and Food Audits and Analysis Directorate of DG SANTE</w:t>
      </w:r>
      <w:bookmarkEnd w:id="22"/>
      <w:bookmarkEnd w:id="23"/>
    </w:p>
    <w:p w:rsidR="000C6D03" w:rsidRDefault="00873433">
      <w:pPr>
        <w:spacing w:before="120" w:after="240" w:line="240" w:lineRule="auto"/>
        <w:jc w:val="both"/>
        <w:rPr>
          <w:rFonts w:ascii="EC Square Sans Pro" w:eastAsia="Times New Roman" w:hAnsi="EC Square Sans Pro" w:cs="Times New Roman"/>
          <w:noProof/>
          <w:sz w:val="20"/>
          <w:szCs w:val="20"/>
          <w:highlight w:val="yellow"/>
          <w:lang w:eastAsia="en-GB"/>
        </w:rPr>
      </w:pPr>
      <w:r>
        <w:rPr>
          <w:rFonts w:ascii="EC Square Sans Pro" w:eastAsia="Times New Roman" w:hAnsi="EC Square Sans Pro" w:cs="Times New Roman"/>
          <w:noProof/>
          <w:sz w:val="20"/>
          <w:szCs w:val="20"/>
          <w:lang w:eastAsia="en-GB"/>
        </w:rPr>
        <w:t>The objective of the audit was to assess whether the Directorate-General for Health and Food Safety has</w:t>
      </w:r>
      <w:r>
        <w:rPr>
          <w:rFonts w:ascii="EC Square Sans Pro" w:eastAsia="Times New Roman" w:hAnsi="EC Square Sans Pro" w:cs="Times New Roman"/>
          <w:noProof/>
          <w:sz w:val="20"/>
          <w:szCs w:val="20"/>
          <w:lang w:eastAsia="en-GB"/>
        </w:rPr>
        <w:t xml:space="preserve"> put in place controls and processes that enable its Audits and Analysis Directorate to contribute effectively and efficiently to the correct implementation of EU legislation on food and health.</w:t>
      </w:r>
    </w:p>
    <w:p w:rsidR="000C6D03" w:rsidRDefault="00873433">
      <w:p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were no reservations in the Directorate-General’s 2018 </w:t>
      </w:r>
      <w:r>
        <w:rPr>
          <w:rFonts w:ascii="EC Square Sans Pro" w:eastAsia="Times New Roman" w:hAnsi="EC Square Sans Pro" w:cs="Times New Roman"/>
          <w:noProof/>
          <w:sz w:val="20"/>
          <w:szCs w:val="20"/>
          <w:lang w:eastAsia="en-GB"/>
        </w:rPr>
        <w:t>annual activity report that relate to the area audited. The fieldwork was finalised on 17 September 2019. All recommendations relate to the situation as of that date.</w:t>
      </w:r>
    </w:p>
    <w:p w:rsidR="000C6D03" w:rsidRDefault="00873433">
      <w:p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 the ongoing efforts made by the Audits and Analysis Directorate to</w:t>
      </w:r>
      <w:r>
        <w:rPr>
          <w:rFonts w:ascii="EC Square Sans Pro" w:eastAsia="Times New Roman" w:hAnsi="EC Square Sans Pro" w:cs="Times New Roman"/>
          <w:noProof/>
          <w:sz w:val="20"/>
          <w:szCs w:val="20"/>
          <w:lang w:eastAsia="en-GB"/>
        </w:rPr>
        <w:t xml:space="preserve"> implement its audit and analysis work programme, in particular:</w:t>
      </w:r>
    </w:p>
    <w:p w:rsidR="000C6D03" w:rsidRDefault="00873433">
      <w:pPr>
        <w:numPr>
          <w:ilvl w:val="0"/>
          <w:numId w:val="18"/>
        </w:num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high technical expertise of the auditors of the Audits and Analysis Directorate, as recognised by a large number of colleagues who responded to the IAS online survey</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0"/>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w:t>
      </w:r>
    </w:p>
    <w:p w:rsidR="000C6D03" w:rsidRDefault="00873433">
      <w:pPr>
        <w:numPr>
          <w:ilvl w:val="0"/>
          <w:numId w:val="18"/>
        </w:num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excellent co</w:t>
      </w:r>
      <w:r>
        <w:rPr>
          <w:rFonts w:ascii="EC Square Sans Pro" w:eastAsia="Times New Roman" w:hAnsi="EC Square Sans Pro" w:cs="Times New Roman"/>
          <w:noProof/>
          <w:sz w:val="20"/>
          <w:szCs w:val="20"/>
          <w:lang w:eastAsia="en-GB"/>
        </w:rPr>
        <w:t>operation with staff of the Directorate-General for Health and Food Safety based in Brussels, with the Directorate-General for Agriculture and Rural Development and with the Directorate-General for Internal Market, Industry, Entrepreneurship and SMEs, as e</w:t>
      </w:r>
      <w:r>
        <w:rPr>
          <w:rFonts w:ascii="EC Square Sans Pro" w:eastAsia="Times New Roman" w:hAnsi="EC Square Sans Pro" w:cs="Times New Roman"/>
          <w:noProof/>
          <w:sz w:val="20"/>
          <w:szCs w:val="20"/>
          <w:lang w:eastAsia="en-GB"/>
        </w:rPr>
        <w:t>videnced by the IAS online survey</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1"/>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w:t>
      </w:r>
    </w:p>
    <w:p w:rsidR="000C6D03" w:rsidRDefault="00873433">
      <w:p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two issues, one concerning the </w:t>
      </w:r>
      <w:r>
        <w:rPr>
          <w:rFonts w:ascii="EC Square Sans Pro" w:eastAsia="Times New Roman" w:hAnsi="EC Square Sans Pro" w:cs="Times New Roman"/>
          <w:i/>
          <w:iCs/>
          <w:noProof/>
          <w:sz w:val="20"/>
          <w:szCs w:val="20"/>
          <w:lang w:eastAsia="en-GB"/>
        </w:rPr>
        <w:t>staffing of activities</w:t>
      </w:r>
      <w:r>
        <w:rPr>
          <w:rFonts w:ascii="EC Square Sans Pro" w:eastAsia="Times New Roman" w:hAnsi="EC Square Sans Pro" w:cs="Times New Roman"/>
          <w:noProof/>
          <w:sz w:val="20"/>
          <w:szCs w:val="20"/>
          <w:lang w:eastAsia="en-GB"/>
        </w:rPr>
        <w:t xml:space="preserve"> and one on </w:t>
      </w:r>
      <w:r>
        <w:rPr>
          <w:rFonts w:ascii="EC Square Sans Pro" w:eastAsia="Times New Roman" w:hAnsi="EC Square Sans Pro" w:cs="Times New Roman"/>
          <w:i/>
          <w:noProof/>
          <w:sz w:val="20"/>
          <w:szCs w:val="20"/>
          <w:lang w:eastAsia="en-GB"/>
        </w:rPr>
        <w:t>time reporting and performance monitoring</w:t>
      </w:r>
      <w:r>
        <w:rPr>
          <w:rFonts w:ascii="EC Square Sans Pro" w:eastAsia="Times New Roman" w:hAnsi="EC Square Sans Pro" w:cs="Times New Roman"/>
          <w:noProof/>
          <w:sz w:val="20"/>
          <w:szCs w:val="20"/>
          <w:lang w:eastAsia="en-GB"/>
        </w:rPr>
        <w:t>, and formulated the following very important recommendations:</w:t>
      </w:r>
    </w:p>
    <w:p w:rsidR="000C6D03" w:rsidRDefault="00873433">
      <w:pPr>
        <w:spacing w:before="120"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Staffing </w:t>
      </w:r>
      <w:r>
        <w:rPr>
          <w:rFonts w:ascii="EC Square Sans Pro" w:eastAsia="Times New Roman" w:hAnsi="EC Square Sans Pro" w:cs="Times New Roman"/>
          <w:i/>
          <w:noProof/>
          <w:sz w:val="20"/>
          <w:szCs w:val="20"/>
          <w:lang w:eastAsia="en-GB"/>
        </w:rPr>
        <w:t>of activities</w:t>
      </w:r>
    </w:p>
    <w:p w:rsidR="000C6D03" w:rsidRDefault="00873433">
      <w:p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Health and Food Safety should firstly carry out a comprehensive analysis of the impact of its remote location, but also of the recruitment needs per area on a medium to long-term basis. This should serve as a basis</w:t>
      </w:r>
      <w:r>
        <w:rPr>
          <w:rFonts w:ascii="EC Square Sans Pro" w:eastAsia="Times New Roman" w:hAnsi="EC Square Sans Pro" w:cs="Times New Roman"/>
          <w:noProof/>
          <w:sz w:val="20"/>
          <w:szCs w:val="20"/>
          <w:lang w:eastAsia="en-GB"/>
        </w:rPr>
        <w:t xml:space="preserve"> for developing a human-resources strategy, covering in particular recruitment and training. It should also assess the scope for discontinuing part or all policy-based activities of the </w:t>
      </w:r>
      <w:r>
        <w:rPr>
          <w:rFonts w:ascii="EC Square Sans Pro" w:eastAsia="Times New Roman" w:hAnsi="EC Square Sans Pro" w:cs="Times New Roman"/>
          <w:iCs/>
          <w:noProof/>
          <w:sz w:val="20"/>
          <w:szCs w:val="20"/>
          <w:lang w:eastAsia="en-GB"/>
        </w:rPr>
        <w:t>Audits and Analysis Directorate</w:t>
      </w:r>
      <w:r>
        <w:rPr>
          <w:rFonts w:ascii="EC Square Sans Pro" w:eastAsia="Times New Roman" w:hAnsi="EC Square Sans Pro" w:cs="Times New Roman"/>
          <w:noProof/>
          <w:sz w:val="20"/>
          <w:szCs w:val="20"/>
          <w:lang w:eastAsia="en-GB"/>
        </w:rPr>
        <w:t xml:space="preserve"> in order to free up resources for core</w:t>
      </w:r>
      <w:r>
        <w:rPr>
          <w:rFonts w:ascii="EC Square Sans Pro" w:eastAsia="Times New Roman" w:hAnsi="EC Square Sans Pro" w:cs="Times New Roman"/>
          <w:noProof/>
          <w:sz w:val="20"/>
          <w:szCs w:val="20"/>
          <w:lang w:eastAsia="en-GB"/>
        </w:rPr>
        <w:t xml:space="preserve"> audit activities. Finally, for audit work performed on behalf of other Directorates-General, the Directorate-General for Health and Food Safety should, in cooperation with those services, re-assess the audit and resource needs in the medium-to-long term o</w:t>
      </w:r>
      <w:r>
        <w:rPr>
          <w:rFonts w:ascii="EC Square Sans Pro" w:eastAsia="Times New Roman" w:hAnsi="EC Square Sans Pro" w:cs="Times New Roman"/>
          <w:noProof/>
          <w:sz w:val="20"/>
          <w:szCs w:val="20"/>
          <w:lang w:eastAsia="en-GB"/>
        </w:rPr>
        <w:t xml:space="preserve">n the basis of an assessment of the risks and legal obligations. Where relevant, the Directorate-General for Health and Food Safety should propose amendments to the existing working arrangements. </w:t>
      </w:r>
    </w:p>
    <w:p w:rsidR="000C6D03" w:rsidRDefault="00873433">
      <w:pPr>
        <w:keepNext/>
        <w:spacing w:before="120"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Time reporting and performance monitoring</w:t>
      </w:r>
    </w:p>
    <w:p w:rsidR="000C6D03" w:rsidRDefault="00873433">
      <w:pPr>
        <w:spacing w:before="120"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w:t>
      </w:r>
      <w:r>
        <w:rPr>
          <w:rFonts w:ascii="EC Square Sans Pro" w:eastAsia="Times New Roman" w:hAnsi="EC Square Sans Pro" w:cs="Times New Roman"/>
          <w:noProof/>
          <w:sz w:val="20"/>
          <w:szCs w:val="20"/>
          <w:lang w:eastAsia="en-GB"/>
        </w:rPr>
        <w:t xml:space="preserve">eneral for Health and Food Safety should assess the scope for introducing a time recording system in the Audits and Analysis Directorate and take the first steps (e.g. test it in a pilot phase) towards its deployment. It should also systematically collect </w:t>
      </w:r>
      <w:r>
        <w:rPr>
          <w:rFonts w:ascii="EC Square Sans Pro" w:eastAsia="Times New Roman" w:hAnsi="EC Square Sans Pro" w:cs="Times New Roman"/>
          <w:noProof/>
          <w:sz w:val="20"/>
          <w:szCs w:val="20"/>
          <w:lang w:eastAsia="en-GB"/>
        </w:rPr>
        <w:t>and analyse performance information relating to the Audits and Analysis Directorate’s activities in order to improve monitoring. Lastly, it should finalise the development of the coverage of its audit universe by establishing risk-based audit frequencies p</w:t>
      </w:r>
      <w:r>
        <w:rPr>
          <w:rFonts w:ascii="EC Square Sans Pro" w:eastAsia="Times New Roman" w:hAnsi="EC Square Sans Pro" w:cs="Times New Roman"/>
          <w:noProof/>
          <w:sz w:val="20"/>
          <w:szCs w:val="20"/>
          <w:lang w:eastAsia="en-GB"/>
        </w:rPr>
        <w:t>er audit area and re-assess these on a regular basis.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SANTE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Health and Food Safety accepted the recomme</w:t>
      </w:r>
      <w:r>
        <w:rPr>
          <w:rFonts w:ascii="EC Square Sans Pro" w:eastAsia="EC Square Sans Pro" w:hAnsi="EC Square Sans Pro" w:cs="Times New Roman"/>
          <w:noProof/>
          <w:sz w:val="20"/>
          <w:lang w:eastAsia="fr-BE"/>
        </w:rPr>
        <w:t xml:space="preserve">ndations and produced an action plan in November 2019. Most of the actions are ongoing and expected to be fully implemented by June 2020, although some will have to be delayed, as normal audits have not taken place since mid-March 2020 due to the COVID-19 </w:t>
      </w:r>
      <w:r>
        <w:rPr>
          <w:rFonts w:ascii="EC Square Sans Pro" w:eastAsia="EC Square Sans Pro" w:hAnsi="EC Square Sans Pro" w:cs="Times New Roman"/>
          <w:noProof/>
          <w:sz w:val="20"/>
          <w:lang w:eastAsia="fr-BE"/>
        </w:rPr>
        <w:t>pandemic.</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Concerning the recommendation on the staffing of activities, the Directorate-General for Health and Food Safety has already taken actions and will continue its analysis during the exercise to draft the 2020 management plan. A process has been set</w:t>
      </w:r>
      <w:r>
        <w:rPr>
          <w:rFonts w:ascii="EC Square Sans Pro" w:eastAsia="EC Square Sans Pro" w:hAnsi="EC Square Sans Pro" w:cs="Times New Roman"/>
          <w:noProof/>
          <w:sz w:val="20"/>
          <w:lang w:eastAsia="fr-BE"/>
        </w:rPr>
        <w:t xml:space="preserve"> up with the Directorate-General for Agriculture and Rural Development to re-assess the audit and resources needed, based on an assessment of risks and legal obligations. Under the new Commission, the policy responsibility for medical devices has been tran</w:t>
      </w:r>
      <w:r>
        <w:rPr>
          <w:rFonts w:ascii="EC Square Sans Pro" w:eastAsia="EC Square Sans Pro" w:hAnsi="EC Square Sans Pro" w:cs="Times New Roman"/>
          <w:noProof/>
          <w:sz w:val="20"/>
          <w:lang w:eastAsia="fr-BE"/>
        </w:rPr>
        <w:t>sferred from the Directorate-General for Internal Market, Industry, Entrepreneurship and SMEs to the Directorate-General for Health and Food Safety. Therefore, the assessment of legal obligations and risks will be carried out in-house.</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In cooperation with </w:t>
      </w:r>
      <w:r>
        <w:rPr>
          <w:rFonts w:ascii="EC Square Sans Pro" w:eastAsia="EC Square Sans Pro" w:hAnsi="EC Square Sans Pro" w:cs="Times New Roman"/>
          <w:noProof/>
          <w:sz w:val="20"/>
          <w:lang w:eastAsia="fr-BE"/>
        </w:rPr>
        <w:t>the Directorate-General for Human Resources and Security, the Directorate-General for Health and Food Safety will assess the impact of the Audits and Analysis Directorate’s location on recruitment and develop a human resources strategy for the medium and l</w:t>
      </w:r>
      <w:r>
        <w:rPr>
          <w:rFonts w:ascii="EC Square Sans Pro" w:eastAsia="EC Square Sans Pro" w:hAnsi="EC Square Sans Pro" w:cs="Times New Roman"/>
          <w:noProof/>
          <w:sz w:val="20"/>
          <w:lang w:eastAsia="fr-BE"/>
        </w:rPr>
        <w:t>ong term.</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br w:type="column"/>
        <w:t>With regard to the recommendation on time reporting and performance monitoring, the Directorate-General for Health and Food Safety has taken the first steps to introduce a pilot time recording system in early 2020. However, as this coincided wit</w:t>
      </w:r>
      <w:r>
        <w:rPr>
          <w:rFonts w:ascii="EC Square Sans Pro" w:eastAsia="EC Square Sans Pro" w:hAnsi="EC Square Sans Pro" w:cs="Times New Roman"/>
          <w:noProof/>
          <w:sz w:val="20"/>
          <w:lang w:eastAsia="fr-BE"/>
        </w:rPr>
        <w:t xml:space="preserve">h the COVID-19, crisis the data collected will not be representative; the exercise will have to be relaunched when stability returns. This will feed into a guidance document for the Directorate-General’s management to enhance its performance monitoring of </w:t>
      </w:r>
      <w:r>
        <w:rPr>
          <w:rFonts w:ascii="EC Square Sans Pro" w:eastAsia="EC Square Sans Pro" w:hAnsi="EC Square Sans Pro" w:cs="Times New Roman"/>
          <w:noProof/>
          <w:sz w:val="20"/>
          <w:lang w:eastAsia="fr-BE"/>
        </w:rPr>
        <w:t>audit work. The documentation of the audits universe and risk-based frequencies is being developed further during the preparations for the 2021 audit work programme.</w:t>
      </w:r>
    </w:p>
    <w:p w:rsidR="000C6D03" w:rsidRDefault="00873433">
      <w:pPr>
        <w:numPr>
          <w:ilvl w:val="0"/>
          <w:numId w:val="44"/>
        </w:numPr>
        <w:spacing w:before="360" w:after="240" w:line="240" w:lineRule="auto"/>
        <w:ind w:left="567" w:hanging="425"/>
        <w:jc w:val="both"/>
        <w:outlineLvl w:val="2"/>
        <w:rPr>
          <w:rFonts w:ascii="EC Square Sans Pro" w:eastAsia="Times New Roman" w:hAnsi="EC Square Sans Pro" w:cs="Times New Roman"/>
          <w:b/>
          <w:i/>
          <w:noProof/>
          <w:color w:val="005D95"/>
          <w:sz w:val="24"/>
          <w:szCs w:val="20"/>
          <w:lang w:eastAsia="en-GB"/>
        </w:rPr>
      </w:pPr>
      <w:bookmarkStart w:id="24" w:name="_Toc3473278"/>
      <w:bookmarkStart w:id="25" w:name="_Toc3473279"/>
      <w:bookmarkStart w:id="26" w:name="_Toc2946430"/>
      <w:bookmarkStart w:id="27" w:name="_Toc42788133"/>
      <w:bookmarkEnd w:id="24"/>
      <w:bookmarkEnd w:id="25"/>
      <w:r>
        <w:rPr>
          <w:rFonts w:ascii="EC Square Sans Pro" w:eastAsia="Times New Roman" w:hAnsi="EC Square Sans Pro" w:cs="Times New Roman"/>
          <w:b/>
          <w:i/>
          <w:noProof/>
          <w:color w:val="005D95"/>
          <w:sz w:val="24"/>
          <w:szCs w:val="20"/>
          <w:lang w:eastAsia="en-GB"/>
        </w:rPr>
        <w:t xml:space="preserve">Audit on the management of food and feed programmes, including emergency measures in DG </w:t>
      </w:r>
      <w:r>
        <w:rPr>
          <w:rFonts w:ascii="EC Square Sans Pro" w:eastAsia="Times New Roman" w:hAnsi="EC Square Sans Pro" w:cs="Times New Roman"/>
          <w:b/>
          <w:i/>
          <w:noProof/>
          <w:color w:val="005D95"/>
          <w:sz w:val="24"/>
          <w:szCs w:val="20"/>
          <w:lang w:eastAsia="en-GB"/>
        </w:rPr>
        <w:t>SANTE</w:t>
      </w:r>
      <w:bookmarkEnd w:id="26"/>
      <w:bookmarkEnd w:id="27"/>
    </w:p>
    <w:p w:rsidR="000C6D03" w:rsidRDefault="00873433">
      <w:pPr>
        <w:spacing w:after="240" w:line="276" w:lineRule="auto"/>
        <w:jc w:val="both"/>
        <w:rPr>
          <w:rFonts w:ascii="EC Square Sans Pro" w:eastAsia="Calibri" w:hAnsi="EC Square Sans Pro" w:cs="Times New Roman"/>
          <w:noProof/>
          <w:sz w:val="20"/>
          <w:szCs w:val="20"/>
          <w:lang w:eastAsia="en-GB"/>
        </w:rPr>
      </w:pPr>
      <w:r>
        <w:rPr>
          <w:rFonts w:ascii="EC Square Sans Pro" w:eastAsia="Calibri" w:hAnsi="EC Square Sans Pro" w:cs="Times New Roman"/>
          <w:noProof/>
          <w:sz w:val="20"/>
          <w:szCs w:val="20"/>
          <w:lang w:eastAsia="en-GB"/>
        </w:rPr>
        <w:t>The objective of the audit was to assess the effectiveness and efficiency of the</w:t>
      </w:r>
      <w:r>
        <w:rPr>
          <w:rFonts w:ascii="EC Square Sans Pro" w:eastAsia="Calibri" w:hAnsi="EC Square Sans Pro" w:cs="Times New Roman"/>
          <w:noProof/>
          <w:sz w:val="20"/>
          <w:szCs w:val="20"/>
        </w:rPr>
        <w:t xml:space="preserve"> Directorate-General for Health and Food Safety</w:t>
      </w:r>
      <w:r>
        <w:rPr>
          <w:rFonts w:ascii="EC Square Sans Pro" w:eastAsia="Calibri" w:hAnsi="EC Square Sans Pro" w:cs="Times New Roman"/>
          <w:noProof/>
          <w:sz w:val="20"/>
          <w:szCs w:val="20"/>
          <w:lang w:eastAsia="en-GB"/>
        </w:rPr>
        <w:t xml:space="preserve">’s management of food and feed programmes.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2018 annual activity report that relate to th</w:t>
      </w:r>
      <w:r>
        <w:rPr>
          <w:rFonts w:ascii="EC Square Sans Pro" w:eastAsia="Times New Roman" w:hAnsi="EC Square Sans Pro" w:cs="Times New Roman"/>
          <w:noProof/>
          <w:sz w:val="20"/>
          <w:szCs w:val="20"/>
          <w:lang w:eastAsia="en-GB"/>
        </w:rPr>
        <w:t>e area/process audited. The fieldwork was finalised on 22 October 2019. All recommendations relate to the situation as of that date.</w:t>
      </w:r>
    </w:p>
    <w:p w:rsidR="000C6D03" w:rsidRDefault="00873433">
      <w:pPr>
        <w:spacing w:after="240" w:line="240" w:lineRule="auto"/>
        <w:jc w:val="both"/>
        <w:rPr>
          <w:rFonts w:ascii="EC Square Sans Pro" w:eastAsia="SimSun" w:hAnsi="EC Square Sans Pro" w:cs="Times New Roman"/>
          <w:noProof/>
          <w:sz w:val="20"/>
          <w:szCs w:val="20"/>
          <w:lang w:eastAsia="zh-CN"/>
        </w:rPr>
      </w:pPr>
      <w:r>
        <w:rPr>
          <w:rFonts w:ascii="EC Square Sans Pro" w:eastAsia="SimSun" w:hAnsi="EC Square Sans Pro" w:cs="Times New Roman"/>
          <w:noProof/>
          <w:sz w:val="20"/>
          <w:szCs w:val="20"/>
          <w:lang w:eastAsia="zh-CN"/>
        </w:rPr>
        <w:t>The auditors identified the following strengths:</w:t>
      </w:r>
    </w:p>
    <w:p w:rsidR="000C6D03" w:rsidRDefault="00873433">
      <w:pPr>
        <w:numPr>
          <w:ilvl w:val="0"/>
          <w:numId w:val="19"/>
        </w:numPr>
        <w:spacing w:after="240" w:line="240" w:lineRule="auto"/>
        <w:ind w:left="357" w:hanging="357"/>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commitment and technical expertise of staff involved in the management of </w:t>
      </w:r>
      <w:r>
        <w:rPr>
          <w:rFonts w:ascii="EC Square Sans Pro" w:eastAsia="Times New Roman" w:hAnsi="EC Square Sans Pro" w:cs="Times New Roman"/>
          <w:noProof/>
          <w:sz w:val="20"/>
          <w:szCs w:val="20"/>
          <w:lang w:eastAsia="ko-KR"/>
        </w:rPr>
        <w:t>veterinary and plant programmes and emergency measures.</w:t>
      </w:r>
    </w:p>
    <w:p w:rsidR="000C6D03" w:rsidRDefault="00873433">
      <w:pPr>
        <w:numPr>
          <w:ilvl w:val="0"/>
          <w:numId w:val="19"/>
        </w:numPr>
        <w:spacing w:after="240" w:line="240" w:lineRule="auto"/>
        <w:ind w:left="357" w:hanging="357"/>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regular comitology meetings with Member States’ representatives within the Standing Committee on Plant, Animal, Food and Feed, with agendas, meeting minutes and presentations publically available on </w:t>
      </w:r>
      <w:r>
        <w:rPr>
          <w:rFonts w:ascii="EC Square Sans Pro" w:eastAsia="Times New Roman" w:hAnsi="EC Square Sans Pro" w:cs="Times New Roman"/>
          <w:noProof/>
          <w:sz w:val="20"/>
          <w:szCs w:val="20"/>
          <w:lang w:eastAsia="ko-KR"/>
        </w:rPr>
        <w:t>the Europa.eu website.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the </w:t>
      </w:r>
      <w:r>
        <w:rPr>
          <w:rFonts w:ascii="EC Square Sans Pro" w:eastAsia="Times New Roman" w:hAnsi="EC Square Sans Pro" w:cs="Times New Roman"/>
          <w:i/>
          <w:noProof/>
          <w:sz w:val="20"/>
          <w:szCs w:val="20"/>
          <w:lang w:eastAsia="en-GB"/>
        </w:rPr>
        <w:t>unit costs methodology used by Member States to finance veterinary and plant health programmes and emergency measures</w:t>
      </w:r>
      <w:r>
        <w:rPr>
          <w:rFonts w:ascii="EC Square Sans Pro" w:eastAsia="Times New Roman" w:hAnsi="EC Square Sans Pro" w:cs="Times New Roman"/>
          <w:noProof/>
          <w:sz w:val="20"/>
          <w:szCs w:val="20"/>
          <w:lang w:eastAsia="en-GB"/>
        </w:rPr>
        <w:t xml:space="preserve"> and formulated the following very important recommen</w:t>
      </w:r>
      <w:r>
        <w:rPr>
          <w:rFonts w:ascii="EC Square Sans Pro" w:eastAsia="Times New Roman" w:hAnsi="EC Square Sans Pro" w:cs="Times New Roman"/>
          <w:noProof/>
          <w:sz w:val="20"/>
          <w:szCs w:val="20"/>
          <w:lang w:eastAsia="en-GB"/>
        </w:rPr>
        <w:t>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Directorate-General for Health and Food Safety should involve all relevant actors within the Directorate-General and consult, as appropriate, other Commission services and use their expertise on the basis of clearly defined working modalities. </w:t>
      </w:r>
      <w:r>
        <w:rPr>
          <w:rFonts w:ascii="EC Square Sans Pro" w:eastAsia="Times New Roman" w:hAnsi="EC Square Sans Pro" w:cs="Times New Roman"/>
          <w:noProof/>
          <w:sz w:val="20"/>
          <w:szCs w:val="20"/>
          <w:lang w:eastAsia="en-GB"/>
        </w:rPr>
        <w:t xml:space="preserve">It should also inform Member States well in advance of the financial impact of any change in the methodology and of the resulting actual amounts of unit costs, lump sums and/or ceilings.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SANTE on the measures drawn up</w:t>
      </w:r>
      <w:r>
        <w:rPr>
          <w:rFonts w:ascii="EC Square Sans Pro" w:eastAsia="EC Square Sans Pro" w:hAnsi="EC Square Sans Pro" w:cs="Times New Roman"/>
          <w:b/>
          <w:noProof/>
          <w:color w:val="005D95"/>
          <w:sz w:val="20"/>
          <w:lang w:eastAsia="fr-BE"/>
        </w:rPr>
        <w:t xml:space="preserve">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Health and Food Safety accepted the recommendation and produced an action plan in late February 2020. Its actions are already under way. Most importantly, in Februar</w:t>
      </w:r>
      <w:r>
        <w:rPr>
          <w:rFonts w:ascii="EC Square Sans Pro" w:eastAsia="EC Square Sans Pro" w:hAnsi="EC Square Sans Pro" w:cs="Times New Roman"/>
          <w:noProof/>
          <w:sz w:val="20"/>
          <w:lang w:eastAsia="fr-BE"/>
        </w:rPr>
        <w:t>y 2020, the Directorate-General for Health and Food Safety and the Joint Research Centre signed an administrative arrangement which includes the objective to improve the unit cost methodology and inform Member States well in advance of the financial impact</w:t>
      </w:r>
      <w:r>
        <w:rPr>
          <w:rFonts w:ascii="EC Square Sans Pro" w:eastAsia="EC Square Sans Pro" w:hAnsi="EC Square Sans Pro" w:cs="Times New Roman"/>
          <w:noProof/>
          <w:sz w:val="20"/>
          <w:lang w:eastAsia="fr-BE"/>
        </w:rPr>
        <w:t xml:space="preserve"> of any change in the methodology. The whole project runs for 3 years until February 2023.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Work is well advanced and first results are expected in June 2020: a new methodology for reimbursement of activities related to animal health programmes and emergen</w:t>
      </w:r>
      <w:r>
        <w:rPr>
          <w:rFonts w:ascii="EC Square Sans Pro" w:eastAsia="EC Square Sans Pro" w:hAnsi="EC Square Sans Pro" w:cs="Times New Roman"/>
          <w:noProof/>
          <w:sz w:val="20"/>
          <w:lang w:eastAsia="fr-BE"/>
        </w:rPr>
        <w:t>cy measures is ready to be tested, as is a proposed methodology for Member States’ sampling activities related to plant health.</w:t>
      </w:r>
    </w:p>
    <w:p w:rsidR="000C6D03" w:rsidRDefault="00873433">
      <w:pPr>
        <w:rPr>
          <w:rFonts w:ascii="EC Square Sans Pro" w:eastAsia="EC Square Sans Pro" w:hAnsi="EC Square Sans Pro" w:cs="Times New Roman"/>
          <w:b/>
          <w:noProof/>
          <w:color w:val="005D95"/>
          <w:sz w:val="28"/>
          <w:szCs w:val="21"/>
          <w:lang w:eastAsia="zh-CN"/>
        </w:rPr>
      </w:pPr>
      <w:bookmarkStart w:id="28" w:name="_Toc42788134"/>
      <w:r>
        <w:rPr>
          <w:rFonts w:ascii="EC Square Sans Pro" w:eastAsia="EC Square Sans Pro" w:hAnsi="EC Square Sans Pro" w:cs="Times New Roman"/>
          <w:b/>
          <w:noProof/>
          <w:color w:val="005D95"/>
          <w:sz w:val="28"/>
          <w:szCs w:val="21"/>
          <w:lang w:eastAsia="zh-CN"/>
        </w:rPr>
        <w:br w:type="page"/>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r>
        <w:rPr>
          <w:rFonts w:ascii="EC Square Sans Pro" w:eastAsia="EC Square Sans Pro" w:hAnsi="EC Square Sans Pro" w:cs="Times New Roman"/>
          <w:b/>
          <w:noProof/>
          <w:color w:val="005D95"/>
          <w:sz w:val="28"/>
          <w:szCs w:val="21"/>
          <w:lang w:eastAsia="zh-CN"/>
        </w:rPr>
        <w:t>Cohesion</w:t>
      </w:r>
      <w:bookmarkEnd w:id="28"/>
    </w:p>
    <w:p w:rsidR="000C6D03" w:rsidRDefault="00873433">
      <w:pPr>
        <w:numPr>
          <w:ilvl w:val="0"/>
          <w:numId w:val="45"/>
        </w:numPr>
        <w:spacing w:before="360" w:after="240" w:line="240" w:lineRule="auto"/>
        <w:ind w:left="567" w:hanging="567"/>
        <w:jc w:val="both"/>
        <w:outlineLvl w:val="2"/>
        <w:rPr>
          <w:rFonts w:ascii="EC Square Sans Pro" w:eastAsia="Times New Roman" w:hAnsi="EC Square Sans Pro" w:cs="Times New Roman"/>
          <w:b/>
          <w:i/>
          <w:noProof/>
          <w:color w:val="005D95"/>
          <w:sz w:val="24"/>
          <w:szCs w:val="20"/>
          <w:lang w:eastAsia="en-GB"/>
        </w:rPr>
      </w:pPr>
      <w:bookmarkStart w:id="29" w:name="_Toc42788135"/>
      <w:r>
        <w:rPr>
          <w:rFonts w:ascii="EC Square Sans Pro" w:eastAsia="Times New Roman" w:hAnsi="EC Square Sans Pro" w:cs="Times New Roman"/>
          <w:b/>
          <w:i/>
          <w:noProof/>
          <w:color w:val="005D95"/>
          <w:sz w:val="24"/>
          <w:szCs w:val="20"/>
          <w:lang w:eastAsia="en-GB"/>
        </w:rPr>
        <w:t xml:space="preserve">Audit on management of the employment and social innovation programme, with special emphasis on the PROGRESS axis in </w:t>
      </w:r>
      <w:r>
        <w:rPr>
          <w:rFonts w:ascii="EC Square Sans Pro" w:eastAsia="Times New Roman" w:hAnsi="EC Square Sans Pro" w:cs="Times New Roman"/>
          <w:b/>
          <w:i/>
          <w:noProof/>
          <w:color w:val="005D95"/>
          <w:sz w:val="24"/>
          <w:szCs w:val="20"/>
          <w:lang w:eastAsia="en-GB"/>
        </w:rPr>
        <w:t>DG EMPL</w:t>
      </w:r>
      <w:bookmarkEnd w:id="29"/>
    </w:p>
    <w:p w:rsidR="000C6D03" w:rsidRDefault="00873433">
      <w:pPr>
        <w:spacing w:after="240" w:line="240" w:lineRule="auto"/>
        <w:jc w:val="both"/>
        <w:rPr>
          <w:rFonts w:ascii="EC Square Sans Pro" w:eastAsia="EC Square Sans Pro" w:hAnsi="EC Square Sans Pro" w:cs="Times New Roman"/>
          <w:noProof/>
          <w:sz w:val="20"/>
          <w:szCs w:val="20"/>
          <w:lang w:eastAsia="en-GB"/>
        </w:rPr>
      </w:pPr>
      <w:r>
        <w:rPr>
          <w:rFonts w:ascii="EC Square Sans Pro" w:eastAsia="EC Square Sans Pro" w:hAnsi="EC Square Sans Pro" w:cs="Times New Roman"/>
          <w:noProof/>
          <w:sz w:val="20"/>
          <w:szCs w:val="20"/>
          <w:lang w:eastAsia="en-GB"/>
        </w:rPr>
        <w:t>The objective of the audit was to assess the adequacy of: (i) the programming process (for all three axes of the employment and social innovation programme); and (ii) the adequacy of the design and the effectiveness of controls in the Directorate-G</w:t>
      </w:r>
      <w:r>
        <w:rPr>
          <w:rFonts w:ascii="EC Square Sans Pro" w:eastAsia="EC Square Sans Pro" w:hAnsi="EC Square Sans Pro" w:cs="Times New Roman"/>
          <w:noProof/>
          <w:sz w:val="20"/>
          <w:szCs w:val="20"/>
          <w:lang w:eastAsia="en-GB"/>
        </w:rPr>
        <w:t xml:space="preserve">eneral for Employment, Social Affairs and Inclusion for the operational management of grants under the PROGRESS axis.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2016, 2017 and 2018 annual activity reports relating to the employment and social</w:t>
      </w:r>
      <w:r>
        <w:rPr>
          <w:rFonts w:ascii="EC Square Sans Pro" w:eastAsia="Times New Roman" w:hAnsi="EC Square Sans Pro" w:cs="Times New Roman"/>
          <w:noProof/>
          <w:sz w:val="20"/>
          <w:szCs w:val="20"/>
          <w:lang w:eastAsia="en-GB"/>
        </w:rPr>
        <w:t xml:space="preserve"> innovation programme. The fieldwork was finalised on 30 May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ongoing efforts by the Directorate-General to improve its control systems for the employment and soc</w:t>
      </w:r>
      <w:r>
        <w:rPr>
          <w:rFonts w:ascii="EC Square Sans Pro" w:eastAsia="Times New Roman" w:hAnsi="EC Square Sans Pro" w:cs="Times New Roman"/>
          <w:noProof/>
          <w:sz w:val="20"/>
          <w:szCs w:val="20"/>
          <w:lang w:eastAsia="en-GB"/>
        </w:rPr>
        <w:t xml:space="preserve">ial innovation programme and the PROGRESS axis. The following strengths were identified in the audited processes and controls: </w:t>
      </w:r>
    </w:p>
    <w:p w:rsidR="000C6D03" w:rsidRDefault="00873433">
      <w:pPr>
        <w:keepNext/>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Concerning the employment and social innovation programme:</w:t>
      </w:r>
    </w:p>
    <w:p w:rsidR="000C6D03" w:rsidRDefault="00873433">
      <w:pPr>
        <w:keepNext/>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timely collection of contributions from policy units and comments/sug</w:t>
      </w:r>
      <w:r>
        <w:rPr>
          <w:rFonts w:ascii="EC Square Sans Pro" w:eastAsia="Times New Roman" w:hAnsi="EC Square Sans Pro" w:cs="Times New Roman"/>
          <w:noProof/>
          <w:sz w:val="20"/>
          <w:szCs w:val="20"/>
          <w:lang w:eastAsia="en-GB"/>
        </w:rPr>
        <w:t>gestions from the Employment and Social Innovation Committee in view of the preparation of the employment and social innovation programme’s annual work programmes;</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annual work programmes include sufficient information about the priorities for the year,</w:t>
      </w:r>
      <w:r>
        <w:rPr>
          <w:rFonts w:ascii="EC Square Sans Pro" w:eastAsia="Times New Roman" w:hAnsi="EC Square Sans Pro" w:cs="Times New Roman"/>
          <w:noProof/>
          <w:sz w:val="20"/>
          <w:szCs w:val="20"/>
          <w:lang w:eastAsia="en-GB"/>
        </w:rPr>
        <w:t xml:space="preserve"> the objectives to be achieved and the target outcomes with the appropriations authorised for the financial year;</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chosen funding areas are in line with the Directorate-General’s needs and priorities, contributing to the Juncker’s political priorities, </w:t>
      </w:r>
      <w:r>
        <w:rPr>
          <w:rFonts w:ascii="EC Square Sans Pro" w:eastAsia="Times New Roman" w:hAnsi="EC Square Sans Pro" w:cs="Times New Roman"/>
          <w:noProof/>
          <w:sz w:val="20"/>
          <w:szCs w:val="20"/>
          <w:lang w:eastAsia="en-GB"/>
        </w:rPr>
        <w:t xml:space="preserve">the Europe 2020 strategy and the European pillar of social rights.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Concerning the PROGRESS axis:</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internal guidance provided by horizontal Units F3 and F4 and the operational units, which includes workflows for calls for proposals, presentations and traini</w:t>
      </w:r>
      <w:r>
        <w:rPr>
          <w:rFonts w:ascii="EC Square Sans Pro" w:eastAsia="Times New Roman" w:hAnsi="EC Square Sans Pro" w:cs="Times New Roman"/>
          <w:noProof/>
          <w:sz w:val="20"/>
          <w:szCs w:val="20"/>
          <w:lang w:eastAsia="en-GB"/>
        </w:rPr>
        <w:t>ng of staff members dealing with calls for proposals and implementation of grant agreements;</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exclusion and award criteria, weightings and technical specifications are properly defined in the calls for proposals, in conformance with the applicable regul</w:t>
      </w:r>
      <w:r>
        <w:rPr>
          <w:rFonts w:ascii="EC Square Sans Pro" w:eastAsia="Times New Roman" w:hAnsi="EC Square Sans Pro" w:cs="Times New Roman"/>
          <w:noProof/>
          <w:sz w:val="20"/>
          <w:szCs w:val="20"/>
          <w:lang w:eastAsia="en-GB"/>
        </w:rPr>
        <w:t>atory framework;</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regular meetings are held between the operational initiating agents and the call owners on the progress of ongoing calls and to address any questions on the implementation of ongoing projects;</w:t>
      </w:r>
    </w:p>
    <w:p w:rsidR="000C6D03" w:rsidRDefault="00873433">
      <w:pPr>
        <w:numPr>
          <w:ilvl w:val="0"/>
          <w:numId w:val="33"/>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sufficient and timely information is </w:t>
      </w:r>
      <w:r>
        <w:rPr>
          <w:rFonts w:ascii="EC Square Sans Pro" w:eastAsia="Times New Roman" w:hAnsi="EC Square Sans Pro" w:cs="Times New Roman"/>
          <w:noProof/>
          <w:sz w:val="20"/>
          <w:szCs w:val="20"/>
          <w:lang w:eastAsia="en-GB"/>
        </w:rPr>
        <w:t>transferred to the members of the Employment and Social Innovation Committee (composed of representatives of the Member States and chaired by a representative of the Commission) on the planned actions to be funded by the employment and social innovation pr</w:t>
      </w:r>
      <w:r>
        <w:rPr>
          <w:rFonts w:ascii="EC Square Sans Pro" w:eastAsia="Times New Roman" w:hAnsi="EC Square Sans Pro" w:cs="Times New Roman"/>
          <w:noProof/>
          <w:sz w:val="20"/>
          <w:szCs w:val="20"/>
          <w:lang w:eastAsia="en-GB"/>
        </w:rPr>
        <w:t>ogramme and on the PROGRESS calls for proposals included in the annual work programmes.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p>
    <w:p w:rsidR="000C6D03" w:rsidRDefault="00873433">
      <w:pPr>
        <w:rPr>
          <w:rFonts w:ascii="EC Square Sans Pro" w:eastAsia="EC Square Sans Pro" w:hAnsi="EC Square Sans Pro" w:cs="Times New Roman"/>
          <w:b/>
          <w:noProof/>
          <w:color w:val="005D95"/>
          <w:sz w:val="28"/>
          <w:szCs w:val="21"/>
          <w:lang w:eastAsia="zh-CN"/>
        </w:rPr>
      </w:pPr>
      <w:bookmarkStart w:id="30" w:name="_Toc412457171"/>
      <w:bookmarkStart w:id="31" w:name="_Toc2946435"/>
      <w:bookmarkStart w:id="32" w:name="_Toc42788136"/>
      <w:bookmarkEnd w:id="30"/>
      <w:r>
        <w:rPr>
          <w:rFonts w:ascii="EC Square Sans Pro" w:eastAsia="EC Square Sans Pro" w:hAnsi="EC Square Sans Pro" w:cs="Times New Roman"/>
          <w:b/>
          <w:noProof/>
          <w:color w:val="005D95"/>
          <w:sz w:val="28"/>
          <w:szCs w:val="21"/>
          <w:lang w:eastAsia="zh-CN"/>
        </w:rPr>
        <w:br w:type="page"/>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r>
        <w:rPr>
          <w:rFonts w:ascii="EC Square Sans Pro" w:eastAsia="EC Square Sans Pro" w:hAnsi="EC Square Sans Pro" w:cs="Times New Roman"/>
          <w:b/>
          <w:noProof/>
          <w:color w:val="005D95"/>
          <w:sz w:val="28"/>
          <w:szCs w:val="21"/>
          <w:lang w:eastAsia="zh-CN"/>
        </w:rPr>
        <w:t>Research, energy and transport</w:t>
      </w:r>
      <w:bookmarkEnd w:id="31"/>
      <w:bookmarkEnd w:id="32"/>
      <w:r>
        <w:rPr>
          <w:rFonts w:ascii="EC Square Sans Pro" w:eastAsia="EC Square Sans Pro" w:hAnsi="EC Square Sans Pro" w:cs="Times New Roman"/>
          <w:b/>
          <w:noProof/>
          <w:color w:val="005D95"/>
          <w:sz w:val="28"/>
          <w:szCs w:val="21"/>
          <w:lang w:eastAsia="zh-CN"/>
        </w:rPr>
        <w:t xml:space="preserve"> </w:t>
      </w:r>
    </w:p>
    <w:p w:rsidR="000C6D03" w:rsidRDefault="00873433">
      <w:pPr>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33" w:name="_Toc42788137"/>
      <w:bookmarkStart w:id="34" w:name="_Toc2946436"/>
      <w:r>
        <w:rPr>
          <w:rFonts w:ascii="EC Square Sans Pro" w:eastAsia="Times New Roman" w:hAnsi="EC Square Sans Pro" w:cs="Times New Roman"/>
          <w:b/>
          <w:i/>
          <w:noProof/>
          <w:color w:val="005D95"/>
          <w:sz w:val="24"/>
          <w:szCs w:val="20"/>
          <w:lang w:eastAsia="en-GB"/>
        </w:rPr>
        <w:t xml:space="preserve">Audit on implementation of the better </w:t>
      </w:r>
      <w:r>
        <w:rPr>
          <w:rFonts w:ascii="EC Square Sans Pro" w:eastAsia="Times New Roman" w:hAnsi="EC Square Sans Pro" w:cs="Times New Roman"/>
          <w:b/>
          <w:i/>
          <w:noProof/>
          <w:color w:val="005D95"/>
          <w:sz w:val="24"/>
          <w:szCs w:val="20"/>
          <w:lang w:eastAsia="en-GB"/>
        </w:rPr>
        <w:t>regulation principles in the preparation of digital single market policy proposals in DG CONNECT</w:t>
      </w:r>
      <w:bookmarkEnd w:id="33"/>
      <w:r>
        <w:rPr>
          <w:rFonts w:ascii="EC Square Sans Pro" w:eastAsia="Times New Roman" w:hAnsi="EC Square Sans Pro" w:cs="Times New Roman"/>
          <w:b/>
          <w:i/>
          <w:noProof/>
          <w:color w:val="005D95"/>
          <w:sz w:val="24"/>
          <w:szCs w:val="20"/>
          <w:lang w:eastAsia="en-GB"/>
        </w:rPr>
        <w:t xml:space="preserve"> </w:t>
      </w:r>
      <w:bookmarkEnd w:id="3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whether the Directorate-General for Communications Networks, Content and Technology has put in place an internal cont</w:t>
      </w:r>
      <w:r>
        <w:rPr>
          <w:rFonts w:ascii="EC Square Sans Pro" w:eastAsia="Times New Roman" w:hAnsi="EC Square Sans Pro" w:cs="Times New Roman"/>
          <w:noProof/>
          <w:sz w:val="20"/>
          <w:szCs w:val="20"/>
          <w:lang w:eastAsia="en-GB"/>
        </w:rPr>
        <w:t>rol system for the preparation of digital single market policy proposals - within the remit of this Directorate-General - that is adequately designed and effectively implemented, in line with the better regulation principles.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were no reservations in </w:t>
      </w:r>
      <w:r>
        <w:rPr>
          <w:rFonts w:ascii="EC Square Sans Pro" w:eastAsia="Times New Roman" w:hAnsi="EC Square Sans Pro" w:cs="Times New Roman"/>
          <w:noProof/>
          <w:sz w:val="20"/>
          <w:szCs w:val="20"/>
          <w:lang w:eastAsia="en-GB"/>
        </w:rPr>
        <w:t>the Directorate-General’s 2018 annual activity report that relate to the area/process audited. The fieldwork was finalised on 19 June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acknowledged the Directorate</w:t>
      </w:r>
      <w:r>
        <w:rPr>
          <w:rFonts w:ascii="EC Square Sans Pro" w:eastAsia="Times New Roman" w:hAnsi="EC Square Sans Pro" w:cs="Times New Roman"/>
          <w:noProof/>
          <w:sz w:val="20"/>
          <w:szCs w:val="20"/>
          <w:lang w:eastAsia="en-GB"/>
        </w:rPr>
        <w:t>-General’s ongoing efforts to ensure effective implementation of the better regulation principles in the preparation of digital single market policy proposals. In particular, the Internal Audit Service highlighted the following strengths:</w:t>
      </w:r>
    </w:p>
    <w:p w:rsidR="000C6D03" w:rsidRDefault="00873433">
      <w:pPr>
        <w:numPr>
          <w:ilvl w:val="0"/>
          <w:numId w:val="2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w:t>
      </w:r>
      <w:r>
        <w:rPr>
          <w:rFonts w:ascii="EC Square Sans Pro" w:eastAsia="Times New Roman" w:hAnsi="EC Square Sans Pro" w:cs="Times New Roman"/>
          <w:noProof/>
          <w:sz w:val="20"/>
          <w:szCs w:val="20"/>
          <w:lang w:eastAsia="en-GB"/>
        </w:rPr>
        <w:t>eneral has set up a dedicated better regulation sector in its Unit D2 that assists the operational units in the key steps of the policy-making process; this has brought significant improvements to working procedures and workflows;</w:t>
      </w:r>
    </w:p>
    <w:p w:rsidR="000C6D03" w:rsidRDefault="00873433">
      <w:pPr>
        <w:numPr>
          <w:ilvl w:val="0"/>
          <w:numId w:val="2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h</w:t>
      </w:r>
      <w:r>
        <w:rPr>
          <w:rFonts w:ascii="EC Square Sans Pro" w:eastAsia="Times New Roman" w:hAnsi="EC Square Sans Pro" w:cs="Times New Roman"/>
          <w:noProof/>
          <w:sz w:val="20"/>
          <w:szCs w:val="20"/>
          <w:lang w:eastAsia="en-GB"/>
        </w:rPr>
        <w:t>as set up clear procedural guidance, complementing the corporate guidance, for the application of the better regulation requirements;</w:t>
      </w:r>
    </w:p>
    <w:p w:rsidR="000C6D03" w:rsidRDefault="00873433">
      <w:pPr>
        <w:numPr>
          <w:ilvl w:val="0"/>
          <w:numId w:val="2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has developed and applied innovative and good practices for the implementation of the better regul</w:t>
      </w:r>
      <w:r>
        <w:rPr>
          <w:rFonts w:ascii="EC Square Sans Pro" w:eastAsia="Times New Roman" w:hAnsi="EC Square Sans Pro" w:cs="Times New Roman"/>
          <w:noProof/>
          <w:sz w:val="20"/>
          <w:szCs w:val="20"/>
          <w:lang w:eastAsia="en-GB"/>
        </w:rPr>
        <w:t>ation requirements, namely:</w:t>
      </w:r>
    </w:p>
    <w:p w:rsidR="000C6D03" w:rsidRDefault="00873433">
      <w:pPr>
        <w:numPr>
          <w:ilvl w:val="0"/>
          <w:numId w:val="23"/>
        </w:numPr>
        <w:spacing w:after="240" w:line="240" w:lineRule="auto"/>
        <w:ind w:left="851" w:hanging="284"/>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development of an information-technology tool (DORIS) for reporting on the results of stakeholders’ consultations;</w:t>
      </w:r>
    </w:p>
    <w:p w:rsidR="000C6D03" w:rsidRDefault="00873433">
      <w:pPr>
        <w:numPr>
          <w:ilvl w:val="0"/>
          <w:numId w:val="23"/>
        </w:numPr>
        <w:spacing w:after="240" w:line="240" w:lineRule="auto"/>
        <w:ind w:left="851" w:hanging="284"/>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systematic use of SharePoint as working spaces for each major policy proposal, in particular when different units</w:t>
      </w:r>
      <w:r>
        <w:rPr>
          <w:rFonts w:ascii="EC Square Sans Pro" w:eastAsia="Times New Roman" w:hAnsi="EC Square Sans Pro" w:cs="Times New Roman"/>
          <w:noProof/>
          <w:sz w:val="20"/>
          <w:szCs w:val="20"/>
          <w:lang w:eastAsia="en-GB"/>
        </w:rPr>
        <w:t xml:space="preserve"> inside the Directorate-General or different Commission departments are involved in their preparation;</w:t>
      </w:r>
    </w:p>
    <w:p w:rsidR="000C6D03" w:rsidRDefault="00873433">
      <w:pPr>
        <w:numPr>
          <w:ilvl w:val="0"/>
          <w:numId w:val="23"/>
        </w:numPr>
        <w:spacing w:after="240" w:line="240" w:lineRule="auto"/>
        <w:ind w:left="851" w:hanging="284"/>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upstream preparation of meetings with the Regulatory Scrutiny Board, including mock-up meetings organised by Unit D2.</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did not </w:t>
      </w:r>
      <w:r>
        <w:rPr>
          <w:rFonts w:ascii="EC Square Sans Pro" w:eastAsia="Times New Roman" w:hAnsi="EC Square Sans Pro" w:cs="Times New Roman"/>
          <w:noProof/>
          <w:sz w:val="20"/>
          <w:szCs w:val="20"/>
          <w:lang w:eastAsia="en-GB"/>
        </w:rPr>
        <w:t>formulate any critical or very important recommendations.</w:t>
      </w:r>
    </w:p>
    <w:p w:rsidR="000C6D03" w:rsidRDefault="00873433">
      <w:pPr>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35" w:name="_Toc3473287"/>
      <w:bookmarkStart w:id="36" w:name="_Toc42788138"/>
      <w:bookmarkStart w:id="37" w:name="_Toc2946438"/>
      <w:bookmarkEnd w:id="35"/>
      <w:r>
        <w:rPr>
          <w:rFonts w:ascii="EC Square Sans Pro" w:eastAsia="Times New Roman" w:hAnsi="EC Square Sans Pro" w:cs="Times New Roman"/>
          <w:b/>
          <w:i/>
          <w:noProof/>
          <w:color w:val="005D95"/>
          <w:sz w:val="24"/>
          <w:szCs w:val="20"/>
          <w:lang w:eastAsia="en-GB"/>
        </w:rPr>
        <w:t>Audit on the implementation of DG ENER’s control strategy for delegated bodies implementing the nuclear decommissioning assistance programme</w:t>
      </w:r>
      <w:bookmarkEnd w:id="36"/>
      <w:r>
        <w:rPr>
          <w:rFonts w:ascii="EC Square Sans Pro" w:eastAsia="Times New Roman" w:hAnsi="EC Square Sans Pro" w:cs="Times New Roman"/>
          <w:b/>
          <w:i/>
          <w:noProof/>
          <w:color w:val="005D95"/>
          <w:sz w:val="24"/>
          <w:szCs w:val="20"/>
          <w:lang w:eastAsia="en-GB"/>
        </w:rPr>
        <w:t xml:space="preserve"> </w:t>
      </w:r>
      <w:bookmarkEnd w:id="3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w:t>
      </w:r>
      <w:r>
        <w:rPr>
          <w:rFonts w:ascii="EC Square Sans Pro" w:eastAsia="Times New Roman" w:hAnsi="EC Square Sans Pro" w:cs="Times New Roman"/>
          <w:b/>
          <w:noProof/>
          <w:sz w:val="20"/>
          <w:szCs w:val="20"/>
          <w:lang w:eastAsia="en-GB"/>
        </w:rPr>
        <w:t xml:space="preserve"> </w:t>
      </w:r>
      <w:r>
        <w:rPr>
          <w:rFonts w:ascii="EC Square Sans Pro" w:eastAsia="Times New Roman" w:hAnsi="EC Square Sans Pro" w:cs="Times New Roman"/>
          <w:noProof/>
          <w:sz w:val="20"/>
          <w:szCs w:val="20"/>
          <w:lang w:eastAsia="en-GB"/>
        </w:rPr>
        <w:t>of the audit was to assess the effective i</w:t>
      </w:r>
      <w:r>
        <w:rPr>
          <w:rFonts w:ascii="EC Square Sans Pro" w:eastAsia="Times New Roman" w:hAnsi="EC Square Sans Pro" w:cs="Times New Roman"/>
          <w:noProof/>
          <w:sz w:val="20"/>
          <w:szCs w:val="20"/>
          <w:lang w:eastAsia="en-GB"/>
        </w:rPr>
        <w:t>mplementation of the Directorate-General for Energy’s control strategy for the activities of the delegated bodies implementing the nuclear decommissioning assistance programme and the level of assurance the Directorate-General derives from it.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were </w:t>
      </w:r>
      <w:r>
        <w:rPr>
          <w:rFonts w:ascii="EC Square Sans Pro" w:eastAsia="Times New Roman" w:hAnsi="EC Square Sans Pro" w:cs="Times New Roman"/>
          <w:noProof/>
          <w:sz w:val="20"/>
          <w:szCs w:val="20"/>
          <w:lang w:eastAsia="en-GB"/>
        </w:rPr>
        <w:t>no reservations in the Directorate-General’s 2018 annual activity report related to the area/process audited. The fieldwork was finalised on 3 October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Directorat</w:t>
      </w:r>
      <w:r>
        <w:rPr>
          <w:rFonts w:ascii="EC Square Sans Pro" w:eastAsia="Times New Roman" w:hAnsi="EC Square Sans Pro" w:cs="Times New Roman"/>
          <w:noProof/>
          <w:sz w:val="20"/>
          <w:szCs w:val="20"/>
          <w:lang w:eastAsia="en-GB"/>
        </w:rPr>
        <w:t>e-General’s ongoing efforts to implement its control strategy for the delegated bodies implementing the nuclear decommissioning assistance programme, in particular:</w:t>
      </w:r>
    </w:p>
    <w:p w:rsidR="000C6D03" w:rsidRDefault="00873433">
      <w:pPr>
        <w:numPr>
          <w:ilvl w:val="0"/>
          <w:numId w:val="25"/>
        </w:numPr>
        <w:spacing w:after="240" w:line="240" w:lineRule="auto"/>
        <w:ind w:left="36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systematic and well-documented risk review process set out in the risk-management plan </w:t>
      </w:r>
      <w:r>
        <w:rPr>
          <w:rFonts w:ascii="EC Square Sans Pro" w:eastAsia="Times New Roman" w:hAnsi="EC Square Sans Pro" w:cs="Times New Roman"/>
          <w:noProof/>
          <w:sz w:val="20"/>
          <w:szCs w:val="20"/>
          <w:lang w:eastAsia="en-GB"/>
        </w:rPr>
        <w:t>for the programmes, with identified key risks recorded in a programme-specific risk register;</w:t>
      </w:r>
    </w:p>
    <w:p w:rsidR="000C6D03" w:rsidRDefault="00873433">
      <w:pPr>
        <w:numPr>
          <w:ilvl w:val="0"/>
          <w:numId w:val="25"/>
        </w:numPr>
        <w:spacing w:after="240" w:line="240" w:lineRule="auto"/>
        <w:ind w:left="283" w:hanging="28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expertise and skills of the programme officers in charge of the three decommissioning programmes, which are appropriate for monitoring effectively the program</w:t>
      </w:r>
      <w:r>
        <w:rPr>
          <w:rFonts w:ascii="EC Square Sans Pro" w:eastAsia="Times New Roman" w:hAnsi="EC Square Sans Pro" w:cs="Times New Roman"/>
          <w:noProof/>
          <w:sz w:val="20"/>
          <w:szCs w:val="20"/>
          <w:lang w:eastAsia="en-GB"/>
        </w:rPr>
        <w:t>mes’ implementation and performing the necessary checks;</w:t>
      </w:r>
    </w:p>
    <w:p w:rsidR="000C6D03" w:rsidRDefault="00873433">
      <w:pPr>
        <w:numPr>
          <w:ilvl w:val="0"/>
          <w:numId w:val="24"/>
        </w:numPr>
        <w:spacing w:after="240" w:line="240" w:lineRule="auto"/>
        <w:ind w:left="283" w:hanging="28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close involvement of the Authorising Officer by Sub-delegation in the monitoring of the programmes.</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Internal Audit Service identified one issue concerning </w:t>
      </w:r>
      <w:r>
        <w:rPr>
          <w:rFonts w:ascii="EC Square Sans Pro" w:eastAsia="Times New Roman" w:hAnsi="EC Square Sans Pro" w:cs="Times New Roman"/>
          <w:i/>
          <w:noProof/>
          <w:color w:val="000000"/>
          <w:sz w:val="20"/>
          <w:szCs w:val="20"/>
          <w:lang w:eastAsia="en-GB"/>
        </w:rPr>
        <w:t>clearing of pre-financed amounts</w:t>
      </w:r>
      <w:r>
        <w:rPr>
          <w:rFonts w:ascii="EC Square Sans Pro" w:eastAsia="Times New Roman" w:hAnsi="EC Square Sans Pro" w:cs="Times New Roman"/>
          <w:b/>
          <w:i/>
          <w:noProof/>
          <w:color w:val="000000"/>
          <w:sz w:val="20"/>
          <w:szCs w:val="20"/>
          <w:lang w:eastAsia="en-GB"/>
        </w:rPr>
        <w:t xml:space="preserve"> </w:t>
      </w:r>
      <w:r>
        <w:rPr>
          <w:rFonts w:ascii="EC Square Sans Pro" w:eastAsia="Times New Roman" w:hAnsi="EC Square Sans Pro" w:cs="Times New Roman"/>
          <w:noProof/>
          <w:color w:val="000000"/>
          <w:sz w:val="20"/>
          <w:szCs w:val="20"/>
          <w:lang w:eastAsia="en-GB"/>
        </w:rPr>
        <w:t xml:space="preserve">and </w:t>
      </w:r>
      <w:r>
        <w:rPr>
          <w:rFonts w:ascii="EC Square Sans Pro" w:eastAsia="Times New Roman" w:hAnsi="EC Square Sans Pro" w:cs="Times New Roman"/>
          <w:noProof/>
          <w:color w:val="000000"/>
          <w:sz w:val="20"/>
          <w:szCs w:val="20"/>
          <w:lang w:eastAsia="en-GB"/>
        </w:rPr>
        <w:t>formulated the following very important recommendation: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Directorate-General for Energy should </w:t>
      </w:r>
      <w:r>
        <w:rPr>
          <w:rFonts w:ascii="EC Square Sans Pro" w:eastAsia="Times New Roman" w:hAnsi="EC Square Sans Pro" w:cs="Times New Roman"/>
          <w:noProof/>
          <w:sz w:val="20"/>
          <w:szCs w:val="20"/>
          <w:lang w:eastAsia="en-GB"/>
        </w:rPr>
        <w:fldChar w:fldCharType="begin"/>
      </w:r>
      <w:r>
        <w:rPr>
          <w:rFonts w:ascii="EC Square Sans Pro" w:eastAsia="Times New Roman" w:hAnsi="EC Square Sans Pro" w:cs="Times New Roman"/>
          <w:noProof/>
          <w:sz w:val="20"/>
          <w:szCs w:val="20"/>
          <w:lang w:eastAsia="en-GB"/>
        </w:rPr>
        <w:instrText xml:space="preserve"> &lt;tm:extract&gt; </w:instrText>
      </w:r>
      <w:r>
        <w:rPr>
          <w:rFonts w:ascii="EC Square Sans Pro" w:eastAsia="Times New Roman" w:hAnsi="EC Square Sans Pro" w:cs="Times New Roman"/>
          <w:noProof/>
          <w:sz w:val="20"/>
          <w:szCs w:val="20"/>
          <w:lang w:eastAsia="en-GB"/>
        </w:rPr>
        <w:fldChar w:fldCharType="end"/>
      </w:r>
      <w:r>
        <w:rPr>
          <w:rFonts w:ascii="EC Square Sans Pro" w:eastAsia="Times New Roman" w:hAnsi="EC Square Sans Pro" w:cs="Times New Roman"/>
          <w:noProof/>
          <w:sz w:val="20"/>
          <w:szCs w:val="20"/>
          <w:lang w:eastAsia="en-GB"/>
        </w:rPr>
        <w:fldChar w:fldCharType="begin"/>
      </w:r>
      <w:r>
        <w:rPr>
          <w:rFonts w:ascii="EC Square Sans Pro" w:eastAsia="Times New Roman" w:hAnsi="EC Square Sans Pro" w:cs="Times New Roman"/>
          <w:noProof/>
          <w:sz w:val="20"/>
          <w:szCs w:val="20"/>
          <w:lang w:eastAsia="en-GB"/>
        </w:rPr>
        <w:instrText xml:space="preserve"> &lt;xsl:value-of select="TEXTFIELD3"/&gt; </w:instrText>
      </w:r>
      <w:r>
        <w:rPr>
          <w:rFonts w:ascii="EC Square Sans Pro" w:eastAsia="Times New Roman" w:hAnsi="EC Square Sans Pro" w:cs="Times New Roman"/>
          <w:noProof/>
          <w:sz w:val="20"/>
          <w:szCs w:val="20"/>
          <w:lang w:eastAsia="en-GB"/>
        </w:rPr>
        <w:fldChar w:fldCharType="end"/>
      </w:r>
      <w:r>
        <w:rPr>
          <w:rFonts w:ascii="EC Square Sans Pro" w:eastAsia="Times New Roman" w:hAnsi="EC Square Sans Pro" w:cs="Times New Roman"/>
          <w:noProof/>
          <w:sz w:val="20"/>
          <w:szCs w:val="20"/>
          <w:lang w:eastAsia="en-GB"/>
        </w:rPr>
        <w:fldChar w:fldCharType="begin"/>
      </w:r>
      <w:r>
        <w:rPr>
          <w:rFonts w:ascii="EC Square Sans Pro" w:eastAsia="Times New Roman" w:hAnsi="EC Square Sans Pro" w:cs="Times New Roman"/>
          <w:noProof/>
          <w:sz w:val="20"/>
          <w:szCs w:val="20"/>
          <w:lang w:eastAsia="en-GB"/>
        </w:rPr>
        <w:instrText xml:space="preserve"> &lt;/tm:extract&gt; </w:instrText>
      </w:r>
      <w:r>
        <w:rPr>
          <w:rFonts w:ascii="EC Square Sans Pro" w:eastAsia="Times New Roman" w:hAnsi="EC Square Sans Pro" w:cs="Times New Roman"/>
          <w:noProof/>
          <w:sz w:val="20"/>
          <w:szCs w:val="20"/>
          <w:lang w:eastAsia="en-GB"/>
        </w:rPr>
        <w:fldChar w:fldCharType="end"/>
      </w:r>
      <w:r>
        <w:rPr>
          <w:rFonts w:ascii="EC Square Sans Pro" w:eastAsia="Times New Roman" w:hAnsi="EC Square Sans Pro" w:cs="Times New Roman"/>
          <w:noProof/>
          <w:sz w:val="20"/>
          <w:szCs w:val="20"/>
          <w:lang w:eastAsia="en-GB"/>
        </w:rPr>
        <w:fldChar w:fldCharType="begin"/>
      </w:r>
      <w:r>
        <w:rPr>
          <w:rFonts w:ascii="EC Square Sans Pro" w:eastAsia="Times New Roman" w:hAnsi="EC Square Sans Pro" w:cs="Times New Roman"/>
          <w:noProof/>
          <w:sz w:val="20"/>
          <w:szCs w:val="20"/>
          <w:lang w:eastAsia="en-GB"/>
        </w:rPr>
        <w:instrText xml:space="preserve"> &lt;xsl:for-each select="Recommendations/Recommendation"&gt; </w:instrText>
      </w:r>
      <w:r>
        <w:rPr>
          <w:rFonts w:ascii="EC Square Sans Pro" w:eastAsia="Times New Roman" w:hAnsi="EC Square Sans Pro" w:cs="Times New Roman"/>
          <w:noProof/>
          <w:sz w:val="20"/>
          <w:szCs w:val="20"/>
          <w:lang w:eastAsia="en-GB"/>
        </w:rPr>
        <w:fldChar w:fldCharType="end"/>
      </w:r>
      <w:r>
        <w:rPr>
          <w:rFonts w:ascii="EC Square Sans Pro" w:eastAsia="Times New Roman" w:hAnsi="EC Square Sans Pro" w:cs="Times New Roman"/>
          <w:noProof/>
          <w:sz w:val="20"/>
          <w:szCs w:val="20"/>
          <w:lang w:eastAsia="en-GB"/>
        </w:rPr>
        <w:t>use the result of the work o</w:t>
      </w:r>
      <w:r>
        <w:rPr>
          <w:rFonts w:ascii="EC Square Sans Pro" w:eastAsia="Times New Roman" w:hAnsi="EC Square Sans Pro" w:cs="Times New Roman"/>
          <w:noProof/>
          <w:sz w:val="20"/>
          <w:szCs w:val="20"/>
          <w:lang w:eastAsia="en-GB"/>
        </w:rPr>
        <w:t>f independent audit bodies on the disbursed amounts reported by the delegated bodies, in addition to the payment requests, to clear pre</w:t>
      </w:r>
      <w:r>
        <w:rPr>
          <w:rFonts w:ascii="EC Square Sans Pro" w:eastAsia="Times New Roman" w:hAnsi="EC Square Sans Pro" w:cs="Times New Roman"/>
          <w:noProof/>
          <w:sz w:val="20"/>
          <w:szCs w:val="20"/>
          <w:lang w:eastAsia="en-GB"/>
        </w:rPr>
        <w:noBreakHyphen/>
        <w:t xml:space="preserve">financed amounts. In addition, it should request that the opinion of the independent audit body for the Central Project </w:t>
      </w:r>
      <w:r>
        <w:rPr>
          <w:rFonts w:ascii="EC Square Sans Pro" w:eastAsia="Times New Roman" w:hAnsi="EC Square Sans Pro" w:cs="Times New Roman"/>
          <w:noProof/>
          <w:sz w:val="20"/>
          <w:szCs w:val="20"/>
          <w:lang w:eastAsia="en-GB"/>
        </w:rPr>
        <w:t>Management Agency contain references that enable the Directorate-General to reconcile the disbursed amounts with those reported in the Agency’s summary report.</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ENER on the measures drawn up and/or implemented following</w:t>
      </w:r>
      <w:r>
        <w:rPr>
          <w:rFonts w:ascii="EC Square Sans Pro" w:eastAsia="EC Square Sans Pro" w:hAnsi="EC Square Sans Pro" w:cs="Times New Roman"/>
          <w:b/>
          <w:noProof/>
          <w:color w:val="005D95"/>
          <w:sz w:val="20"/>
          <w:lang w:eastAsia="fr-BE"/>
        </w:rPr>
        <w:t xml:space="preserve">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Energy accepted the recommendation and implemented actions to mitigate the identified risks:</w:t>
      </w:r>
    </w:p>
    <w:p w:rsidR="000C6D03" w:rsidRDefault="00873433">
      <w:pPr>
        <w:numPr>
          <w:ilvl w:val="0"/>
          <w:numId w:val="24"/>
        </w:numPr>
        <w:pBdr>
          <w:top w:val="dashSmallGap" w:sz="12" w:space="8" w:color="F68A42"/>
          <w:left w:val="dashSmallGap" w:sz="12" w:space="8" w:color="F68A42"/>
          <w:bottom w:val="dashSmallGap" w:sz="12" w:space="8" w:color="F68A42"/>
          <w:right w:val="dashSmallGap" w:sz="12" w:space="8" w:color="F68A42"/>
        </w:pBdr>
        <w:spacing w:after="240" w:line="240" w:lineRule="auto"/>
        <w:ind w:left="426" w:hanging="426"/>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In April 2020 the procedure for clearing of pre-financed amounts was updated to include: (i) the </w:t>
      </w:r>
      <w:r>
        <w:rPr>
          <w:rFonts w:ascii="EC Square Sans Pro" w:eastAsia="EC Square Sans Pro" w:hAnsi="EC Square Sans Pro" w:cs="Times New Roman"/>
          <w:noProof/>
          <w:sz w:val="20"/>
          <w:lang w:eastAsia="fr-BE"/>
        </w:rPr>
        <w:t>certified (audited) financial statements as soon as they are reported by the delegated bodies; and (ii) a coherence check with certified financial statements when non-certified figures are used. The Directorate-General for Energy accounting manual was upda</w:t>
      </w:r>
      <w:r>
        <w:rPr>
          <w:rFonts w:ascii="EC Square Sans Pro" w:eastAsia="EC Square Sans Pro" w:hAnsi="EC Square Sans Pro" w:cs="Times New Roman"/>
          <w:noProof/>
          <w:sz w:val="20"/>
          <w:lang w:eastAsia="fr-BE"/>
        </w:rPr>
        <w:t>ted accordingly on 17 April 2020 and duly notified to users involved in these processes.</w:t>
      </w:r>
    </w:p>
    <w:p w:rsidR="000C6D03" w:rsidRDefault="00873433">
      <w:pPr>
        <w:numPr>
          <w:ilvl w:val="0"/>
          <w:numId w:val="24"/>
        </w:numPr>
        <w:pBdr>
          <w:top w:val="dashSmallGap" w:sz="12" w:space="8" w:color="F68A42"/>
          <w:left w:val="dashSmallGap" w:sz="12" w:space="8" w:color="F68A42"/>
          <w:bottom w:val="dashSmallGap" w:sz="12" w:space="8" w:color="F68A42"/>
          <w:right w:val="dashSmallGap" w:sz="12" w:space="8" w:color="F68A42"/>
        </w:pBdr>
        <w:spacing w:after="240" w:line="240" w:lineRule="auto"/>
        <w:ind w:left="426" w:hanging="426"/>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In February 2020, the Directorate-General for Energy obtained from the Central Project Management Agency the opinion of the independent audit body on an agreed templat</w:t>
      </w:r>
      <w:r>
        <w:rPr>
          <w:rFonts w:ascii="EC Square Sans Pro" w:eastAsia="EC Square Sans Pro" w:hAnsi="EC Square Sans Pro" w:cs="Times New Roman"/>
          <w:noProof/>
          <w:sz w:val="20"/>
          <w:lang w:eastAsia="fr-BE"/>
        </w:rPr>
        <w:t>e that facilitates reconciliation of the disbursed amounts with those reported in the summary report. This agency therefore fulfilled obligations on reporting according to the Delegation Agreement.</w:t>
      </w:r>
    </w:p>
    <w:p w:rsidR="000C6D03" w:rsidRDefault="00873433">
      <w:pPr>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38" w:name="_Toc42788139"/>
      <w:r>
        <w:rPr>
          <w:rFonts w:ascii="EC Square Sans Pro" w:eastAsia="Times New Roman" w:hAnsi="EC Square Sans Pro" w:cs="Times New Roman"/>
          <w:b/>
          <w:i/>
          <w:noProof/>
          <w:color w:val="005D95"/>
          <w:sz w:val="24"/>
          <w:szCs w:val="20"/>
          <w:lang w:eastAsia="en-GB"/>
        </w:rPr>
        <w:t>Audit on the governance structure in ERCEA</w:t>
      </w:r>
      <w:bookmarkEnd w:id="38"/>
      <w:r>
        <w:rPr>
          <w:rFonts w:ascii="EC Square Sans Pro" w:eastAsia="Times New Roman" w:hAnsi="EC Square Sans Pro" w:cs="Times New Roman"/>
          <w:b/>
          <w:i/>
          <w:noProof/>
          <w:color w:val="005D95"/>
          <w:sz w:val="24"/>
          <w:szCs w:val="20"/>
          <w:lang w:eastAsia="en-GB"/>
        </w:rPr>
        <w:t xml:space="preserve"> </w:t>
      </w:r>
    </w:p>
    <w:p w:rsidR="000C6D03" w:rsidRDefault="00873433">
      <w:pPr>
        <w:spacing w:after="240" w:line="240" w:lineRule="auto"/>
        <w:jc w:val="both"/>
        <w:rPr>
          <w:rFonts w:ascii="EC Square Sans Pro" w:eastAsia="Calibri" w:hAnsi="EC Square Sans Pro" w:cs="Times New Roman"/>
          <w:noProof/>
          <w:sz w:val="20"/>
          <w:szCs w:val="20"/>
          <w:lang w:eastAsia="en-GB"/>
        </w:rPr>
      </w:pPr>
      <w:r>
        <w:rPr>
          <w:rFonts w:ascii="EC Square Sans Pro" w:eastAsia="Calibri" w:hAnsi="EC Square Sans Pro" w:cs="Times New Roman"/>
          <w:noProof/>
          <w:sz w:val="20"/>
          <w:szCs w:val="20"/>
          <w:lang w:eastAsia="en-GB"/>
        </w:rPr>
        <w:t xml:space="preserve">The objective of the audit was to assess the governance structure specific to the European Research Council Executive Agency (ERCEA), with a focus on roles and responsibilities of the different stakeholders, i.e. the Scientific Council, the </w:t>
      </w:r>
      <w:r>
        <w:rPr>
          <w:rFonts w:ascii="EC Square Sans Pro" w:eastAsia="Times New Roman" w:hAnsi="EC Square Sans Pro" w:cs="Times New Roman"/>
          <w:noProof/>
          <w:sz w:val="20"/>
          <w:szCs w:val="20"/>
          <w:lang w:eastAsia="en-GB"/>
        </w:rPr>
        <w:t>European Resear</w:t>
      </w:r>
      <w:r>
        <w:rPr>
          <w:rFonts w:ascii="EC Square Sans Pro" w:eastAsia="Times New Roman" w:hAnsi="EC Square Sans Pro" w:cs="Times New Roman"/>
          <w:noProof/>
          <w:sz w:val="20"/>
          <w:szCs w:val="20"/>
          <w:lang w:eastAsia="en-GB"/>
        </w:rPr>
        <w:t xml:space="preserve">ch Council </w:t>
      </w:r>
      <w:r>
        <w:rPr>
          <w:rFonts w:ascii="EC Square Sans Pro" w:eastAsia="Calibri" w:hAnsi="EC Square Sans Pro" w:cs="Times New Roman"/>
          <w:noProof/>
          <w:sz w:val="20"/>
          <w:szCs w:val="20"/>
          <w:lang w:eastAsia="en-GB"/>
        </w:rPr>
        <w:t>Board, the Steering Committee and the Directorate-General for Research and Innovation, and the communication between them.</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elements gathered by the Internal Audit Service during the preliminary survey, complemented by the results of the prev</w:t>
      </w:r>
      <w:r>
        <w:rPr>
          <w:rFonts w:ascii="EC Square Sans Pro" w:eastAsia="Times New Roman" w:hAnsi="EC Square Sans Pro" w:cs="Times New Roman"/>
          <w:noProof/>
          <w:sz w:val="20"/>
          <w:szCs w:val="20"/>
          <w:lang w:eastAsia="en-GB"/>
        </w:rPr>
        <w:t>ious audits on the grant-management process in ERCEA</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2"/>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enabled the IAS to consider the Agency’s governance framework as adequately designed and to assess the inherent risks related to its implementation as medium to low. Given the positive outcome of </w:t>
      </w:r>
      <w:r>
        <w:rPr>
          <w:rFonts w:ascii="EC Square Sans Pro" w:eastAsia="Times New Roman" w:hAnsi="EC Square Sans Pro" w:cs="Times New Roman"/>
          <w:noProof/>
          <w:sz w:val="20"/>
          <w:szCs w:val="20"/>
          <w:lang w:eastAsia="en-GB"/>
        </w:rPr>
        <w:t>the preliminary survey, the audit was stopped at that stage and no formal audit report was issued.</w:t>
      </w:r>
    </w:p>
    <w:p w:rsidR="000C6D03" w:rsidRDefault="00873433">
      <w:pPr>
        <w:keepNext/>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39" w:name="_Toc42788140"/>
      <w:bookmarkStart w:id="40" w:name="_Toc2946451"/>
      <w:r>
        <w:rPr>
          <w:rFonts w:ascii="EC Square Sans Pro" w:eastAsia="Times New Roman" w:hAnsi="EC Square Sans Pro" w:cs="Times New Roman"/>
          <w:b/>
          <w:i/>
          <w:noProof/>
          <w:color w:val="005D95"/>
          <w:sz w:val="24"/>
          <w:szCs w:val="20"/>
          <w:lang w:eastAsia="en-GB"/>
        </w:rPr>
        <w:t>Audit on site management infrastructure support services in the JRC</w:t>
      </w:r>
      <w:bookmarkEnd w:id="39"/>
      <w:r>
        <w:rPr>
          <w:rFonts w:ascii="EC Square Sans Pro" w:eastAsia="Times New Roman" w:hAnsi="EC Square Sans Pro" w:cs="Times New Roman"/>
          <w:b/>
          <w:i/>
          <w:noProof/>
          <w:color w:val="005D95"/>
          <w:sz w:val="24"/>
          <w:szCs w:val="20"/>
          <w:lang w:eastAsia="en-GB"/>
        </w:rPr>
        <w:t xml:space="preserve"> </w:t>
      </w:r>
      <w:bookmarkEnd w:id="40"/>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whether the Joint Research Centre has set up ef</w:t>
      </w:r>
      <w:r>
        <w:rPr>
          <w:rFonts w:ascii="EC Square Sans Pro" w:eastAsia="Times New Roman" w:hAnsi="EC Square Sans Pro" w:cs="Times New Roman"/>
          <w:noProof/>
          <w:sz w:val="20"/>
          <w:szCs w:val="20"/>
          <w:lang w:eastAsia="en-GB"/>
        </w:rPr>
        <w:t>ficient and effective management and control systems to ensure the proper delivery of site management and infrastructure support services.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Joint Research Centre’s 2018 annual activity report that relate to the area/process</w:t>
      </w:r>
      <w:r>
        <w:rPr>
          <w:rFonts w:ascii="EC Square Sans Pro" w:eastAsia="Times New Roman" w:hAnsi="EC Square Sans Pro" w:cs="Times New Roman"/>
          <w:noProof/>
          <w:sz w:val="20"/>
          <w:szCs w:val="20"/>
          <w:lang w:eastAsia="en-GB"/>
        </w:rPr>
        <w:t xml:space="preserve"> audited. The fieldwork was finalised on 17 December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identified the following strengths:</w:t>
      </w:r>
    </w:p>
    <w:p w:rsidR="000C6D03" w:rsidRDefault="00873433">
      <w:pPr>
        <w:numPr>
          <w:ilvl w:val="0"/>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Communication between the sites of the Joint Research Centre has improved</w:t>
      </w:r>
      <w:r>
        <w:rPr>
          <w:rFonts w:ascii="EC Square Sans Pro" w:eastAsia="Times New Roman" w:hAnsi="EC Square Sans Pro" w:cs="Times New Roman"/>
          <w:noProof/>
          <w:sz w:val="20"/>
          <w:szCs w:val="20"/>
          <w:lang w:eastAsia="en-GB"/>
        </w:rPr>
        <w:t xml:space="preserve"> thanks to the creation of the site management network and the centralisation of all site support units (with the exception of Karlsruhe) in Directorate R, following the Directorate-General’s 2016 reorganisation.</w:t>
      </w:r>
    </w:p>
    <w:p w:rsidR="000C6D03" w:rsidRDefault="00873433">
      <w:pPr>
        <w:numPr>
          <w:ilvl w:val="0"/>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identification and sharing of best prac</w:t>
      </w:r>
      <w:r>
        <w:rPr>
          <w:rFonts w:ascii="EC Square Sans Pro" w:eastAsia="Times New Roman" w:hAnsi="EC Square Sans Pro" w:cs="Times New Roman"/>
          <w:noProof/>
          <w:sz w:val="20"/>
          <w:szCs w:val="20"/>
          <w:lang w:eastAsia="en-GB"/>
        </w:rPr>
        <w:t>tices to address cases of ineffective procurement planning.</w:t>
      </w:r>
    </w:p>
    <w:p w:rsidR="000C6D03" w:rsidRDefault="00873433">
      <w:pPr>
        <w:numPr>
          <w:ilvl w:val="0"/>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completion of the site development implementation plans by the Joint Research Centre (which translate the long-term vision up to 2030 into concrete plans/projects for the next 3 years) will bo</w:t>
      </w:r>
      <w:r>
        <w:rPr>
          <w:rFonts w:ascii="EC Square Sans Pro" w:eastAsia="Times New Roman" w:hAnsi="EC Square Sans Pro" w:cs="Times New Roman"/>
          <w:noProof/>
          <w:sz w:val="20"/>
          <w:szCs w:val="20"/>
          <w:lang w:eastAsia="en-GB"/>
        </w:rPr>
        <w:t>ost harmonisation and ease the integration of small and medium investments into the plans.</w:t>
      </w:r>
    </w:p>
    <w:p w:rsidR="000C6D03" w:rsidRDefault="00873433">
      <w:pPr>
        <w:numPr>
          <w:ilvl w:val="0"/>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high level of professionalism and dedication of site support staff and the demonstrated ability to cope with high workload and to protect the financial interests</w:t>
      </w:r>
      <w:r>
        <w:rPr>
          <w:rFonts w:ascii="EC Square Sans Pro" w:eastAsia="Times New Roman" w:hAnsi="EC Square Sans Pro" w:cs="Times New Roman"/>
          <w:noProof/>
          <w:sz w:val="20"/>
          <w:szCs w:val="20"/>
          <w:lang w:eastAsia="en-GB"/>
        </w:rPr>
        <w:t xml:space="preserve"> of the Commission. In this respect, the Internal Audit Service highlights the following two examples:</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procurement, JRC Geel provides information on the content of calls for tender before launching them. This gives potential candidates a better idea of </w:t>
      </w:r>
      <w:r>
        <w:rPr>
          <w:rFonts w:ascii="EC Square Sans Pro" w:eastAsia="Times New Roman" w:hAnsi="EC Square Sans Pro" w:cs="Times New Roman"/>
          <w:noProof/>
          <w:sz w:val="20"/>
          <w:szCs w:val="20"/>
          <w:lang w:eastAsia="en-GB"/>
        </w:rPr>
        <w:t>the site management and infrastructure services / construction works to be performed. It also increases the number of applicants (reducing the number of calls for tender that fail due to a lack of suitable applicants).</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 part of the measures to increase t</w:t>
      </w:r>
      <w:r>
        <w:rPr>
          <w:rFonts w:ascii="EC Square Sans Pro" w:eastAsia="Times New Roman" w:hAnsi="EC Square Sans Pro" w:cs="Times New Roman"/>
          <w:noProof/>
          <w:sz w:val="20"/>
          <w:szCs w:val="20"/>
          <w:lang w:eastAsia="en-GB"/>
        </w:rPr>
        <w:t>he number of competitions and broaden the reach of potential candidates, notifications are addressed to various chambers of commerce in the area of JRC Karlsruhe (IHK-Rhein-Neckar, Karlsruhe, Rheinland-Pfalz) and information is exchanged with KIT (the Germ</w:t>
      </w:r>
      <w:r>
        <w:rPr>
          <w:rFonts w:ascii="EC Square Sans Pro" w:eastAsia="Times New Roman" w:hAnsi="EC Square Sans Pro" w:cs="Times New Roman"/>
          <w:noProof/>
          <w:sz w:val="20"/>
          <w:szCs w:val="20"/>
          <w:lang w:eastAsia="en-GB"/>
        </w:rPr>
        <w:t>an research institute in the premises of which JRC Karlsruhe is located).</w:t>
      </w:r>
    </w:p>
    <w:p w:rsidR="000C6D03" w:rsidRDefault="00873433">
      <w:pPr>
        <w:numPr>
          <w:ilvl w:val="0"/>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Asset management:</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Joint Research Centre recently finalised the procedure for the 'management of old IT inventoried items under corporate network' and the 'workflow of old IT inve</w:t>
      </w:r>
      <w:r>
        <w:rPr>
          <w:rFonts w:ascii="EC Square Sans Pro" w:eastAsia="Times New Roman" w:hAnsi="EC Square Sans Pro" w:cs="Times New Roman"/>
          <w:noProof/>
          <w:sz w:val="20"/>
          <w:szCs w:val="20"/>
          <w:lang w:eastAsia="en-GB"/>
        </w:rPr>
        <w:t>ntoried items under corporate network' initiatives;</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Geel has included in the maintenance contract the obligation for contractors to store technical parts so that space is available in the site for other purposes than storage;</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Management Centre in Ispra</w:t>
      </w:r>
      <w:r>
        <w:rPr>
          <w:rFonts w:ascii="EC Square Sans Pro" w:eastAsia="Times New Roman" w:hAnsi="EC Square Sans Pro" w:cs="Times New Roman"/>
          <w:noProof/>
          <w:sz w:val="20"/>
          <w:szCs w:val="20"/>
          <w:lang w:eastAsia="en-GB"/>
        </w:rPr>
        <w:t xml:space="preserve"> recently updated its work instructions on downgrading assets and for the inventory;</w:t>
      </w:r>
    </w:p>
    <w:p w:rsidR="000C6D03" w:rsidRDefault="00873433">
      <w:pPr>
        <w:numPr>
          <w:ilvl w:val="1"/>
          <w:numId w:val="32"/>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Karlsruhe has outsourced its stock-taking exercise in order to cope with the shortage of staff.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IAS identified two issues, one concerning </w:t>
      </w:r>
      <w:r>
        <w:rPr>
          <w:rFonts w:ascii="EC Square Sans Pro" w:eastAsia="Times New Roman" w:hAnsi="EC Square Sans Pro" w:cs="Times New Roman"/>
          <w:bCs/>
          <w:i/>
          <w:noProof/>
          <w:sz w:val="20"/>
          <w:szCs w:val="20"/>
        </w:rPr>
        <w:t>site management and infrastr</w:t>
      </w:r>
      <w:r>
        <w:rPr>
          <w:rFonts w:ascii="EC Square Sans Pro" w:eastAsia="Times New Roman" w:hAnsi="EC Square Sans Pro" w:cs="Times New Roman"/>
          <w:bCs/>
          <w:i/>
          <w:noProof/>
          <w:sz w:val="20"/>
          <w:szCs w:val="20"/>
        </w:rPr>
        <w:t>ucture process in respect of governance and organisation</w:t>
      </w:r>
      <w:r>
        <w:rPr>
          <w:rFonts w:ascii="EC Square Sans Pro" w:eastAsia="Times New Roman" w:hAnsi="EC Square Sans Pro" w:cs="Times New Roman"/>
          <w:bCs/>
          <w:noProof/>
          <w:sz w:val="20"/>
          <w:szCs w:val="20"/>
        </w:rPr>
        <w:t xml:space="preserve"> and one on </w:t>
      </w:r>
      <w:r>
        <w:rPr>
          <w:rFonts w:ascii="EC Square Sans Pro" w:eastAsia="Times New Roman" w:hAnsi="EC Square Sans Pro" w:cs="Times New Roman"/>
          <w:bCs/>
          <w:i/>
          <w:noProof/>
          <w:sz w:val="20"/>
          <w:szCs w:val="20"/>
        </w:rPr>
        <w:t>HR management</w:t>
      </w:r>
      <w:r>
        <w:rPr>
          <w:rFonts w:ascii="EC Square Sans Pro" w:eastAsia="Times New Roman" w:hAnsi="EC Square Sans Pro" w:cs="Times New Roman"/>
          <w:bCs/>
          <w:noProof/>
          <w:sz w:val="20"/>
          <w:szCs w:val="20"/>
        </w:rPr>
        <w:t>,</w:t>
      </w:r>
      <w:r>
        <w:rPr>
          <w:rFonts w:ascii="EC Square Sans Pro" w:eastAsia="Times New Roman" w:hAnsi="EC Square Sans Pro" w:cs="Times New Roman"/>
          <w:b/>
          <w:bCs/>
          <w:noProof/>
          <w:sz w:val="20"/>
          <w:szCs w:val="20"/>
        </w:rPr>
        <w:t xml:space="preserve"> </w:t>
      </w:r>
      <w:r>
        <w:rPr>
          <w:rFonts w:ascii="EC Square Sans Pro" w:eastAsia="Times New Roman" w:hAnsi="EC Square Sans Pro" w:cs="Times New Roman"/>
          <w:noProof/>
          <w:sz w:val="20"/>
          <w:szCs w:val="20"/>
          <w:lang w:eastAsia="en-GB"/>
        </w:rPr>
        <w:t>and formulated the following very important recommendations:</w:t>
      </w:r>
    </w:p>
    <w:p w:rsidR="000C6D03" w:rsidRDefault="00873433">
      <w:pPr>
        <w:spacing w:after="240" w:line="240" w:lineRule="auto"/>
        <w:jc w:val="both"/>
        <w:rPr>
          <w:rFonts w:ascii="EC Square Sans Pro" w:eastAsia="Times New Roman" w:hAnsi="EC Square Sans Pro" w:cs="Times New Roman"/>
          <w:bCs/>
          <w:i/>
          <w:noProof/>
          <w:color w:val="000000"/>
          <w:sz w:val="20"/>
          <w:szCs w:val="20"/>
          <w:lang w:eastAsia="en-GB"/>
        </w:rPr>
      </w:pPr>
      <w:r>
        <w:rPr>
          <w:rFonts w:ascii="EC Square Sans Pro" w:eastAsia="Times New Roman" w:hAnsi="EC Square Sans Pro" w:cs="Times New Roman"/>
          <w:bCs/>
          <w:i/>
          <w:noProof/>
          <w:color w:val="000000"/>
          <w:sz w:val="20"/>
          <w:szCs w:val="20"/>
          <w:lang w:eastAsia="en-GB"/>
        </w:rPr>
        <w:t>Site management and infrastructure process: governance and organisation</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Joint Research Centre should assess </w:t>
      </w:r>
      <w:r>
        <w:rPr>
          <w:rFonts w:ascii="EC Square Sans Pro" w:eastAsia="Times New Roman" w:hAnsi="EC Square Sans Pro" w:cs="Times New Roman"/>
          <w:noProof/>
          <w:color w:val="000000"/>
          <w:sz w:val="20"/>
          <w:szCs w:val="20"/>
          <w:lang w:eastAsia="en-GB"/>
        </w:rPr>
        <w:t>and review the current governance and management structure of its site management and infrastructure services. It should also clarify the mandates, roles and responsibilities of those involved in the site management process, as well as those of process own</w:t>
      </w:r>
      <w:r>
        <w:rPr>
          <w:rFonts w:ascii="EC Square Sans Pro" w:eastAsia="Times New Roman" w:hAnsi="EC Square Sans Pro" w:cs="Times New Roman"/>
          <w:noProof/>
          <w:color w:val="000000"/>
          <w:sz w:val="20"/>
          <w:szCs w:val="20"/>
          <w:lang w:eastAsia="en-GB"/>
        </w:rPr>
        <w:t>ers, and facilitate exchanges across sites and ensure that governing bodies’ mandates are effectively carried out.</w:t>
      </w:r>
    </w:p>
    <w:p w:rsidR="000C6D03" w:rsidRDefault="00873433">
      <w:pPr>
        <w:spacing w:after="240" w:line="240" w:lineRule="auto"/>
        <w:jc w:val="both"/>
        <w:rPr>
          <w:rFonts w:ascii="EC Square Sans Pro" w:eastAsia="Times New Roman" w:hAnsi="EC Square Sans Pro" w:cs="Times New Roman"/>
          <w:bCs/>
          <w:i/>
          <w:noProof/>
          <w:color w:val="000000"/>
          <w:sz w:val="20"/>
          <w:szCs w:val="20"/>
          <w:lang w:eastAsia="en-GB"/>
        </w:rPr>
      </w:pPr>
      <w:r>
        <w:rPr>
          <w:rFonts w:ascii="EC Square Sans Pro" w:eastAsia="Times New Roman" w:hAnsi="EC Square Sans Pro" w:cs="Times New Roman"/>
          <w:bCs/>
          <w:i/>
          <w:noProof/>
          <w:color w:val="000000"/>
          <w:sz w:val="20"/>
          <w:szCs w:val="20"/>
          <w:lang w:eastAsia="en-GB"/>
        </w:rPr>
        <w:t>HR management</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Joint Research Centre should ensure that the services performing site management and infrastructure related activities are </w:t>
      </w:r>
      <w:r>
        <w:rPr>
          <w:rFonts w:ascii="EC Square Sans Pro" w:eastAsia="Times New Roman" w:hAnsi="EC Square Sans Pro" w:cs="Times New Roman"/>
          <w:noProof/>
          <w:color w:val="000000"/>
          <w:sz w:val="20"/>
          <w:szCs w:val="20"/>
          <w:lang w:eastAsia="en-GB"/>
        </w:rPr>
        <w:t>adequately staffed. Staff should have the relevant expertise and operational staff managing site management and infrastructure procurement procedures and contracts should be able to receive adequate support from specialists.</w:t>
      </w:r>
    </w:p>
    <w:p w:rsidR="000C6D03" w:rsidRDefault="000C6D03">
      <w:pPr>
        <w:spacing w:after="240" w:line="240" w:lineRule="auto"/>
        <w:jc w:val="both"/>
        <w:rPr>
          <w:rFonts w:ascii="EC Square Sans Pro" w:eastAsia="Times New Roman" w:hAnsi="EC Square Sans Pro" w:cs="Times New Roman"/>
          <w:noProof/>
          <w:color w:val="000000"/>
          <w:sz w:val="20"/>
          <w:szCs w:val="20"/>
          <w:lang w:eastAsia="en-GB"/>
        </w:rPr>
      </w:pP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w:t>
      </w:r>
      <w:r>
        <w:rPr>
          <w:rFonts w:ascii="EC Square Sans Pro" w:eastAsia="EC Square Sans Pro" w:hAnsi="EC Square Sans Pro" w:cs="Times New Roman"/>
          <w:b/>
          <w:noProof/>
          <w:color w:val="005D95"/>
          <w:sz w:val="20"/>
          <w:lang w:eastAsia="fr-BE"/>
        </w:rPr>
        <w:t>d by JRC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Joint Research Centre accepted all recommendations and the corresponding action was approved by the Internal Audit Service.</w:t>
      </w:r>
    </w:p>
    <w:p w:rsidR="000C6D03" w:rsidRDefault="00873433">
      <w:pPr>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41" w:name="_Toc3473289"/>
      <w:bookmarkStart w:id="42" w:name="_Toc3473290"/>
      <w:bookmarkStart w:id="43" w:name="_Toc42788141"/>
      <w:bookmarkStart w:id="44" w:name="_Toc2946437"/>
      <w:bookmarkStart w:id="45" w:name="_Toc2946439"/>
      <w:bookmarkEnd w:id="41"/>
      <w:bookmarkEnd w:id="42"/>
      <w:r>
        <w:rPr>
          <w:rFonts w:ascii="EC Square Sans Pro" w:eastAsia="Times New Roman" w:hAnsi="EC Square Sans Pro" w:cs="Times New Roman"/>
          <w:b/>
          <w:i/>
          <w:noProof/>
          <w:color w:val="005D95"/>
          <w:sz w:val="24"/>
          <w:szCs w:val="20"/>
          <w:lang w:eastAsia="en-GB"/>
        </w:rPr>
        <w:t xml:space="preserve">Audit on European Union Finance </w:t>
      </w:r>
      <w:r>
        <w:rPr>
          <w:rFonts w:ascii="EC Square Sans Pro" w:eastAsia="Times New Roman" w:hAnsi="EC Square Sans Pro" w:cs="Times New Roman"/>
          <w:b/>
          <w:i/>
          <w:noProof/>
          <w:color w:val="005D95"/>
          <w:sz w:val="24"/>
          <w:szCs w:val="20"/>
          <w:lang w:eastAsia="en-GB"/>
        </w:rPr>
        <w:t>for Innovators (InnovFin) in DG</w:t>
      </w:r>
      <w:r>
        <w:rPr>
          <w:rFonts w:ascii="Calibri" w:eastAsia="Times New Roman" w:hAnsi="Calibri" w:cs="Calibri"/>
          <w:b/>
          <w:i/>
          <w:noProof/>
          <w:color w:val="005D95"/>
          <w:sz w:val="24"/>
          <w:szCs w:val="20"/>
          <w:lang w:eastAsia="en-GB"/>
        </w:rPr>
        <w:t> </w:t>
      </w:r>
      <w:r>
        <w:rPr>
          <w:rFonts w:ascii="EC Square Sans Pro" w:eastAsia="Times New Roman" w:hAnsi="EC Square Sans Pro" w:cs="Times New Roman"/>
          <w:b/>
          <w:i/>
          <w:noProof/>
          <w:color w:val="005D95"/>
          <w:sz w:val="24"/>
          <w:szCs w:val="20"/>
          <w:lang w:eastAsia="en-GB"/>
        </w:rPr>
        <w:t>RTD</w:t>
      </w:r>
      <w:bookmarkEnd w:id="43"/>
      <w:r>
        <w:rPr>
          <w:rFonts w:ascii="EC Square Sans Pro" w:eastAsia="Times New Roman" w:hAnsi="EC Square Sans Pro" w:cs="Times New Roman"/>
          <w:b/>
          <w:i/>
          <w:noProof/>
          <w:color w:val="005D95"/>
          <w:sz w:val="24"/>
          <w:szCs w:val="20"/>
          <w:lang w:eastAsia="en-GB"/>
        </w:rPr>
        <w:t xml:space="preserve"> </w:t>
      </w:r>
      <w:bookmarkEnd w:id="44"/>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 objective of the audit was to assess the adequacy and effectiveness of internal controls put in place by the Directorate-General for Research and Innovation to supervise and monitor the implementation and performanc</w:t>
      </w:r>
      <w:r>
        <w:rPr>
          <w:rFonts w:ascii="EC Square Sans Pro" w:eastAsia="Calibri" w:hAnsi="EC Square Sans Pro" w:cs="Times New Roman"/>
          <w:noProof/>
          <w:sz w:val="20"/>
          <w:szCs w:val="20"/>
        </w:rPr>
        <w:t>e of InnovFin.</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There were no reservations in the Directorate-General’s 2018 annual activity report relating to the area/process audited. The fieldwork was finalised on 9 December 2019. All recommendations relate to the situation as of that date.</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Internal Audit Service identified one issue concerning the </w:t>
      </w:r>
      <w:r>
        <w:rPr>
          <w:rFonts w:ascii="EC Square Sans Pro" w:eastAsia="Times New Roman" w:hAnsi="EC Square Sans Pro" w:cs="Times New Roman"/>
          <w:i/>
          <w:noProof/>
          <w:color w:val="000000"/>
          <w:sz w:val="20"/>
          <w:szCs w:val="20"/>
          <w:lang w:eastAsia="en-GB"/>
        </w:rPr>
        <w:t>performance framework</w:t>
      </w:r>
      <w:r>
        <w:rPr>
          <w:rFonts w:ascii="EC Square Sans Pro" w:eastAsia="Times New Roman" w:hAnsi="EC Square Sans Pro" w:cs="Times New Roman"/>
          <w:noProof/>
          <w:color w:val="000000"/>
          <w:sz w:val="20"/>
          <w:szCs w:val="20"/>
          <w:lang w:eastAsia="en-GB"/>
        </w:rPr>
        <w:t xml:space="preserve"> and formulated the following very important recommendation:</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lang w:eastAsia="en-GB"/>
        </w:rPr>
        <w:t xml:space="preserve">The Directorate-General for Research and Innovation </w:t>
      </w:r>
      <w:r>
        <w:rPr>
          <w:rFonts w:ascii="EC Square Sans Pro" w:eastAsia="Times New Roman" w:hAnsi="EC Square Sans Pro" w:cs="Times New Roman"/>
          <w:noProof/>
          <w:color w:val="000000"/>
          <w:sz w:val="20"/>
          <w:szCs w:val="20"/>
          <w:lang w:eastAsia="en-GB"/>
        </w:rPr>
        <w:t>should: (i) ensure that the targets for the key performance</w:t>
      </w:r>
      <w:r>
        <w:rPr>
          <w:rFonts w:ascii="EC Square Sans Pro" w:eastAsia="Times New Roman" w:hAnsi="EC Square Sans Pro" w:cs="Times New Roman"/>
          <w:noProof/>
          <w:color w:val="000000"/>
          <w:sz w:val="20"/>
          <w:szCs w:val="20"/>
          <w:lang w:eastAsia="en-GB"/>
        </w:rPr>
        <w:t xml:space="preserve"> indicators are well justified and consistent between different documents; (ii) formalise a methodology to calculate the key performance indicators; and (iii) ensure traceability of their calculation. In addition, it should ensure consistency between the k</w:t>
      </w:r>
      <w:r>
        <w:rPr>
          <w:rFonts w:ascii="EC Square Sans Pro" w:eastAsia="Times New Roman" w:hAnsi="EC Square Sans Pro" w:cs="Times New Roman"/>
          <w:noProof/>
          <w:color w:val="000000"/>
          <w:sz w:val="20"/>
          <w:szCs w:val="20"/>
          <w:lang w:eastAsia="en-GB"/>
        </w:rPr>
        <w:t>ey performance indicators presented in the different reports and if there are unavoidable differences they should be explained in the reports. Finally, the Directorate-General should improve the information on InnovFin performance presented in the differen</w:t>
      </w:r>
      <w:r>
        <w:rPr>
          <w:rFonts w:ascii="EC Square Sans Pro" w:eastAsia="Times New Roman" w:hAnsi="EC Square Sans Pro" w:cs="Times New Roman"/>
          <w:noProof/>
          <w:color w:val="000000"/>
          <w:sz w:val="20"/>
          <w:szCs w:val="20"/>
          <w:lang w:eastAsia="en-GB"/>
        </w:rPr>
        <w:t>t reports so that the reports demonstrate the contribution of InnovFin to Horizon 2020 policy objectives. The indicators included in the Horizon 2020 legal basis should be included in the Directorate-General’s management plan and reported in the annual act</w:t>
      </w:r>
      <w:r>
        <w:rPr>
          <w:rFonts w:ascii="EC Square Sans Pro" w:eastAsia="Times New Roman" w:hAnsi="EC Square Sans Pro" w:cs="Times New Roman"/>
          <w:noProof/>
          <w:color w:val="000000"/>
          <w:sz w:val="20"/>
          <w:szCs w:val="20"/>
          <w:lang w:eastAsia="en-GB"/>
        </w:rPr>
        <w:t>ivity report.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RTD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w:t>
      </w:r>
      <w:r>
        <w:rPr>
          <w:rFonts w:ascii="EC Square Sans Pro" w:eastAsia="EC Square Sans Pro" w:hAnsi="EC Square Sans Pro" w:cs="Times New Roman"/>
          <w:noProof/>
          <w:color w:val="005D95"/>
          <w:sz w:val="20"/>
          <w:lang w:eastAsia="fr-BE"/>
        </w:rPr>
        <w:t xml:space="preserve"> </w:t>
      </w:r>
      <w:r>
        <w:rPr>
          <w:rFonts w:ascii="EC Square Sans Pro" w:eastAsia="EC Square Sans Pro" w:hAnsi="EC Square Sans Pro" w:cs="Times New Roman"/>
          <w:noProof/>
          <w:sz w:val="20"/>
          <w:lang w:eastAsia="fr-BE"/>
        </w:rPr>
        <w:t>action plan was sent on 27 March 2020 (the final audit report was issued on 28 January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text and fi</w:t>
      </w:r>
      <w:r>
        <w:rPr>
          <w:rFonts w:ascii="EC Square Sans Pro" w:eastAsia="EC Square Sans Pro" w:hAnsi="EC Square Sans Pro" w:cs="Times New Roman"/>
          <w:noProof/>
          <w:sz w:val="20"/>
          <w:lang w:eastAsia="fr-BE"/>
        </w:rPr>
        <w:t>gures in the final annual activity report 2019 of the Directorate-General for Research and Innovation concerning InnovFin were carefully prepared and discussed and are representative of the activities in 2019, as requested by the Internal Audit Service. Ho</w:t>
      </w:r>
      <w:r>
        <w:rPr>
          <w:rFonts w:ascii="EC Square Sans Pro" w:eastAsia="EC Square Sans Pro" w:hAnsi="EC Square Sans Pro" w:cs="Times New Roman"/>
          <w:noProof/>
          <w:sz w:val="20"/>
          <w:lang w:eastAsia="fr-BE"/>
        </w:rPr>
        <w:t>wever, the detailed requirements of the recommendation as stated above are still under preparation by the responsible unit, Task Force 3, which will have developed and finalised the methodologies before the end of summer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val="en-US" w:eastAsia="fr-BE"/>
        </w:rPr>
      </w:pPr>
      <w:r>
        <w:rPr>
          <w:rFonts w:ascii="EC Square Sans Pro" w:eastAsia="EC Square Sans Pro" w:hAnsi="EC Square Sans Pro" w:cs="Times New Roman"/>
          <w:noProof/>
          <w:sz w:val="20"/>
          <w:lang w:eastAsia="fr-BE"/>
        </w:rPr>
        <w:t xml:space="preserve">As for ensuring that </w:t>
      </w:r>
      <w:r>
        <w:rPr>
          <w:rFonts w:ascii="EC Square Sans Pro" w:eastAsia="EC Square Sans Pro" w:hAnsi="EC Square Sans Pro" w:cs="Times New Roman"/>
          <w:noProof/>
          <w:sz w:val="20"/>
          <w:lang w:val="en-US" w:eastAsia="fr-BE"/>
        </w:rPr>
        <w:t xml:space="preserve">targets </w:t>
      </w:r>
      <w:r>
        <w:rPr>
          <w:rFonts w:ascii="EC Square Sans Pro" w:eastAsia="EC Square Sans Pro" w:hAnsi="EC Square Sans Pro" w:cs="Times New Roman"/>
          <w:noProof/>
          <w:sz w:val="20"/>
          <w:lang w:val="en-US" w:eastAsia="fr-BE"/>
        </w:rPr>
        <w:t>for the key performance indicators are well justified and consistent between different documents, Working Document 10 is now being coordinated and prepared by the Directorate-General for Budget and the Directorate-General for Economic and Financial Affairs</w:t>
      </w:r>
      <w:r>
        <w:rPr>
          <w:rFonts w:ascii="EC Square Sans Pro" w:eastAsia="EC Square Sans Pro" w:hAnsi="EC Square Sans Pro" w:cs="Times New Roman"/>
          <w:noProof/>
          <w:sz w:val="20"/>
          <w:lang w:val="en-US" w:eastAsia="fr-BE"/>
        </w:rPr>
        <w:t xml:space="preserve"> and will be adopted as an annex to the 2021 draft budget.</w:t>
      </w:r>
    </w:p>
    <w:p w:rsidR="000C6D03" w:rsidRDefault="00873433">
      <w:pPr>
        <w:numPr>
          <w:ilvl w:val="0"/>
          <w:numId w:val="46"/>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46" w:name="_Toc42788142"/>
      <w:r>
        <w:rPr>
          <w:rFonts w:ascii="EC Square Sans Pro" w:eastAsia="Times New Roman" w:hAnsi="EC Square Sans Pro" w:cs="Times New Roman"/>
          <w:b/>
          <w:i/>
          <w:noProof/>
          <w:color w:val="005D95"/>
          <w:sz w:val="24"/>
          <w:szCs w:val="20"/>
          <w:lang w:eastAsia="en-GB"/>
        </w:rPr>
        <w:t>Consulting engagement on policy feedback from research and innovation projects delegated to executive agencies and joint undertakings in DG RTD</w:t>
      </w:r>
      <w:bookmarkEnd w:id="46"/>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of the engagement was to review the </w:t>
      </w:r>
      <w:r>
        <w:rPr>
          <w:rFonts w:ascii="EC Square Sans Pro" w:eastAsia="Times New Roman" w:hAnsi="EC Square Sans Pro" w:cs="Times New Roman"/>
          <w:noProof/>
          <w:sz w:val="20"/>
          <w:szCs w:val="20"/>
          <w:lang w:eastAsia="en-GB"/>
        </w:rPr>
        <w:t>existing research and innovation policy feedback process and to advise the Common Implementation Centre, based in the Directorate-General for Research and Innovation, on improvements required, if any, for achieving structured input for policy-making at res</w:t>
      </w:r>
      <w:r>
        <w:rPr>
          <w:rFonts w:ascii="EC Square Sans Pro" w:eastAsia="Times New Roman" w:hAnsi="EC Square Sans Pro" w:cs="Times New Roman"/>
          <w:noProof/>
          <w:sz w:val="20"/>
          <w:szCs w:val="20"/>
          <w:lang w:eastAsia="en-GB"/>
        </w:rPr>
        <w:t>earch and innovation family level.</w:t>
      </w:r>
    </w:p>
    <w:p w:rsidR="000C6D03" w:rsidRDefault="00873433">
      <w:pPr>
        <w:spacing w:after="240" w:line="240" w:lineRule="auto"/>
        <w:jc w:val="both"/>
        <w:rPr>
          <w:rFonts w:ascii="EC Square Sans Pro" w:eastAsia="Times New Roman" w:hAnsi="EC Square Sans Pro" w:cs="Times New Roman"/>
          <w:noProof/>
          <w:color w:val="000000"/>
          <w:sz w:val="20"/>
          <w:szCs w:val="20"/>
          <w:highlight w:val="cyan"/>
          <w:lang w:eastAsia="en-GB"/>
        </w:rPr>
      </w:pPr>
      <w:r>
        <w:rPr>
          <w:rFonts w:ascii="EC Square Sans Pro" w:eastAsia="Times New Roman" w:hAnsi="EC Square Sans Pro" w:cs="Times New Roman"/>
          <w:noProof/>
          <w:sz w:val="20"/>
          <w:szCs w:val="20"/>
          <w:lang w:eastAsia="en-GB"/>
        </w:rPr>
        <w:t>As this was a consulting engagement, no audit recommendations were formulated.</w:t>
      </w:r>
    </w:p>
    <w:p w:rsidR="000C6D03" w:rsidRDefault="00873433">
      <w:pPr>
        <w:keepNext/>
        <w:numPr>
          <w:ilvl w:val="0"/>
          <w:numId w:val="46"/>
        </w:numPr>
        <w:spacing w:before="360" w:after="240" w:line="240" w:lineRule="auto"/>
        <w:ind w:hanging="357"/>
        <w:jc w:val="both"/>
        <w:outlineLvl w:val="2"/>
        <w:rPr>
          <w:rFonts w:ascii="EC Square Sans Pro" w:eastAsia="Times New Roman" w:hAnsi="EC Square Sans Pro" w:cs="Times New Roman"/>
          <w:b/>
          <w:i/>
          <w:noProof/>
          <w:color w:val="005D95"/>
          <w:sz w:val="24"/>
          <w:szCs w:val="20"/>
          <w:lang w:eastAsia="en-GB"/>
        </w:rPr>
      </w:pPr>
      <w:bookmarkStart w:id="47" w:name="_Toc42788143"/>
      <w:r>
        <w:rPr>
          <w:rFonts w:ascii="EC Square Sans Pro" w:eastAsia="Times New Roman" w:hAnsi="EC Square Sans Pro" w:cs="Times New Roman"/>
          <w:b/>
          <w:i/>
          <w:noProof/>
          <w:color w:val="005D95"/>
          <w:sz w:val="24"/>
          <w:szCs w:val="20"/>
          <w:lang w:eastAsia="en-GB"/>
        </w:rPr>
        <w:t>Audit on supervision of autonomous EU entities by DG MOVE</w:t>
      </w:r>
      <w:bookmarkEnd w:id="4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if the Directorate-General for Mobility and</w:t>
      </w:r>
      <w:r>
        <w:rPr>
          <w:rFonts w:ascii="EC Square Sans Pro" w:eastAsia="Times New Roman" w:hAnsi="EC Square Sans Pro" w:cs="Times New Roman"/>
          <w:noProof/>
          <w:sz w:val="20"/>
          <w:szCs w:val="20"/>
          <w:lang w:eastAsia="en-GB"/>
        </w:rPr>
        <w:t xml:space="preserve"> Transport’s strategy for supervising autonomous entities is adequately designed and effectively implemented to ensure that the autonomous entities:</w:t>
      </w:r>
    </w:p>
    <w:p w:rsidR="000C6D03" w:rsidRDefault="00873433">
      <w:pPr>
        <w:numPr>
          <w:ilvl w:val="0"/>
          <w:numId w:val="25"/>
        </w:numPr>
        <w:spacing w:after="240" w:line="240" w:lineRule="auto"/>
        <w:ind w:left="36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guarantee a level of protection of the EU’s financial interests equivalent to what is expected of the Direc</w:t>
      </w:r>
      <w:r>
        <w:rPr>
          <w:rFonts w:ascii="EC Square Sans Pro" w:eastAsia="Times New Roman" w:hAnsi="EC Square Sans Pro" w:cs="Times New Roman"/>
          <w:noProof/>
          <w:sz w:val="20"/>
          <w:szCs w:val="20"/>
          <w:lang w:eastAsia="en-GB"/>
        </w:rPr>
        <w:t>torates-General, and;</w:t>
      </w:r>
    </w:p>
    <w:p w:rsidR="000C6D03" w:rsidRDefault="00873433">
      <w:pPr>
        <w:numPr>
          <w:ilvl w:val="0"/>
          <w:numId w:val="25"/>
        </w:numPr>
        <w:spacing w:after="240" w:line="240" w:lineRule="auto"/>
        <w:ind w:left="36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carry out activities in compliance with the mandate of their founding act in a way that is aligned with the Commission's political priorities.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w:t>
      </w:r>
      <w:r>
        <w:rPr>
          <w:rFonts w:ascii="EC Square Sans Pro" w:eastAsia="Times New Roman" w:hAnsi="EC Square Sans Pro" w:cs="Times New Roman"/>
          <w:noProof/>
          <w:sz w:val="20"/>
          <w:szCs w:val="20"/>
          <w:lang w:eastAsia="en-GB"/>
        </w:rPr>
        <w:t>late to the area/process audited. The fieldwork was finalised on 13 September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Directorate-General’s efforts to supervise the decentralised agencies and joint und</w:t>
      </w:r>
      <w:r>
        <w:rPr>
          <w:rFonts w:ascii="EC Square Sans Pro" w:eastAsia="Times New Roman" w:hAnsi="EC Square Sans Pro" w:cs="Times New Roman"/>
          <w:noProof/>
          <w:sz w:val="20"/>
          <w:szCs w:val="20"/>
          <w:lang w:eastAsia="en-GB"/>
        </w:rPr>
        <w:t>ertakings. In particular:</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supervision of autonomous entities is carried out at the highest management level. The supervision strategy and the discussion on autonomous entities’ risks is a standing point in the agenda of the Control Board</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3"/>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meetings and regular meetings are held between the Director-General and the Directors of the autonomous entities.</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is a supervision strategy for the autonomous entities. This includes a separate fiche for each of them, provides a division of tasks be</w:t>
      </w:r>
      <w:r>
        <w:rPr>
          <w:rFonts w:ascii="EC Square Sans Pro" w:eastAsia="Times New Roman" w:hAnsi="EC Square Sans Pro" w:cs="Times New Roman"/>
          <w:noProof/>
          <w:sz w:val="20"/>
          <w:szCs w:val="20"/>
          <w:lang w:eastAsia="en-GB"/>
        </w:rPr>
        <w:t>tween responsible units and a timeline for the main annual supervision activities (thus going beyond the guidance template provided by the Secretariat-General of the Commission).</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Staff involved in supervision are experienced, knowledgeable and committed.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z w:val="20"/>
          <w:szCs w:val="20"/>
          <w:lang w:eastAsia="en-GB"/>
        </w:rPr>
        <w:t>he Internal Audit Service did not formulate any critical or very important recommendations.</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48" w:name="_Toc3473296"/>
      <w:bookmarkStart w:id="49" w:name="_Toc3473297"/>
      <w:bookmarkStart w:id="50" w:name="_Toc3473299"/>
      <w:bookmarkStart w:id="51" w:name="_Toc3473300"/>
      <w:bookmarkStart w:id="52" w:name="_Toc2946447"/>
      <w:bookmarkStart w:id="53" w:name="_Toc42788144"/>
      <w:bookmarkEnd w:id="45"/>
      <w:bookmarkEnd w:id="48"/>
      <w:bookmarkEnd w:id="49"/>
      <w:bookmarkEnd w:id="50"/>
      <w:bookmarkEnd w:id="51"/>
      <w:r>
        <w:rPr>
          <w:rFonts w:ascii="EC Square Sans Pro" w:eastAsia="EC Square Sans Pro" w:hAnsi="EC Square Sans Pro" w:cs="Times New Roman"/>
          <w:b/>
          <w:noProof/>
          <w:color w:val="005D95"/>
          <w:sz w:val="28"/>
          <w:szCs w:val="21"/>
          <w:lang w:eastAsia="zh-CN"/>
        </w:rPr>
        <w:t>External actions</w:t>
      </w:r>
      <w:bookmarkEnd w:id="52"/>
      <w:bookmarkEnd w:id="53"/>
    </w:p>
    <w:p w:rsidR="000C6D03" w:rsidRDefault="00873433">
      <w:pPr>
        <w:numPr>
          <w:ilvl w:val="0"/>
          <w:numId w:val="47"/>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54" w:name="_Toc412457247"/>
      <w:bookmarkStart w:id="55" w:name="_Toc42788145"/>
      <w:bookmarkStart w:id="56" w:name="_Toc2946448"/>
      <w:bookmarkEnd w:id="54"/>
      <w:r>
        <w:rPr>
          <w:rFonts w:ascii="EC Square Sans Pro" w:eastAsia="Times New Roman" w:hAnsi="EC Square Sans Pro" w:cs="Times New Roman"/>
          <w:b/>
          <w:i/>
          <w:noProof/>
          <w:color w:val="005D95"/>
          <w:sz w:val="24"/>
          <w:szCs w:val="20"/>
          <w:lang w:eastAsia="en-GB"/>
        </w:rPr>
        <w:t>Audit on annual audit and verification plans in DG DEVCO</w:t>
      </w:r>
      <w:bookmarkEnd w:id="5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(i) the effectiveness and efficiency of the desi</w:t>
      </w:r>
      <w:r>
        <w:rPr>
          <w:rFonts w:ascii="EC Square Sans Pro" w:eastAsia="Times New Roman" w:hAnsi="EC Square Sans Pro" w:cs="Times New Roman"/>
          <w:noProof/>
          <w:sz w:val="20"/>
          <w:szCs w:val="20"/>
          <w:lang w:eastAsia="en-GB"/>
        </w:rPr>
        <w:t>gn, preparation and implementation of the annual audit and verification plans in EU Delegations; and (ii) the monitoring and follow-up of the related audit results.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w:t>
      </w:r>
      <w:r>
        <w:rPr>
          <w:rFonts w:ascii="EC Square Sans Pro" w:eastAsia="Times New Roman" w:hAnsi="EC Square Sans Pro" w:cs="Times New Roman"/>
          <w:noProof/>
          <w:sz w:val="20"/>
          <w:szCs w:val="20"/>
          <w:lang w:eastAsia="en-GB"/>
        </w:rPr>
        <w:t>late to the area/process audited. The fieldwork was finalised on 30 September 2019. All recommendations relate to the situation as of that date</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identified the following strengths:</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monitoring carried out by the Directorate-General for Int</w:t>
      </w:r>
      <w:r>
        <w:rPr>
          <w:rFonts w:ascii="EC Square Sans Pro" w:eastAsia="Times New Roman" w:hAnsi="EC Square Sans Pro" w:cs="Times New Roman"/>
          <w:noProof/>
          <w:sz w:val="20"/>
          <w:szCs w:val="20"/>
          <w:lang w:eastAsia="en-GB"/>
        </w:rPr>
        <w:t>ernational Cooperation and Development Headquarters through specific key performance indicators helped speed up audit contracting and reporting over time.</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templates provided for the terms of reference for audit work and for audit reports contribute to </w:t>
      </w:r>
      <w:r>
        <w:rPr>
          <w:rFonts w:ascii="EC Square Sans Pro" w:eastAsia="Times New Roman" w:hAnsi="EC Square Sans Pro" w:cs="Times New Roman"/>
          <w:noProof/>
          <w:sz w:val="20"/>
          <w:szCs w:val="20"/>
          <w:lang w:eastAsia="en-GB"/>
        </w:rPr>
        <w:t>the overall consistency/comparability of audit reports and to their quality.</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documentation of the tasks performed at the Directorate-General Headquarters (in particular, by Unit DEVCO.R.2) to create and publish the annual planning file is generally com</w:t>
      </w:r>
      <w:r>
        <w:rPr>
          <w:rFonts w:ascii="EC Square Sans Pro" w:eastAsia="Times New Roman" w:hAnsi="EC Square Sans Pro" w:cs="Times New Roman"/>
          <w:noProof/>
          <w:sz w:val="20"/>
          <w:szCs w:val="20"/>
          <w:lang w:eastAsia="en-GB"/>
        </w:rPr>
        <w:t>prehensive and clear.</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 Module’</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4"/>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used by the Directorate-General is an efficient and effective tool for storing data and information on audits, for extracting data and statistics, and for follow-up on the status and result of audits.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w:t>
      </w:r>
      <w:r>
        <w:rPr>
          <w:rFonts w:ascii="EC Square Sans Pro" w:eastAsia="Times New Roman" w:hAnsi="EC Square Sans Pro" w:cs="Times New Roman"/>
          <w:i/>
          <w:noProof/>
          <w:sz w:val="20"/>
          <w:szCs w:val="20"/>
          <w:lang w:eastAsia="en-GB"/>
        </w:rPr>
        <w:t>monitoring the audit implementation</w:t>
      </w:r>
      <w:r>
        <w:rPr>
          <w:rFonts w:ascii="EC Square Sans Pro" w:eastAsia="Times New Roman" w:hAnsi="EC Square Sans Pro" w:cs="Times New Roman"/>
          <w:b/>
          <w:noProof/>
          <w:sz w:val="20"/>
          <w:szCs w:val="20"/>
          <w:lang w:eastAsia="en-GB"/>
        </w:rPr>
        <w:t xml:space="preserve"> </w:t>
      </w:r>
      <w:r>
        <w:rPr>
          <w:rFonts w:ascii="EC Square Sans Pro" w:eastAsia="Times New Roman" w:hAnsi="EC Square Sans Pro" w:cs="Times New Roman"/>
          <w:noProof/>
          <w:sz w:val="20"/>
          <w:szCs w:val="20"/>
          <w:lang w:eastAsia="en-GB"/>
        </w:rPr>
        <w:t>and formulated the following very important recommendation: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International Cooperation and Development should complement the current s</w:t>
      </w:r>
      <w:r>
        <w:rPr>
          <w:rFonts w:ascii="EC Square Sans Pro" w:eastAsia="Times New Roman" w:hAnsi="EC Square Sans Pro" w:cs="Times New Roman"/>
          <w:noProof/>
          <w:sz w:val="20"/>
          <w:szCs w:val="20"/>
          <w:lang w:eastAsia="en-GB"/>
        </w:rPr>
        <w:t>et of key performance indicators in order to cover the key steps of the audit life cycle and the completion of the annual audit and verification plans. It should also revise the targets of the existing audit-related key performance indicators to ensure tha</w:t>
      </w:r>
      <w:r>
        <w:rPr>
          <w:rFonts w:ascii="EC Square Sans Pro" w:eastAsia="Times New Roman" w:hAnsi="EC Square Sans Pro" w:cs="Times New Roman"/>
          <w:noProof/>
          <w:sz w:val="20"/>
          <w:szCs w:val="20"/>
          <w:lang w:eastAsia="en-GB"/>
        </w:rPr>
        <w:t>t: (i) they remain relevant; (ii) continue to drive for improvements in the audit process; and (iii) are not misleading/prone to misinterpretation. Moreover, the Directorate-General should introduce central monitoring arrangements to follow up the EU Deleg</w:t>
      </w:r>
      <w:r>
        <w:rPr>
          <w:rFonts w:ascii="EC Square Sans Pro" w:eastAsia="Times New Roman" w:hAnsi="EC Square Sans Pro" w:cs="Times New Roman"/>
          <w:noProof/>
          <w:sz w:val="20"/>
          <w:szCs w:val="20"/>
          <w:lang w:eastAsia="en-GB"/>
        </w:rPr>
        <w:t xml:space="preserve">ations’ implementation of the annual audit plans.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DEVCO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recommendations have already been completed by the Directorate-General</w:t>
      </w:r>
      <w:r>
        <w:rPr>
          <w:rFonts w:ascii="EC Square Sans Pro" w:eastAsia="EC Square Sans Pro" w:hAnsi="EC Square Sans Pro" w:cs="Times New Roman"/>
          <w:noProof/>
          <w:sz w:val="20"/>
          <w:lang w:eastAsia="fr-BE"/>
        </w:rPr>
        <w:t xml:space="preserve"> for International Cooperation and Development. The Internal Audit Service will assess their effective implementation through a follow-up audit to be performed in the second quarter of 2020.</w:t>
      </w:r>
    </w:p>
    <w:p w:rsidR="000C6D03" w:rsidRDefault="00873433">
      <w:pPr>
        <w:numPr>
          <w:ilvl w:val="0"/>
          <w:numId w:val="47"/>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57" w:name="_Toc42788146"/>
      <w:r>
        <w:rPr>
          <w:rFonts w:ascii="EC Square Sans Pro" w:eastAsia="Times New Roman" w:hAnsi="EC Square Sans Pro" w:cs="Times New Roman"/>
          <w:b/>
          <w:i/>
          <w:noProof/>
          <w:color w:val="005D95"/>
          <w:sz w:val="24"/>
          <w:szCs w:val="20"/>
          <w:lang w:eastAsia="en-GB"/>
        </w:rPr>
        <w:t>Audit on the control strategy for humanitarian aid actions in DG</w:t>
      </w:r>
      <w:r>
        <w:rPr>
          <w:rFonts w:ascii="Calibri" w:eastAsia="Times New Roman" w:hAnsi="Calibri" w:cs="Calibri"/>
          <w:b/>
          <w:i/>
          <w:noProof/>
          <w:color w:val="005D95"/>
          <w:sz w:val="24"/>
          <w:szCs w:val="20"/>
          <w:lang w:eastAsia="en-GB"/>
        </w:rPr>
        <w:t> </w:t>
      </w:r>
      <w:r>
        <w:rPr>
          <w:rFonts w:ascii="EC Square Sans Pro" w:eastAsia="Times New Roman" w:hAnsi="EC Square Sans Pro" w:cs="Times New Roman"/>
          <w:b/>
          <w:i/>
          <w:noProof/>
          <w:color w:val="005D95"/>
          <w:sz w:val="24"/>
          <w:szCs w:val="20"/>
          <w:lang w:eastAsia="en-GB"/>
        </w:rPr>
        <w:t>ECHO</w:t>
      </w:r>
      <w:bookmarkEnd w:id="5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adequacy of the design and the effectiveness of the implementation of the control strategy for humanitarian aid actions in the Directorate-General for European Civil Protection and Humanitarian Aid Operatio</w:t>
      </w:r>
      <w:r>
        <w:rPr>
          <w:rFonts w:ascii="EC Square Sans Pro" w:eastAsia="Times New Roman" w:hAnsi="EC Square Sans Pro" w:cs="Times New Roman"/>
          <w:noProof/>
          <w:sz w:val="20"/>
          <w:szCs w:val="20"/>
          <w:lang w:eastAsia="en-GB"/>
        </w:rPr>
        <w:t>ns in order to ensure the legality and regularity of the transactions and sound financial management.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relate to the area audited. The fieldwork was finalised on 24</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Sep</w:t>
      </w:r>
      <w:r>
        <w:rPr>
          <w:rFonts w:ascii="EC Square Sans Pro" w:eastAsia="Times New Roman" w:hAnsi="EC Square Sans Pro" w:cs="Times New Roman"/>
          <w:noProof/>
          <w:sz w:val="20"/>
          <w:szCs w:val="20"/>
          <w:lang w:eastAsia="en-GB"/>
        </w:rPr>
        <w:t>tember</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 Since the humanitarian aid actions funded by the Directorate-General for European Civil Protection and Humanitarian Aid Operations are implemented mainly by its partner organisation</w:t>
      </w:r>
      <w:r>
        <w:rPr>
          <w:rFonts w:ascii="EC Square Sans Pro" w:eastAsia="Times New Roman" w:hAnsi="EC Square Sans Pro" w:cs="Times New Roman"/>
          <w:noProof/>
          <w:sz w:val="20"/>
          <w:szCs w:val="20"/>
          <w:lang w:eastAsia="en-GB"/>
        </w:rPr>
        <w:t>s (humanitarian non-governmental organisations, international organisations and UN agencies), the availability of clear and comprehensive guidelines and instructions describing the working modalities is an important element of the control strategy. For thi</w:t>
      </w:r>
      <w:r>
        <w:rPr>
          <w:rFonts w:ascii="EC Square Sans Pro" w:eastAsia="Times New Roman" w:hAnsi="EC Square Sans Pro" w:cs="Times New Roman"/>
          <w:noProof/>
          <w:sz w:val="20"/>
          <w:szCs w:val="20"/>
          <w:lang w:eastAsia="en-GB"/>
        </w:rPr>
        <w:t>s reason, the Directorate-General has developed a ‘Partners website’</w:t>
      </w:r>
      <w:r>
        <w:rPr>
          <w:rFonts w:ascii="Calibri" w:eastAsia="Times New Roman" w:hAnsi="Calibri" w:cs="Calibri"/>
          <w:noProof/>
          <w:sz w:val="20"/>
          <w:szCs w:val="20"/>
          <w:lang w:eastAsia="en-GB"/>
        </w:rPr>
        <w:t> </w:t>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5"/>
      </w:r>
      <w:r>
        <w:rPr>
          <w:rFonts w:ascii="Calibri" w:eastAsia="Times New Roman" w:hAnsi="Calibri" w:cs="Calibri"/>
          <w:noProof/>
          <w:sz w:val="20"/>
          <w:szCs w:val="20"/>
          <w:vertAlign w:val="superscript"/>
          <w:lang w:eastAsia="en-GB"/>
        </w:rPr>
        <w:t>)</w:t>
      </w:r>
      <w:r>
        <w:rPr>
          <w:rFonts w:ascii="EC Square Sans Pro" w:eastAsia="Times New Roman" w:hAnsi="EC Square Sans Pro" w:cs="Times New Roman"/>
          <w:noProof/>
          <w:sz w:val="20"/>
          <w:szCs w:val="20"/>
          <w:lang w:eastAsia="en-GB"/>
        </w:rPr>
        <w:t>, which provides complete and well-organised information on the legal and contractual framework, a detailed description of the action lifecycle and guidelines for using the IT systems.</w:t>
      </w:r>
      <w:r>
        <w:rPr>
          <w:rFonts w:ascii="EC Square Sans Pro" w:eastAsia="Times New Roman" w:hAnsi="EC Square Sans Pro" w:cs="Times New Roman"/>
          <w:noProof/>
          <w:sz w:val="20"/>
          <w:szCs w:val="20"/>
          <w:lang w:eastAsia="en-GB"/>
        </w:rPr>
        <w:t xml:space="preserve"> The ‘Partners website’ is also a useful educational tool and provides a valuable overview of the business processes and control activities from the point of view of the implementing partners. The Internal Audit Service considers this a good practice that </w:t>
      </w:r>
      <w:r>
        <w:rPr>
          <w:rFonts w:ascii="EC Square Sans Pro" w:eastAsia="Times New Roman" w:hAnsi="EC Square Sans Pro" w:cs="Times New Roman"/>
          <w:noProof/>
          <w:sz w:val="20"/>
          <w:szCs w:val="20"/>
          <w:lang w:eastAsia="en-GB"/>
        </w:rPr>
        <w:t>supports the efficiency and effectiveness of relations between the Directorate-General and its partners in delivering humanitarian aid.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IAS identified two issues, one concerning </w:t>
      </w:r>
      <w:r>
        <w:rPr>
          <w:rFonts w:ascii="EC Square Sans Pro" w:eastAsia="Times New Roman" w:hAnsi="EC Square Sans Pro" w:cs="Times New Roman"/>
          <w:i/>
          <w:noProof/>
          <w:sz w:val="20"/>
          <w:szCs w:val="20"/>
          <w:lang w:eastAsia="en-GB"/>
        </w:rPr>
        <w:t xml:space="preserve">ex ante controls on final reports and final payments </w:t>
      </w:r>
      <w:r>
        <w:rPr>
          <w:rFonts w:ascii="EC Square Sans Pro" w:eastAsia="Times New Roman" w:hAnsi="EC Square Sans Pro" w:cs="Times New Roman"/>
          <w:noProof/>
          <w:sz w:val="20"/>
          <w:szCs w:val="20"/>
          <w:lang w:eastAsia="en-GB"/>
        </w:rPr>
        <w:t xml:space="preserve">and one on </w:t>
      </w:r>
      <w:r>
        <w:rPr>
          <w:rFonts w:ascii="EC Square Sans Pro" w:eastAsia="Times New Roman" w:hAnsi="EC Square Sans Pro" w:cs="Times New Roman"/>
          <w:i/>
          <w:noProof/>
          <w:sz w:val="20"/>
          <w:szCs w:val="20"/>
          <w:lang w:eastAsia="en-GB"/>
        </w:rPr>
        <w:t>ex post he</w:t>
      </w:r>
      <w:r>
        <w:rPr>
          <w:rFonts w:ascii="EC Square Sans Pro" w:eastAsia="Times New Roman" w:hAnsi="EC Square Sans Pro" w:cs="Times New Roman"/>
          <w:i/>
          <w:noProof/>
          <w:sz w:val="20"/>
          <w:szCs w:val="20"/>
          <w:lang w:eastAsia="en-GB"/>
        </w:rPr>
        <w:t>adquarters audits and verifications</w:t>
      </w:r>
      <w:r>
        <w:rPr>
          <w:rFonts w:ascii="EC Square Sans Pro" w:eastAsia="Times New Roman" w:hAnsi="EC Square Sans Pro" w:cs="Times New Roman"/>
          <w:noProof/>
          <w:sz w:val="20"/>
          <w:szCs w:val="20"/>
          <w:lang w:eastAsia="en-GB"/>
        </w:rPr>
        <w:t>, and formulated two very important recommendations:</w:t>
      </w:r>
    </w:p>
    <w:p w:rsidR="000C6D03" w:rsidRDefault="00873433">
      <w:pPr>
        <w:spacing w:after="240" w:line="240" w:lineRule="auto"/>
        <w:jc w:val="both"/>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Ex ante controls on final reports and final payments</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Internal Audit Service recommended that the Directorate-General </w:t>
      </w:r>
      <w:r>
        <w:rPr>
          <w:rFonts w:ascii="EC Square Sans Pro" w:eastAsia="Times New Roman" w:hAnsi="EC Square Sans Pro" w:cs="Times New Roman"/>
          <w:noProof/>
          <w:sz w:val="20"/>
          <w:szCs w:val="20"/>
          <w:lang w:eastAsia="en-GB"/>
        </w:rPr>
        <w:t xml:space="preserve">for European Civil Protection and Humanitarian </w:t>
      </w:r>
      <w:r>
        <w:rPr>
          <w:rFonts w:ascii="EC Square Sans Pro" w:eastAsia="Times New Roman" w:hAnsi="EC Square Sans Pro" w:cs="Times New Roman"/>
          <w:noProof/>
          <w:sz w:val="20"/>
          <w:szCs w:val="20"/>
          <w:lang w:eastAsia="en-GB"/>
        </w:rPr>
        <w:t>Aid Operations: (i)</w:t>
      </w:r>
      <w:r>
        <w:rPr>
          <w:rFonts w:ascii="EC Square Sans Pro" w:eastAsia="Times New Roman" w:hAnsi="EC Square Sans Pro" w:cs="Times New Roman"/>
          <w:noProof/>
          <w:color w:val="000000"/>
          <w:sz w:val="20"/>
          <w:szCs w:val="20"/>
          <w:lang w:eastAsia="en-GB"/>
        </w:rPr>
        <w:t xml:space="preserve"> document the results of the checks by the financial initiator and verifier; and (ii) amend the formulation of the ‘certified correct’ in its internal procedures and IT tool.</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Directorate-General for European Civil Protection and Huma</w:t>
      </w:r>
      <w:r>
        <w:rPr>
          <w:rFonts w:ascii="EC Square Sans Pro" w:eastAsia="Times New Roman" w:hAnsi="EC Square Sans Pro" w:cs="Times New Roman"/>
          <w:noProof/>
          <w:color w:val="000000"/>
          <w:sz w:val="20"/>
          <w:szCs w:val="20"/>
          <w:lang w:eastAsia="en-GB"/>
        </w:rPr>
        <w:t>nitarian Aid Operations should also: (i) require that its partners state explicitly in the final reports the total amount of non-recoverable value added tax; (ii) strengthen the related checks; and (iii) consider the value added tax exemption status when s</w:t>
      </w:r>
      <w:r>
        <w:rPr>
          <w:rFonts w:ascii="EC Square Sans Pro" w:eastAsia="Times New Roman" w:hAnsi="EC Square Sans Pro" w:cs="Times New Roman"/>
          <w:noProof/>
          <w:color w:val="000000"/>
          <w:sz w:val="20"/>
          <w:szCs w:val="20"/>
          <w:lang w:eastAsia="en-GB"/>
        </w:rPr>
        <w:t>electing projects to undergo headquarters audits and verifications.</w:t>
      </w:r>
    </w:p>
    <w:p w:rsidR="000C6D03" w:rsidRDefault="00873433">
      <w:pPr>
        <w:spacing w:after="240" w:line="240" w:lineRule="auto"/>
        <w:jc w:val="both"/>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 xml:space="preserve">Ex post headquarters audits and verifications </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Directorate-General for European Civil Protection and Humanitarian Aid Operations should revise the audit methodology, also taking into a</w:t>
      </w:r>
      <w:r>
        <w:rPr>
          <w:rFonts w:ascii="EC Square Sans Pro" w:eastAsia="Times New Roman" w:hAnsi="EC Square Sans Pro" w:cs="Times New Roman"/>
          <w:noProof/>
          <w:color w:val="000000"/>
          <w:sz w:val="20"/>
          <w:szCs w:val="20"/>
          <w:lang w:eastAsia="en-GB"/>
        </w:rPr>
        <w:t>ccount: (i) the outcome of the reassessment of the policy for the minimum sample size per action; and (ii) the audit contractors’ sampling methodology for headquarters audits of NGOs and international organisations. In addition, The Directorate-General sho</w:t>
      </w:r>
      <w:r>
        <w:rPr>
          <w:rFonts w:ascii="EC Square Sans Pro" w:eastAsia="Times New Roman" w:hAnsi="EC Square Sans Pro" w:cs="Times New Roman"/>
          <w:noProof/>
          <w:color w:val="000000"/>
          <w:sz w:val="20"/>
          <w:szCs w:val="20"/>
          <w:lang w:eastAsia="en-GB"/>
        </w:rPr>
        <w:t>uld ensure that the level of testing is well justified in the audit and verification reports. It should also: (i) provide guidance to the audit contractors on how to formulate the recommendations; and (ii) revise the follow-up approach to ensure timely rev</w:t>
      </w:r>
      <w:r>
        <w:rPr>
          <w:rFonts w:ascii="EC Square Sans Pro" w:eastAsia="Times New Roman" w:hAnsi="EC Square Sans Pro" w:cs="Times New Roman"/>
          <w:noProof/>
          <w:color w:val="000000"/>
          <w:sz w:val="20"/>
          <w:szCs w:val="20"/>
          <w:lang w:eastAsia="en-GB"/>
        </w:rPr>
        <w:t>iew of the implementation of all significant recommendations.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DG ECHO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To ensure that the effectiveness of the control strategy over ti</w:t>
      </w:r>
      <w:r>
        <w:rPr>
          <w:rFonts w:ascii="EC Square Sans Pro" w:eastAsia="EC Square Sans Pro" w:hAnsi="EC Square Sans Pro" w:cs="Times New Roman"/>
          <w:noProof/>
          <w:sz w:val="20"/>
          <w:lang w:eastAsia="fr-BE"/>
        </w:rPr>
        <w:t>me and that the overall assurance are not affected, the Directorate-General for European Civil Protection and Humanitarian Aid Operations is taking action to address the recommendations. Most notably, the current control stategy has been better reflected a</w:t>
      </w:r>
      <w:r>
        <w:rPr>
          <w:rFonts w:ascii="EC Square Sans Pro" w:eastAsia="EC Square Sans Pro" w:hAnsi="EC Square Sans Pro" w:cs="Times New Roman"/>
          <w:noProof/>
          <w:sz w:val="20"/>
          <w:lang w:eastAsia="fr-BE"/>
        </w:rPr>
        <w:t>nd described in the control architecture of the 2019 annual activity report. As per the action plan, most of the actions will be completed by the end of 2020. The action plan was drawn up by the Directorate-General for European Civil Protection and Humanit</w:t>
      </w:r>
      <w:r>
        <w:rPr>
          <w:rFonts w:ascii="EC Square Sans Pro" w:eastAsia="EC Square Sans Pro" w:hAnsi="EC Square Sans Pro" w:cs="Times New Roman"/>
          <w:noProof/>
          <w:sz w:val="20"/>
          <w:lang w:eastAsia="fr-BE"/>
        </w:rPr>
        <w:t>arian Aid Operations and agreed with the Internal Audit Service.</w:t>
      </w:r>
    </w:p>
    <w:p w:rsidR="000C6D03" w:rsidRDefault="00873433">
      <w:pPr>
        <w:numPr>
          <w:ilvl w:val="0"/>
          <w:numId w:val="47"/>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58" w:name="_Toc42788147"/>
      <w:r>
        <w:rPr>
          <w:rFonts w:ascii="EC Square Sans Pro" w:eastAsia="Times New Roman" w:hAnsi="EC Square Sans Pro" w:cs="Times New Roman"/>
          <w:b/>
          <w:i/>
          <w:noProof/>
          <w:color w:val="005D95"/>
          <w:sz w:val="24"/>
          <w:szCs w:val="20"/>
          <w:lang w:eastAsia="en-GB"/>
        </w:rPr>
        <w:t>Audit on common foreign and security policy in FPI</w:t>
      </w:r>
      <w:bookmarkEnd w:id="56"/>
      <w:bookmarkEnd w:id="58"/>
      <w:r>
        <w:rPr>
          <w:rFonts w:ascii="EC Square Sans Pro" w:eastAsia="Times New Roman" w:hAnsi="EC Square Sans Pro" w:cs="Times New Roman"/>
          <w:b/>
          <w:i/>
          <w:noProof/>
          <w:color w:val="005D95"/>
          <w:sz w:val="24"/>
          <w:szCs w:val="20"/>
          <w:lang w:eastAsia="en-GB"/>
        </w:rPr>
        <w:t xml:space="preserve"> </w:t>
      </w:r>
    </w:p>
    <w:p w:rsidR="000C6D03" w:rsidRDefault="00873433">
      <w:pPr>
        <w:spacing w:after="240" w:line="240" w:lineRule="auto"/>
        <w:jc w:val="both"/>
        <w:rPr>
          <w:rFonts w:ascii="EC Square Sans Pro" w:eastAsia="Calibri" w:hAnsi="EC Square Sans Pro" w:cs="Times New Roman"/>
          <w:noProof/>
          <w:sz w:val="20"/>
          <w:szCs w:val="20"/>
          <w:lang w:eastAsia="en-GB"/>
        </w:rPr>
      </w:pPr>
      <w:r>
        <w:rPr>
          <w:rFonts w:ascii="EC Square Sans Pro" w:eastAsia="Calibri" w:hAnsi="EC Square Sans Pro" w:cs="Times New Roman"/>
          <w:noProof/>
          <w:sz w:val="20"/>
          <w:szCs w:val="20"/>
          <w:lang w:eastAsia="en-GB"/>
        </w:rPr>
        <w:t xml:space="preserve">The objective of the audit was to assess the effectiveness of the control processes put in place by the Service for Foreign Policy </w:t>
      </w:r>
      <w:r>
        <w:rPr>
          <w:rFonts w:ascii="EC Square Sans Pro" w:eastAsia="Calibri" w:hAnsi="EC Square Sans Pro" w:cs="Times New Roman"/>
          <w:noProof/>
          <w:sz w:val="20"/>
          <w:szCs w:val="20"/>
          <w:lang w:eastAsia="en-GB"/>
        </w:rPr>
        <w:t>Instruments to implement the common foreign and security policy budget managed directly or indirectly via the common security and defence policy missions.</w:t>
      </w:r>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There were no reservations in the Service for Foreign Policy Instruments’ 2018 annual activity report</w:t>
      </w:r>
      <w:r>
        <w:rPr>
          <w:rFonts w:ascii="EC Square Sans Pro" w:eastAsia="Calibri" w:hAnsi="EC Square Sans Pro" w:cs="Times New Roman"/>
          <w:noProof/>
          <w:sz w:val="20"/>
          <w:szCs w:val="20"/>
        </w:rPr>
        <w:t xml:space="preserve"> that relate to the area/process audited. The fieldwork was finalised on 4 July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two issues, one concerning </w:t>
      </w:r>
      <w:r>
        <w:rPr>
          <w:rFonts w:ascii="EC Square Sans Pro" w:eastAsia="Times New Roman" w:hAnsi="EC Square Sans Pro" w:cs="Times New Roman"/>
          <w:i/>
          <w:noProof/>
          <w:sz w:val="20"/>
          <w:szCs w:val="20"/>
          <w:lang w:eastAsia="en-GB"/>
        </w:rPr>
        <w:t xml:space="preserve">the closure of mandates for common security </w:t>
      </w:r>
      <w:r>
        <w:rPr>
          <w:rFonts w:ascii="EC Square Sans Pro" w:eastAsia="Times New Roman" w:hAnsi="EC Square Sans Pro" w:cs="Times New Roman"/>
          <w:i/>
          <w:noProof/>
          <w:sz w:val="20"/>
          <w:szCs w:val="20"/>
          <w:lang w:eastAsia="en-GB"/>
        </w:rPr>
        <w:t xml:space="preserve">and defence policy missions </w:t>
      </w:r>
      <w:r>
        <w:rPr>
          <w:rFonts w:ascii="EC Square Sans Pro" w:eastAsia="Times New Roman" w:hAnsi="EC Square Sans Pro" w:cs="Times New Roman"/>
          <w:noProof/>
          <w:sz w:val="20"/>
          <w:szCs w:val="20"/>
          <w:lang w:eastAsia="en-GB"/>
        </w:rPr>
        <w:t xml:space="preserve">and one on </w:t>
      </w:r>
      <w:r>
        <w:rPr>
          <w:rFonts w:ascii="EC Square Sans Pro" w:eastAsia="Times New Roman" w:hAnsi="EC Square Sans Pro" w:cs="Times New Roman"/>
          <w:i/>
          <w:noProof/>
          <w:sz w:val="20"/>
          <w:szCs w:val="20"/>
          <w:lang w:eastAsia="en-GB"/>
        </w:rPr>
        <w:t>mitigating measures applied for European Union capacity building in Somalia</w:t>
      </w:r>
      <w:r>
        <w:rPr>
          <w:rFonts w:ascii="EC Square Sans Pro" w:eastAsia="Times New Roman" w:hAnsi="EC Square Sans Pro" w:cs="Times New Roman"/>
          <w:noProof/>
          <w:sz w:val="20"/>
          <w:szCs w:val="20"/>
          <w:lang w:eastAsia="en-GB"/>
        </w:rPr>
        <w:t>, and formulated the following very important recommendations:</w:t>
      </w:r>
    </w:p>
    <w:p w:rsidR="000C6D03" w:rsidRDefault="00873433">
      <w:p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Closure of mandates for common foreign and security policy missions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Service</w:t>
      </w:r>
      <w:r>
        <w:rPr>
          <w:rFonts w:ascii="EC Square Sans Pro" w:eastAsia="Times New Roman" w:hAnsi="EC Square Sans Pro" w:cs="Times New Roman"/>
          <w:noProof/>
          <w:sz w:val="20"/>
          <w:szCs w:val="20"/>
          <w:lang w:eastAsia="en-GB"/>
        </w:rPr>
        <w:t xml:space="preserve"> for Foreign Policy Instruments should close mandates in a timely manner and take appropriate measures to address the most common causes of late closure. In addition, it should ensure earlier clearing of pre-financing.</w:t>
      </w:r>
    </w:p>
    <w:p w:rsidR="000C6D03" w:rsidRDefault="00873433">
      <w:pPr>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Mitigating measures applied for EU ca</w:t>
      </w:r>
      <w:r>
        <w:rPr>
          <w:rFonts w:ascii="EC Square Sans Pro" w:eastAsia="Times New Roman" w:hAnsi="EC Square Sans Pro" w:cs="Times New Roman"/>
          <w:i/>
          <w:noProof/>
          <w:sz w:val="20"/>
          <w:szCs w:val="20"/>
          <w:lang w:eastAsia="en-GB"/>
        </w:rPr>
        <w:t xml:space="preserve">pacity building in Somalia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Service for Foreign Policy Instruments should adopt adequate measures to mitigate risks that have a financial impact in the missions. These measures relate to: (i) administrative regularity of payments; and (ii) keeping </w:t>
      </w:r>
      <w:r>
        <w:rPr>
          <w:rFonts w:ascii="EC Square Sans Pro" w:eastAsia="Times New Roman" w:hAnsi="EC Square Sans Pro" w:cs="Times New Roman"/>
          <w:noProof/>
          <w:sz w:val="20"/>
          <w:szCs w:val="20"/>
          <w:lang w:eastAsia="en-GB"/>
        </w:rPr>
        <w:t>supporting documents on the recruitment of international staff. Moreover, the Service for Foreign Policy Instruments should invite the European External Action Service to better coordinate with it to provide complete and clear guidance to missions on gradi</w:t>
      </w:r>
      <w:r>
        <w:rPr>
          <w:rFonts w:ascii="EC Square Sans Pro" w:eastAsia="Times New Roman" w:hAnsi="EC Square Sans Pro" w:cs="Times New Roman"/>
          <w:noProof/>
          <w:sz w:val="20"/>
          <w:szCs w:val="20"/>
          <w:lang w:eastAsia="en-GB"/>
        </w:rPr>
        <w:t>ng of local staff and to approve the main standard operating procedures with financial implications in force in EU capacity building in Somalia. Mitigating measures against the risk of missing documents in common foreign and security policy missions should</w:t>
      </w:r>
      <w:r>
        <w:rPr>
          <w:rFonts w:ascii="EC Square Sans Pro" w:eastAsia="Times New Roman" w:hAnsi="EC Square Sans Pro" w:cs="Times New Roman"/>
          <w:noProof/>
          <w:sz w:val="20"/>
          <w:szCs w:val="20"/>
          <w:lang w:eastAsia="en-GB"/>
        </w:rPr>
        <w:t xml:space="preserve"> also be implemented.</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FPI on the measures drawn up and/or implemented following the Internal Audit Service audit</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Service for Foreign Policy Instruments accepted all recommendations and established an action plan to ad</w:t>
      </w:r>
      <w:r>
        <w:rPr>
          <w:rFonts w:ascii="EC Square Sans Pro" w:eastAsia="EC Square Sans Pro" w:hAnsi="EC Square Sans Pro" w:cs="Times New Roman"/>
          <w:noProof/>
          <w:sz w:val="20"/>
          <w:lang w:eastAsia="fr-BE"/>
        </w:rPr>
        <w:t xml:space="preserve">dress them. It is expected that the recommendations will be fully implemented during 2020. Some actions have already been implemented, as described below: </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Concerning the c</w:t>
      </w:r>
      <w:r>
        <w:rPr>
          <w:rFonts w:ascii="EC Square Sans Pro" w:eastAsia="EC Square Sans Pro" w:hAnsi="EC Square Sans Pro" w:cs="Times New Roman"/>
          <w:i/>
          <w:noProof/>
          <w:sz w:val="20"/>
          <w:lang w:eastAsia="fr-BE"/>
        </w:rPr>
        <w:t xml:space="preserve">losure of mandates for common foreign and security policy missions, </w:t>
      </w:r>
      <w:r>
        <w:rPr>
          <w:rFonts w:ascii="EC Square Sans Pro" w:eastAsia="EC Square Sans Pro" w:hAnsi="EC Square Sans Pro" w:cs="Times New Roman"/>
          <w:noProof/>
          <w:sz w:val="20"/>
          <w:lang w:eastAsia="fr-BE"/>
        </w:rPr>
        <w:t>in order to addr</w:t>
      </w:r>
      <w:r>
        <w:rPr>
          <w:rFonts w:ascii="EC Square Sans Pro" w:eastAsia="EC Square Sans Pro" w:hAnsi="EC Square Sans Pro" w:cs="Times New Roman"/>
          <w:noProof/>
          <w:sz w:val="20"/>
          <w:lang w:eastAsia="fr-BE"/>
        </w:rPr>
        <w:t xml:space="preserve">ess issues resulting in late closure of mandates the Service for Foreign Policy Instruments has, in consultation with the Directorate-General for Budget, updated the </w:t>
      </w:r>
      <w:r>
        <w:rPr>
          <w:rFonts w:ascii="EC Square Sans Pro" w:eastAsia="EC Square Sans Pro" w:hAnsi="EC Square Sans Pro" w:cs="Times New Roman"/>
          <w:i/>
          <w:noProof/>
          <w:sz w:val="20"/>
          <w:lang w:eastAsia="fr-BE"/>
        </w:rPr>
        <w:t>Vade-Mecum on financial and accounting procedures for CSDP missions</w:t>
      </w:r>
      <w:r>
        <w:rPr>
          <w:rFonts w:ascii="EC Square Sans Pro" w:eastAsia="EC Square Sans Pro" w:hAnsi="EC Square Sans Pro" w:cs="Times New Roman"/>
          <w:noProof/>
          <w:sz w:val="20"/>
          <w:lang w:eastAsia="fr-BE"/>
        </w:rPr>
        <w:t>. The updated Vade-Mecu</w:t>
      </w:r>
      <w:r>
        <w:rPr>
          <w:rFonts w:ascii="EC Square Sans Pro" w:eastAsia="EC Square Sans Pro" w:hAnsi="EC Square Sans Pro" w:cs="Times New Roman"/>
          <w:noProof/>
          <w:sz w:val="20"/>
          <w:lang w:eastAsia="fr-BE"/>
        </w:rPr>
        <w:t xml:space="preserve">m was sent to all CSDP missions on 16 December 2019. </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i/>
          <w:noProof/>
          <w:sz w:val="20"/>
          <w:lang w:eastAsia="fr-BE"/>
        </w:rPr>
      </w:pPr>
      <w:r>
        <w:rPr>
          <w:rFonts w:ascii="EC Square Sans Pro" w:eastAsia="EC Square Sans Pro" w:hAnsi="EC Square Sans Pro" w:cs="Times New Roman"/>
          <w:noProof/>
          <w:sz w:val="20"/>
          <w:lang w:eastAsia="fr-BE"/>
        </w:rPr>
        <w:t>An internal guidance note to guide project managers through the closure of mandates was issued on 12 May 2020;</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i/>
          <w:noProof/>
          <w:sz w:val="20"/>
          <w:lang w:eastAsia="fr-BE"/>
        </w:rPr>
        <w:t xml:space="preserve">Concerning the mitigating measures applied for EU capacity building in Somalia, </w:t>
      </w:r>
      <w:r>
        <w:rPr>
          <w:rFonts w:ascii="EC Square Sans Pro" w:eastAsia="EC Square Sans Pro" w:hAnsi="EC Square Sans Pro" w:cs="Times New Roman"/>
          <w:noProof/>
          <w:sz w:val="20"/>
          <w:lang w:eastAsia="fr-BE"/>
        </w:rPr>
        <w:t>in order to</w:t>
      </w:r>
      <w:r>
        <w:rPr>
          <w:rFonts w:ascii="EC Square Sans Pro" w:eastAsia="EC Square Sans Pro" w:hAnsi="EC Square Sans Pro" w:cs="Times New Roman"/>
          <w:noProof/>
          <w:sz w:val="20"/>
          <w:lang w:eastAsia="fr-BE"/>
        </w:rPr>
        <w:t xml:space="preserve"> mitigate risks that have a financial impact, the Mission Support Platform at the Service for Foreign Policy Instruments’ Headquarters provides continuous/daily support to EU capacity buidling in Somalia on finance and procurement issues. In addition, EU c</w:t>
      </w:r>
      <w:r>
        <w:rPr>
          <w:rFonts w:ascii="EC Square Sans Pro" w:eastAsia="EC Square Sans Pro" w:hAnsi="EC Square Sans Pro" w:cs="Times New Roman"/>
          <w:noProof/>
          <w:sz w:val="20"/>
          <w:lang w:eastAsia="fr-BE"/>
        </w:rPr>
        <w:t xml:space="preserve">apacity building in Somalia’s standard operating procedures in finance and procurement has been updated following the Service’s assessement and recommendations.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Futhermore, the updated Vade-Mecum included specific provisions on electronic archiving of sup</w:t>
      </w:r>
      <w:r>
        <w:rPr>
          <w:rFonts w:ascii="EC Square Sans Pro" w:eastAsia="EC Square Sans Pro" w:hAnsi="EC Square Sans Pro" w:cs="Times New Roman"/>
          <w:noProof/>
          <w:sz w:val="20"/>
          <w:lang w:eastAsia="fr-BE"/>
        </w:rPr>
        <w:t>porting documents.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Finally, the Service for Foreign Policy Instruments is contributing to the local staff policy document under development by the </w:t>
      </w:r>
      <w:r>
        <w:rPr>
          <w:rFonts w:ascii="EC Square Sans Pro" w:eastAsia="Times New Roman" w:hAnsi="EC Square Sans Pro" w:cs="Times New Roman"/>
          <w:noProof/>
          <w:sz w:val="20"/>
          <w:szCs w:val="20"/>
          <w:lang w:eastAsia="en-GB"/>
        </w:rPr>
        <w:t>European External Action Service</w:t>
      </w:r>
      <w:r>
        <w:rPr>
          <w:rFonts w:ascii="EC Square Sans Pro" w:eastAsia="EC Square Sans Pro" w:hAnsi="EC Square Sans Pro" w:cs="Times New Roman"/>
          <w:noProof/>
          <w:sz w:val="20"/>
          <w:lang w:eastAsia="fr-BE"/>
        </w:rPr>
        <w:t>’s Civilian Planning and Conduct Capability, in particular on the need for cl</w:t>
      </w:r>
      <w:r>
        <w:rPr>
          <w:rFonts w:ascii="EC Square Sans Pro" w:eastAsia="EC Square Sans Pro" w:hAnsi="EC Square Sans Pro" w:cs="Times New Roman"/>
          <w:noProof/>
          <w:sz w:val="20"/>
          <w:lang w:eastAsia="fr-BE"/>
        </w:rPr>
        <w:t xml:space="preserve">earer guidance on grading of local staff. </w:t>
      </w:r>
    </w:p>
    <w:p w:rsidR="000C6D03" w:rsidRDefault="00873433">
      <w:pPr>
        <w:numPr>
          <w:ilvl w:val="0"/>
          <w:numId w:val="47"/>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59" w:name="_Toc42788148"/>
      <w:bookmarkStart w:id="60" w:name="_Toc2946449"/>
      <w:r>
        <w:rPr>
          <w:rFonts w:ascii="EC Square Sans Pro" w:eastAsia="Times New Roman" w:hAnsi="EC Square Sans Pro" w:cs="Times New Roman"/>
          <w:b/>
          <w:i/>
          <w:noProof/>
          <w:color w:val="005D95"/>
          <w:sz w:val="24"/>
          <w:szCs w:val="20"/>
          <w:lang w:eastAsia="en-GB"/>
        </w:rPr>
        <w:t>Audit on annual audit plans in DG NEAR</w:t>
      </w:r>
      <w:bookmarkEnd w:id="59"/>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 xml:space="preserve">The objective of the audit was to assess the design and the implementation of the annual audit plans (including the monitoring and follow-up arrangements) to check whether they </w:t>
      </w:r>
      <w:r>
        <w:rPr>
          <w:rFonts w:ascii="EC Square Sans Pro" w:eastAsia="Calibri" w:hAnsi="EC Square Sans Pro" w:cs="Times New Roman"/>
          <w:noProof/>
          <w:sz w:val="20"/>
          <w:szCs w:val="20"/>
          <w:lang w:eastAsia="en-GB"/>
        </w:rPr>
        <w:t xml:space="preserve">effectively contribute to the </w:t>
      </w:r>
      <w:r>
        <w:rPr>
          <w:rFonts w:ascii="EC Square Sans Pro" w:eastAsia="Calibri" w:hAnsi="EC Square Sans Pro" w:cs="Times New Roman"/>
          <w:noProof/>
          <w:sz w:val="20"/>
          <w:szCs w:val="20"/>
        </w:rPr>
        <w:t xml:space="preserve">Authorising Officer by Delegation’s </w:t>
      </w:r>
      <w:r>
        <w:rPr>
          <w:rFonts w:ascii="EC Square Sans Pro" w:eastAsia="Calibri" w:hAnsi="EC Square Sans Pro" w:cs="Times New Roman"/>
          <w:noProof/>
          <w:sz w:val="20"/>
          <w:szCs w:val="20"/>
          <w:lang w:eastAsia="en-GB"/>
        </w:rPr>
        <w:t xml:space="preserve">assurance on </w:t>
      </w:r>
      <w:r>
        <w:rPr>
          <w:rFonts w:ascii="EC Square Sans Pro" w:eastAsia="Calibri" w:hAnsi="EC Square Sans Pro" w:cs="Times New Roman"/>
          <w:noProof/>
          <w:sz w:val="20"/>
          <w:szCs w:val="20"/>
          <w:lang w:eastAsia="en-GB"/>
        </w:rPr>
        <w:t>the legality and regularity of transactions.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reservations made in the 2018 annual activity report underline the importance of the area and processes within the scope of this audit engagement: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b/>
          <w:noProof/>
          <w:sz w:val="20"/>
          <w:szCs w:val="20"/>
          <w:lang w:eastAsia="en-GB"/>
        </w:rPr>
        <w:t>Reservation 1</w:t>
      </w:r>
      <w:r>
        <w:rPr>
          <w:rFonts w:ascii="EC Square Sans Pro" w:eastAsia="Times New Roman" w:hAnsi="EC Square Sans Pro" w:cs="Times New Roman"/>
          <w:noProof/>
          <w:sz w:val="20"/>
          <w:szCs w:val="20"/>
          <w:lang w:eastAsia="en-GB"/>
        </w:rPr>
        <w:t>: Difficulties in monitoring all proj</w:t>
      </w:r>
      <w:r>
        <w:rPr>
          <w:rFonts w:ascii="EC Square Sans Pro" w:eastAsia="Times New Roman" w:hAnsi="EC Square Sans Pro" w:cs="Times New Roman"/>
          <w:noProof/>
          <w:sz w:val="20"/>
          <w:szCs w:val="20"/>
          <w:lang w:eastAsia="en-GB"/>
        </w:rPr>
        <w:t xml:space="preserve">ects in Libya and Syria adequately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b/>
          <w:noProof/>
          <w:sz w:val="20"/>
          <w:szCs w:val="20"/>
          <w:lang w:eastAsia="en-GB"/>
        </w:rPr>
        <w:t>Reservation 2</w:t>
      </w:r>
      <w:r>
        <w:rPr>
          <w:rFonts w:ascii="EC Square Sans Pro" w:eastAsia="Times New Roman" w:hAnsi="EC Square Sans Pro" w:cs="Times New Roman"/>
          <w:noProof/>
          <w:sz w:val="20"/>
          <w:szCs w:val="20"/>
          <w:lang w:eastAsia="en-GB"/>
        </w:rPr>
        <w:t xml:space="preserve">: Error rate above 2% in direct management grants.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27 September 2019. All recommendations relate to the situation as of that date.</w:t>
      </w:r>
    </w:p>
    <w:p w:rsidR="000C6D03" w:rsidRDefault="00873433">
      <w:pPr>
        <w:spacing w:after="240" w:line="240" w:lineRule="auto"/>
        <w:jc w:val="both"/>
        <w:rPr>
          <w:rFonts w:ascii="EC Square Sans Pro" w:eastAsia="SimSun" w:hAnsi="EC Square Sans Pro" w:cs="Times New Roman"/>
          <w:noProof/>
          <w:sz w:val="20"/>
          <w:szCs w:val="20"/>
          <w:lang w:eastAsia="zh-CN"/>
        </w:rPr>
      </w:pPr>
      <w:r>
        <w:rPr>
          <w:rFonts w:ascii="EC Square Sans Pro" w:eastAsia="SimSun" w:hAnsi="EC Square Sans Pro" w:cs="Times New Roman"/>
          <w:noProof/>
          <w:sz w:val="20"/>
          <w:szCs w:val="20"/>
          <w:lang w:eastAsia="zh-CN"/>
        </w:rPr>
        <w:t>The auditors identified the following streng</w:t>
      </w:r>
      <w:r>
        <w:rPr>
          <w:rFonts w:ascii="EC Square Sans Pro" w:eastAsia="SimSun" w:hAnsi="EC Square Sans Pro" w:cs="Times New Roman"/>
          <w:noProof/>
          <w:sz w:val="20"/>
          <w:szCs w:val="20"/>
          <w:lang w:eastAsia="zh-CN"/>
        </w:rPr>
        <w:t>ths:</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acknowledges the improvement in the timing of the risk assessment exercise (compared to the previous years), which enabled the timely approval of the 2019 control plan;</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risk assessment takes into account different types </w:t>
      </w:r>
      <w:r>
        <w:rPr>
          <w:rFonts w:ascii="EC Square Sans Pro" w:eastAsia="Times New Roman" w:hAnsi="EC Square Sans Pro" w:cs="Times New Roman"/>
          <w:noProof/>
          <w:sz w:val="20"/>
          <w:szCs w:val="20"/>
          <w:lang w:eastAsia="en-GB"/>
        </w:rPr>
        <w:t>of risks that are assessed from the perspectives of both impact and likelihood;</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templates provided for the terms of reference for audit work and for the audit reports contribute to the overall consistency of audit reports and to their generally satisfa</w:t>
      </w:r>
      <w:r>
        <w:rPr>
          <w:rFonts w:ascii="EC Square Sans Pro" w:eastAsia="Times New Roman" w:hAnsi="EC Square Sans Pro" w:cs="Times New Roman"/>
          <w:noProof/>
          <w:sz w:val="20"/>
          <w:szCs w:val="20"/>
          <w:lang w:eastAsia="en-GB"/>
        </w:rPr>
        <w:t>ctory quality;</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Neighbourhood and Enlargement Negotiations</w:t>
      </w:r>
      <w:r>
        <w:rPr>
          <w:rFonts w:ascii="EC Square Sans Pro" w:eastAsia="Calibri" w:hAnsi="EC Square Sans Pro" w:cs="Times New Roman"/>
          <w:noProof/>
          <w:sz w:val="20"/>
          <w:szCs w:val="20"/>
        </w:rPr>
        <w:t xml:space="preserve"> uses the Audit Module</w:t>
      </w:r>
      <w:r>
        <w:rPr>
          <w:rFonts w:ascii="Calibri" w:eastAsia="Calibri" w:hAnsi="Calibri" w:cs="Calibri"/>
          <w:noProof/>
          <w:sz w:val="20"/>
          <w:szCs w:val="20"/>
        </w:rPr>
        <w:t> </w:t>
      </w:r>
      <w:r>
        <w:rPr>
          <w:rFonts w:ascii="Calibri" w:eastAsia="Calibri" w:hAnsi="Calibri" w:cs="Calibri"/>
          <w:noProof/>
          <w:sz w:val="20"/>
          <w:szCs w:val="20"/>
          <w:vertAlign w:val="superscript"/>
        </w:rPr>
        <w:t>(</w:t>
      </w:r>
      <w:r>
        <w:rPr>
          <w:rFonts w:ascii="EC Square Sans Pro" w:eastAsia="Calibri" w:hAnsi="EC Square Sans Pro" w:cs="Times New Roman"/>
          <w:noProof/>
          <w:sz w:val="20"/>
          <w:szCs w:val="20"/>
          <w:vertAlign w:val="superscript"/>
        </w:rPr>
        <w:footnoteReference w:id="16"/>
      </w:r>
      <w:r>
        <w:rPr>
          <w:rFonts w:ascii="Calibri" w:eastAsia="Calibri" w:hAnsi="Calibri" w:cs="Calibri"/>
          <w:noProof/>
          <w:sz w:val="20"/>
          <w:szCs w:val="20"/>
          <w:vertAlign w:val="superscript"/>
        </w:rPr>
        <w:t>)</w:t>
      </w:r>
      <w:r>
        <w:rPr>
          <w:rFonts w:ascii="EC Square Sans Pro" w:eastAsia="Calibri" w:hAnsi="EC Square Sans Pro" w:cs="Times New Roman"/>
          <w:noProof/>
          <w:sz w:val="20"/>
          <w:szCs w:val="20"/>
        </w:rPr>
        <w:t xml:space="preserve"> tool, which enables it to store various audit-related information and easily extract and process data for monitoring and reporting purposes.</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lang w:eastAsia="en-GB"/>
        </w:rPr>
        <w:t>The</w:t>
      </w:r>
      <w:r>
        <w:rPr>
          <w:rFonts w:ascii="EC Square Sans Pro" w:eastAsia="Times New Roman" w:hAnsi="EC Square Sans Pro" w:cs="Times New Roman"/>
          <w:noProof/>
          <w:sz w:val="20"/>
          <w:szCs w:val="20"/>
          <w:lang w:eastAsia="en-GB"/>
        </w:rPr>
        <w:t xml:space="preserve"> Internal Audit Service identified two issues, one concerning </w:t>
      </w:r>
      <w:r>
        <w:rPr>
          <w:rFonts w:ascii="EC Square Sans Pro" w:eastAsia="Times New Roman" w:hAnsi="EC Square Sans Pro" w:cs="Times New Roman"/>
          <w:i/>
          <w:noProof/>
          <w:sz w:val="20"/>
          <w:szCs w:val="20"/>
          <w:lang w:eastAsia="en-GB"/>
        </w:rPr>
        <w:t xml:space="preserve">follow-up of audit results </w:t>
      </w:r>
      <w:r>
        <w:rPr>
          <w:rFonts w:ascii="EC Square Sans Pro" w:eastAsia="Times New Roman" w:hAnsi="EC Square Sans Pro" w:cs="Times New Roman"/>
          <w:noProof/>
          <w:sz w:val="20"/>
          <w:szCs w:val="20"/>
          <w:lang w:eastAsia="en-GB"/>
        </w:rPr>
        <w:t xml:space="preserve">and one on </w:t>
      </w:r>
      <w:r>
        <w:rPr>
          <w:rFonts w:ascii="EC Square Sans Pro" w:eastAsia="Times New Roman" w:hAnsi="EC Square Sans Pro" w:cs="Times New Roman"/>
          <w:i/>
          <w:noProof/>
          <w:color w:val="000000"/>
          <w:sz w:val="20"/>
          <w:szCs w:val="20"/>
          <w:lang w:eastAsia="en-GB"/>
        </w:rPr>
        <w:t>key performance indicators and reporting</w:t>
      </w:r>
      <w:r>
        <w:rPr>
          <w:rFonts w:ascii="EC Square Sans Pro" w:eastAsia="Times New Roman" w:hAnsi="EC Square Sans Pro" w:cs="Times New Roman"/>
          <w:noProof/>
          <w:color w:val="000000"/>
          <w:sz w:val="20"/>
          <w:szCs w:val="20"/>
          <w:lang w:eastAsia="en-GB"/>
        </w:rPr>
        <w:t>,</w:t>
      </w:r>
      <w:r>
        <w:rPr>
          <w:rFonts w:ascii="EC Square Sans Pro" w:eastAsia="Times New Roman" w:hAnsi="EC Square Sans Pro" w:cs="Times New Roman"/>
          <w:i/>
          <w:noProof/>
          <w:color w:val="000000"/>
          <w:sz w:val="20"/>
          <w:szCs w:val="20"/>
          <w:lang w:eastAsia="en-GB"/>
        </w:rPr>
        <w:t xml:space="preserve"> </w:t>
      </w:r>
      <w:r>
        <w:rPr>
          <w:rFonts w:ascii="EC Square Sans Pro" w:eastAsia="Times New Roman" w:hAnsi="EC Square Sans Pro" w:cs="Times New Roman"/>
          <w:noProof/>
          <w:color w:val="000000"/>
          <w:sz w:val="20"/>
          <w:szCs w:val="20"/>
          <w:lang w:eastAsia="en-GB"/>
        </w:rPr>
        <w:t xml:space="preserve">and formulated the following two very important recommendations: </w:t>
      </w:r>
    </w:p>
    <w:p w:rsidR="000C6D03" w:rsidRDefault="00873433">
      <w:pPr>
        <w:spacing w:after="240" w:line="276" w:lineRule="auto"/>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Follow-up of audit results</w:t>
      </w:r>
    </w:p>
    <w:p w:rsidR="000C6D03" w:rsidRDefault="00873433">
      <w:pPr>
        <w:spacing w:after="240" w:line="20" w:lineRule="atLeast"/>
        <w:jc w:val="both"/>
        <w:rPr>
          <w:rFonts w:ascii="EC Square Sans Pro" w:eastAsia="Times New Roman" w:hAnsi="EC Square Sans Pro" w:cs="Times New Roman"/>
          <w:noProof/>
          <w:color w:val="000000"/>
          <w:sz w:val="20"/>
          <w:szCs w:val="20"/>
          <w:lang w:eastAsia="ko-KR"/>
        </w:rPr>
      </w:pPr>
      <w:r>
        <w:rPr>
          <w:rFonts w:ascii="EC Square Sans Pro" w:eastAsia="Times New Roman" w:hAnsi="EC Square Sans Pro" w:cs="Times New Roman"/>
          <w:noProof/>
          <w:sz w:val="20"/>
          <w:szCs w:val="20"/>
          <w:lang w:eastAsia="ko-KR"/>
        </w:rPr>
        <w:t xml:space="preserve">The </w:t>
      </w:r>
      <w:r>
        <w:rPr>
          <w:rFonts w:ascii="EC Square Sans Pro" w:eastAsia="Times New Roman" w:hAnsi="EC Square Sans Pro" w:cs="Times New Roman"/>
          <w:noProof/>
          <w:sz w:val="20"/>
          <w:szCs w:val="20"/>
          <w:lang w:eastAsia="ko-KR"/>
        </w:rPr>
        <w:t>Directorate-General for Neighbourhood and Enlargement Negotiations should: (i) improve its strategy on the follow-up of financial findings by introducing actions that go beyond recovering ineligible expenditure; and (ii) issue corresponding guidance. It sh</w:t>
      </w:r>
      <w:r>
        <w:rPr>
          <w:rFonts w:ascii="EC Square Sans Pro" w:eastAsia="Times New Roman" w:hAnsi="EC Square Sans Pro" w:cs="Times New Roman"/>
          <w:noProof/>
          <w:sz w:val="20"/>
          <w:szCs w:val="20"/>
          <w:lang w:eastAsia="ko-KR"/>
        </w:rPr>
        <w:t>ould also make full use of findings stemming from verification missions to international organisations, either via regular in-house analysis by headquarters or by concluding a formal agreement to this end with the Directorate-General for International Coop</w:t>
      </w:r>
      <w:r>
        <w:rPr>
          <w:rFonts w:ascii="EC Square Sans Pro" w:eastAsia="Times New Roman" w:hAnsi="EC Square Sans Pro" w:cs="Times New Roman"/>
          <w:noProof/>
          <w:sz w:val="20"/>
          <w:szCs w:val="20"/>
          <w:lang w:eastAsia="ko-KR"/>
        </w:rPr>
        <w:t>eration and Development.</w:t>
      </w:r>
    </w:p>
    <w:p w:rsidR="000C6D03" w:rsidRDefault="00873433">
      <w:pPr>
        <w:spacing w:after="240" w:line="240" w:lineRule="auto"/>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 xml:space="preserve">Key performance indicators and reporting </w:t>
      </w:r>
    </w:p>
    <w:p w:rsidR="000C6D03" w:rsidRDefault="00873433">
      <w:pPr>
        <w:spacing w:after="240" w:line="20" w:lineRule="atLeast"/>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Directorate-General for Neighbourhood and Enlargement Negotiations should revise the current key performance indicators and targets in cooperation with the Directorate-General for Inter</w:t>
      </w:r>
      <w:r>
        <w:rPr>
          <w:rFonts w:ascii="EC Square Sans Pro" w:eastAsia="Times New Roman" w:hAnsi="EC Square Sans Pro" w:cs="Times New Roman"/>
          <w:noProof/>
          <w:sz w:val="20"/>
          <w:szCs w:val="20"/>
          <w:lang w:eastAsia="ko-KR"/>
        </w:rPr>
        <w:t>national Cooperation and Development to ensure that they are relevant, appropriate, unambiguous, and understood by staff. Finally, the Directorate-General should correctly report on the achievement of the key performance indicators in its annual activity r</w:t>
      </w:r>
      <w:r>
        <w:rPr>
          <w:rFonts w:ascii="EC Square Sans Pro" w:eastAsia="Times New Roman" w:hAnsi="EC Square Sans Pro" w:cs="Times New Roman"/>
          <w:noProof/>
          <w:sz w:val="20"/>
          <w:szCs w:val="20"/>
          <w:lang w:eastAsia="ko-KR"/>
        </w:rPr>
        <w:t>eport.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NEAR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Neighbourhood and Enlargement Negotiations accepted the recommendations and produced an action</w:t>
      </w:r>
      <w:r>
        <w:rPr>
          <w:rFonts w:ascii="EC Square Sans Pro" w:eastAsia="EC Square Sans Pro" w:hAnsi="EC Square Sans Pro" w:cs="Times New Roman"/>
          <w:noProof/>
          <w:sz w:val="20"/>
          <w:lang w:eastAsia="fr-BE"/>
        </w:rPr>
        <w:t xml:space="preserve"> plan, which was approved in March 2020. The actions are being implemented according to the plan, and their completion is expected by January 2021.</w:t>
      </w:r>
    </w:p>
    <w:p w:rsidR="000C6D03" w:rsidRDefault="00873433">
      <w:pPr>
        <w:numPr>
          <w:ilvl w:val="0"/>
          <w:numId w:val="47"/>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61" w:name="_Toc42788149"/>
      <w:bookmarkStart w:id="62" w:name="_Toc2946450"/>
      <w:bookmarkEnd w:id="60"/>
      <w:r>
        <w:rPr>
          <w:rFonts w:ascii="EC Square Sans Pro" w:eastAsia="Times New Roman" w:hAnsi="EC Square Sans Pro" w:cs="Times New Roman"/>
          <w:b/>
          <w:i/>
          <w:noProof/>
          <w:color w:val="005D95"/>
          <w:sz w:val="24"/>
          <w:szCs w:val="20"/>
          <w:lang w:eastAsia="en-GB"/>
        </w:rPr>
        <w:t xml:space="preserve">Audit on ex ante control on payments under the European neighbourhood instrument and the European </w:t>
      </w:r>
      <w:r>
        <w:rPr>
          <w:rFonts w:ascii="EC Square Sans Pro" w:eastAsia="Times New Roman" w:hAnsi="EC Square Sans Pro" w:cs="Times New Roman"/>
          <w:b/>
          <w:i/>
          <w:noProof/>
          <w:color w:val="005D95"/>
          <w:sz w:val="24"/>
          <w:szCs w:val="20"/>
          <w:lang w:eastAsia="en-GB"/>
        </w:rPr>
        <w:t>neighbourhood and partnership instrument in DG NEAR</w:t>
      </w:r>
      <w:bookmarkEnd w:id="61"/>
      <w:r>
        <w:rPr>
          <w:rFonts w:ascii="EC Square Sans Pro" w:eastAsia="Times New Roman" w:hAnsi="EC Square Sans Pro" w:cs="Times New Roman"/>
          <w:b/>
          <w:i/>
          <w:noProof/>
          <w:color w:val="005D95"/>
          <w:sz w:val="24"/>
          <w:szCs w:val="20"/>
          <w:lang w:eastAsia="en-GB"/>
        </w:rPr>
        <w:t xml:space="preserve"> </w:t>
      </w:r>
      <w:bookmarkEnd w:id="62"/>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 xml:space="preserve">The objective of the audit was to assess whether or not the </w:t>
      </w:r>
      <w:r>
        <w:rPr>
          <w:rFonts w:ascii="EC Square Sans Pro" w:eastAsia="Calibri" w:hAnsi="EC Square Sans Pro" w:cs="Times New Roman"/>
          <w:i/>
          <w:noProof/>
          <w:sz w:val="20"/>
          <w:szCs w:val="20"/>
        </w:rPr>
        <w:t>ex ante</w:t>
      </w:r>
      <w:r>
        <w:rPr>
          <w:rFonts w:ascii="EC Square Sans Pro" w:eastAsia="Calibri" w:hAnsi="EC Square Sans Pro" w:cs="Times New Roman"/>
          <w:noProof/>
          <w:sz w:val="20"/>
          <w:szCs w:val="20"/>
        </w:rPr>
        <w:t xml:space="preserve"> control on interim and final payments under</w:t>
      </w:r>
      <w:r>
        <w:rPr>
          <w:rFonts w:ascii="EC Square Sans Pro" w:eastAsia="Times New Roman" w:hAnsi="EC Square Sans Pro" w:cs="Times New Roman"/>
          <w:noProof/>
          <w:sz w:val="20"/>
          <w:szCs w:val="20"/>
          <w:lang w:eastAsia="en-GB"/>
        </w:rPr>
        <w:t xml:space="preserve"> </w:t>
      </w:r>
      <w:r>
        <w:rPr>
          <w:rFonts w:ascii="EC Square Sans Pro" w:eastAsia="Calibri" w:hAnsi="EC Square Sans Pro" w:cs="Times New Roman"/>
          <w:noProof/>
          <w:sz w:val="20"/>
          <w:szCs w:val="20"/>
        </w:rPr>
        <w:t>the European neighbourhood instrument and the European neighbourhood and partnership instru</w:t>
      </w:r>
      <w:r>
        <w:rPr>
          <w:rFonts w:ascii="EC Square Sans Pro" w:eastAsia="Calibri" w:hAnsi="EC Square Sans Pro" w:cs="Times New Roman"/>
          <w:noProof/>
          <w:sz w:val="20"/>
          <w:szCs w:val="20"/>
        </w:rPr>
        <w:t>ment is effective and efficient.</w:t>
      </w:r>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There were no reservations in the Directorate-General’s 2018 annual activity report that relate to the area/process audited. The fieldwork was finalised on 16 December 2019. All recommendations relate to the situation as of</w:t>
      </w:r>
      <w:r>
        <w:rPr>
          <w:rFonts w:ascii="EC Square Sans Pro" w:eastAsia="Calibri" w:hAnsi="EC Square Sans Pro" w:cs="Times New Roman"/>
          <w:noProof/>
          <w:sz w:val="20"/>
          <w:szCs w:val="20"/>
        </w:rPr>
        <w:t xml:space="preserve">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identified the following strengths:</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guidance for the </w:t>
      </w:r>
      <w:r>
        <w:rPr>
          <w:rFonts w:ascii="EC Square Sans Pro" w:eastAsia="Times New Roman" w:hAnsi="EC Square Sans Pro" w:cs="Times New Roman"/>
          <w:i/>
          <w:noProof/>
          <w:sz w:val="20"/>
          <w:szCs w:val="20"/>
          <w:lang w:eastAsia="en-GB"/>
        </w:rPr>
        <w:t>ex ante</w:t>
      </w:r>
      <w:r>
        <w:rPr>
          <w:rFonts w:ascii="EC Square Sans Pro" w:eastAsia="Times New Roman" w:hAnsi="EC Square Sans Pro" w:cs="Times New Roman"/>
          <w:noProof/>
          <w:sz w:val="20"/>
          <w:szCs w:val="20"/>
          <w:lang w:eastAsia="en-GB"/>
        </w:rPr>
        <w:t xml:space="preserve"> control on payment available in the manual of procedures is generally comprehensive and clear;</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manual of procedures and the support provided by the helpdesk at He</w:t>
      </w:r>
      <w:r>
        <w:rPr>
          <w:rFonts w:ascii="EC Square Sans Pro" w:eastAsia="Times New Roman" w:hAnsi="EC Square Sans Pro" w:cs="Times New Roman"/>
          <w:noProof/>
          <w:sz w:val="20"/>
          <w:szCs w:val="20"/>
          <w:lang w:eastAsia="en-GB"/>
        </w:rPr>
        <w:t>adquarters contribute to the consistent application of the Directorate-General’s rules and procedures throughout the delegations;</w:t>
      </w:r>
    </w:p>
    <w:p w:rsidR="000C6D03" w:rsidRDefault="00873433">
      <w:pPr>
        <w:numPr>
          <w:ilvl w:val="0"/>
          <w:numId w:val="27"/>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reporting of financial information to senior management is done via the ‘Portfolio Management Dashboard’ that extracts, co</w:t>
      </w:r>
      <w:r>
        <w:rPr>
          <w:rFonts w:ascii="EC Square Sans Pro" w:eastAsia="Times New Roman" w:hAnsi="EC Square Sans Pro" w:cs="Times New Roman"/>
          <w:noProof/>
          <w:sz w:val="20"/>
          <w:szCs w:val="20"/>
          <w:lang w:eastAsia="en-GB"/>
        </w:rPr>
        <w:t>mputes and aggregates automatically the information from the ABAC accounting system. This information is used, amongst other, to feed the key performance indicators, which are then used to monitor implementation of the programme.</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Th</w:t>
      </w:r>
      <w:r>
        <w:rPr>
          <w:rFonts w:ascii="EC Square Sans Pro" w:eastAsia="Times New Roman" w:hAnsi="EC Square Sans Pro" w:cs="Times New Roman"/>
          <w:noProof/>
          <w:sz w:val="20"/>
          <w:szCs w:val="20"/>
          <w:lang w:eastAsia="en-GB"/>
        </w:rPr>
        <w:t>e Internal Audit Service</w:t>
      </w:r>
      <w:r>
        <w:rPr>
          <w:rFonts w:ascii="EC Square Sans Pro" w:eastAsia="Times New Roman" w:hAnsi="EC Square Sans Pro" w:cs="Times New Roman"/>
          <w:noProof/>
          <w:sz w:val="20"/>
          <w:szCs w:val="20"/>
          <w:lang w:eastAsia="en-GB"/>
        </w:rPr>
        <w:t xml:space="preserve"> did not formulate any critical or very important recommendations.</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63" w:name="_Toc2946329"/>
      <w:bookmarkStart w:id="64" w:name="_Toc2946452"/>
      <w:bookmarkStart w:id="65" w:name="_Toc416773318"/>
      <w:bookmarkStart w:id="66" w:name="_Toc416773319"/>
      <w:bookmarkStart w:id="67" w:name="_Toc416773320"/>
      <w:bookmarkStart w:id="68" w:name="_Toc416773321"/>
      <w:bookmarkStart w:id="69" w:name="_Toc384743568"/>
      <w:bookmarkStart w:id="70" w:name="_Toc384743667"/>
      <w:bookmarkStart w:id="71" w:name="_Toc402774637"/>
      <w:bookmarkStart w:id="72" w:name="_Toc402788348"/>
      <w:bookmarkStart w:id="73" w:name="_Toc402788666"/>
      <w:bookmarkStart w:id="74" w:name="_Toc402788703"/>
      <w:bookmarkStart w:id="75" w:name="_Toc402788735"/>
      <w:bookmarkStart w:id="76" w:name="_Toc402788764"/>
      <w:bookmarkStart w:id="77" w:name="_Toc402788793"/>
      <w:bookmarkStart w:id="78" w:name="_Toc402789697"/>
      <w:bookmarkStart w:id="79" w:name="_Toc402792734"/>
      <w:bookmarkStart w:id="80" w:name="_Toc402774638"/>
      <w:bookmarkStart w:id="81" w:name="_Toc402788349"/>
      <w:bookmarkStart w:id="82" w:name="_Toc402788667"/>
      <w:bookmarkStart w:id="83" w:name="_Toc402788704"/>
      <w:bookmarkStart w:id="84" w:name="_Toc402788736"/>
      <w:bookmarkStart w:id="85" w:name="_Toc402788765"/>
      <w:bookmarkStart w:id="86" w:name="_Toc402788794"/>
      <w:bookmarkStart w:id="87" w:name="_Toc402789698"/>
      <w:bookmarkStart w:id="88" w:name="_Toc402792735"/>
      <w:bookmarkStart w:id="89" w:name="_Toc402774641"/>
      <w:bookmarkStart w:id="90" w:name="_Toc402788352"/>
      <w:bookmarkStart w:id="91" w:name="_Toc402788670"/>
      <w:bookmarkStart w:id="92" w:name="_Toc402788707"/>
      <w:bookmarkStart w:id="93" w:name="_Toc402788739"/>
      <w:bookmarkStart w:id="94" w:name="_Toc402788768"/>
      <w:bookmarkStart w:id="95" w:name="_Toc402788797"/>
      <w:bookmarkStart w:id="96" w:name="_Toc402789701"/>
      <w:bookmarkStart w:id="97" w:name="_Toc402792738"/>
      <w:bookmarkStart w:id="98" w:name="_Toc402788360"/>
      <w:bookmarkStart w:id="99" w:name="_Toc402788678"/>
      <w:bookmarkStart w:id="100" w:name="_Toc402788715"/>
      <w:bookmarkStart w:id="101" w:name="_Toc402788747"/>
      <w:bookmarkStart w:id="102" w:name="_Toc402788776"/>
      <w:bookmarkStart w:id="103" w:name="_Toc402788805"/>
      <w:bookmarkStart w:id="104" w:name="_Toc402789709"/>
      <w:bookmarkStart w:id="105" w:name="_Toc2946453"/>
      <w:bookmarkStart w:id="106" w:name="_Toc4278815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EC Square Sans Pro" w:eastAsia="EC Square Sans Pro" w:hAnsi="EC Square Sans Pro" w:cs="Times New Roman"/>
          <w:b/>
          <w:noProof/>
          <w:color w:val="005D95"/>
          <w:sz w:val="28"/>
          <w:szCs w:val="21"/>
          <w:lang w:eastAsia="zh-CN"/>
        </w:rPr>
        <w:t>Education and citizenship</w:t>
      </w:r>
      <w:bookmarkEnd w:id="105"/>
      <w:bookmarkEnd w:id="106"/>
    </w:p>
    <w:p w:rsidR="000C6D03" w:rsidRDefault="00873433">
      <w:pPr>
        <w:numPr>
          <w:ilvl w:val="0"/>
          <w:numId w:val="48"/>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07" w:name="_Toc2946454"/>
      <w:bookmarkStart w:id="108" w:name="_Toc42788151"/>
      <w:r>
        <w:rPr>
          <w:rFonts w:ascii="EC Square Sans Pro" w:eastAsia="Times New Roman" w:hAnsi="EC Square Sans Pro" w:cs="Times New Roman"/>
          <w:b/>
          <w:i/>
          <w:noProof/>
          <w:color w:val="005D95"/>
          <w:sz w:val="24"/>
          <w:szCs w:val="20"/>
          <w:lang w:eastAsia="en-GB"/>
        </w:rPr>
        <w:t>Audit on</w:t>
      </w:r>
      <w:bookmarkEnd w:id="107"/>
      <w:r>
        <w:rPr>
          <w:rFonts w:ascii="EC Square Sans Pro" w:eastAsia="Times New Roman" w:hAnsi="EC Square Sans Pro" w:cs="Times New Roman"/>
          <w:b/>
          <w:i/>
          <w:noProof/>
          <w:color w:val="005D95"/>
          <w:sz w:val="24"/>
          <w:szCs w:val="20"/>
          <w:lang w:eastAsia="en-GB"/>
        </w:rPr>
        <w:t xml:space="preserve"> DG HOME’s </w:t>
      </w:r>
      <w:r>
        <w:rPr>
          <w:rFonts w:ascii="EC Square Sans Pro" w:eastAsia="Times New Roman" w:hAnsi="EC Square Sans Pro" w:cs="Times New Roman"/>
          <w:b/>
          <w:i/>
          <w:noProof/>
          <w:color w:val="005D95"/>
          <w:sz w:val="24"/>
          <w:szCs w:val="20"/>
          <w:lang w:val="en-IE" w:eastAsia="en-GB"/>
        </w:rPr>
        <w:t xml:space="preserve">audit activity and </w:t>
      </w:r>
      <w:r>
        <w:rPr>
          <w:rFonts w:ascii="EC Square Sans Pro" w:eastAsia="Times New Roman" w:hAnsi="EC Square Sans Pro" w:cs="Times New Roman"/>
          <w:b/>
          <w:i/>
          <w:noProof/>
          <w:color w:val="005D95"/>
          <w:sz w:val="24"/>
          <w:szCs w:val="20"/>
          <w:lang w:eastAsia="en-GB"/>
        </w:rPr>
        <w:t>clearance of accounts</w:t>
      </w:r>
      <w:bookmarkEnd w:id="10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whether the Directorate-General for Migration and Home Affairs</w:t>
      </w:r>
      <w:r>
        <w:rPr>
          <w:rFonts w:ascii="EC Square Sans Pro" w:eastAsia="Times New Roman" w:hAnsi="EC Square Sans Pro" w:cs="Times New Roman"/>
          <w:noProof/>
          <w:sz w:val="20"/>
          <w:szCs w:val="20"/>
          <w:lang w:eastAsia="en-GB"/>
        </w:rPr>
        <w:t xml:space="preserve"> has put in place effective processes for auditing the asylum migration and integration fund and the internal security fund, for providing audit services to the Directorate-General for Justice and Consumers and for managing the clearance of accounts.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r</w:t>
      </w:r>
      <w:r>
        <w:rPr>
          <w:rFonts w:ascii="EC Square Sans Pro" w:eastAsia="Times New Roman" w:hAnsi="EC Square Sans Pro" w:cs="Times New Roman"/>
          <w:noProof/>
          <w:sz w:val="20"/>
          <w:szCs w:val="20"/>
          <w:lang w:eastAsia="en-GB"/>
        </w:rPr>
        <w:t>eservations below were made in the Directorate-General for Migration and Home Affairs’ 2018 annual activity report. They concern specifically the area/process under the scope of this audit engagement:</w:t>
      </w:r>
    </w:p>
    <w:p w:rsidR="000C6D03" w:rsidRDefault="00873433">
      <w:pPr>
        <w:numPr>
          <w:ilvl w:val="0"/>
          <w:numId w:val="20"/>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shared management: reservation concerning the asylum mi</w:t>
      </w:r>
      <w:r>
        <w:rPr>
          <w:rFonts w:ascii="EC Square Sans Pro" w:eastAsia="Times New Roman" w:hAnsi="EC Square Sans Pro" w:cs="Times New Roman"/>
          <w:noProof/>
          <w:sz w:val="20"/>
          <w:szCs w:val="20"/>
          <w:lang w:eastAsia="en-GB"/>
        </w:rPr>
        <w:t>gration and integration fund and the 2014-2020 internal security fund in several Member States because of serious deficiencies in the management and control system and especially in the audit work of the audit authority;</w:t>
      </w:r>
    </w:p>
    <w:p w:rsidR="000C6D03" w:rsidRDefault="00873433">
      <w:pPr>
        <w:numPr>
          <w:ilvl w:val="0"/>
          <w:numId w:val="20"/>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centralised direct management: non-</w:t>
      </w:r>
      <w:r>
        <w:rPr>
          <w:rFonts w:ascii="EC Square Sans Pro" w:eastAsia="Times New Roman" w:hAnsi="EC Square Sans Pro" w:cs="Times New Roman"/>
          <w:noProof/>
          <w:sz w:val="20"/>
          <w:szCs w:val="20"/>
          <w:lang w:eastAsia="en-GB"/>
        </w:rPr>
        <w:t>research grants. The reservation was issued because the residual error rate (3.29%) was above the materiality threshold of 2% for grants directly managed (except research) by the Directorate-General for Migration and Home Affairs.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w:t>
      </w:r>
      <w:r>
        <w:rPr>
          <w:rFonts w:ascii="EC Square Sans Pro" w:eastAsia="Times New Roman" w:hAnsi="EC Square Sans Pro" w:cs="Times New Roman"/>
          <w:noProof/>
          <w:sz w:val="20"/>
          <w:szCs w:val="20"/>
          <w:lang w:eastAsia="en-GB"/>
        </w:rPr>
        <w:t>ed on 19 July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identified the following strengths in the practices followed by the Directorate-General for Migration and Home Affairs:</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recent reorganisation of the Directorate-General strengthened the position and independence of the </w:t>
      </w:r>
      <w:r>
        <w:rPr>
          <w:rFonts w:ascii="EC Square Sans Pro" w:eastAsia="Times New Roman" w:hAnsi="EC Square Sans Pro" w:cs="Times New Roman"/>
          <w:i/>
          <w:noProof/>
          <w:sz w:val="20"/>
          <w:szCs w:val="20"/>
          <w:lang w:eastAsia="en-GB"/>
        </w:rPr>
        <w:t>ex post</w:t>
      </w:r>
      <w:r>
        <w:rPr>
          <w:rFonts w:ascii="EC Square Sans Pro" w:eastAsia="Times New Roman" w:hAnsi="EC Square Sans Pro" w:cs="Times New Roman"/>
          <w:noProof/>
          <w:sz w:val="20"/>
          <w:szCs w:val="20"/>
          <w:lang w:eastAsia="en-GB"/>
        </w:rPr>
        <w:t xml:space="preserve"> audit function by separating it from the Fund Management Directorate;</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as from the financial year 2018, audit authorities are required to submit a</w:t>
      </w:r>
      <w:r>
        <w:rPr>
          <w:rFonts w:ascii="EC Square Sans Pro" w:eastAsia="Times New Roman" w:hAnsi="EC Square Sans Pro" w:cs="Times New Roman"/>
          <w:noProof/>
          <w:sz w:val="20"/>
          <w:szCs w:val="20"/>
          <w:lang w:eastAsia="en-GB"/>
        </w:rPr>
        <w:t>n annual control report supporting their audit opinion. This significantly strengthens the Directorate-General’s assurance over the audit authorities’ work;</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 sector has developed a comprehensive checklist to support auditors in their checks during</w:t>
      </w:r>
      <w:r>
        <w:rPr>
          <w:rFonts w:ascii="EC Square Sans Pro" w:eastAsia="Times New Roman" w:hAnsi="EC Square Sans Pro" w:cs="Times New Roman"/>
          <w:noProof/>
          <w:sz w:val="20"/>
          <w:szCs w:val="20"/>
          <w:lang w:eastAsia="en-GB"/>
        </w:rPr>
        <w:t xml:space="preserve"> the clearance of accounts process;</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checklist used by desk officers for the clearance of accounts is embedded in the workflow system</w:t>
      </w:r>
      <w:r>
        <w:rPr>
          <w:rFonts w:ascii="Calibri" w:eastAsia="Times New Roman" w:hAnsi="Calibri" w:cs="Times New Roman"/>
          <w:noProof/>
          <w:sz w:val="20"/>
          <w:szCs w:val="20"/>
          <w:lang w:eastAsia="en-GB"/>
        </w:rPr>
        <w:t> </w:t>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val="nl" w:eastAsia="en-GB"/>
        </w:rPr>
        <w:footnoteReference w:id="17"/>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which enhances the traceability and transparency of the review process;</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shared management weekly meetings (until </w:t>
      </w:r>
      <w:r>
        <w:rPr>
          <w:rFonts w:ascii="EC Square Sans Pro" w:eastAsia="Times New Roman" w:hAnsi="EC Square Sans Pro" w:cs="Times New Roman"/>
          <w:noProof/>
          <w:sz w:val="20"/>
          <w:szCs w:val="20"/>
          <w:lang w:eastAsia="en-GB"/>
        </w:rPr>
        <w:t>the reorganisation of June 2019 within its Directorate E) involved financial units and the unit in charge of audits. These constituted a solid platform for discussing implementation of funds, including audit-related topics.</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The Internal Audit Service ident</w:t>
      </w:r>
      <w:r>
        <w:rPr>
          <w:rFonts w:ascii="EC Square Sans Pro" w:eastAsia="Times New Roman" w:hAnsi="EC Square Sans Pro" w:cs="Times New Roman"/>
          <w:noProof/>
          <w:sz w:val="20"/>
          <w:szCs w:val="20"/>
          <w:lang w:eastAsia="en-GB"/>
        </w:rPr>
        <w:t xml:space="preserve">ified three issues, one concerning </w:t>
      </w:r>
      <w:r>
        <w:rPr>
          <w:rFonts w:ascii="EC Square Sans Pro" w:eastAsia="Times New Roman" w:hAnsi="EC Square Sans Pro" w:cs="Times New Roman"/>
          <w:i/>
          <w:noProof/>
          <w:sz w:val="20"/>
          <w:szCs w:val="20"/>
        </w:rPr>
        <w:t>set-up and planning of the audit activity</w:t>
      </w:r>
      <w:r>
        <w:rPr>
          <w:rFonts w:ascii="EC Square Sans Pro" w:eastAsia="Times New Roman" w:hAnsi="EC Square Sans Pro" w:cs="Times New Roman"/>
          <w:noProof/>
          <w:sz w:val="20"/>
          <w:szCs w:val="20"/>
        </w:rPr>
        <w:t xml:space="preserve">, one on </w:t>
      </w:r>
      <w:r>
        <w:rPr>
          <w:rFonts w:ascii="EC Square Sans Pro" w:eastAsia="Times New Roman" w:hAnsi="EC Square Sans Pro" w:cs="Times New Roman"/>
          <w:i/>
          <w:noProof/>
          <w:sz w:val="20"/>
          <w:szCs w:val="20"/>
        </w:rPr>
        <w:t>execution of the audit plan</w:t>
      </w:r>
      <w:r>
        <w:rPr>
          <w:rFonts w:ascii="EC Square Sans Pro" w:eastAsia="Times New Roman" w:hAnsi="EC Square Sans Pro" w:cs="Times New Roman"/>
          <w:noProof/>
          <w:sz w:val="20"/>
          <w:szCs w:val="20"/>
        </w:rPr>
        <w:t xml:space="preserve"> and one on </w:t>
      </w:r>
      <w:r>
        <w:rPr>
          <w:rFonts w:ascii="EC Square Sans Pro" w:eastAsia="Times New Roman" w:hAnsi="EC Square Sans Pro" w:cs="Times New Roman"/>
          <w:i/>
          <w:noProof/>
          <w:sz w:val="20"/>
          <w:szCs w:val="20"/>
        </w:rPr>
        <w:t>the clearance of accounts</w:t>
      </w:r>
      <w:r>
        <w:rPr>
          <w:rFonts w:ascii="EC Square Sans Pro" w:eastAsia="Times New Roman" w:hAnsi="EC Square Sans Pro" w:cs="Times New Roman"/>
          <w:noProof/>
          <w:sz w:val="20"/>
          <w:szCs w:val="20"/>
        </w:rPr>
        <w:t>, and formulated the following very important recommendations:</w:t>
      </w:r>
    </w:p>
    <w:p w:rsidR="000C6D03" w:rsidRDefault="00873433">
      <w:pPr>
        <w:spacing w:after="240" w:line="240" w:lineRule="auto"/>
        <w:jc w:val="both"/>
        <w:rPr>
          <w:rFonts w:ascii="EC Square Sans Pro" w:eastAsia="Times New Roman" w:hAnsi="EC Square Sans Pro" w:cs="Times New Roman"/>
          <w:i/>
          <w:noProof/>
          <w:sz w:val="20"/>
          <w:szCs w:val="20"/>
        </w:rPr>
      </w:pPr>
      <w:r>
        <w:rPr>
          <w:rFonts w:ascii="EC Square Sans Pro" w:eastAsia="Times New Roman" w:hAnsi="EC Square Sans Pro" w:cs="Times New Roman"/>
          <w:i/>
          <w:noProof/>
          <w:sz w:val="20"/>
          <w:szCs w:val="20"/>
        </w:rPr>
        <w:t>Set-up and planning of the audit activity</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Th</w:t>
      </w:r>
      <w:r>
        <w:rPr>
          <w:rFonts w:ascii="EC Square Sans Pro" w:eastAsia="Times New Roman" w:hAnsi="EC Square Sans Pro" w:cs="Times New Roman"/>
          <w:noProof/>
          <w:sz w:val="20"/>
          <w:szCs w:val="20"/>
        </w:rPr>
        <w:t>e Directorate-General for Migration and Home Affairs should define the mission statement and mandate of the audit activity. Roles and responsibilities for the clearance of accounts process should be adjusted to the new organisational structure. The audit s</w:t>
      </w:r>
      <w:r>
        <w:rPr>
          <w:rFonts w:ascii="EC Square Sans Pro" w:eastAsia="Times New Roman" w:hAnsi="EC Square Sans Pro" w:cs="Times New Roman"/>
          <w:noProof/>
          <w:sz w:val="20"/>
          <w:szCs w:val="20"/>
        </w:rPr>
        <w:t>trategies for both shared and direct management should be revised (including for providing the audit function to the Directorate-General for Justice and Consumers). Furthermore, the Directorate-General for Migration and Home Affairs should analyse the reso</w:t>
      </w:r>
      <w:r>
        <w:rPr>
          <w:rFonts w:ascii="EC Square Sans Pro" w:eastAsia="Times New Roman" w:hAnsi="EC Square Sans Pro" w:cs="Times New Roman"/>
          <w:noProof/>
          <w:sz w:val="20"/>
          <w:szCs w:val="20"/>
        </w:rPr>
        <w:t>urce needs for the audit activity. For the 2020 audit work programme, the Directorate-General should align the annual audit plan with the available capacity and explain the impact of any shortfall. In addition, for the 2021-2027 period, it should analyse t</w:t>
      </w:r>
      <w:r>
        <w:rPr>
          <w:rFonts w:ascii="EC Square Sans Pro" w:eastAsia="Times New Roman" w:hAnsi="EC Square Sans Pro" w:cs="Times New Roman"/>
          <w:noProof/>
          <w:sz w:val="20"/>
          <w:szCs w:val="20"/>
        </w:rPr>
        <w:t>he resources required under the new programming period and examine the options/scope for making use of available expertise and capacity in the audit directorates of other Commission departments.</w:t>
      </w:r>
    </w:p>
    <w:p w:rsidR="000C6D03" w:rsidRDefault="00873433">
      <w:pPr>
        <w:keepNext/>
        <w:spacing w:after="240" w:line="240" w:lineRule="auto"/>
        <w:jc w:val="both"/>
        <w:rPr>
          <w:rFonts w:ascii="EC Square Sans Pro" w:eastAsia="Times New Roman" w:hAnsi="EC Square Sans Pro" w:cs="Times New Roman"/>
          <w:i/>
          <w:noProof/>
          <w:sz w:val="20"/>
          <w:szCs w:val="20"/>
        </w:rPr>
      </w:pPr>
      <w:r>
        <w:rPr>
          <w:rFonts w:ascii="EC Square Sans Pro" w:eastAsia="Times New Roman" w:hAnsi="EC Square Sans Pro" w:cs="Times New Roman"/>
          <w:i/>
          <w:noProof/>
          <w:sz w:val="20"/>
          <w:szCs w:val="20"/>
        </w:rPr>
        <w:t xml:space="preserve">Execution of the audit plan </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The Directorate-General for Migr</w:t>
      </w:r>
      <w:r>
        <w:rPr>
          <w:rFonts w:ascii="EC Square Sans Pro" w:eastAsia="Times New Roman" w:hAnsi="EC Square Sans Pro" w:cs="Times New Roman"/>
          <w:noProof/>
          <w:sz w:val="20"/>
          <w:szCs w:val="20"/>
        </w:rPr>
        <w:t>ation and Home Affairs should launch direct management audits as early as possible after adoption of the audit work programme so that the audits can be completed before the end of the reporting period (i.e. 31 March N+1), as required by the audit strategy.</w:t>
      </w:r>
      <w:r>
        <w:rPr>
          <w:rFonts w:ascii="EC Square Sans Pro" w:eastAsia="Times New Roman" w:hAnsi="EC Square Sans Pro" w:cs="Times New Roman"/>
          <w:i/>
          <w:noProof/>
          <w:sz w:val="20"/>
          <w:szCs w:val="20"/>
        </w:rPr>
        <w:t xml:space="preserve"> </w:t>
      </w:r>
      <w:r>
        <w:rPr>
          <w:rFonts w:ascii="EC Square Sans Pro" w:eastAsia="Times New Roman" w:hAnsi="EC Square Sans Pro" w:cs="Times New Roman"/>
          <w:noProof/>
          <w:sz w:val="20"/>
          <w:szCs w:val="20"/>
        </w:rPr>
        <w:t>In addition, final audit reports should be sent to the beneficiaries without delay. This process should be regularly monitored by senior management.</w:t>
      </w:r>
      <w:r>
        <w:rPr>
          <w:rFonts w:ascii="EC Square Sans Pro" w:eastAsia="Times New Roman" w:hAnsi="EC Square Sans Pro" w:cs="Times New Roman"/>
          <w:i/>
          <w:noProof/>
          <w:sz w:val="20"/>
          <w:szCs w:val="20"/>
        </w:rPr>
        <w:t xml:space="preserve"> </w:t>
      </w:r>
      <w:r>
        <w:rPr>
          <w:rFonts w:ascii="EC Square Sans Pro" w:eastAsia="Times New Roman" w:hAnsi="EC Square Sans Pro" w:cs="Times New Roman"/>
          <w:noProof/>
          <w:sz w:val="20"/>
          <w:szCs w:val="20"/>
        </w:rPr>
        <w:t>As regards shared management, the Directorate-General should launch system audits as early as possible aft</w:t>
      </w:r>
      <w:r>
        <w:rPr>
          <w:rFonts w:ascii="EC Square Sans Pro" w:eastAsia="Times New Roman" w:hAnsi="EC Square Sans Pro" w:cs="Times New Roman"/>
          <w:noProof/>
          <w:sz w:val="20"/>
          <w:szCs w:val="20"/>
        </w:rPr>
        <w:t>er finalising the review of the annual control reports and audit opinions. Draft and final audit reports should be sent on time.</w:t>
      </w:r>
    </w:p>
    <w:p w:rsidR="000C6D03" w:rsidRDefault="00873433">
      <w:pPr>
        <w:keepNext/>
        <w:spacing w:after="240" w:line="240" w:lineRule="auto"/>
        <w:jc w:val="both"/>
        <w:rPr>
          <w:rFonts w:ascii="EC Square Sans Pro" w:eastAsia="Times New Roman" w:hAnsi="EC Square Sans Pro" w:cs="Times New Roman"/>
          <w:i/>
          <w:noProof/>
          <w:sz w:val="20"/>
          <w:szCs w:val="20"/>
        </w:rPr>
      </w:pPr>
      <w:r>
        <w:rPr>
          <w:rFonts w:ascii="EC Square Sans Pro" w:eastAsia="Times New Roman" w:hAnsi="EC Square Sans Pro" w:cs="Times New Roman"/>
          <w:i/>
          <w:noProof/>
          <w:sz w:val="20"/>
          <w:szCs w:val="20"/>
        </w:rPr>
        <w:t xml:space="preserve">Clearance of accounts </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 xml:space="preserve">The Directorate-General for Migration and Home Affairs should review and update its internal procedures </w:t>
      </w:r>
      <w:r>
        <w:rPr>
          <w:rFonts w:ascii="EC Square Sans Pro" w:eastAsia="Times New Roman" w:hAnsi="EC Square Sans Pro" w:cs="Times New Roman"/>
          <w:noProof/>
          <w:sz w:val="20"/>
          <w:szCs w:val="20"/>
        </w:rPr>
        <w:t xml:space="preserve">to </w:t>
      </w:r>
      <w:r>
        <w:rPr>
          <w:rFonts w:ascii="EC Square Sans Pro" w:eastAsia="Times New Roman" w:hAnsi="EC Square Sans Pro" w:cs="Times New Roman"/>
          <w:noProof/>
          <w:sz w:val="20"/>
          <w:szCs w:val="20"/>
          <w:lang w:bidi="en-US"/>
        </w:rPr>
        <w:t>ensure that the clearance decisions are made on time. Furthermore, it should clarify the procedure and timing for reviewing accounts that were submitted early (i.e. before year-end) in the context of the decommitment procedure. The processes for managin</w:t>
      </w:r>
      <w:r>
        <w:rPr>
          <w:rFonts w:ascii="EC Square Sans Pro" w:eastAsia="Times New Roman" w:hAnsi="EC Square Sans Pro" w:cs="Times New Roman"/>
          <w:noProof/>
          <w:sz w:val="20"/>
          <w:szCs w:val="20"/>
          <w:lang w:bidi="en-US"/>
        </w:rPr>
        <w:t>g the clearance of accounts should be adapted to the new organisational structure, and the</w:t>
      </w:r>
      <w:r>
        <w:rPr>
          <w:rFonts w:ascii="EC Square Sans Pro" w:eastAsia="Times New Roman" w:hAnsi="EC Square Sans Pro" w:cs="Times New Roman"/>
          <w:noProof/>
          <w:sz w:val="20"/>
          <w:szCs w:val="20"/>
        </w:rPr>
        <w:t xml:space="preserve"> communication between the financial units and the audit sector should be improved.</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 xml:space="preserve">Additional information provided by HOME on the measures drawn up and/or </w:t>
      </w:r>
      <w:r>
        <w:rPr>
          <w:rFonts w:ascii="EC Square Sans Pro" w:eastAsia="EC Square Sans Pro" w:hAnsi="EC Square Sans Pro" w:cs="Times New Roman"/>
          <w:b/>
          <w:noProof/>
          <w:color w:val="005D95"/>
          <w:sz w:val="20"/>
          <w:lang w:eastAsia="fr-BE"/>
        </w:rPr>
        <w:t>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Directorate-General for Migration and Home Affairs accepted the recommendations and produced an action plan which was approved by the Internal Audit Service in March 2020. The actions are being imp</w:t>
      </w:r>
      <w:r>
        <w:rPr>
          <w:rFonts w:ascii="EC Square Sans Pro" w:eastAsia="EC Square Sans Pro" w:hAnsi="EC Square Sans Pro" w:cs="Times New Roman"/>
          <w:noProof/>
          <w:sz w:val="20"/>
          <w:lang w:eastAsia="fr-BE"/>
        </w:rPr>
        <w:t>lemented according to the plan, and some of them have been already implemented. Regarding the recommendation on the setting up and planning of the audit activity, the Directorate-General performed an analysis of available capacity and resources for its 202</w:t>
      </w:r>
      <w:r>
        <w:rPr>
          <w:rFonts w:ascii="EC Square Sans Pro" w:eastAsia="EC Square Sans Pro" w:hAnsi="EC Square Sans Pro" w:cs="Times New Roman"/>
          <w:noProof/>
          <w:sz w:val="20"/>
          <w:lang w:eastAsia="fr-BE"/>
        </w:rPr>
        <w:t xml:space="preserve">0 audit work programme, which can be updated during the year if necessary. The Directorate-General also implemented actions in response to the recommendation on clearance of accounts. These actions included the revision of the internal procedures and the </w:t>
      </w:r>
      <w:r>
        <w:rPr>
          <w:rFonts w:ascii="EC Square Sans Pro" w:eastAsia="EC Square Sans Pro" w:hAnsi="EC Square Sans Pro" w:cs="Times New Roman"/>
          <w:i/>
          <w:noProof/>
          <w:sz w:val="20"/>
          <w:lang w:eastAsia="fr-BE"/>
        </w:rPr>
        <w:t>M</w:t>
      </w:r>
      <w:r>
        <w:rPr>
          <w:rFonts w:ascii="EC Square Sans Pro" w:eastAsia="EC Square Sans Pro" w:hAnsi="EC Square Sans Pro" w:cs="Times New Roman"/>
          <w:i/>
          <w:noProof/>
          <w:sz w:val="20"/>
          <w:lang w:eastAsia="fr-BE"/>
        </w:rPr>
        <w:t>anual for the Clearance of Accounts</w:t>
      </w:r>
      <w:r>
        <w:rPr>
          <w:rFonts w:ascii="EC Square Sans Pro" w:eastAsia="EC Square Sans Pro" w:hAnsi="EC Square Sans Pro" w:cs="Times New Roman"/>
          <w:noProof/>
          <w:sz w:val="20"/>
          <w:lang w:eastAsia="fr-BE"/>
        </w:rPr>
        <w:t xml:space="preserve"> to ensure the timely revision of accounts submitted before the year’s end and that accounts are cleared only exceptionally after the regulatory deadline of 31 May N+1.</w:t>
      </w:r>
    </w:p>
    <w:p w:rsidR="000C6D03" w:rsidRDefault="00873433">
      <w:pPr>
        <w:numPr>
          <w:ilvl w:val="0"/>
          <w:numId w:val="48"/>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09" w:name="_Toc3473308"/>
      <w:bookmarkStart w:id="110" w:name="_Toc2946455"/>
      <w:bookmarkStart w:id="111" w:name="_Toc42788152"/>
      <w:bookmarkEnd w:id="109"/>
      <w:r>
        <w:rPr>
          <w:rFonts w:ascii="EC Square Sans Pro" w:eastAsia="Times New Roman" w:hAnsi="EC Square Sans Pro" w:cs="Times New Roman"/>
          <w:b/>
          <w:i/>
          <w:noProof/>
          <w:color w:val="005D95"/>
          <w:sz w:val="24"/>
          <w:szCs w:val="20"/>
          <w:lang w:eastAsia="en-GB"/>
        </w:rPr>
        <w:t>Audit on impact assessment in DG JUST</w:t>
      </w:r>
      <w:bookmarkEnd w:id="110"/>
      <w:bookmarkEnd w:id="11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w:t>
      </w:r>
      <w:r>
        <w:rPr>
          <w:rFonts w:ascii="EC Square Sans Pro" w:eastAsia="Times New Roman" w:hAnsi="EC Square Sans Pro" w:cs="Times New Roman"/>
          <w:noProof/>
          <w:sz w:val="20"/>
          <w:szCs w:val="20"/>
          <w:lang w:eastAsia="en-GB"/>
        </w:rPr>
        <w:t>of the audit was to assess whether the Directorate-General for Justice and Consumers has put in place effective controls for conducting impact assessments that comply with the better regulation guidance and principles.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were no reservations in the </w:t>
      </w:r>
      <w:r>
        <w:rPr>
          <w:rFonts w:ascii="EC Square Sans Pro" w:eastAsia="Times New Roman" w:hAnsi="EC Square Sans Pro" w:cs="Times New Roman"/>
          <w:noProof/>
          <w:sz w:val="20"/>
          <w:szCs w:val="20"/>
          <w:lang w:eastAsia="en-GB"/>
        </w:rPr>
        <w:t>Directorate-General’s 2018 annual activity report that relate to the area/process audited. The fieldwork was finalised on 18</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July 2019. All recommendations relate to the situation as of that date.</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auditors recognised the Directorate-General’s ongoing e</w:t>
      </w:r>
      <w:r>
        <w:rPr>
          <w:rFonts w:ascii="EC Square Sans Pro" w:eastAsia="Times New Roman" w:hAnsi="EC Square Sans Pro" w:cs="Times New Roman"/>
          <w:noProof/>
          <w:color w:val="000000"/>
          <w:sz w:val="20"/>
          <w:szCs w:val="20"/>
          <w:lang w:eastAsia="en-GB"/>
        </w:rPr>
        <w:t>fforts to improve the impact assessment process and identified in particular the following strengths:</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has set up a dedicated and experienced Unit 03 ‘Economic Analysis and Evaluation’. The unit has a dual role in the impact assessme</w:t>
      </w:r>
      <w:r>
        <w:rPr>
          <w:rFonts w:ascii="EC Square Sans Pro" w:eastAsia="Times New Roman" w:hAnsi="EC Square Sans Pro" w:cs="Times New Roman"/>
          <w:noProof/>
          <w:sz w:val="20"/>
          <w:szCs w:val="20"/>
          <w:lang w:eastAsia="en-GB"/>
        </w:rPr>
        <w:t xml:space="preserve">nt process, which consists in: (i) providing comments and support to the operational units on the key steps of the impact assessment process; and (ii) playing an important role in decisions affecting the impact assessment process e.g. the quality scrutiny </w:t>
      </w:r>
      <w:r>
        <w:rPr>
          <w:rFonts w:ascii="EC Square Sans Pro" w:eastAsia="Times New Roman" w:hAnsi="EC Square Sans Pro" w:cs="Times New Roman"/>
          <w:noProof/>
          <w:sz w:val="20"/>
          <w:szCs w:val="20"/>
          <w:lang w:eastAsia="en-GB"/>
        </w:rPr>
        <w:t>of a draft impact assessment report before submission to the Regulatory Scrutiny Board. Overall, the involvement and assistance provided by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03 to policy officers on drafting impact assessments is perceived by the operational units to be very positive.</w:t>
      </w:r>
      <w:r>
        <w:rPr>
          <w:rFonts w:ascii="EC Square Sans Pro" w:eastAsia="Times New Roman" w:hAnsi="EC Square Sans Pro" w:cs="Times New Roman"/>
          <w:noProof/>
          <w:sz w:val="20"/>
          <w:szCs w:val="20"/>
          <w:lang w:eastAsia="en-GB"/>
        </w:rPr>
        <w:t xml:space="preserve"> The policy officers appreciate the regular contacts and availability of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03’s staff, together with their valuable support on technical and methodological aspects of impact assessment.</w:t>
      </w:r>
    </w:p>
    <w:p w:rsidR="000C6D03" w:rsidRDefault="00873433">
      <w:pPr>
        <w:numPr>
          <w:ilvl w:val="0"/>
          <w:numId w:val="2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color w:val="000000"/>
          <w:sz w:val="20"/>
          <w:szCs w:val="20"/>
          <w:lang w:eastAsia="en-GB"/>
        </w:rPr>
        <w:t>Since 2018, the Directorate-General has made use of upstream meetin</w:t>
      </w:r>
      <w:r>
        <w:rPr>
          <w:rFonts w:ascii="EC Square Sans Pro" w:eastAsia="Times New Roman" w:hAnsi="EC Square Sans Pro" w:cs="Times New Roman"/>
          <w:noProof/>
          <w:color w:val="000000"/>
          <w:sz w:val="20"/>
          <w:szCs w:val="20"/>
          <w:lang w:eastAsia="en-GB"/>
        </w:rPr>
        <w:t>gs offered to Directorate-Generals by the Regulatory Scrutiny Board</w:t>
      </w:r>
      <w:r>
        <w:rPr>
          <w:rFonts w:ascii="Calibri" w:eastAsia="Times New Roman" w:hAnsi="Calibri" w:cs="Times New Roman"/>
          <w:noProof/>
          <w:color w:val="000000"/>
          <w:sz w:val="20"/>
          <w:szCs w:val="20"/>
          <w:lang w:eastAsia="en-GB"/>
        </w:rPr>
        <w:t> </w:t>
      </w:r>
      <w:r>
        <w:rPr>
          <w:rFonts w:ascii="Calibri" w:eastAsia="Times New Roman" w:hAnsi="Calibri" w:cs="Times New Roman"/>
          <w:noProof/>
          <w:color w:val="000000"/>
          <w:sz w:val="20"/>
          <w:szCs w:val="20"/>
          <w:vertAlign w:val="superscript"/>
          <w:lang w:eastAsia="en-GB"/>
        </w:rPr>
        <w:t>(</w:t>
      </w:r>
      <w:r>
        <w:rPr>
          <w:rFonts w:ascii="EC Square Sans Pro" w:eastAsia="Times New Roman" w:hAnsi="EC Square Sans Pro" w:cs="Times New Roman"/>
          <w:noProof/>
          <w:color w:val="000000"/>
          <w:sz w:val="20"/>
          <w:szCs w:val="20"/>
          <w:vertAlign w:val="superscript"/>
          <w:lang w:eastAsia="en-GB"/>
        </w:rPr>
        <w:footnoteReference w:id="18"/>
      </w:r>
      <w:r>
        <w:rPr>
          <w:rFonts w:ascii="Calibri" w:eastAsia="Times New Roman" w:hAnsi="Calibri" w:cs="Times New Roman"/>
          <w:noProof/>
          <w:color w:val="000000"/>
          <w:sz w:val="20"/>
          <w:szCs w:val="20"/>
          <w:vertAlign w:val="superscript"/>
          <w:lang w:eastAsia="en-GB"/>
        </w:rPr>
        <w:t>)</w:t>
      </w:r>
      <w:r>
        <w:rPr>
          <w:rFonts w:ascii="EC Square Sans Pro" w:eastAsia="Times New Roman" w:hAnsi="EC Square Sans Pro" w:cs="Times New Roman"/>
          <w:noProof/>
          <w:color w:val="000000"/>
          <w:sz w:val="20"/>
          <w:szCs w:val="20"/>
          <w:lang w:eastAsia="en-GB"/>
        </w:rPr>
        <w:t xml:space="preserve"> for the preparation of impact assessments.</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The Internal Audit Service did not formulate any critical or very important recommendations. </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112" w:name="_Toc3473311"/>
      <w:bookmarkStart w:id="113" w:name="_Toc2946460"/>
      <w:bookmarkStart w:id="114" w:name="_Toc42788153"/>
      <w:bookmarkEnd w:id="112"/>
      <w:r>
        <w:rPr>
          <w:rFonts w:ascii="EC Square Sans Pro" w:eastAsia="EC Square Sans Pro" w:hAnsi="EC Square Sans Pro" w:cs="Times New Roman"/>
          <w:b/>
          <w:noProof/>
          <w:color w:val="005D95"/>
          <w:sz w:val="28"/>
          <w:szCs w:val="21"/>
          <w:lang w:eastAsia="zh-CN"/>
        </w:rPr>
        <w:t>Economic and financial affairs</w:t>
      </w:r>
      <w:bookmarkEnd w:id="113"/>
      <w:bookmarkEnd w:id="114"/>
      <w:r>
        <w:rPr>
          <w:rFonts w:ascii="EC Square Sans Pro" w:eastAsia="EC Square Sans Pro" w:hAnsi="EC Square Sans Pro" w:cs="Times New Roman"/>
          <w:b/>
          <w:noProof/>
          <w:color w:val="005D95"/>
          <w:sz w:val="28"/>
          <w:szCs w:val="21"/>
          <w:lang w:eastAsia="zh-CN"/>
        </w:rPr>
        <w:t xml:space="preserve"> </w:t>
      </w:r>
    </w:p>
    <w:p w:rsidR="000C6D03" w:rsidRDefault="00873433">
      <w:pPr>
        <w:keepNext/>
        <w:keepLines/>
        <w:numPr>
          <w:ilvl w:val="0"/>
          <w:numId w:val="49"/>
        </w:numPr>
        <w:spacing w:after="240" w:line="240" w:lineRule="auto"/>
        <w:ind w:hanging="357"/>
        <w:jc w:val="both"/>
        <w:outlineLvl w:val="2"/>
        <w:rPr>
          <w:rFonts w:ascii="EC Square Sans Pro" w:eastAsia="Times New Roman" w:hAnsi="EC Square Sans Pro" w:cs="Times New Roman"/>
          <w:b/>
          <w:i/>
          <w:noProof/>
          <w:color w:val="005D95"/>
          <w:sz w:val="24"/>
          <w:szCs w:val="20"/>
          <w:lang w:eastAsia="en-GB"/>
        </w:rPr>
      </w:pPr>
      <w:bookmarkStart w:id="115" w:name="_Toc412457227"/>
      <w:bookmarkStart w:id="116" w:name="_Toc42788154"/>
      <w:bookmarkStart w:id="117" w:name="_Toc2946461"/>
      <w:bookmarkEnd w:id="115"/>
      <w:r>
        <w:rPr>
          <w:rFonts w:ascii="EC Square Sans Pro" w:eastAsia="Times New Roman" w:hAnsi="EC Square Sans Pro" w:cs="Times New Roman"/>
          <w:b/>
          <w:i/>
          <w:noProof/>
          <w:color w:val="005D95"/>
          <w:sz w:val="24"/>
          <w:szCs w:val="20"/>
          <w:lang w:eastAsia="en-GB"/>
        </w:rPr>
        <w:t xml:space="preserve">Audit on </w:t>
      </w:r>
      <w:r>
        <w:rPr>
          <w:rFonts w:ascii="EC Square Sans Pro" w:eastAsia="Times New Roman" w:hAnsi="EC Square Sans Pro" w:cs="Times New Roman"/>
          <w:b/>
          <w:i/>
          <w:noProof/>
          <w:color w:val="005D95"/>
          <w:sz w:val="24"/>
          <w:szCs w:val="20"/>
          <w:lang w:eastAsia="en-GB"/>
        </w:rPr>
        <w:t>EASME’s project management (project monitoring, payments and amendments) under the programme for the environment and climate action covering the period from 1 January 2014 to 31 December 2020 (the LIFE programme)</w:t>
      </w:r>
      <w:bookmarkEnd w:id="116"/>
      <w:r>
        <w:rPr>
          <w:rFonts w:ascii="EC Square Sans Pro" w:eastAsia="Times New Roman" w:hAnsi="EC Square Sans Pro" w:cs="Times New Roman"/>
          <w:b/>
          <w:i/>
          <w:noProof/>
          <w:color w:val="005D95"/>
          <w:sz w:val="24"/>
          <w:szCs w:val="20"/>
          <w:lang w:eastAsia="en-GB"/>
        </w:rPr>
        <w:t xml:space="preserve"> </w:t>
      </w:r>
    </w:p>
    <w:p w:rsidR="000C6D03" w:rsidRDefault="00873433">
      <w:pPr>
        <w:keepNext/>
        <w:keepLines/>
        <w:spacing w:after="240" w:line="240" w:lineRule="auto"/>
        <w:jc w:val="both"/>
        <w:rPr>
          <w:rFonts w:ascii="EC Square Sans Pro" w:eastAsia="Calibri" w:hAnsi="EC Square Sans Pro" w:cs="Times New Roman"/>
          <w:noProof/>
          <w:color w:val="000000"/>
          <w:sz w:val="20"/>
          <w:szCs w:val="20"/>
        </w:rPr>
      </w:pPr>
      <w:r>
        <w:rPr>
          <w:rFonts w:ascii="EC Square Sans Pro" w:eastAsia="Calibri" w:hAnsi="EC Square Sans Pro" w:cs="Times New Roman"/>
          <w:noProof/>
          <w:color w:val="000000"/>
          <w:sz w:val="20"/>
          <w:szCs w:val="20"/>
        </w:rPr>
        <w:t>The objective of the audit was to assess w</w:t>
      </w:r>
      <w:r>
        <w:rPr>
          <w:rFonts w:ascii="EC Square Sans Pro" w:eastAsia="Calibri" w:hAnsi="EC Square Sans Pro" w:cs="Times New Roman"/>
          <w:noProof/>
          <w:color w:val="000000"/>
          <w:sz w:val="20"/>
          <w:szCs w:val="20"/>
        </w:rPr>
        <w:t>hether the Executive Agency for Small and Medium-sized Enterprises has adequately designed and effectively implemented a project management system (project monitoring, payments and amendments and anti-fraud strategy and checks) that provide reasonable assu</w:t>
      </w:r>
      <w:r>
        <w:rPr>
          <w:rFonts w:ascii="EC Square Sans Pro" w:eastAsia="Calibri" w:hAnsi="EC Square Sans Pro" w:cs="Times New Roman"/>
          <w:noProof/>
          <w:color w:val="000000"/>
          <w:sz w:val="20"/>
          <w:szCs w:val="20"/>
        </w:rPr>
        <w:t>rance to the Authorising Officer by Delegation regarding: (i) the effective contribution of the projects to the achievement of objectives of the programme for the environment and climate action and (ii) the legality and regularity of the underlying transac</w:t>
      </w:r>
      <w:r>
        <w:rPr>
          <w:rFonts w:ascii="EC Square Sans Pro" w:eastAsia="Calibri" w:hAnsi="EC Square Sans Pro" w:cs="Times New Roman"/>
          <w:noProof/>
          <w:color w:val="000000"/>
          <w:sz w:val="20"/>
          <w:szCs w:val="20"/>
        </w:rPr>
        <w:t>tions.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Agency’s 2018 annual activity report that relate to the area/process audited. The fieldwork was finalised on 3</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July</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Exec</w:t>
      </w:r>
      <w:r>
        <w:rPr>
          <w:rFonts w:ascii="EC Square Sans Pro" w:eastAsia="Times New Roman" w:hAnsi="EC Square Sans Pro" w:cs="Times New Roman"/>
          <w:noProof/>
          <w:sz w:val="20"/>
          <w:szCs w:val="20"/>
          <w:lang w:eastAsia="en-GB"/>
        </w:rPr>
        <w:t>utive Agency for Small and Medium-sized Enterprises’ ongoing efforts to manage and monitor the programme for the environment and climate action so as to ensure that: (i) the programme objectives are met; and (ii) the residual error rate remains far below t</w:t>
      </w:r>
      <w:r>
        <w:rPr>
          <w:rFonts w:ascii="EC Square Sans Pro" w:eastAsia="Times New Roman" w:hAnsi="EC Square Sans Pro" w:cs="Times New Roman"/>
          <w:noProof/>
          <w:sz w:val="20"/>
          <w:szCs w:val="20"/>
          <w:lang w:eastAsia="en-GB"/>
        </w:rPr>
        <w:t>he materiality threshold of 2%</w:t>
      </w:r>
      <w:r>
        <w:rPr>
          <w:rFonts w:ascii="Calibri" w:eastAsia="Times New Roman" w:hAnsi="Calibri" w:cs="Times New Roman"/>
          <w:noProof/>
          <w:sz w:val="20"/>
          <w:szCs w:val="20"/>
          <w:lang w:eastAsia="en-GB"/>
        </w:rPr>
        <w:t> </w:t>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19"/>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In particular, the Internal Audit Service acknowledged the following good practices:</w:t>
      </w:r>
    </w:p>
    <w:p w:rsidR="000C6D03" w:rsidRDefault="00873433">
      <w:pPr>
        <w:numPr>
          <w:ilvl w:val="0"/>
          <w:numId w:val="2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staff of the Agency implementing the control strategy are knowledgeable and motivated, and have valuable experience in supervising the </w:t>
      </w:r>
      <w:r>
        <w:rPr>
          <w:rFonts w:ascii="EC Square Sans Pro" w:eastAsia="Times New Roman" w:hAnsi="EC Square Sans Pro" w:cs="Times New Roman"/>
          <w:noProof/>
          <w:sz w:val="20"/>
          <w:szCs w:val="20"/>
          <w:lang w:eastAsia="en-GB"/>
        </w:rPr>
        <w:t>programme implementation;</w:t>
      </w:r>
    </w:p>
    <w:p w:rsidR="000C6D03" w:rsidRDefault="00873433">
      <w:pPr>
        <w:numPr>
          <w:ilvl w:val="0"/>
          <w:numId w:val="2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is </w:t>
      </w:r>
      <w:r>
        <w:rPr>
          <w:rFonts w:ascii="EC Square Sans Pro" w:eastAsia="Times New Roman" w:hAnsi="EC Square Sans Pro" w:cs="Times New Roman"/>
          <w:b/>
          <w:noProof/>
          <w:sz w:val="20"/>
          <w:szCs w:val="20"/>
          <w:lang w:eastAsia="en-GB"/>
        </w:rPr>
        <w:t>good cooperation</w:t>
      </w:r>
      <w:r>
        <w:rPr>
          <w:rFonts w:ascii="EC Square Sans Pro" w:eastAsia="Times New Roman" w:hAnsi="EC Square Sans Pro" w:cs="Times New Roman"/>
          <w:noProof/>
          <w:sz w:val="20"/>
          <w:szCs w:val="20"/>
          <w:lang w:eastAsia="en-GB"/>
        </w:rPr>
        <w:t xml:space="preserve"> between the operational unit and the financial sector as well as with the external contractor performing the ongoing monitoring activities; </w:t>
      </w:r>
    </w:p>
    <w:p w:rsidR="000C6D03" w:rsidRDefault="00873433">
      <w:pPr>
        <w:numPr>
          <w:ilvl w:val="0"/>
          <w:numId w:val="2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team managing the programme drives </w:t>
      </w:r>
      <w:r>
        <w:rPr>
          <w:rFonts w:ascii="EC Square Sans Pro" w:eastAsia="Times New Roman" w:hAnsi="EC Square Sans Pro" w:cs="Times New Roman"/>
          <w:b/>
          <w:noProof/>
          <w:sz w:val="20"/>
          <w:szCs w:val="20"/>
          <w:lang w:eastAsia="en-GB"/>
        </w:rPr>
        <w:t>continuous improvement</w:t>
      </w:r>
      <w:r>
        <w:rPr>
          <w:rFonts w:ascii="EC Square Sans Pro" w:eastAsia="Times New Roman" w:hAnsi="EC Square Sans Pro" w:cs="Times New Roman"/>
          <w:noProof/>
          <w:sz w:val="20"/>
          <w:szCs w:val="20"/>
          <w:lang w:eastAsia="en-GB"/>
        </w:rPr>
        <w:t xml:space="preserve"> of the internal procedures, workflows, templates and checklists to be used for each project management task and phase of monitoring; </w:t>
      </w:r>
    </w:p>
    <w:p w:rsidR="000C6D03" w:rsidRDefault="00873433">
      <w:pPr>
        <w:numPr>
          <w:ilvl w:val="0"/>
          <w:numId w:val="26"/>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there is an adequate document management system in place that makes all the project information and in-depth data easily </w:t>
      </w:r>
      <w:r>
        <w:rPr>
          <w:rFonts w:ascii="EC Square Sans Pro" w:eastAsia="Times New Roman" w:hAnsi="EC Square Sans Pro" w:cs="Times New Roman"/>
          <w:noProof/>
          <w:sz w:val="20"/>
          <w:szCs w:val="20"/>
          <w:lang w:eastAsia="en-GB"/>
        </w:rPr>
        <w:t>accessible to the Agency staff involved.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w:t>
      </w:r>
      <w:r>
        <w:rPr>
          <w:rFonts w:ascii="EC Square Sans Pro" w:eastAsia="Times New Roman" w:hAnsi="EC Square Sans Pro" w:cs="Times New Roman"/>
          <w:bCs/>
          <w:i/>
          <w:iCs/>
          <w:noProof/>
          <w:sz w:val="20"/>
          <w:szCs w:val="20"/>
          <w:lang w:eastAsia="en-GB"/>
        </w:rPr>
        <w:t>use of risk-related information to define the level of control and cost effectiveness of controls</w:t>
      </w:r>
      <w:r>
        <w:rPr>
          <w:rFonts w:ascii="EC Square Sans Pro" w:eastAsia="Times New Roman" w:hAnsi="EC Square Sans Pro" w:cs="Times New Roman"/>
          <w:b/>
          <w:bCs/>
          <w:i/>
          <w:iCs/>
          <w:noProof/>
          <w:sz w:val="20"/>
          <w:szCs w:val="20"/>
          <w:lang w:eastAsia="en-GB"/>
        </w:rPr>
        <w:t xml:space="preserve"> </w:t>
      </w:r>
      <w:r>
        <w:rPr>
          <w:rFonts w:ascii="EC Square Sans Pro" w:eastAsia="Times New Roman" w:hAnsi="EC Square Sans Pro" w:cs="Times New Roman"/>
          <w:noProof/>
          <w:sz w:val="20"/>
          <w:szCs w:val="20"/>
          <w:lang w:eastAsia="en-GB"/>
        </w:rPr>
        <w:t>and formulated the following very important recommendation</w:t>
      </w:r>
      <w:r>
        <w:rPr>
          <w:rFonts w:ascii="EC Square Sans Pro" w:eastAsia="Times New Roman" w:hAnsi="EC Square Sans Pro" w:cs="Times New Roman"/>
          <w:noProof/>
          <w:sz w:val="20"/>
          <w:szCs w:val="20"/>
          <w:lang w:eastAsia="en-GB"/>
        </w:rPr>
        <w: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Executive Agency for Small and Medium-sized Enterprises </w:t>
      </w:r>
      <w:r>
        <w:rPr>
          <w:rFonts w:ascii="EC Square Sans Pro" w:eastAsia="Times New Roman" w:hAnsi="EC Square Sans Pro" w:cs="Calibri"/>
          <w:noProof/>
          <w:sz w:val="20"/>
          <w:szCs w:val="20"/>
          <w:lang w:eastAsia="en-GB"/>
        </w:rPr>
        <w:t>should establish an effective link between risks identified and control activities to tailor the extent and depth of checks to be performed (both by the external contractor and by its own staff)</w:t>
      </w:r>
      <w:r>
        <w:rPr>
          <w:rFonts w:ascii="EC Square Sans Pro" w:eastAsia="Times New Roman" w:hAnsi="EC Square Sans Pro" w:cs="Calibri"/>
          <w:noProof/>
          <w:sz w:val="20"/>
          <w:szCs w:val="20"/>
          <w:lang w:eastAsia="en-GB"/>
        </w:rPr>
        <w:t xml:space="preserve">. Moreover, the reporting templates and relevant checklists should be amended to reflect the differences in checks to be performed. The risk assessment tool should also be regularly updated. Additionally, the </w:t>
      </w:r>
      <w:r>
        <w:rPr>
          <w:rFonts w:ascii="EC Square Sans Pro" w:eastAsia="Times New Roman" w:hAnsi="EC Square Sans Pro" w:cs="Times New Roman"/>
          <w:noProof/>
          <w:sz w:val="20"/>
          <w:szCs w:val="20"/>
          <w:lang w:eastAsia="en-GB"/>
        </w:rPr>
        <w:t>Agency</w:t>
      </w:r>
      <w:r>
        <w:rPr>
          <w:rFonts w:ascii="EC Square Sans Pro" w:eastAsia="Times New Roman" w:hAnsi="EC Square Sans Pro" w:cs="Calibri"/>
          <w:noProof/>
          <w:sz w:val="20"/>
          <w:szCs w:val="20"/>
          <w:lang w:eastAsia="en-GB"/>
        </w:rPr>
        <w:t xml:space="preserve"> should assess the cost effectiveness </w:t>
      </w:r>
      <w:r>
        <w:rPr>
          <w:rFonts w:ascii="EC Square Sans Pro" w:eastAsia="Times New Roman" w:hAnsi="EC Square Sans Pro" w:cs="Times New Roman"/>
          <w:noProof/>
          <w:sz w:val="20"/>
          <w:szCs w:val="20"/>
          <w:lang w:eastAsia="en-GB"/>
        </w:rPr>
        <w:t xml:space="preserve">of </w:t>
      </w:r>
      <w:r>
        <w:rPr>
          <w:rFonts w:ascii="EC Square Sans Pro" w:eastAsia="Times New Roman" w:hAnsi="EC Square Sans Pro" w:cs="Times New Roman"/>
          <w:noProof/>
          <w:sz w:val="20"/>
          <w:szCs w:val="20"/>
          <w:lang w:eastAsia="en-GB"/>
        </w:rPr>
        <w:t xml:space="preserve">controls for the environment and climate action programme. </w:t>
      </w:r>
    </w:p>
    <w:p w:rsidR="000C6D03" w:rsidRDefault="00873433">
      <w:pPr>
        <w:keepNext/>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EASME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The action plan of the Executive Agency for Small and Medium-sized Enterprises was accepted by the Internal Audit Service and aims to address its recommendation by June 2020.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In the meantime, several sub-actions have been implemented. These include: (i)</w:t>
      </w:r>
      <w:r>
        <w:rPr>
          <w:rFonts w:ascii="Calibri" w:eastAsia="EC Square Sans Pro" w:hAnsi="Calibri" w:cs="Times New Roman"/>
          <w:noProof/>
          <w:sz w:val="20"/>
          <w:lang w:eastAsia="fr-BE"/>
        </w:rPr>
        <w:t> </w:t>
      </w:r>
      <w:r>
        <w:rPr>
          <w:rFonts w:ascii="EC Square Sans Pro" w:eastAsia="EC Square Sans Pro" w:hAnsi="EC Square Sans Pro" w:cs="Times New Roman"/>
          <w:noProof/>
          <w:sz w:val="20"/>
          <w:lang w:eastAsia="fr-BE"/>
        </w:rPr>
        <w:t>a</w:t>
      </w:r>
      <w:r>
        <w:rPr>
          <w:rFonts w:ascii="EC Square Sans Pro" w:eastAsia="EC Square Sans Pro" w:hAnsi="EC Square Sans Pro" w:cs="Times New Roman"/>
          <w:noProof/>
          <w:sz w:val="20"/>
          <w:lang w:eastAsia="fr-BE"/>
        </w:rPr>
        <w:t xml:space="preserve"> revised risk-based assessment methodology to better tailor the extent and depth of controls; (ii)</w:t>
      </w:r>
      <w:r>
        <w:rPr>
          <w:rFonts w:ascii="Calibri" w:eastAsia="EC Square Sans Pro" w:hAnsi="Calibri" w:cs="Times New Roman"/>
          <w:noProof/>
          <w:sz w:val="20"/>
          <w:lang w:eastAsia="fr-BE"/>
        </w:rPr>
        <w:t> </w:t>
      </w:r>
      <w:r>
        <w:rPr>
          <w:rFonts w:ascii="EC Square Sans Pro" w:eastAsia="EC Square Sans Pro" w:hAnsi="EC Square Sans Pro" w:cs="Times New Roman"/>
          <w:noProof/>
          <w:sz w:val="20"/>
          <w:lang w:eastAsia="fr-BE"/>
        </w:rPr>
        <w:t>the update of the reporting templates and checklists to reflect the different types of checks to carry out depending on the risk; (iii)</w:t>
      </w:r>
      <w:r>
        <w:rPr>
          <w:rFonts w:ascii="Calibri" w:eastAsia="EC Square Sans Pro" w:hAnsi="Calibri" w:cs="Times New Roman"/>
          <w:noProof/>
          <w:sz w:val="20"/>
          <w:lang w:eastAsia="fr-BE"/>
        </w:rPr>
        <w:t> </w:t>
      </w:r>
      <w:r>
        <w:rPr>
          <w:rFonts w:ascii="EC Square Sans Pro" w:eastAsia="EC Square Sans Pro" w:hAnsi="EC Square Sans Pro" w:cs="Times New Roman"/>
          <w:noProof/>
          <w:sz w:val="20"/>
          <w:lang w:eastAsia="fr-BE"/>
        </w:rPr>
        <w:t>the update of the ris</w:t>
      </w:r>
      <w:r>
        <w:rPr>
          <w:rFonts w:ascii="EC Square Sans Pro" w:eastAsia="EC Square Sans Pro" w:hAnsi="EC Square Sans Pro" w:cs="Times New Roman"/>
          <w:noProof/>
          <w:sz w:val="20"/>
          <w:lang w:eastAsia="fr-BE"/>
        </w:rPr>
        <w:t>k assessment tool when new information becomes available; and (iv)</w:t>
      </w:r>
      <w:r>
        <w:rPr>
          <w:rFonts w:ascii="Calibri" w:eastAsia="EC Square Sans Pro" w:hAnsi="Calibri" w:cs="Times New Roman"/>
          <w:noProof/>
          <w:sz w:val="20"/>
          <w:lang w:eastAsia="fr-BE"/>
        </w:rPr>
        <w:t> </w:t>
      </w:r>
      <w:r>
        <w:rPr>
          <w:rFonts w:ascii="EC Square Sans Pro" w:eastAsia="EC Square Sans Pro" w:hAnsi="EC Square Sans Pro" w:cs="Times New Roman"/>
          <w:noProof/>
          <w:sz w:val="20"/>
          <w:lang w:eastAsia="fr-BE"/>
        </w:rPr>
        <w:t xml:space="preserve">training of the project advisers and financial officers on the new methodology and checklists.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Further, assessment of the cost effectiveness of controls for the LIFE programme (programme f</w:t>
      </w:r>
      <w:r>
        <w:rPr>
          <w:rFonts w:ascii="EC Square Sans Pro" w:eastAsia="EC Square Sans Pro" w:hAnsi="EC Square Sans Pro" w:cs="Times New Roman"/>
          <w:noProof/>
          <w:sz w:val="20"/>
          <w:lang w:eastAsia="fr-BE"/>
        </w:rPr>
        <w:t>or the environment and climate action) will begin soon and will be implemented with the support of the Directorate-General for Environment.</w:t>
      </w:r>
    </w:p>
    <w:p w:rsidR="000C6D03" w:rsidRDefault="00873433">
      <w:pPr>
        <w:numPr>
          <w:ilvl w:val="0"/>
          <w:numId w:val="49"/>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18" w:name="_Toc42788155"/>
      <w:r>
        <w:rPr>
          <w:rFonts w:ascii="EC Square Sans Pro" w:eastAsia="Times New Roman" w:hAnsi="EC Square Sans Pro" w:cs="Times New Roman"/>
          <w:b/>
          <w:i/>
          <w:noProof/>
          <w:color w:val="005D95"/>
          <w:sz w:val="24"/>
          <w:szCs w:val="20"/>
          <w:lang w:eastAsia="en-GB"/>
        </w:rPr>
        <w:t>Audit on effectiveness and efficiency of DG ECFIN's performance-management system</w:t>
      </w:r>
      <w:bookmarkEnd w:id="11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of the audit was to </w:t>
      </w:r>
      <w:r>
        <w:rPr>
          <w:rFonts w:ascii="EC Square Sans Pro" w:eastAsia="Times New Roman" w:hAnsi="EC Square Sans Pro" w:cs="Times New Roman"/>
          <w:noProof/>
          <w:sz w:val="20"/>
          <w:szCs w:val="20"/>
          <w:lang w:eastAsia="en-GB"/>
        </w:rPr>
        <w:t xml:space="preserve">assess the adequacy of the performance-management system of the Directorate-General for Economic and Financial Affairs to plan, monitor and report on the achievement of its key policy objectives.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w:t>
      </w:r>
      <w:r>
        <w:rPr>
          <w:rFonts w:ascii="EC Square Sans Pro" w:eastAsia="Times New Roman" w:hAnsi="EC Square Sans Pro" w:cs="Times New Roman"/>
          <w:noProof/>
          <w:sz w:val="20"/>
          <w:szCs w:val="20"/>
          <w:lang w:eastAsia="en-GB"/>
        </w:rPr>
        <w:t>8 annual activity report that relate to the area/process audited. The fieldwork was finalised on 20</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May</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Economic and Financial Affairs implements a wide range of</w:t>
      </w:r>
      <w:r>
        <w:rPr>
          <w:rFonts w:ascii="EC Square Sans Pro" w:eastAsia="Times New Roman" w:hAnsi="EC Square Sans Pro" w:cs="Times New Roman"/>
          <w:noProof/>
          <w:sz w:val="20"/>
          <w:szCs w:val="20"/>
          <w:lang w:eastAsia="en-GB"/>
        </w:rPr>
        <w:t xml:space="preserve"> activities. In addition, its operations are affected largely by the political environment. The auditors recognised its ongoing efforts to continuously improve its performance-management system within this challenging environment and highlighted the follow</w:t>
      </w:r>
      <w:r>
        <w:rPr>
          <w:rFonts w:ascii="EC Square Sans Pro" w:eastAsia="Times New Roman" w:hAnsi="EC Square Sans Pro" w:cs="Times New Roman"/>
          <w:noProof/>
          <w:sz w:val="20"/>
          <w:szCs w:val="20"/>
          <w:lang w:eastAsia="en-GB"/>
        </w:rPr>
        <w:t>ing good practices:</w:t>
      </w:r>
    </w:p>
    <w:p w:rsidR="000C6D03" w:rsidRDefault="00873433">
      <w:pPr>
        <w:numPr>
          <w:ilvl w:val="0"/>
          <w:numId w:val="28"/>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management of the strategic planning and programming cycle is well organised: a clear link has been established between the Directorate-General’s general objectives, specific objectives and activities, supported by the work-stream m</w:t>
      </w:r>
      <w:r>
        <w:rPr>
          <w:rFonts w:ascii="EC Square Sans Pro" w:eastAsia="Times New Roman" w:hAnsi="EC Square Sans Pro" w:cs="Times New Roman"/>
          <w:noProof/>
          <w:sz w:val="20"/>
          <w:szCs w:val="20"/>
          <w:lang w:eastAsia="en-GB"/>
        </w:rPr>
        <w:t xml:space="preserve">apping table; </w:t>
      </w:r>
    </w:p>
    <w:p w:rsidR="000C6D03" w:rsidRDefault="00873433">
      <w:pPr>
        <w:numPr>
          <w:ilvl w:val="0"/>
          <w:numId w:val="28"/>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 number of good management tools have been implemented both at directorate and unit levels, namely:</w:t>
      </w:r>
    </w:p>
    <w:p w:rsidR="000C6D03" w:rsidRDefault="00873433">
      <w:pPr>
        <w:numPr>
          <w:ilvl w:val="0"/>
          <w:numId w:val="38"/>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directorates’ work programmes, which complement the Directorate-General’s management plan; these provide a good narrative of each </w:t>
      </w:r>
      <w:r>
        <w:rPr>
          <w:rFonts w:ascii="EC Square Sans Pro" w:eastAsia="Times New Roman" w:hAnsi="EC Square Sans Pro" w:cs="Times New Roman"/>
          <w:noProof/>
          <w:sz w:val="20"/>
          <w:szCs w:val="20"/>
          <w:lang w:eastAsia="en-GB"/>
        </w:rPr>
        <w:t>directorate’s priorities and explain how the directorates contribute to the Directorate-General’s general and specific objectives;</w:t>
      </w:r>
    </w:p>
    <w:p w:rsidR="000C6D03" w:rsidRDefault="00873433">
      <w:pPr>
        <w:numPr>
          <w:ilvl w:val="0"/>
          <w:numId w:val="38"/>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Directorate</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 xml:space="preserve">C’s dedicated monitoring tool (the </w:t>
      </w:r>
      <w:r>
        <w:rPr>
          <w:rFonts w:ascii="EC Square Sans Pro" w:eastAsia="Times New Roman" w:hAnsi="EC Square Sans Pro" w:cs="Times New Roman"/>
          <w:i/>
          <w:noProof/>
          <w:sz w:val="20"/>
          <w:szCs w:val="20"/>
          <w:lang w:eastAsia="en-GB"/>
        </w:rPr>
        <w:t>fortnightly report</w:t>
      </w:r>
      <w:r>
        <w:rPr>
          <w:rFonts w:ascii="EC Square Sans Pro" w:eastAsia="Times New Roman" w:hAnsi="EC Square Sans Pro" w:cs="Times New Roman"/>
          <w:noProof/>
          <w:sz w:val="20"/>
          <w:szCs w:val="20"/>
          <w:lang w:eastAsia="en-GB"/>
        </w:rPr>
        <w:t>), which is used at directorate and unit levels, enables eff</w:t>
      </w:r>
      <w:r>
        <w:rPr>
          <w:rFonts w:ascii="EC Square Sans Pro" w:eastAsia="Times New Roman" w:hAnsi="EC Square Sans Pro" w:cs="Times New Roman"/>
          <w:noProof/>
          <w:sz w:val="20"/>
          <w:szCs w:val="20"/>
          <w:lang w:eastAsia="en-GB"/>
        </w:rPr>
        <w:t>ective monitoring of ongoing activities for the forthcoming 2 months. Directorate</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C uses the table to structure discussions in the bi-weekly directorate meetings;</w:t>
      </w:r>
    </w:p>
    <w:p w:rsidR="000C6D03" w:rsidRDefault="00873433">
      <w:pPr>
        <w:numPr>
          <w:ilvl w:val="0"/>
          <w:numId w:val="38"/>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different units have developed specific tools, e.g. a calendar of international events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D.3), tables of communication activities and events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A.4), a ‘dashboard used for the weekly Investment Committee’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L.2), and the ‘échéancier’ (Unit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G.3) used to monitor closely ongoing activities.</w:t>
      </w:r>
    </w:p>
    <w:p w:rsidR="000C6D03" w:rsidRDefault="00873433">
      <w:pPr>
        <w:numPr>
          <w:ilvl w:val="0"/>
          <w:numId w:val="29"/>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terms of performance reporting:</w:t>
      </w:r>
    </w:p>
    <w:p w:rsidR="000C6D03" w:rsidRDefault="00873433">
      <w:pPr>
        <w:numPr>
          <w:ilvl w:val="0"/>
          <w:numId w:val="39"/>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Unit 01 has de</w:t>
      </w:r>
      <w:r>
        <w:rPr>
          <w:rFonts w:ascii="EC Square Sans Pro" w:eastAsia="Times New Roman" w:hAnsi="EC Square Sans Pro" w:cs="Times New Roman"/>
          <w:noProof/>
          <w:sz w:val="20"/>
          <w:szCs w:val="20"/>
          <w:lang w:eastAsia="en-GB"/>
        </w:rPr>
        <w:t>veloped an inventory of the unit’s tasks performed in 2018;</w:t>
      </w:r>
    </w:p>
    <w:p w:rsidR="000C6D03" w:rsidRDefault="00873433">
      <w:pPr>
        <w:numPr>
          <w:ilvl w:val="0"/>
          <w:numId w:val="39"/>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Unit</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D.3 presented a mid-year report on ‘progress on 2018 work programme</w:t>
      </w:r>
      <w:r>
        <w:rPr>
          <w:rFonts w:ascii="EC Square Sans Pro" w:eastAsia="Times New Roman" w:hAnsi="EC Square Sans Pro" w:cs="Times New Roman"/>
          <w:i/>
          <w:noProof/>
          <w:sz w:val="20"/>
          <w:szCs w:val="20"/>
          <w:lang w:eastAsia="en-GB"/>
        </w:rPr>
        <w:t xml:space="preserve"> </w:t>
      </w:r>
      <w:r>
        <w:rPr>
          <w:rFonts w:ascii="EC Square Sans Pro" w:eastAsia="Times New Roman" w:hAnsi="EC Square Sans Pro" w:cs="Times New Roman"/>
          <w:noProof/>
          <w:sz w:val="20"/>
          <w:szCs w:val="20"/>
          <w:lang w:eastAsia="en-GB"/>
        </w:rPr>
        <w:t>on economic analysis and policy advice’, which gives a complete report to senior management on the unit’s activities.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w:t>
      </w:r>
      <w:r>
        <w:rPr>
          <w:rFonts w:ascii="EC Square Sans Pro" w:eastAsia="Times New Roman" w:hAnsi="EC Square Sans Pro" w:cs="Times New Roman"/>
          <w:noProof/>
          <w:sz w:val="20"/>
          <w:szCs w:val="20"/>
          <w:lang w:eastAsia="en-GB"/>
        </w:rPr>
        <w:t>nternal Audit Service did not formulate any critical or very important recommendations.</w:t>
      </w:r>
    </w:p>
    <w:p w:rsidR="000C6D03" w:rsidRDefault="00873433">
      <w:pPr>
        <w:keepNext/>
        <w:numPr>
          <w:ilvl w:val="0"/>
          <w:numId w:val="49"/>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19" w:name="_Toc42788156"/>
      <w:bookmarkStart w:id="120" w:name="_Toc2946462"/>
      <w:bookmarkEnd w:id="117"/>
      <w:r>
        <w:rPr>
          <w:rFonts w:ascii="EC Square Sans Pro" w:eastAsia="Times New Roman" w:hAnsi="EC Square Sans Pro" w:cs="Times New Roman"/>
          <w:b/>
          <w:i/>
          <w:noProof/>
          <w:color w:val="005D95"/>
          <w:sz w:val="24"/>
          <w:szCs w:val="20"/>
          <w:lang w:eastAsia="en-GB"/>
        </w:rPr>
        <w:t>Audit on monitoring of EU law implementation in DG TAXUD</w:t>
      </w:r>
      <w:bookmarkEnd w:id="119"/>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effectiveness and efficiency of the management and control systems</w:t>
      </w:r>
      <w:r>
        <w:rPr>
          <w:rFonts w:ascii="EC Square Sans Pro" w:eastAsia="Times New Roman" w:hAnsi="EC Square Sans Pro" w:cs="Times New Roman"/>
          <w:noProof/>
          <w:sz w:val="20"/>
          <w:szCs w:val="20"/>
          <w:lang w:eastAsia="en-GB"/>
        </w:rPr>
        <w:t xml:space="preserve"> of the Directorate-General for Taxation and Customs Union regarding the monitoring of EU law implementation as well as the compliance with the applicable Commission guidelines.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observations/reservations in the Directorate-General’s 2018 ann</w:t>
      </w:r>
      <w:r>
        <w:rPr>
          <w:rFonts w:ascii="EC Square Sans Pro" w:eastAsia="Times New Roman" w:hAnsi="EC Square Sans Pro" w:cs="Times New Roman"/>
          <w:noProof/>
          <w:sz w:val="20"/>
          <w:szCs w:val="20"/>
          <w:lang w:eastAsia="en-GB"/>
        </w:rPr>
        <w:t>ual activity report that relate to the area/process audited. The fieldwork was finalised on 20 June 2019. All recommendations relate to the situation as of that date.</w:t>
      </w:r>
    </w:p>
    <w:p w:rsidR="000C6D03" w:rsidRDefault="00873433">
      <w:pPr>
        <w:tabs>
          <w:tab w:val="left" w:pos="2302"/>
        </w:tabs>
        <w:spacing w:after="240" w:line="240" w:lineRule="auto"/>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The auditors recognised the Directorate-General’s ongoing efforts to continuously improve</w:t>
      </w:r>
      <w:r>
        <w:rPr>
          <w:rFonts w:ascii="EC Square Sans Pro" w:eastAsia="Times New Roman" w:hAnsi="EC Square Sans Pro" w:cs="Times New Roman"/>
          <w:noProof/>
          <w:sz w:val="20"/>
          <w:szCs w:val="20"/>
          <w:lang w:eastAsia="fr-BE"/>
        </w:rPr>
        <w:t xml:space="preserve"> the process of monitoring EU law implementation and application and highlighted the following good practices. In particular:</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Directorate-General has established effective cooperation with its Commissioner’s Cabinet, which is systematically consulted o</w:t>
      </w:r>
      <w:r>
        <w:rPr>
          <w:rFonts w:ascii="EC Square Sans Pro" w:eastAsia="Times New Roman" w:hAnsi="EC Square Sans Pro" w:cs="Times New Roman"/>
          <w:noProof/>
          <w:sz w:val="20"/>
          <w:szCs w:val="20"/>
          <w:lang w:eastAsia="ko-KR"/>
        </w:rPr>
        <w:t>n any key decision with regard to new pre-infringement cases, cases of opportunity closures</w:t>
      </w:r>
      <w:r>
        <w:rPr>
          <w:rFonts w:ascii="Calibri" w:eastAsia="Times New Roman" w:hAnsi="Calibri" w:cs="Times New Roman"/>
          <w:noProof/>
          <w:sz w:val="20"/>
          <w:szCs w:val="20"/>
          <w:lang w:eastAsia="ko-KR"/>
        </w:rPr>
        <w:t> </w:t>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vertAlign w:val="superscript"/>
          <w:lang w:eastAsia="ko-KR"/>
        </w:rPr>
        <w:footnoteReference w:id="20"/>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lang w:eastAsia="ko-KR"/>
        </w:rPr>
        <w:t xml:space="preserve"> and for the final approval of proposals for infringement cases to be submitted for a decision in the College’s infringement cycle. There is an agreement between</w:t>
      </w:r>
      <w:r>
        <w:rPr>
          <w:rFonts w:ascii="EC Square Sans Pro" w:eastAsia="Times New Roman" w:hAnsi="EC Square Sans Pro" w:cs="Times New Roman"/>
          <w:noProof/>
          <w:sz w:val="20"/>
          <w:szCs w:val="20"/>
          <w:lang w:eastAsia="ko-KR"/>
        </w:rPr>
        <w:t xml:space="preserve"> the Directorate-General and its Commissioner’s Cabinet to go ahead in the absence of a reply from the latter within 5 working days. </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A very good system of internal coordination exists between the units involved in EU law monitoring and the policy units. A</w:t>
      </w:r>
      <w:r>
        <w:rPr>
          <w:rFonts w:ascii="EC Square Sans Pro" w:eastAsia="Times New Roman" w:hAnsi="EC Square Sans Pro" w:cs="Times New Roman"/>
          <w:noProof/>
          <w:sz w:val="20"/>
          <w:szCs w:val="20"/>
          <w:lang w:eastAsia="ko-KR"/>
        </w:rPr>
        <w:t>n infringement coordinator (Unit</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 xml:space="preserve">C3 </w:t>
      </w:r>
      <w:r>
        <w:rPr>
          <w:rFonts w:ascii="EC Square Sans Pro" w:eastAsia="Times New Roman" w:hAnsi="EC Square Sans Pro" w:cs="Times New Roman"/>
          <w:i/>
          <w:noProof/>
          <w:sz w:val="20"/>
          <w:szCs w:val="20"/>
          <w:lang w:eastAsia="ko-KR"/>
        </w:rPr>
        <w:t>Indirect taxation</w:t>
      </w:r>
      <w:r>
        <w:rPr>
          <w:rFonts w:ascii="EC Square Sans Pro" w:eastAsia="Times New Roman" w:hAnsi="EC Square Sans Pro" w:cs="Times New Roman"/>
          <w:noProof/>
          <w:sz w:val="20"/>
          <w:szCs w:val="20"/>
          <w:lang w:eastAsia="ko-KR"/>
        </w:rPr>
        <w:t xml:space="preserve">) effectively coordinates all activities at Directorate-General level related to EU law implementation monitoring. This coordinator is backed up by the infringement coordinators in the other units. </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The </w:t>
      </w:r>
      <w:r>
        <w:rPr>
          <w:rFonts w:ascii="EC Square Sans Pro" w:eastAsia="Times New Roman" w:hAnsi="EC Square Sans Pro" w:cs="Times New Roman"/>
          <w:noProof/>
          <w:sz w:val="20"/>
          <w:szCs w:val="20"/>
          <w:lang w:eastAsia="ko-KR"/>
        </w:rPr>
        <w:t>Directorate-General’s infringement coordinator in Unit</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C3 has put in place a ‘pop-up’ monitoring tool (called NIF) embedded in the Infringement and Directives IT application, which enables effective and efficient monitoring of all ongoing infringement case</w:t>
      </w:r>
      <w:r>
        <w:rPr>
          <w:rFonts w:ascii="EC Square Sans Pro" w:eastAsia="Times New Roman" w:hAnsi="EC Square Sans Pro" w:cs="Times New Roman"/>
          <w:noProof/>
          <w:sz w:val="20"/>
          <w:szCs w:val="20"/>
          <w:lang w:eastAsia="ko-KR"/>
        </w:rPr>
        <w:t>s in the Unit. The Internal Audit Service considers that this tool could also be used by the other infringement units.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ko-KR"/>
        </w:rPr>
        <w:t>The Head of Unit of Unit</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D3 has developed a system to monitor compliance with the Commission guidelines and benchmarks for the transposit</w:t>
      </w:r>
      <w:r>
        <w:rPr>
          <w:rFonts w:ascii="EC Square Sans Pro" w:eastAsia="Times New Roman" w:hAnsi="EC Square Sans Pro" w:cs="Times New Roman"/>
          <w:noProof/>
          <w:sz w:val="20"/>
          <w:szCs w:val="20"/>
          <w:lang w:eastAsia="ko-KR"/>
        </w:rPr>
        <w:t>ion of all new directives in the area of direct taxation. It consists of a table for each directive and an overview table for all directives and Member States with the corresponding milestones. The overview table provides the Head of Unit with a good summa</w:t>
      </w:r>
      <w:r>
        <w:rPr>
          <w:rFonts w:ascii="EC Square Sans Pro" w:eastAsia="Times New Roman" w:hAnsi="EC Square Sans Pro" w:cs="Times New Roman"/>
          <w:noProof/>
          <w:sz w:val="20"/>
          <w:szCs w:val="20"/>
          <w:lang w:eastAsia="ko-KR"/>
        </w:rPr>
        <w:t>ry of the status of the transposition of directives for which Unit</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D3 is responsible. The Internal Audit Service considers that this tool could also be implemented by the Infringement Unit in the area of indirect taxation.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did not formulate any critical or very important recommendations. </w:t>
      </w:r>
    </w:p>
    <w:p w:rsidR="000C6D03" w:rsidRDefault="00873433">
      <w:pPr>
        <w:numPr>
          <w:ilvl w:val="0"/>
          <w:numId w:val="49"/>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21" w:name="_Toc42788157"/>
      <w:r>
        <w:rPr>
          <w:rFonts w:ascii="EC Square Sans Pro" w:eastAsia="Times New Roman" w:hAnsi="EC Square Sans Pro" w:cs="Times New Roman"/>
          <w:b/>
          <w:i/>
          <w:noProof/>
          <w:color w:val="005D95"/>
          <w:sz w:val="24"/>
          <w:szCs w:val="20"/>
          <w:lang w:eastAsia="en-GB"/>
        </w:rPr>
        <w:t>Audit on human resources management in DG TAXUD</w:t>
      </w:r>
      <w:bookmarkEnd w:id="121"/>
    </w:p>
    <w:p w:rsidR="000C6D03" w:rsidRDefault="00873433">
      <w:pPr>
        <w:spacing w:after="240" w:line="240" w:lineRule="auto"/>
        <w:jc w:val="both"/>
        <w:rPr>
          <w:rFonts w:ascii="EC Square Sans Pro" w:eastAsia="Times New Roman" w:hAnsi="EC Square Sans Pro" w:cs="Times New Roman"/>
          <w:b/>
          <w:noProof/>
          <w:color w:val="000000"/>
          <w:sz w:val="20"/>
          <w:szCs w:val="20"/>
          <w:lang w:eastAsia="en-GB"/>
        </w:rPr>
      </w:pPr>
      <w:r>
        <w:rPr>
          <w:rFonts w:ascii="EC Square Sans Pro" w:eastAsia="Times New Roman" w:hAnsi="EC Square Sans Pro" w:cs="Times New Roman"/>
          <w:noProof/>
          <w:sz w:val="20"/>
          <w:szCs w:val="20"/>
          <w:lang w:eastAsia="en-GB"/>
        </w:rPr>
        <w:t>The objective of the audit was to assess whether the Directorate-General for Taxation and Customs Union has put in</w:t>
      </w:r>
      <w:r>
        <w:rPr>
          <w:rFonts w:ascii="EC Square Sans Pro" w:eastAsia="Times New Roman" w:hAnsi="EC Square Sans Pro" w:cs="Times New Roman"/>
          <w:noProof/>
          <w:sz w:val="20"/>
          <w:szCs w:val="20"/>
          <w:lang w:eastAsia="en-GB"/>
        </w:rPr>
        <w:t xml:space="preserve"> place an adequate system for managing its human resources that supports effectively achievement of its operational objectives.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Directorate-General’s 2018 annual activity report did not include any reservations that relate to the area/process audited. </w:t>
      </w:r>
      <w:r>
        <w:rPr>
          <w:rFonts w:ascii="EC Square Sans Pro" w:eastAsia="Times New Roman" w:hAnsi="EC Square Sans Pro" w:cs="Times New Roman"/>
          <w:noProof/>
          <w:sz w:val="20"/>
          <w:szCs w:val="20"/>
          <w:lang w:eastAsia="en-GB"/>
        </w:rPr>
        <w:t>The fieldwork was finalised on 10 December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 xml:space="preserve">The </w:t>
      </w:r>
      <w:r>
        <w:rPr>
          <w:rFonts w:ascii="EC Square Sans Pro" w:eastAsia="Times New Roman" w:hAnsi="EC Square Sans Pro" w:cs="Times New Roman"/>
          <w:noProof/>
          <w:sz w:val="20"/>
          <w:szCs w:val="20"/>
          <w:lang w:eastAsia="en-GB"/>
        </w:rPr>
        <w:t xml:space="preserve">Internal Audit Service has identified the following strengths: </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the Directorate-General regularly organises staff fora to improve communicatio</w:t>
      </w:r>
      <w:r>
        <w:rPr>
          <w:rFonts w:ascii="EC Square Sans Pro" w:eastAsia="Times New Roman" w:hAnsi="EC Square Sans Pro" w:cs="Times New Roman"/>
          <w:noProof/>
          <w:sz w:val="20"/>
          <w:szCs w:val="20"/>
          <w:lang w:eastAsia="en-GB"/>
        </w:rPr>
        <w:t>n between the Director-General and staff;</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 xml:space="preserve">a collaborative space known as ‘TAXUD in Action’ is available for all staff in the Directorate-General to promote dialogue and provide information, in particular in the areas of: </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learning and development;</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knowledg</w:t>
      </w:r>
      <w:r>
        <w:rPr>
          <w:rFonts w:ascii="EC Square Sans Pro" w:eastAsia="Times New Roman" w:hAnsi="EC Square Sans Pro" w:cs="Times New Roman"/>
          <w:noProof/>
          <w:sz w:val="20"/>
          <w:szCs w:val="20"/>
          <w:lang w:eastAsia="en-GB"/>
        </w:rPr>
        <w:t>e management and collaboration;</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well-being and work-life balance;</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green TAXUD;</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improved procedures and briefings;</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smooth running of information-technology projects;</w:t>
      </w:r>
    </w:p>
    <w:p w:rsidR="000C6D03" w:rsidRDefault="00873433">
      <w:pPr>
        <w:numPr>
          <w:ilvl w:val="1"/>
          <w:numId w:val="31"/>
        </w:num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efficient meeting and email management.</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 xml:space="preserve">the Human Resources Business Correspondent team is </w:t>
      </w:r>
      <w:r>
        <w:rPr>
          <w:rFonts w:ascii="EC Square Sans Pro" w:eastAsia="Times New Roman" w:hAnsi="EC Square Sans Pro" w:cs="Times New Roman"/>
          <w:noProof/>
          <w:sz w:val="20"/>
          <w:szCs w:val="20"/>
          <w:lang w:eastAsia="en-GB"/>
        </w:rPr>
        <w:t>actively involved in a wide range of human-resources activities including recruitment, training needs development and reporting.</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three issues, one concerning </w:t>
      </w:r>
      <w:r>
        <w:rPr>
          <w:rFonts w:ascii="EC Square Sans Pro" w:eastAsia="Times New Roman" w:hAnsi="EC Square Sans Pro" w:cs="Times New Roman"/>
          <w:i/>
          <w:noProof/>
          <w:sz w:val="20"/>
          <w:szCs w:val="20"/>
          <w:lang w:eastAsia="en-GB"/>
        </w:rPr>
        <w:t xml:space="preserve">human-resources strategic management, </w:t>
      </w:r>
      <w:r>
        <w:rPr>
          <w:rFonts w:ascii="EC Square Sans Pro" w:eastAsia="Times New Roman" w:hAnsi="EC Square Sans Pro" w:cs="Times New Roman"/>
          <w:noProof/>
          <w:sz w:val="20"/>
          <w:szCs w:val="20"/>
          <w:lang w:eastAsia="en-GB"/>
        </w:rPr>
        <w:t xml:space="preserve">one on </w:t>
      </w:r>
      <w:r>
        <w:rPr>
          <w:rFonts w:ascii="EC Square Sans Pro" w:eastAsia="Times New Roman" w:hAnsi="EC Square Sans Pro" w:cs="Times New Roman"/>
          <w:i/>
          <w:noProof/>
          <w:sz w:val="20"/>
          <w:szCs w:val="20"/>
          <w:lang w:eastAsia="en-GB"/>
        </w:rPr>
        <w:t xml:space="preserve">the management </w:t>
      </w:r>
      <w:r>
        <w:rPr>
          <w:rFonts w:ascii="EC Square Sans Pro" w:eastAsia="Times New Roman" w:hAnsi="EC Square Sans Pro" w:cs="Times New Roman"/>
          <w:i/>
          <w:noProof/>
          <w:sz w:val="20"/>
          <w:szCs w:val="20"/>
          <w:lang w:eastAsia="en-GB"/>
        </w:rPr>
        <w:t>of task and skills mapping and workload assessment</w:t>
      </w:r>
      <w:r>
        <w:rPr>
          <w:rFonts w:ascii="EC Square Sans Pro" w:eastAsia="Times New Roman" w:hAnsi="EC Square Sans Pro" w:cs="Times New Roman"/>
          <w:noProof/>
          <w:sz w:val="20"/>
          <w:szCs w:val="20"/>
          <w:lang w:eastAsia="en-GB"/>
        </w:rPr>
        <w:t xml:space="preserve"> and one on </w:t>
      </w:r>
      <w:r>
        <w:rPr>
          <w:rFonts w:ascii="EC Square Sans Pro" w:eastAsia="Times New Roman" w:hAnsi="EC Square Sans Pro" w:cs="Times New Roman"/>
          <w:i/>
          <w:noProof/>
          <w:sz w:val="20"/>
          <w:szCs w:val="20"/>
          <w:lang w:eastAsia="en-GB"/>
        </w:rPr>
        <w:t>staff allocation and project teams</w:t>
      </w:r>
      <w:r>
        <w:rPr>
          <w:rFonts w:ascii="EC Square Sans Pro" w:eastAsia="Times New Roman" w:hAnsi="EC Square Sans Pro" w:cs="Times New Roman"/>
          <w:noProof/>
          <w:sz w:val="20"/>
          <w:szCs w:val="20"/>
          <w:lang w:eastAsia="en-GB"/>
        </w:rPr>
        <w:t>. The IAS formulated three very important recommendations:</w:t>
      </w:r>
    </w:p>
    <w:p w:rsidR="000C6D03" w:rsidRDefault="00873433">
      <w:pPr>
        <w:keepNext/>
        <w:spacing w:after="240" w:line="240" w:lineRule="auto"/>
        <w:jc w:val="both"/>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Human-resources strategic management</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Directorate-General for Taxation and Customs Union should de</w:t>
      </w:r>
      <w:r>
        <w:rPr>
          <w:rFonts w:ascii="EC Square Sans Pro" w:eastAsia="Times New Roman" w:hAnsi="EC Square Sans Pro" w:cs="Times New Roman"/>
          <w:noProof/>
          <w:color w:val="000000"/>
          <w:sz w:val="20"/>
          <w:szCs w:val="20"/>
          <w:lang w:eastAsia="en-GB"/>
        </w:rPr>
        <w:t xml:space="preserve">velop an overarching human-resources strategy, defining specific objectives and expected results, in line with its business strategy. The Directorate-General should link the actions set out in the knowledge management action plan to specific end dates and </w:t>
      </w:r>
      <w:r>
        <w:rPr>
          <w:rFonts w:ascii="EC Square Sans Pro" w:eastAsia="Times New Roman" w:hAnsi="EC Square Sans Pro" w:cs="Times New Roman"/>
          <w:noProof/>
          <w:color w:val="000000"/>
          <w:sz w:val="20"/>
          <w:szCs w:val="20"/>
          <w:lang w:eastAsia="en-GB"/>
        </w:rPr>
        <w:t>adopt measures that effectively address the main issues raised in the staff survey.</w:t>
      </w:r>
    </w:p>
    <w:p w:rsidR="000C6D03" w:rsidRDefault="00873433">
      <w:pPr>
        <w:spacing w:after="240" w:line="240" w:lineRule="auto"/>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color w:val="000000"/>
          <w:sz w:val="20"/>
          <w:szCs w:val="20"/>
          <w:lang w:eastAsia="en-GB"/>
        </w:rPr>
        <w:t>Human</w:t>
      </w:r>
      <w:r>
        <w:rPr>
          <w:rFonts w:ascii="EC Square Sans Pro" w:eastAsia="Times New Roman" w:hAnsi="EC Square Sans Pro" w:cs="Times New Roman"/>
          <w:i/>
          <w:noProof/>
          <w:sz w:val="20"/>
          <w:szCs w:val="20"/>
          <w:lang w:eastAsia="en-GB"/>
        </w:rPr>
        <w:t xml:space="preserve"> resources management: task and skills mapping</w:t>
      </w:r>
    </w:p>
    <w:p w:rsidR="000C6D03" w:rsidRDefault="00873433">
      <w:pPr>
        <w:spacing w:after="240" w:line="240" w:lineRule="auto"/>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noProof/>
          <w:sz w:val="20"/>
          <w:szCs w:val="20"/>
          <w:lang w:eastAsia="en-GB"/>
        </w:rPr>
        <w:t>The Directorate-General for Taxation and Customs Union should implement processes to map tasks and skills covering all t</w:t>
      </w:r>
      <w:r>
        <w:rPr>
          <w:rFonts w:ascii="EC Square Sans Pro" w:eastAsia="Times New Roman" w:hAnsi="EC Square Sans Pro" w:cs="Times New Roman"/>
          <w:noProof/>
          <w:sz w:val="20"/>
          <w:szCs w:val="20"/>
          <w:lang w:eastAsia="en-GB"/>
        </w:rPr>
        <w:t>he activities of the service.</w:t>
      </w:r>
    </w:p>
    <w:p w:rsidR="000C6D03" w:rsidRDefault="00873433">
      <w:pPr>
        <w:spacing w:after="240" w:line="240" w:lineRule="auto"/>
        <w:jc w:val="both"/>
        <w:rPr>
          <w:rFonts w:ascii="EC Square Sans Pro" w:eastAsia="Times New Roman" w:hAnsi="EC Square Sans Pro" w:cs="Times New Roman"/>
          <w:i/>
          <w:noProof/>
          <w:color w:val="000000"/>
          <w:sz w:val="20"/>
          <w:szCs w:val="20"/>
          <w:lang w:eastAsia="en-GB"/>
        </w:rPr>
      </w:pPr>
      <w:r>
        <w:rPr>
          <w:rFonts w:ascii="EC Square Sans Pro" w:eastAsia="Times New Roman" w:hAnsi="EC Square Sans Pro" w:cs="Times New Roman"/>
          <w:i/>
          <w:noProof/>
          <w:sz w:val="20"/>
          <w:szCs w:val="20"/>
          <w:lang w:eastAsia="en-GB"/>
        </w:rPr>
        <w:t xml:space="preserve">Workload assessment, staff allocation and project teams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IE" w:eastAsia="en-GB"/>
        </w:rPr>
        <w:t xml:space="preserve">The Directorate-General for Taxation and Customs Union should </w:t>
      </w:r>
      <w:r>
        <w:rPr>
          <w:rFonts w:ascii="EC Square Sans Pro" w:eastAsia="Times New Roman" w:hAnsi="EC Square Sans Pro" w:cs="Times New Roman"/>
          <w:noProof/>
          <w:sz w:val="20"/>
          <w:szCs w:val="20"/>
          <w:lang w:eastAsia="en-GB"/>
        </w:rPr>
        <w:t xml:space="preserve">develop a workload assessment framework based on robust workload indicators and assess if the current </w:t>
      </w:r>
      <w:r>
        <w:rPr>
          <w:rFonts w:ascii="EC Square Sans Pro" w:eastAsia="Times New Roman" w:hAnsi="EC Square Sans Pro" w:cs="Times New Roman"/>
          <w:noProof/>
          <w:sz w:val="20"/>
          <w:szCs w:val="20"/>
          <w:lang w:eastAsia="en-GB"/>
        </w:rPr>
        <w:t xml:space="preserve">allocation of staff is appropriate taking into consideration the tasks to be accomplished and the workload across the Directorate-General. If needed, the Directorate-General should implement measures to re-balance workload and monitor the effectiveness of </w:t>
      </w:r>
      <w:r>
        <w:rPr>
          <w:rFonts w:ascii="EC Square Sans Pro" w:eastAsia="Times New Roman" w:hAnsi="EC Square Sans Pro" w:cs="Times New Roman"/>
          <w:noProof/>
          <w:sz w:val="20"/>
          <w:szCs w:val="20"/>
          <w:lang w:eastAsia="en-GB"/>
        </w:rPr>
        <w:t>these measures.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should set its expectations and the conditions for applying flexitime recuperation and analyse the reasons for non-recoverable overtime.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Directorate-General should further promote project teams and put in place </w:t>
      </w:r>
      <w:r>
        <w:rPr>
          <w:rFonts w:ascii="EC Square Sans Pro" w:eastAsia="Times New Roman" w:hAnsi="EC Square Sans Pro" w:cs="Times New Roman"/>
          <w:noProof/>
          <w:sz w:val="20"/>
          <w:szCs w:val="20"/>
          <w:lang w:eastAsia="en-GB"/>
        </w:rPr>
        <w:t>relevant guidelines.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TAXUD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The 'very important' recommendations for the Directorate-General for Taxation and Customs Union correspond </w:t>
      </w:r>
      <w:r>
        <w:rPr>
          <w:rFonts w:ascii="EC Square Sans Pro" w:eastAsia="EC Square Sans Pro" w:hAnsi="EC Square Sans Pro" w:cs="Times New Roman"/>
          <w:noProof/>
          <w:sz w:val="20"/>
          <w:lang w:eastAsia="fr-BE"/>
        </w:rPr>
        <w:t>also to areas covered by the Directorate-General for Human Resources and Security strategy (due by end-2020), mapping of skills and tasks (due by end-June 2021), and workload assessment framework (due by end-June 2021). All the three require (and will depe</w:t>
      </w:r>
      <w:r>
        <w:rPr>
          <w:rFonts w:ascii="EC Square Sans Pro" w:eastAsia="EC Square Sans Pro" w:hAnsi="EC Square Sans Pro" w:cs="Times New Roman"/>
          <w:noProof/>
          <w:sz w:val="20"/>
          <w:lang w:eastAsia="fr-BE"/>
        </w:rPr>
        <w:t xml:space="preserve">nd on) support from the Directorate-General for Human Resources and Security. </w:t>
      </w:r>
    </w:p>
    <w:p w:rsidR="000C6D03" w:rsidRDefault="000C6D0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sectPr w:rsidR="000C6D03">
          <w:headerReference w:type="even" r:id="rId36"/>
          <w:headerReference w:type="default" r:id="rId37"/>
          <w:footerReference w:type="even" r:id="rId38"/>
          <w:footerReference w:type="default" r:id="rId39"/>
          <w:headerReference w:type="first" r:id="rId40"/>
          <w:footerReference w:type="first" r:id="rId41"/>
          <w:pgSz w:w="11906" w:h="16838" w:code="9"/>
          <w:pgMar w:top="851" w:right="1418" w:bottom="851" w:left="1418" w:header="567" w:footer="567" w:gutter="0"/>
          <w:cols w:space="720"/>
          <w:docGrid w:linePitch="360"/>
        </w:sectPr>
      </w:pP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relevant action plan to implement recommendations was accepted by the Internal Audit Service as satisfactory on 25 F</w:t>
      </w:r>
      <w:r>
        <w:rPr>
          <w:rFonts w:ascii="EC Square Sans Pro" w:eastAsia="EC Square Sans Pro" w:hAnsi="EC Square Sans Pro" w:cs="Times New Roman"/>
          <w:noProof/>
          <w:sz w:val="20"/>
          <w:lang w:eastAsia="fr-BE"/>
        </w:rPr>
        <w:t>ebruary 2020. The Directorate-General for Taxation and Customs Union has started preparatory implementation work, including cooperation with the Directorate-General for Human Resources and Security. So far, it has begun drawing up its local human resources</w:t>
      </w:r>
      <w:r>
        <w:rPr>
          <w:rFonts w:ascii="EC Square Sans Pro" w:eastAsia="EC Square Sans Pro" w:hAnsi="EC Square Sans Pro" w:cs="Times New Roman"/>
          <w:noProof/>
          <w:sz w:val="20"/>
          <w:lang w:eastAsia="fr-BE"/>
        </w:rPr>
        <w:t xml:space="preserve"> strategy in line with the guidance received from the Directorate-General for Human Resources and Security. The Directorate-General for Taxation and Customs Union has also begun to consider what methods are required for skills/tasks mapping and workload as</w:t>
      </w:r>
      <w:r>
        <w:rPr>
          <w:rFonts w:ascii="EC Square Sans Pro" w:eastAsia="EC Square Sans Pro" w:hAnsi="EC Square Sans Pro" w:cs="Times New Roman"/>
          <w:noProof/>
          <w:sz w:val="20"/>
          <w:lang w:eastAsia="fr-BE"/>
        </w:rPr>
        <w:t>sessment. Given the imminence of some of the deadlines and the number of actions to be accomplished, the Directorate-General is endeavouring to progress on implementation, despite the adverse conditions created by the COVID-19 crisis. The whole action plan</w:t>
      </w:r>
      <w:r>
        <w:rPr>
          <w:rFonts w:ascii="EC Square Sans Pro" w:eastAsia="EC Square Sans Pro" w:hAnsi="EC Square Sans Pro" w:cs="Times New Roman"/>
          <w:noProof/>
          <w:sz w:val="20"/>
          <w:lang w:eastAsia="fr-BE"/>
        </w:rPr>
        <w:t xml:space="preserve"> is planned to be implemented by end-June 2021. This audit by Internal Audit Service shows that some improvements to internal control principle 4 could be achieved. The action plan, as confirmed by the Internal Audit Service, adequately tackles these impro</w:t>
      </w:r>
      <w:r>
        <w:rPr>
          <w:rFonts w:ascii="EC Square Sans Pro" w:eastAsia="EC Square Sans Pro" w:hAnsi="EC Square Sans Pro" w:cs="Times New Roman"/>
          <w:noProof/>
          <w:sz w:val="20"/>
          <w:lang w:eastAsia="fr-BE"/>
        </w:rPr>
        <w:t>vements.</w:t>
      </w:r>
    </w:p>
    <w:p w:rsidR="000C6D03" w:rsidRDefault="00873433">
      <w:pPr>
        <w:keepNext/>
        <w:numPr>
          <w:ilvl w:val="0"/>
          <w:numId w:val="49"/>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22" w:name="_Toc42788158"/>
      <w:r>
        <w:rPr>
          <w:rFonts w:ascii="EC Square Sans Pro" w:eastAsia="Times New Roman" w:hAnsi="EC Square Sans Pro" w:cs="Times New Roman"/>
          <w:b/>
          <w:i/>
          <w:noProof/>
          <w:color w:val="005D95"/>
          <w:sz w:val="24"/>
          <w:szCs w:val="20"/>
          <w:lang w:eastAsia="en-GB"/>
        </w:rPr>
        <w:t>Audit on human resources management in DG TRADE</w:t>
      </w:r>
      <w:bookmarkEnd w:id="122"/>
    </w:p>
    <w:p w:rsidR="000C6D03" w:rsidRDefault="00873433">
      <w:pPr>
        <w:spacing w:after="240" w:line="240" w:lineRule="auto"/>
        <w:ind w:right="281"/>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of the audit was to assess whether the internal control system put in place by the Directorate-General for Trade for its human-resources management processes is adequately designed and </w:t>
      </w:r>
      <w:r>
        <w:rPr>
          <w:rFonts w:ascii="EC Square Sans Pro" w:eastAsia="Times New Roman" w:hAnsi="EC Square Sans Pro" w:cs="Times New Roman"/>
          <w:noProof/>
          <w:sz w:val="20"/>
          <w:szCs w:val="20"/>
          <w:lang w:eastAsia="en-GB"/>
        </w:rPr>
        <w:t>effectively implemented to support the achievement of its operational objectives.</w:t>
      </w:r>
    </w:p>
    <w:p w:rsidR="000C6D03" w:rsidRDefault="00873433">
      <w:pPr>
        <w:spacing w:after="240" w:line="240" w:lineRule="auto"/>
        <w:ind w:right="281"/>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The fieldwork was finalised on 16</w:t>
      </w:r>
      <w:r>
        <w:rPr>
          <w:rFonts w:ascii="Calibri" w:eastAsia="Times New Roman" w:hAnsi="Calibri" w:cs="Times New Roman"/>
          <w:noProof/>
          <w:sz w:val="20"/>
          <w:szCs w:val="20"/>
          <w:lang w:eastAsia="fr-BE"/>
        </w:rPr>
        <w:t> </w:t>
      </w:r>
      <w:r>
        <w:rPr>
          <w:rFonts w:ascii="EC Square Sans Pro" w:eastAsia="Times New Roman" w:hAnsi="EC Square Sans Pro" w:cs="Times New Roman"/>
          <w:noProof/>
          <w:sz w:val="20"/>
          <w:szCs w:val="20"/>
          <w:lang w:eastAsia="fr-BE"/>
        </w:rPr>
        <w:t>December</w:t>
      </w:r>
      <w:r>
        <w:rPr>
          <w:rFonts w:ascii="Calibri" w:eastAsia="Times New Roman" w:hAnsi="Calibri" w:cs="Times New Roman"/>
          <w:noProof/>
          <w:sz w:val="20"/>
          <w:szCs w:val="20"/>
          <w:lang w:eastAsia="fr-BE"/>
        </w:rPr>
        <w:t> </w:t>
      </w:r>
      <w:r>
        <w:rPr>
          <w:rFonts w:ascii="EC Square Sans Pro" w:eastAsia="Times New Roman" w:hAnsi="EC Square Sans Pro" w:cs="Times New Roman"/>
          <w:noProof/>
          <w:sz w:val="20"/>
          <w:szCs w:val="20"/>
          <w:lang w:eastAsia="fr-BE"/>
        </w:rPr>
        <w:t>2019. All recommendations relate to the situation as of that date.</w:t>
      </w:r>
    </w:p>
    <w:p w:rsidR="000C6D03" w:rsidRDefault="00873433">
      <w:pPr>
        <w:spacing w:after="240" w:line="240" w:lineRule="auto"/>
        <w:ind w:right="281"/>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 xml:space="preserve">The Internal Audit Service recognised the Directorate-General’s </w:t>
      </w:r>
      <w:r>
        <w:rPr>
          <w:rFonts w:ascii="EC Square Sans Pro" w:eastAsia="Times New Roman" w:hAnsi="EC Square Sans Pro" w:cs="Times New Roman"/>
          <w:noProof/>
          <w:sz w:val="20"/>
          <w:szCs w:val="20"/>
          <w:lang w:eastAsia="fr-BE"/>
        </w:rPr>
        <w:t>ongoing efforts to continuously improve its human-resources management processes and in particular identified the following good practices: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fr-BE"/>
        </w:rPr>
        <w:t xml:space="preserve">the Directorate-General uses its spring and autumn review exercises to collect and discuss human-resources needs at </w:t>
      </w:r>
      <w:r>
        <w:rPr>
          <w:rFonts w:ascii="EC Square Sans Pro" w:eastAsia="Times New Roman" w:hAnsi="EC Square Sans Pro" w:cs="Times New Roman"/>
          <w:noProof/>
          <w:sz w:val="20"/>
          <w:szCs w:val="20"/>
          <w:lang w:eastAsia="fr-BE"/>
        </w:rPr>
        <w:t>Directorate level. It presents the results to the Director-General for subsequent decisions on staff (re)allocation (redeployments, cuts, reinforcements) and on additional requests for staff to be introduced in the context of the budgetary procedure;</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the D</w:t>
      </w:r>
      <w:r>
        <w:rPr>
          <w:rFonts w:ascii="EC Square Sans Pro" w:eastAsia="Times New Roman" w:hAnsi="EC Square Sans Pro" w:cs="Times New Roman"/>
          <w:noProof/>
          <w:sz w:val="20"/>
          <w:szCs w:val="20"/>
          <w:lang w:eastAsia="fr-BE"/>
        </w:rPr>
        <w:t>irectorate-General periodically organises internal surveys to collect information on staff and management learning needs and updates its annual learning &amp; development policy document based on the results of the surveys.</w:t>
      </w:r>
    </w:p>
    <w:p w:rsidR="000C6D03" w:rsidRDefault="00873433">
      <w:pPr>
        <w:spacing w:after="240" w:line="240" w:lineRule="auto"/>
        <w:ind w:right="281"/>
        <w:jc w:val="both"/>
        <w:rPr>
          <w:rFonts w:ascii="EC Square Sans Pro" w:eastAsia="Times New Roman" w:hAnsi="EC Square Sans Pro" w:cs="Times New Roman"/>
          <w:noProof/>
          <w:sz w:val="20"/>
          <w:szCs w:val="20"/>
          <w:lang w:eastAsia="fr-BE"/>
        </w:rPr>
      </w:pPr>
      <w:r>
        <w:rPr>
          <w:rFonts w:ascii="EC Square Sans Pro" w:eastAsia="Times New Roman" w:hAnsi="EC Square Sans Pro" w:cs="Times New Roman"/>
          <w:noProof/>
          <w:sz w:val="20"/>
          <w:szCs w:val="20"/>
          <w:lang w:eastAsia="fr-BE"/>
        </w:rPr>
        <w:t>The Internal Audit Service did not f</w:t>
      </w:r>
      <w:r>
        <w:rPr>
          <w:rFonts w:ascii="EC Square Sans Pro" w:eastAsia="Times New Roman" w:hAnsi="EC Square Sans Pro" w:cs="Times New Roman"/>
          <w:noProof/>
          <w:sz w:val="20"/>
          <w:szCs w:val="20"/>
          <w:lang w:eastAsia="fr-BE"/>
        </w:rPr>
        <w:t>ormulate any critical or very important recommendations.</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123" w:name="_Toc3473320"/>
      <w:bookmarkStart w:id="124" w:name="_Toc3473323"/>
      <w:bookmarkStart w:id="125" w:name="_Toc3473325"/>
      <w:bookmarkStart w:id="126" w:name="_Toc416773312"/>
      <w:bookmarkStart w:id="127" w:name="_Toc416773314"/>
      <w:bookmarkStart w:id="128" w:name="_Toc2946468"/>
      <w:bookmarkStart w:id="129" w:name="_Toc42788159"/>
      <w:bookmarkEnd w:id="120"/>
      <w:bookmarkEnd w:id="123"/>
      <w:bookmarkEnd w:id="124"/>
      <w:bookmarkEnd w:id="125"/>
      <w:bookmarkEnd w:id="126"/>
      <w:bookmarkEnd w:id="127"/>
      <w:r>
        <w:rPr>
          <w:rFonts w:ascii="EC Square Sans Pro" w:eastAsia="EC Square Sans Pro" w:hAnsi="EC Square Sans Pro" w:cs="Times New Roman"/>
          <w:b/>
          <w:noProof/>
          <w:color w:val="005D95"/>
          <w:sz w:val="28"/>
          <w:szCs w:val="21"/>
          <w:lang w:eastAsia="zh-CN"/>
        </w:rPr>
        <w:t>General services</w:t>
      </w:r>
      <w:bookmarkEnd w:id="128"/>
      <w:bookmarkEnd w:id="129"/>
    </w:p>
    <w:p w:rsidR="000C6D03" w:rsidRDefault="00873433">
      <w:pPr>
        <w:keepNext/>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0" w:name="_Toc42788160"/>
      <w:bookmarkStart w:id="131" w:name="_Toc2946469"/>
      <w:r>
        <w:rPr>
          <w:rFonts w:ascii="EC Square Sans Pro" w:eastAsia="Times New Roman" w:hAnsi="EC Square Sans Pro" w:cs="Times New Roman"/>
          <w:b/>
          <w:i/>
          <w:noProof/>
          <w:color w:val="005D95"/>
          <w:sz w:val="24"/>
          <w:szCs w:val="20"/>
          <w:lang w:eastAsia="en-GB"/>
        </w:rPr>
        <w:t>Limited review on the effective implementation of the internal control framework in DG COMM</w:t>
      </w:r>
      <w:bookmarkEnd w:id="130"/>
      <w:r>
        <w:rPr>
          <w:rFonts w:ascii="EC Square Sans Pro" w:eastAsia="Times New Roman" w:hAnsi="EC Square Sans Pro" w:cs="Times New Roman"/>
          <w:b/>
          <w:i/>
          <w:noProof/>
          <w:color w:val="005D95"/>
          <w:sz w:val="24"/>
          <w:szCs w:val="20"/>
          <w:lang w:eastAsia="en-GB"/>
        </w:rPr>
        <w:t xml:space="preserve"> </w:t>
      </w:r>
      <w:bookmarkEnd w:id="131"/>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color w:val="000000"/>
          <w:sz w:val="20"/>
          <w:szCs w:val="20"/>
          <w:u w:color="000000"/>
          <w:bdr w:val="nil"/>
          <w:lang w:eastAsia="en-GB"/>
        </w:rPr>
        <w:t xml:space="preserve">The objective of the </w:t>
      </w:r>
      <w:r>
        <w:rPr>
          <w:rFonts w:ascii="EC Square Sans Pro" w:eastAsia="Times New Roman" w:hAnsi="EC Square Sans Pro" w:cs="Times New Roman"/>
          <w:noProof/>
          <w:sz w:val="20"/>
          <w:szCs w:val="20"/>
        </w:rPr>
        <w:t xml:space="preserve">limited review was to assess if the Authorising Officer by </w:t>
      </w:r>
      <w:r>
        <w:rPr>
          <w:rFonts w:ascii="EC Square Sans Pro" w:eastAsia="Times New Roman" w:hAnsi="EC Square Sans Pro" w:cs="Times New Roman"/>
          <w:noProof/>
          <w:sz w:val="20"/>
          <w:szCs w:val="20"/>
        </w:rPr>
        <w:t>Delegation has performed an adequate overall assessment of the presence and functioning of all internal control principles and components as laid down in the Communication on the revision of the internal control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27</w:t>
      </w:r>
      <w:r>
        <w:rPr>
          <w:rFonts w:ascii="EC Square Sans Pro" w:eastAsia="Times New Roman" w:hAnsi="EC Square Sans Pro" w:cs="Times New Roman"/>
          <w:noProof/>
          <w:sz w:val="20"/>
          <w:szCs w:val="20"/>
          <w:lang w:eastAsia="en-GB"/>
        </w:rPr>
        <w:t> February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p>
    <w:p w:rsidR="000C6D03" w:rsidRDefault="00873433">
      <w:pPr>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2" w:name="_Toc3473328"/>
      <w:bookmarkStart w:id="133" w:name="_Toc2946471"/>
      <w:bookmarkStart w:id="134" w:name="_Toc42788161"/>
      <w:bookmarkEnd w:id="132"/>
      <w:r>
        <w:rPr>
          <w:rFonts w:ascii="EC Square Sans Pro" w:eastAsia="Times New Roman" w:hAnsi="EC Square Sans Pro" w:cs="Times New Roman"/>
          <w:b/>
          <w:i/>
          <w:noProof/>
          <w:color w:val="005D95"/>
          <w:sz w:val="24"/>
          <w:szCs w:val="20"/>
          <w:lang w:eastAsia="en-GB"/>
        </w:rPr>
        <w:t>Limited review on the implementation of the new internal control framework in DGT</w:t>
      </w:r>
      <w:bookmarkEnd w:id="133"/>
      <w:bookmarkEnd w:id="13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 w:eastAsia="en-GB"/>
        </w:rPr>
        <w:t xml:space="preserve">The </w:t>
      </w:r>
      <w:r>
        <w:rPr>
          <w:rFonts w:ascii="EC Square Sans Pro" w:eastAsia="Times New Roman" w:hAnsi="EC Square Sans Pro" w:cs="Times New Roman"/>
          <w:noProof/>
          <w:sz w:val="20"/>
          <w:szCs w:val="20"/>
          <w:lang w:val="en" w:eastAsia="en-GB"/>
        </w:rPr>
        <w:t xml:space="preserve">objective of the </w:t>
      </w:r>
      <w:r>
        <w:rPr>
          <w:rFonts w:ascii="EC Square Sans Pro" w:eastAsia="Times New Roman" w:hAnsi="EC Square Sans Pro" w:cs="Times New Roman"/>
          <w:noProof/>
          <w:sz w:val="20"/>
          <w:szCs w:val="20"/>
          <w:lang w:eastAsia="en-GB"/>
        </w:rPr>
        <w:t>limited review was to assess if the Authorising Officer by Delegation has performed an adequate overall assessment of the presence and functioning of all internal control principles and components as laid down in the Communication on the r</w:t>
      </w:r>
      <w:r>
        <w:rPr>
          <w:rFonts w:ascii="EC Square Sans Pro" w:eastAsia="Times New Roman" w:hAnsi="EC Square Sans Pro" w:cs="Times New Roman"/>
          <w:noProof/>
          <w:sz w:val="20"/>
          <w:szCs w:val="20"/>
          <w:lang w:eastAsia="en-GB"/>
        </w:rPr>
        <w:t>evision of the internal control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27 February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p>
    <w:p w:rsidR="000C6D03" w:rsidRDefault="00873433">
      <w:pPr>
        <w:keepNext/>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5" w:name="_Toc42788162"/>
      <w:r>
        <w:rPr>
          <w:rFonts w:ascii="EC Square Sans Pro" w:eastAsia="Times New Roman" w:hAnsi="EC Square Sans Pro" w:cs="Times New Roman"/>
          <w:b/>
          <w:i/>
          <w:noProof/>
          <w:color w:val="005D95"/>
          <w:sz w:val="24"/>
          <w:szCs w:val="20"/>
          <w:lang w:eastAsia="en-GB"/>
        </w:rPr>
        <w:t>Limited re</w:t>
      </w:r>
      <w:r>
        <w:rPr>
          <w:rFonts w:ascii="EC Square Sans Pro" w:eastAsia="Times New Roman" w:hAnsi="EC Square Sans Pro" w:cs="Times New Roman"/>
          <w:b/>
          <w:i/>
          <w:noProof/>
          <w:color w:val="005D95"/>
          <w:sz w:val="24"/>
          <w:szCs w:val="20"/>
          <w:lang w:eastAsia="en-GB"/>
        </w:rPr>
        <w:t>view on the implementation of the new internal control framework in EPSO</w:t>
      </w:r>
      <w:bookmarkEnd w:id="135"/>
    </w:p>
    <w:p w:rsidR="000C6D03" w:rsidRDefault="00873433">
      <w:pPr>
        <w:keepNext/>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limited review was to assess if the Authorising Officer by Delegation has performed an adequate overall assessment of the presence and functioning of all internal</w:t>
      </w:r>
      <w:r>
        <w:rPr>
          <w:rFonts w:ascii="EC Square Sans Pro" w:eastAsia="Times New Roman" w:hAnsi="EC Square Sans Pro" w:cs="Times New Roman"/>
          <w:noProof/>
          <w:sz w:val="20"/>
          <w:szCs w:val="20"/>
          <w:lang w:eastAsia="en-GB"/>
        </w:rPr>
        <w:t xml:space="preserve"> control principles and components as laid down in the Communication on the revision of the internal control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26 March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w:t>
      </w:r>
      <w:r>
        <w:rPr>
          <w:rFonts w:ascii="EC Square Sans Pro" w:eastAsia="Times New Roman" w:hAnsi="EC Square Sans Pro" w:cs="Times New Roman"/>
          <w:noProof/>
          <w:sz w:val="20"/>
          <w:szCs w:val="20"/>
          <w:lang w:eastAsia="en-GB"/>
        </w:rPr>
        <w:t>did not formulate any critical or very important recommendations.</w:t>
      </w:r>
    </w:p>
    <w:p w:rsidR="000C6D03" w:rsidRDefault="00873433">
      <w:pPr>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6" w:name="_Toc2946472"/>
      <w:bookmarkStart w:id="137" w:name="_Toc42788163"/>
      <w:r>
        <w:rPr>
          <w:rFonts w:ascii="EC Square Sans Pro" w:eastAsia="Times New Roman" w:hAnsi="EC Square Sans Pro" w:cs="Times New Roman"/>
          <w:b/>
          <w:i/>
          <w:noProof/>
          <w:color w:val="005D95"/>
          <w:sz w:val="24"/>
          <w:szCs w:val="20"/>
          <w:lang w:eastAsia="en-GB"/>
        </w:rPr>
        <w:t>Limited review on the implementation of the new internal control framework in</w:t>
      </w:r>
      <w:bookmarkEnd w:id="136"/>
      <w:r>
        <w:rPr>
          <w:rFonts w:ascii="EC Square Sans Pro" w:eastAsia="Times New Roman" w:hAnsi="EC Square Sans Pro" w:cs="Times New Roman"/>
          <w:b/>
          <w:i/>
          <w:noProof/>
          <w:color w:val="005D95"/>
          <w:sz w:val="24"/>
          <w:szCs w:val="20"/>
          <w:lang w:eastAsia="en-GB"/>
        </w:rPr>
        <w:t xml:space="preserve"> OIB</w:t>
      </w:r>
      <w:bookmarkEnd w:id="13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of the limited review was to assess if the Authorising Officer by Delegation has performed an </w:t>
      </w:r>
      <w:r>
        <w:rPr>
          <w:rFonts w:ascii="EC Square Sans Pro" w:eastAsia="Times New Roman" w:hAnsi="EC Square Sans Pro" w:cs="Times New Roman"/>
          <w:noProof/>
          <w:sz w:val="20"/>
          <w:szCs w:val="20"/>
          <w:lang w:eastAsia="en-GB"/>
        </w:rPr>
        <w:t>adequate overall assessment of the presence and functioning of all internal control principles and components as laid down in the Communication on the revision of the internal control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29 August 2019. All recommenda</w:t>
      </w:r>
      <w:r>
        <w:rPr>
          <w:rFonts w:ascii="EC Square Sans Pro" w:eastAsia="Times New Roman" w:hAnsi="EC Square Sans Pro" w:cs="Times New Roman"/>
          <w:noProof/>
          <w:sz w:val="20"/>
          <w:szCs w:val="20"/>
          <w:lang w:eastAsia="en-GB"/>
        </w:rPr>
        <w:t>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p>
    <w:p w:rsidR="000C6D03" w:rsidRDefault="00873433">
      <w:pPr>
        <w:keepNext/>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8" w:name="_Toc42788164"/>
      <w:r>
        <w:rPr>
          <w:rFonts w:ascii="EC Square Sans Pro" w:eastAsia="Times New Roman" w:hAnsi="EC Square Sans Pro" w:cs="Times New Roman"/>
          <w:b/>
          <w:i/>
          <w:noProof/>
          <w:color w:val="005D95"/>
          <w:sz w:val="24"/>
          <w:szCs w:val="20"/>
          <w:lang w:eastAsia="en-GB"/>
        </w:rPr>
        <w:t>Limited review on the implementation of the new internal control framework in OIL</w:t>
      </w:r>
      <w:bookmarkEnd w:id="13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limited revie</w:t>
      </w:r>
      <w:r>
        <w:rPr>
          <w:rFonts w:ascii="EC Square Sans Pro" w:eastAsia="Times New Roman" w:hAnsi="EC Square Sans Pro" w:cs="Times New Roman"/>
          <w:noProof/>
          <w:sz w:val="20"/>
          <w:szCs w:val="20"/>
          <w:lang w:eastAsia="en-GB"/>
        </w:rPr>
        <w:t>w was to assess if the Authorising Officer by Delegation has performed an adequate overall assessment of the presence and functioning of all internal control principles and components as laid down in the Communication on the revision of the internal contro</w:t>
      </w:r>
      <w:r>
        <w:rPr>
          <w:rFonts w:ascii="EC Square Sans Pro" w:eastAsia="Times New Roman" w:hAnsi="EC Square Sans Pro" w:cs="Times New Roman"/>
          <w:noProof/>
          <w:sz w:val="20"/>
          <w:szCs w:val="20"/>
          <w:lang w:eastAsia="en-GB"/>
        </w:rPr>
        <w:t>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23</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September</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p>
    <w:p w:rsidR="000C6D03" w:rsidRDefault="000C6D03">
      <w:pPr>
        <w:spacing w:after="240" w:line="240" w:lineRule="auto"/>
        <w:jc w:val="both"/>
        <w:rPr>
          <w:rFonts w:ascii="EC Square Sans Pro" w:eastAsia="Times New Roman" w:hAnsi="EC Square Sans Pro" w:cs="Times New Roman"/>
          <w:noProof/>
          <w:sz w:val="20"/>
          <w:szCs w:val="20"/>
          <w:lang w:eastAsia="en-GB"/>
        </w:rPr>
      </w:pPr>
    </w:p>
    <w:p w:rsidR="000C6D03" w:rsidRDefault="00873433">
      <w:pPr>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39" w:name="_Toc42788165"/>
      <w:r>
        <w:rPr>
          <w:rFonts w:ascii="EC Square Sans Pro" w:eastAsia="Times New Roman" w:hAnsi="EC Square Sans Pro" w:cs="Times New Roman"/>
          <w:b/>
          <w:i/>
          <w:noProof/>
          <w:color w:val="005D95"/>
          <w:sz w:val="24"/>
          <w:szCs w:val="20"/>
          <w:lang w:eastAsia="en-GB"/>
        </w:rPr>
        <w:t>Limited review on the implementation o</w:t>
      </w:r>
      <w:r>
        <w:rPr>
          <w:rFonts w:ascii="EC Square Sans Pro" w:eastAsia="Times New Roman" w:hAnsi="EC Square Sans Pro" w:cs="Times New Roman"/>
          <w:b/>
          <w:i/>
          <w:noProof/>
          <w:color w:val="005D95"/>
          <w:sz w:val="24"/>
          <w:szCs w:val="20"/>
          <w:lang w:eastAsia="en-GB"/>
        </w:rPr>
        <w:t>f the new internal control framework in DG SCIC</w:t>
      </w:r>
      <w:bookmarkEnd w:id="139"/>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limited review was to assess if the Authorising Officer by Delegation has performed an adequate overall assessment of the presence and functioning of all internal control principles and c</w:t>
      </w:r>
      <w:r>
        <w:rPr>
          <w:rFonts w:ascii="EC Square Sans Pro" w:eastAsia="Times New Roman" w:hAnsi="EC Square Sans Pro" w:cs="Times New Roman"/>
          <w:noProof/>
          <w:sz w:val="20"/>
          <w:szCs w:val="20"/>
          <w:lang w:eastAsia="en-GB"/>
        </w:rPr>
        <w:t>omponents as laid down in the Communication on the revision of the internal control framework.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fieldwork was finalised on 1 October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w:t>
      </w:r>
      <w:r>
        <w:rPr>
          <w:rFonts w:ascii="EC Square Sans Pro" w:eastAsia="Times New Roman" w:hAnsi="EC Square Sans Pro" w:cs="Times New Roman"/>
          <w:noProof/>
          <w:sz w:val="20"/>
          <w:szCs w:val="20"/>
          <w:lang w:eastAsia="en-GB"/>
        </w:rPr>
        <w:t>ical or very important recommendations.</w:t>
      </w:r>
    </w:p>
    <w:p w:rsidR="000C6D03" w:rsidRDefault="00873433">
      <w:pPr>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40" w:name="_Toc42788166"/>
      <w:r>
        <w:rPr>
          <w:rFonts w:ascii="EC Square Sans Pro" w:eastAsia="Times New Roman" w:hAnsi="EC Square Sans Pro" w:cs="Times New Roman"/>
          <w:b/>
          <w:i/>
          <w:noProof/>
          <w:color w:val="005D95"/>
          <w:sz w:val="24"/>
          <w:szCs w:val="20"/>
          <w:lang w:eastAsia="en-GB"/>
        </w:rPr>
        <w:t>Audit on DG ESTAT’s quality management of statistical processes</w:t>
      </w:r>
      <w:bookmarkEnd w:id="140"/>
      <w:r>
        <w:rPr>
          <w:rFonts w:ascii="EC Square Sans Pro" w:eastAsia="Times New Roman" w:hAnsi="EC Square Sans Pro" w:cs="Times New Roman"/>
          <w:b/>
          <w:i/>
          <w:noProof/>
          <w:color w:val="005D95"/>
          <w:sz w:val="24"/>
          <w:szCs w:val="20"/>
          <w:lang w:eastAsia="en-GB"/>
        </w:rPr>
        <w:t xml:space="preserve">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processes and procedures put in place by Eurostat to ensure the quality of the statistical process, in lin</w:t>
      </w:r>
      <w:r>
        <w:rPr>
          <w:rFonts w:ascii="EC Square Sans Pro" w:eastAsia="Times New Roman" w:hAnsi="EC Square Sans Pro" w:cs="Times New Roman"/>
          <w:noProof/>
          <w:sz w:val="20"/>
          <w:szCs w:val="20"/>
          <w:lang w:eastAsia="en-GB"/>
        </w:rPr>
        <w:t>e with the quality principles applicable to European statistics.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Eurostat’s 2019 annual activity report that relate to the area/process audited. The fieldwork was finalised on 15</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April 2019. All recommendations relate to the s</w:t>
      </w:r>
      <w:r>
        <w:rPr>
          <w:rFonts w:ascii="EC Square Sans Pro" w:eastAsia="Times New Roman" w:hAnsi="EC Square Sans Pro" w:cs="Times New Roman"/>
          <w:noProof/>
          <w:sz w:val="20"/>
          <w:szCs w:val="20"/>
          <w:lang w:eastAsia="en-GB"/>
        </w:rPr>
        <w:t>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Eurostat’s ongoing efforts to ensure the quality of the statistical production. In particular:</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 xml:space="preserve">Eurostat has implemented quality management of statistical processes and uses an overall quality framework for </w:t>
      </w:r>
      <w:r>
        <w:rPr>
          <w:rFonts w:ascii="EC Square Sans Pro" w:eastAsia="Times New Roman" w:hAnsi="EC Square Sans Pro" w:cs="Times New Roman"/>
          <w:noProof/>
          <w:sz w:val="20"/>
          <w:szCs w:val="20"/>
          <w:lang w:eastAsia="en-GB"/>
        </w:rPr>
        <w:t>European statistics. This includes the European statistics code of practice, the quality assurance framework of the European statistical system and other quality reporting and metadata standards.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Eurostat has developed a list of good practices Member State</w:t>
      </w:r>
      <w:r>
        <w:rPr>
          <w:rFonts w:ascii="EC Square Sans Pro" w:eastAsia="Times New Roman" w:hAnsi="EC Square Sans Pro" w:cs="Times New Roman"/>
          <w:noProof/>
          <w:sz w:val="20"/>
          <w:szCs w:val="20"/>
          <w:lang w:eastAsia="en-GB"/>
        </w:rPr>
        <w:t>s can use when implementing the European statistics code of practice principles and indicators.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Eurostat has introduced two-layer quality management of statistical processes that includes: (i) quality controls, validations and checks by statistical domain;</w:t>
      </w:r>
      <w:r>
        <w:rPr>
          <w:rFonts w:ascii="EC Square Sans Pro" w:eastAsia="Times New Roman" w:hAnsi="EC Square Sans Pro" w:cs="Times New Roman"/>
          <w:noProof/>
          <w:sz w:val="20"/>
          <w:szCs w:val="20"/>
          <w:lang w:eastAsia="en-GB"/>
        </w:rPr>
        <w:t xml:space="preserve"> and (ii) quality review at central level including quality reporting activities, error management and dedicated quality reviews of statistical processes.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Production units have developed many internal guidelines and methodological instructions to improve t</w:t>
      </w:r>
      <w:r>
        <w:rPr>
          <w:rFonts w:ascii="EC Square Sans Pro" w:eastAsia="Times New Roman" w:hAnsi="EC Square Sans Pro" w:cs="Times New Roman"/>
          <w:noProof/>
          <w:sz w:val="20"/>
          <w:szCs w:val="20"/>
          <w:lang w:eastAsia="en-GB"/>
        </w:rPr>
        <w:t>he effectiveness of their automated validation procedures and Member State statistical inputs.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the </w:t>
      </w:r>
      <w:r>
        <w:rPr>
          <w:rFonts w:ascii="EC Square Sans Pro" w:eastAsia="Times New Roman" w:hAnsi="EC Square Sans Pro" w:cs="Times New Roman"/>
          <w:i/>
          <w:noProof/>
          <w:sz w:val="20"/>
          <w:szCs w:val="20"/>
          <w:lang w:eastAsia="en-GB"/>
        </w:rPr>
        <w:t xml:space="preserve">design and implementation of quality reviews </w:t>
      </w:r>
      <w:r>
        <w:rPr>
          <w:rFonts w:ascii="EC Square Sans Pro" w:eastAsia="Times New Roman" w:hAnsi="EC Square Sans Pro" w:cs="Times New Roman"/>
          <w:noProof/>
          <w:sz w:val="20"/>
          <w:szCs w:val="20"/>
          <w:lang w:eastAsia="en-GB"/>
        </w:rPr>
        <w:t xml:space="preserve">and formulated the following very important </w:t>
      </w:r>
      <w:r>
        <w:rPr>
          <w:rFonts w:ascii="EC Square Sans Pro" w:eastAsia="Times New Roman" w:hAnsi="EC Square Sans Pro" w:cs="Times New Roman"/>
          <w:noProof/>
          <w:sz w:val="20"/>
          <w:szCs w:val="20"/>
          <w:lang w:eastAsia="en-GB"/>
        </w:rPr>
        <w:t>recommendation: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Eurostat should: (i) ensure the effective functioning of the quality review process by implementing the ‘mixed approach’ of centralised and decentralised quality reviews that has already been agreed; (ii) ensure adequate support to staff in</w:t>
      </w:r>
      <w:r>
        <w:rPr>
          <w:rFonts w:ascii="EC Square Sans Pro" w:eastAsia="Times New Roman" w:hAnsi="EC Square Sans Pro" w:cs="Times New Roman"/>
          <w:noProof/>
          <w:sz w:val="20"/>
          <w:szCs w:val="20"/>
          <w:lang w:eastAsia="en-GB"/>
        </w:rPr>
        <w:t xml:space="preserve">volved in the quality review process; (iii) prepare a realistic quality review plan; and (iv) implement adequate monitoring and reporting arrangements which enable management to obtain re-assurance on the compliance of European statistics with the code of </w:t>
      </w:r>
      <w:r>
        <w:rPr>
          <w:rFonts w:ascii="EC Square Sans Pro" w:eastAsia="Times New Roman" w:hAnsi="EC Square Sans Pro" w:cs="Times New Roman"/>
          <w:noProof/>
          <w:sz w:val="20"/>
          <w:szCs w:val="20"/>
          <w:lang w:eastAsia="en-GB"/>
        </w:rPr>
        <w:t>practice and quality assurance framework of the European statistical system.</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ESTAT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new cycle of quality reviews based on a new met</w:t>
      </w:r>
      <w:r>
        <w:rPr>
          <w:rFonts w:ascii="EC Square Sans Pro" w:eastAsia="EC Square Sans Pro" w:hAnsi="EC Square Sans Pro" w:cs="Times New Roman"/>
          <w:noProof/>
          <w:sz w:val="20"/>
          <w:lang w:eastAsia="fr-BE"/>
        </w:rPr>
        <w:t>hodology was launched in July 2019.</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Eurostat has drafted an overarching document describing the follow-up measures taken for quality reviews implemented in 2016-2019. The document presents a realistic schedule for implementing the 2019-2022 quality reviews</w:t>
      </w:r>
      <w:r>
        <w:rPr>
          <w:rFonts w:ascii="EC Square Sans Pro" w:eastAsia="EC Square Sans Pro" w:hAnsi="EC Square Sans Pro" w:cs="Times New Roman"/>
          <w:noProof/>
          <w:sz w:val="20"/>
          <w:lang w:eastAsia="fr-BE"/>
        </w:rPr>
        <w:t xml:space="preserve"> and outlining resource planning, and presents the lessons learnt from previous rounds of quality reviews. The document will be presented for endorsement by senior management in May 2020.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A checklist was prepared, describing in detail the steps taken for </w:t>
      </w:r>
      <w:r>
        <w:rPr>
          <w:rFonts w:ascii="EC Square Sans Pro" w:eastAsia="EC Square Sans Pro" w:hAnsi="EC Square Sans Pro" w:cs="Times New Roman"/>
          <w:noProof/>
          <w:sz w:val="20"/>
          <w:lang w:eastAsia="fr-BE"/>
        </w:rPr>
        <w:t xml:space="preserve">performing a quality review, the sources of information available, the items pre-filled by the quality review team, and the checks and controls performed on the checklists filled in by the reviewed units. </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quality assurance framework of the European st</w:t>
      </w:r>
      <w:r>
        <w:rPr>
          <w:rFonts w:ascii="EC Square Sans Pro" w:eastAsia="EC Square Sans Pro" w:hAnsi="EC Square Sans Pro" w:cs="Times New Roman"/>
          <w:noProof/>
          <w:sz w:val="20"/>
          <w:lang w:eastAsia="fr-BE"/>
        </w:rPr>
        <w:t xml:space="preserve">atistical system and the </w:t>
      </w:r>
      <w:r>
        <w:rPr>
          <w:rFonts w:ascii="EC Square Sans Pro" w:eastAsia="EC Square Sans Pro" w:hAnsi="EC Square Sans Pro" w:cs="Times New Roman"/>
          <w:i/>
          <w:noProof/>
          <w:sz w:val="20"/>
          <w:lang w:eastAsia="fr-BE"/>
        </w:rPr>
        <w:t>European Statistical System Handbook for Quality Reports</w:t>
      </w:r>
      <w:r>
        <w:rPr>
          <w:rFonts w:ascii="EC Square Sans Pro" w:eastAsia="EC Square Sans Pro" w:hAnsi="EC Square Sans Pro" w:cs="Times New Roman"/>
          <w:noProof/>
          <w:sz w:val="20"/>
          <w:lang w:eastAsia="fr-BE"/>
        </w:rPr>
        <w:t xml:space="preserve"> were updated and published in 2019 and 2020 respectively on Eurostat’s ‘quality’ web pages.</w:t>
      </w:r>
    </w:p>
    <w:p w:rsidR="000C6D03" w:rsidRDefault="00873433">
      <w:pPr>
        <w:numPr>
          <w:ilvl w:val="0"/>
          <w:numId w:val="5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41" w:name="_Toc42788167"/>
      <w:r>
        <w:rPr>
          <w:rFonts w:ascii="EC Square Sans Pro" w:eastAsia="Times New Roman" w:hAnsi="EC Square Sans Pro" w:cs="Times New Roman"/>
          <w:b/>
          <w:i/>
          <w:noProof/>
          <w:color w:val="005D95"/>
          <w:sz w:val="24"/>
          <w:szCs w:val="20"/>
          <w:lang w:eastAsia="en-GB"/>
        </w:rPr>
        <w:t>Audit on OLAF’s human resources strategy</w:t>
      </w:r>
      <w:bookmarkEnd w:id="141"/>
    </w:p>
    <w:p w:rsidR="000C6D03" w:rsidRDefault="00873433">
      <w:p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 xml:space="preserve">The objective of the audit was to assess </w:t>
      </w:r>
      <w:r>
        <w:rPr>
          <w:rFonts w:ascii="EC Square Sans Pro" w:eastAsia="Calibri" w:hAnsi="EC Square Sans Pro" w:cs="Times New Roman"/>
          <w:noProof/>
          <w:sz w:val="20"/>
          <w:szCs w:val="20"/>
        </w:rPr>
        <w:t>whether the European Anti-Fraud Office has put in place an adequate human resources management strategy to enable it to effectively plan and manage its human resources to support the achievement of its operational objectives.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European Anti-Fraud Office</w:t>
      </w:r>
      <w:r>
        <w:rPr>
          <w:rFonts w:ascii="EC Square Sans Pro" w:eastAsia="Times New Roman" w:hAnsi="EC Square Sans Pro" w:cs="Times New Roman"/>
          <w:noProof/>
          <w:sz w:val="20"/>
          <w:szCs w:val="20"/>
          <w:lang w:eastAsia="en-GB"/>
        </w:rPr>
        <w:t>’s 2018 annual activity report did not include any reservations that relate to the area/process audited. The fieldwork was finalised on 24</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September</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European Ant</w:t>
      </w:r>
      <w:r>
        <w:rPr>
          <w:rFonts w:ascii="EC Square Sans Pro" w:eastAsia="Times New Roman" w:hAnsi="EC Square Sans Pro" w:cs="Times New Roman"/>
          <w:noProof/>
          <w:sz w:val="20"/>
          <w:szCs w:val="20"/>
          <w:lang w:eastAsia="en-GB"/>
        </w:rPr>
        <w:t>i-Fraud Office’s ongoing efforts to address its human resources management challenges in a context of staff reduction and uncertainty linked to the upcoming change in the Office’s role and responsibilities. In particular:</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in line with good practices, in Ja</w:t>
      </w:r>
      <w:r>
        <w:rPr>
          <w:rFonts w:ascii="EC Square Sans Pro" w:eastAsia="Times New Roman" w:hAnsi="EC Square Sans Pro" w:cs="Times New Roman"/>
          <w:noProof/>
          <w:sz w:val="20"/>
          <w:szCs w:val="20"/>
          <w:lang w:eastAsia="en-GB"/>
        </w:rPr>
        <w:t>nuary 2019 European Anti-Fraud Office prepared a human resources strategic plan which describes the Office’s future human resources management challenges, provides an overview and forecast of the Office’s workforce structure and identifies priorities;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eastAsia="en-GB"/>
        </w:rPr>
        <w:t>rece</w:t>
      </w:r>
      <w:r>
        <w:rPr>
          <w:rFonts w:ascii="EC Square Sans Pro" w:eastAsia="Times New Roman" w:hAnsi="EC Square Sans Pro" w:cs="Times New Roman"/>
          <w:noProof/>
          <w:sz w:val="20"/>
          <w:szCs w:val="20"/>
          <w:lang w:eastAsia="en-GB"/>
        </w:rPr>
        <w:t>ntly the Director-General of the European Anti-Fraud Office invited staff to come up with ideas on how operations could be improved. The ideas submitted through this exercise were then prioritised by senior management following an all-staff strategic semin</w:t>
      </w:r>
      <w:r>
        <w:rPr>
          <w:rFonts w:ascii="EC Square Sans Pro" w:eastAsia="Times New Roman" w:hAnsi="EC Square Sans Pro" w:cs="Times New Roman"/>
          <w:noProof/>
          <w:sz w:val="20"/>
          <w:szCs w:val="20"/>
          <w:lang w:eastAsia="en-GB"/>
        </w:rPr>
        <w:t>ar on the future of the Office;</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European Anti-Fraud Office organises many activities to foster good communication between management and staff and to enhance collaboration and sharing of information in-house. Staff can also take advantage of numerous w</w:t>
      </w:r>
      <w:r>
        <w:rPr>
          <w:rFonts w:ascii="EC Square Sans Pro" w:eastAsia="Times New Roman" w:hAnsi="EC Square Sans Pro" w:cs="Times New Roman"/>
          <w:noProof/>
          <w:sz w:val="20"/>
          <w:szCs w:val="20"/>
          <w:lang w:eastAsia="en-GB"/>
        </w:rPr>
        <w:t>ell-being and social activities;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European Anti-Fraud Office’s human resources business correspondent team has developed a number of guides for managers and their staff (e.g. guides on welcoming newcomers, on team events, on absence management), as well</w:t>
      </w:r>
      <w:r>
        <w:rPr>
          <w:rFonts w:ascii="EC Square Sans Pro" w:eastAsia="Times New Roman" w:hAnsi="EC Square Sans Pro" w:cs="Times New Roman"/>
          <w:noProof/>
          <w:sz w:val="20"/>
          <w:szCs w:val="20"/>
          <w:lang w:eastAsia="en-GB"/>
        </w:rPr>
        <w:t xml:space="preserve"> as a guide for newcomers;</w:t>
      </w:r>
    </w:p>
    <w:p w:rsidR="000C6D03" w:rsidRDefault="00873433">
      <w:pPr>
        <w:numPr>
          <w:ilvl w:val="0"/>
          <w:numId w:val="30"/>
        </w:numPr>
        <w:spacing w:after="240" w:line="240" w:lineRule="auto"/>
        <w:ind w:left="284" w:hanging="273"/>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Business Correspondent team provides regular reports to the Office’s senior management on human-resources issues and attends the weekly directors meetings, at which human resources matters are discussed.</w:t>
      </w:r>
    </w:p>
    <w:p w:rsidR="000C6D03" w:rsidRDefault="00873433">
      <w:pPr>
        <w:spacing w:after="240" w:line="240" w:lineRule="auto"/>
        <w:jc w:val="both"/>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noProof/>
          <w:sz w:val="20"/>
          <w:szCs w:val="20"/>
          <w:lang w:eastAsia="en-GB"/>
        </w:rPr>
        <w:t>The Internal Audit Se</w:t>
      </w:r>
      <w:r>
        <w:rPr>
          <w:rFonts w:ascii="EC Square Sans Pro" w:eastAsia="Times New Roman" w:hAnsi="EC Square Sans Pro" w:cs="Times New Roman"/>
          <w:noProof/>
          <w:sz w:val="20"/>
          <w:szCs w:val="20"/>
          <w:lang w:eastAsia="en-GB"/>
        </w:rPr>
        <w:t xml:space="preserve">rvice identified three issues, one concerning the </w:t>
      </w:r>
      <w:r>
        <w:rPr>
          <w:rFonts w:ascii="EC Square Sans Pro" w:eastAsia="Times New Roman" w:hAnsi="EC Square Sans Pro" w:cs="Times New Roman"/>
          <w:i/>
          <w:noProof/>
          <w:sz w:val="20"/>
          <w:szCs w:val="20"/>
          <w:lang w:eastAsia="en-GB"/>
        </w:rPr>
        <w:t>human resources strategic plan and monitoring</w:t>
      </w:r>
      <w:r>
        <w:rPr>
          <w:rFonts w:ascii="EC Square Sans Pro" w:eastAsia="Times New Roman" w:hAnsi="EC Square Sans Pro" w:cs="Times New Roman"/>
          <w:noProof/>
          <w:sz w:val="20"/>
          <w:szCs w:val="20"/>
          <w:lang w:eastAsia="en-GB"/>
        </w:rPr>
        <w:t xml:space="preserve">, one on </w:t>
      </w:r>
      <w:r>
        <w:rPr>
          <w:rFonts w:ascii="EC Square Sans Pro" w:eastAsia="Times New Roman" w:hAnsi="EC Square Sans Pro" w:cs="Times New Roman"/>
          <w:i/>
          <w:noProof/>
          <w:sz w:val="20"/>
          <w:szCs w:val="20"/>
          <w:lang w:eastAsia="en-GB"/>
        </w:rPr>
        <w:t>the management of task and skills mapping</w:t>
      </w:r>
      <w:r>
        <w:rPr>
          <w:rFonts w:ascii="EC Square Sans Pro" w:eastAsia="Times New Roman" w:hAnsi="EC Square Sans Pro" w:cs="Times New Roman"/>
          <w:noProof/>
          <w:sz w:val="20"/>
          <w:szCs w:val="20"/>
          <w:lang w:eastAsia="en-GB"/>
        </w:rPr>
        <w:t xml:space="preserve">, and one on </w:t>
      </w:r>
      <w:r>
        <w:rPr>
          <w:rFonts w:ascii="EC Square Sans Pro" w:eastAsia="Times New Roman" w:hAnsi="EC Square Sans Pro" w:cs="Times New Roman"/>
          <w:i/>
          <w:noProof/>
          <w:sz w:val="20"/>
          <w:szCs w:val="20"/>
          <w:lang w:eastAsia="en-GB"/>
        </w:rPr>
        <w:t>the management of workload assessment and staff allocation</w:t>
      </w:r>
      <w:r>
        <w:rPr>
          <w:rFonts w:ascii="EC Square Sans Pro" w:eastAsia="Times New Roman" w:hAnsi="EC Square Sans Pro" w:cs="Times New Roman"/>
          <w:noProof/>
          <w:sz w:val="20"/>
          <w:szCs w:val="20"/>
          <w:lang w:eastAsia="en-GB"/>
        </w:rPr>
        <w:t>. The IAS formulated three very importan</w:t>
      </w:r>
      <w:r>
        <w:rPr>
          <w:rFonts w:ascii="EC Square Sans Pro" w:eastAsia="Times New Roman" w:hAnsi="EC Square Sans Pro" w:cs="Times New Roman"/>
          <w:noProof/>
          <w:sz w:val="20"/>
          <w:szCs w:val="20"/>
          <w:lang w:eastAsia="en-GB"/>
        </w:rPr>
        <w:t>t recommendations:</w:t>
      </w:r>
    </w:p>
    <w:p w:rsidR="000C6D03" w:rsidRDefault="00873433">
      <w:pPr>
        <w:keepNext/>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Human resources strategic plan and monitoring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European Anti-Fraud Office should translate the objectives of its human resources strategic plan into an action plan, accompanied by milestones, targets and responsible actors, and </w:t>
      </w:r>
      <w:r>
        <w:rPr>
          <w:rFonts w:ascii="EC Square Sans Pro" w:eastAsia="Times New Roman" w:hAnsi="EC Square Sans Pro" w:cs="Times New Roman"/>
          <w:noProof/>
          <w:sz w:val="20"/>
          <w:szCs w:val="20"/>
          <w:lang w:eastAsia="en-GB"/>
        </w:rPr>
        <w:t xml:space="preserve">followed up through an effective monitoring framework. The action plan should encompass all initiatives to improve human-resources management (including initiatives resulting from the follow-up of the 2018 Commission staff survey or from the reflection on </w:t>
      </w:r>
      <w:r>
        <w:rPr>
          <w:rFonts w:ascii="EC Square Sans Pro" w:eastAsia="Times New Roman" w:hAnsi="EC Square Sans Pro" w:cs="Times New Roman"/>
          <w:noProof/>
          <w:sz w:val="20"/>
          <w:szCs w:val="20"/>
          <w:lang w:eastAsia="en-GB"/>
        </w:rPr>
        <w:t>the future of the Office). The action plan’s implementation should be monitored regularly.</w:t>
      </w:r>
    </w:p>
    <w:p w:rsidR="000C6D03" w:rsidRDefault="00873433">
      <w:pPr>
        <w:keepNext/>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Human-resources management: task and skills mapping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European Anti-Fraud Office should implement processes to map tasks (including moving to ATLAS</w:t>
      </w:r>
      <w:r>
        <w:rPr>
          <w:rFonts w:ascii="Calibri" w:eastAsia="Times New Roman" w:hAnsi="Calibri" w:cs="Times New Roman"/>
          <w:noProof/>
          <w:sz w:val="20"/>
          <w:szCs w:val="20"/>
          <w:lang w:eastAsia="en-GB"/>
        </w:rPr>
        <w:t> </w:t>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eastAsia="en-GB"/>
        </w:rPr>
        <w:footnoteReference w:id="21"/>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 xml:space="preserve"> full mode)</w:t>
      </w:r>
      <w:r>
        <w:rPr>
          <w:rFonts w:ascii="EC Square Sans Pro" w:eastAsia="Times New Roman" w:hAnsi="EC Square Sans Pro" w:cs="Times New Roman"/>
          <w:noProof/>
          <w:sz w:val="20"/>
          <w:szCs w:val="20"/>
          <w:lang w:eastAsia="en-GB"/>
        </w:rPr>
        <w:t xml:space="preserve">, skills and competencies exhaustively, covering all the activities of the Office. </w:t>
      </w:r>
    </w:p>
    <w:p w:rsidR="000C6D03" w:rsidRDefault="00873433">
      <w:pPr>
        <w:keepNext/>
        <w:spacing w:after="240" w:line="240" w:lineRule="auto"/>
        <w:jc w:val="both"/>
        <w:rPr>
          <w:rFonts w:ascii="EC Square Sans Pro" w:eastAsia="Times New Roman" w:hAnsi="EC Square Sans Pro" w:cs="Times New Roman"/>
          <w:i/>
          <w:noProof/>
          <w:sz w:val="20"/>
          <w:szCs w:val="20"/>
          <w:lang w:eastAsia="en-GB"/>
        </w:rPr>
      </w:pPr>
      <w:r>
        <w:rPr>
          <w:rFonts w:ascii="EC Square Sans Pro" w:eastAsia="Times New Roman" w:hAnsi="EC Square Sans Pro" w:cs="Times New Roman"/>
          <w:i/>
          <w:noProof/>
          <w:sz w:val="20"/>
          <w:szCs w:val="20"/>
          <w:lang w:eastAsia="en-GB"/>
        </w:rPr>
        <w:t xml:space="preserve">Human-resources management: workload assessment and staff allocation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European Anti-Fraud Office should develop a workload assessment framework, establish clear criteri</w:t>
      </w:r>
      <w:r>
        <w:rPr>
          <w:rFonts w:ascii="EC Square Sans Pro" w:eastAsia="Times New Roman" w:hAnsi="EC Square Sans Pro" w:cs="Times New Roman"/>
          <w:noProof/>
          <w:sz w:val="20"/>
          <w:szCs w:val="20"/>
          <w:lang w:eastAsia="en-GB"/>
        </w:rPr>
        <w:t>a for staff allocation and assess if the current allocation of staff to units and directorates is appropriate. Based on the outcome of the assessment, the Office should reallocate staff to meet its priorities and balance workload across the organisation. I</w:t>
      </w:r>
      <w:r>
        <w:rPr>
          <w:rFonts w:ascii="EC Square Sans Pro" w:eastAsia="Times New Roman" w:hAnsi="EC Square Sans Pro" w:cs="Times New Roman"/>
          <w:noProof/>
          <w:sz w:val="20"/>
          <w:szCs w:val="20"/>
          <w:lang w:eastAsia="en-GB"/>
        </w:rPr>
        <w:t>t should also promote the temporary reallocation of staff if necessary to meet any specific needs.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OLAF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European Anti-Fraud Office</w:t>
      </w:r>
      <w:r>
        <w:rPr>
          <w:rFonts w:ascii="EC Square Sans Pro" w:eastAsia="EC Square Sans Pro" w:hAnsi="EC Square Sans Pro" w:cs="Times New Roman"/>
          <w:noProof/>
          <w:sz w:val="20"/>
          <w:lang w:eastAsia="fr-BE"/>
        </w:rPr>
        <w:t xml:space="preserve"> management has taken the necessary measures to start implementing the corresponding action plan. All actions are scheduled for implementation by the end of 2020, although most of them should be closed by the summer.</w:t>
      </w:r>
    </w:p>
    <w:p w:rsidR="000C6D03" w:rsidRDefault="00873433">
      <w:pPr>
        <w:keepNext/>
        <w:keepLines/>
        <w:pBdr>
          <w:top w:val="single" w:sz="12" w:space="1" w:color="F26A47"/>
          <w:bottom w:val="single" w:sz="12" w:space="1" w:color="F26A47"/>
        </w:pBdr>
        <w:spacing w:before="480" w:after="240" w:line="276" w:lineRule="auto"/>
        <w:outlineLvl w:val="1"/>
        <w:rPr>
          <w:rFonts w:ascii="EC Square Sans Pro" w:eastAsia="EC Square Sans Pro" w:hAnsi="EC Square Sans Pro" w:cs="Times New Roman"/>
          <w:b/>
          <w:noProof/>
          <w:color w:val="005D95"/>
          <w:sz w:val="28"/>
          <w:szCs w:val="21"/>
          <w:lang w:eastAsia="zh-CN"/>
        </w:rPr>
      </w:pPr>
      <w:bookmarkStart w:id="142" w:name="_Toc466562216"/>
      <w:bookmarkStart w:id="143" w:name="_Toc416773326"/>
      <w:bookmarkStart w:id="144" w:name="_Toc2946473"/>
      <w:bookmarkStart w:id="145" w:name="_Toc42788168"/>
      <w:bookmarkEnd w:id="142"/>
      <w:r>
        <w:rPr>
          <w:rFonts w:ascii="EC Square Sans Pro" w:eastAsia="EC Square Sans Pro" w:hAnsi="EC Square Sans Pro" w:cs="Times New Roman"/>
          <w:b/>
          <w:noProof/>
          <w:color w:val="005D95"/>
          <w:sz w:val="28"/>
          <w:szCs w:val="21"/>
          <w:lang w:eastAsia="zh-CN"/>
        </w:rPr>
        <w:t>Information-technology audits</w:t>
      </w:r>
      <w:bookmarkStart w:id="146" w:name="_Toc412457281"/>
      <w:bookmarkStart w:id="147" w:name="_Toc416773400"/>
      <w:bookmarkEnd w:id="143"/>
      <w:bookmarkEnd w:id="144"/>
      <w:bookmarkEnd w:id="145"/>
      <w:bookmarkEnd w:id="146"/>
      <w:bookmarkEnd w:id="147"/>
    </w:p>
    <w:p w:rsidR="000C6D03" w:rsidRDefault="00873433">
      <w:pPr>
        <w:keepNext/>
        <w:keepLines/>
        <w:numPr>
          <w:ilvl w:val="0"/>
          <w:numId w:val="51"/>
        </w:numPr>
        <w:spacing w:before="360" w:after="240" w:line="240" w:lineRule="auto"/>
        <w:jc w:val="both"/>
        <w:outlineLvl w:val="2"/>
        <w:rPr>
          <w:rFonts w:ascii="EC Square Sans Pro" w:eastAsia="Times New Roman" w:hAnsi="EC Square Sans Pro" w:cs="Times New Roman"/>
          <w:b/>
          <w:i/>
          <w:noProof/>
          <w:color w:val="005D95"/>
          <w:sz w:val="24"/>
          <w:szCs w:val="20"/>
          <w:lang w:val="en-IE" w:eastAsia="en-GB"/>
        </w:rPr>
      </w:pPr>
      <w:bookmarkStart w:id="148" w:name="_Toc42788169"/>
      <w:bookmarkStart w:id="149" w:name="_Toc2946474"/>
      <w:r>
        <w:rPr>
          <w:rFonts w:ascii="EC Square Sans Pro" w:eastAsia="Times New Roman" w:hAnsi="EC Square Sans Pro" w:cs="Times New Roman"/>
          <w:b/>
          <w:i/>
          <w:noProof/>
          <w:color w:val="005D95"/>
          <w:sz w:val="24"/>
          <w:szCs w:val="20"/>
          <w:lang w:eastAsia="en-GB"/>
        </w:rPr>
        <w:t xml:space="preserve">Audit on </w:t>
      </w:r>
      <w:r>
        <w:rPr>
          <w:rFonts w:ascii="EC Square Sans Pro" w:eastAsia="Times New Roman" w:hAnsi="EC Square Sans Pro" w:cs="Times New Roman"/>
          <w:b/>
          <w:i/>
          <w:noProof/>
          <w:color w:val="005D95"/>
          <w:sz w:val="24"/>
          <w:szCs w:val="20"/>
          <w:lang w:eastAsia="en-GB"/>
        </w:rPr>
        <w:t>information-technology</w:t>
      </w:r>
      <w:r>
        <w:rPr>
          <w:rFonts w:ascii="EC Square Sans Pro" w:eastAsia="Times New Roman" w:hAnsi="EC Square Sans Pro" w:cs="Times New Roman"/>
          <w:b/>
          <w:i/>
          <w:noProof/>
          <w:color w:val="005D95"/>
          <w:sz w:val="24"/>
          <w:szCs w:val="20"/>
          <w:lang w:val="en-IE" w:eastAsia="en-GB"/>
        </w:rPr>
        <w:t xml:space="preserve"> project management practices in OLAF</w:t>
      </w:r>
      <w:bookmarkEnd w:id="148"/>
    </w:p>
    <w:bookmarkEnd w:id="149"/>
    <w:p w:rsidR="000C6D03" w:rsidRDefault="00873433">
      <w:pPr>
        <w:keepNext/>
        <w:keepLines/>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The objective of the audit was to assess the adequacy of the design and the effective and efficient implementation of the governance, management and control systems the European Anti-Fraud Office </w:t>
      </w:r>
      <w:r>
        <w:rPr>
          <w:rFonts w:ascii="EC Square Sans Pro" w:eastAsia="Times New Roman" w:hAnsi="EC Square Sans Pro" w:cs="Times New Roman"/>
          <w:noProof/>
          <w:sz w:val="20"/>
          <w:szCs w:val="20"/>
          <w:lang w:eastAsia="ko-KR"/>
        </w:rPr>
        <w:t>has put in place to manage its information-technology projects.</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There were no reservations in the European Anti-Fraud Office’s 2017 annual activity report that relate to the area audited. The fieldwork was finalised on 17</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December</w:t>
      </w:r>
      <w:r>
        <w:rPr>
          <w:rFonts w:ascii="Calibri" w:eastAsia="Times New Roman" w:hAnsi="Calibri" w:cs="Times New Roman"/>
          <w:noProof/>
          <w:sz w:val="20"/>
          <w:szCs w:val="20"/>
          <w:lang w:eastAsia="ko-KR"/>
        </w:rPr>
        <w:t> </w:t>
      </w:r>
      <w:r>
        <w:rPr>
          <w:rFonts w:ascii="EC Square Sans Pro" w:eastAsia="Times New Roman" w:hAnsi="EC Square Sans Pro" w:cs="Times New Roman"/>
          <w:noProof/>
          <w:sz w:val="20"/>
          <w:szCs w:val="20"/>
          <w:lang w:eastAsia="ko-KR"/>
        </w:rPr>
        <w:t>2018. All recommendations</w:t>
      </w:r>
      <w:r>
        <w:rPr>
          <w:rFonts w:ascii="EC Square Sans Pro" w:eastAsia="Times New Roman" w:hAnsi="EC Square Sans Pro" w:cs="Times New Roman"/>
          <w:noProof/>
          <w:sz w:val="20"/>
          <w:szCs w:val="20"/>
          <w:lang w:eastAsia="ko-KR"/>
        </w:rPr>
        <w:t xml:space="preserve">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Internal Audit Service recognised the European Anti-Fraud Office’s recent efforts in respect of its content management project to:</w:t>
      </w:r>
    </w:p>
    <w:p w:rsidR="000C6D03" w:rsidRDefault="00873433">
      <w:pPr>
        <w:numPr>
          <w:ilvl w:val="0"/>
          <w:numId w:val="17"/>
        </w:num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improve the management of the Office’s content management project to ensure </w:t>
      </w:r>
      <w:r>
        <w:rPr>
          <w:rFonts w:ascii="EC Square Sans Pro" w:eastAsia="Times New Roman" w:hAnsi="EC Square Sans Pro" w:cs="Times New Roman"/>
          <w:noProof/>
          <w:sz w:val="20"/>
          <w:szCs w:val="20"/>
          <w:lang w:eastAsia="ko-KR"/>
        </w:rPr>
        <w:t>better involvement and communication between users and the solution provider;</w:t>
      </w:r>
    </w:p>
    <w:p w:rsidR="000C6D03" w:rsidRDefault="00873433">
      <w:pPr>
        <w:numPr>
          <w:ilvl w:val="0"/>
          <w:numId w:val="17"/>
        </w:num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align with the information technology governance requirements at corporate level (IT Board) and keep GovIS2</w:t>
      </w:r>
      <w:r>
        <w:rPr>
          <w:rFonts w:ascii="Calibri" w:eastAsia="Times New Roman" w:hAnsi="Calibri" w:cs="Times New Roman"/>
          <w:noProof/>
          <w:sz w:val="20"/>
          <w:szCs w:val="20"/>
          <w:lang w:eastAsia="ko-KR"/>
        </w:rPr>
        <w:t> </w:t>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vertAlign w:val="superscript"/>
          <w:lang w:val="nl" w:eastAsia="ko-KR"/>
        </w:rPr>
        <w:footnoteReference w:id="22"/>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lang w:eastAsia="ko-KR"/>
        </w:rPr>
        <w:t xml:space="preserve"> up to date.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In the a</w:t>
      </w:r>
      <w:r>
        <w:rPr>
          <w:rFonts w:ascii="EC Square Sans Pro" w:eastAsia="Times New Roman" w:hAnsi="EC Square Sans Pro" w:cs="Times New Roman"/>
          <w:noProof/>
          <w:sz w:val="20"/>
          <w:szCs w:val="20"/>
          <w:lang w:eastAsia="en-GB"/>
        </w:rPr>
        <w:t>nti-fraud information system</w:t>
      </w:r>
      <w:r>
        <w:rPr>
          <w:rFonts w:ascii="EC Square Sans Pro" w:eastAsia="Times New Roman" w:hAnsi="EC Square Sans Pro" w:cs="Times New Roman"/>
          <w:noProof/>
          <w:sz w:val="20"/>
          <w:szCs w:val="20"/>
          <w:lang w:eastAsia="ko-KR"/>
        </w:rPr>
        <w:t xml:space="preserve"> domain, the Internal Audit Service notes that OLAF has applied a robust governance approach. The IAS also considers the way the a</w:t>
      </w:r>
      <w:r>
        <w:rPr>
          <w:rFonts w:ascii="EC Square Sans Pro" w:eastAsia="Times New Roman" w:hAnsi="EC Square Sans Pro" w:cs="Times New Roman"/>
          <w:noProof/>
          <w:sz w:val="20"/>
          <w:szCs w:val="20"/>
          <w:lang w:eastAsia="en-GB"/>
        </w:rPr>
        <w:t>nti-fraud information system</w:t>
      </w:r>
      <w:r>
        <w:rPr>
          <w:rFonts w:ascii="EC Square Sans Pro" w:eastAsia="Times New Roman" w:hAnsi="EC Square Sans Pro" w:cs="Times New Roman"/>
          <w:noProof/>
          <w:sz w:val="20"/>
          <w:szCs w:val="20"/>
          <w:lang w:eastAsia="ko-KR"/>
        </w:rPr>
        <w:t xml:space="preserve"> team applies the Agile</w:t>
      </w:r>
      <w:r>
        <w:rPr>
          <w:rFonts w:ascii="Calibri" w:eastAsia="Times New Roman" w:hAnsi="Calibri" w:cs="Times New Roman"/>
          <w:noProof/>
          <w:sz w:val="20"/>
          <w:szCs w:val="20"/>
          <w:lang w:eastAsia="ko-KR"/>
        </w:rPr>
        <w:t> </w:t>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vertAlign w:val="superscript"/>
          <w:lang w:val="nl" w:eastAsia="ko-KR"/>
        </w:rPr>
        <w:footnoteReference w:id="23"/>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lang w:eastAsia="ko-KR"/>
        </w:rPr>
        <w:t xml:space="preserve"> approach to managing its projects as good practice. Moreover, the fact</w:t>
      </w:r>
      <w:r>
        <w:rPr>
          <w:rFonts w:ascii="EC Square Sans Pro" w:eastAsia="Times New Roman" w:hAnsi="EC Square Sans Pro" w:cs="Times New Roman"/>
          <w:noProof/>
          <w:sz w:val="20"/>
          <w:szCs w:val="20"/>
          <w:lang w:eastAsia="ko-KR"/>
        </w:rPr>
        <w:t xml:space="preserve"> that the </w:t>
      </w:r>
      <w:r>
        <w:rPr>
          <w:rFonts w:ascii="EC Square Sans Pro" w:eastAsia="Times New Roman" w:hAnsi="EC Square Sans Pro" w:cs="Times New Roman"/>
          <w:noProof/>
          <w:sz w:val="20"/>
          <w:szCs w:val="20"/>
          <w:lang w:eastAsia="en-GB"/>
        </w:rPr>
        <w:t>anti-fraud information system</w:t>
      </w:r>
      <w:r>
        <w:rPr>
          <w:rFonts w:ascii="EC Square Sans Pro" w:eastAsia="Times New Roman" w:hAnsi="EC Square Sans Pro" w:cs="Times New Roman"/>
          <w:noProof/>
          <w:sz w:val="20"/>
          <w:szCs w:val="20"/>
          <w:lang w:eastAsia="ko-KR"/>
        </w:rPr>
        <w:t xml:space="preserve"> team managed to avoid any significant staff turnover for a couple of years is an indication of a stable and solid environment.</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The Internal Audit Service identified five issues concerning the </w:t>
      </w:r>
      <w:r>
        <w:rPr>
          <w:rFonts w:ascii="EC Square Sans Pro" w:eastAsia="Times New Roman" w:hAnsi="EC Square Sans Pro" w:cs="Times New Roman"/>
          <w:i/>
          <w:noProof/>
          <w:sz w:val="20"/>
          <w:szCs w:val="20"/>
          <w:lang w:eastAsia="ko-KR"/>
        </w:rPr>
        <w:t>European Anti-Fraud Offi</w:t>
      </w:r>
      <w:r>
        <w:rPr>
          <w:rFonts w:ascii="EC Square Sans Pro" w:eastAsia="Times New Roman" w:hAnsi="EC Square Sans Pro" w:cs="Times New Roman"/>
          <w:i/>
          <w:noProof/>
          <w:sz w:val="20"/>
          <w:szCs w:val="20"/>
          <w:lang w:eastAsia="ko-KR"/>
        </w:rPr>
        <w:t>ce’s content management project</w:t>
      </w:r>
      <w:r>
        <w:rPr>
          <w:rFonts w:ascii="EC Square Sans Pro" w:eastAsia="Times New Roman" w:hAnsi="EC Square Sans Pro" w:cs="Times New Roman"/>
          <w:noProof/>
          <w:sz w:val="20"/>
          <w:szCs w:val="20"/>
          <w:lang w:eastAsia="ko-KR"/>
        </w:rPr>
        <w:t xml:space="preserve"> and formulated the following very important recommendations:</w:t>
      </w:r>
    </w:p>
    <w:p w:rsidR="000C6D03" w:rsidRDefault="00873433">
      <w:pPr>
        <w:keepNext/>
        <w:spacing w:after="240" w:line="240" w:lineRule="auto"/>
        <w:jc w:val="both"/>
        <w:rPr>
          <w:rFonts w:ascii="EC Square Sans Pro" w:eastAsia="Times New Roman" w:hAnsi="EC Square Sans Pro" w:cs="Times New Roman"/>
          <w:i/>
          <w:noProof/>
          <w:sz w:val="20"/>
          <w:szCs w:val="20"/>
          <w:lang w:eastAsia="ko-KR"/>
        </w:rPr>
      </w:pPr>
      <w:r>
        <w:rPr>
          <w:rFonts w:ascii="EC Square Sans Pro" w:eastAsia="Times New Roman" w:hAnsi="EC Square Sans Pro" w:cs="Times New Roman"/>
          <w:i/>
          <w:noProof/>
          <w:sz w:val="20"/>
          <w:szCs w:val="20"/>
          <w:lang w:eastAsia="ko-KR"/>
        </w:rPr>
        <w:t>European Anti-Fraud Office</w:t>
      </w:r>
      <w:r>
        <w:rPr>
          <w:rFonts w:ascii="EC Square Sans Pro" w:eastAsia="Times New Roman" w:hAnsi="EC Square Sans Pro" w:cs="Times New Roman"/>
          <w:i/>
          <w:noProof/>
          <w:sz w:val="20"/>
          <w:szCs w:val="20"/>
          <w:lang w:val="en-US" w:eastAsia="ko-KR"/>
        </w:rPr>
        <w:t>’s</w:t>
      </w:r>
      <w:r>
        <w:rPr>
          <w:rFonts w:ascii="EC Square Sans Pro" w:eastAsia="Times New Roman" w:hAnsi="EC Square Sans Pro" w:cs="Times New Roman"/>
          <w:i/>
          <w:noProof/>
          <w:sz w:val="20"/>
          <w:szCs w:val="20"/>
          <w:lang w:eastAsia="ko-KR"/>
        </w:rPr>
        <w:t xml:space="preserve"> content management governance </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European Anti-Fraud Office should make the new governance structure effective by properly documenti</w:t>
      </w:r>
      <w:r>
        <w:rPr>
          <w:rFonts w:ascii="EC Square Sans Pro" w:eastAsia="Times New Roman" w:hAnsi="EC Square Sans Pro" w:cs="Times New Roman"/>
          <w:noProof/>
          <w:sz w:val="20"/>
          <w:szCs w:val="20"/>
          <w:lang w:eastAsia="ko-KR"/>
        </w:rPr>
        <w:t>ng the decision workflow and implementing operational procedures. Moreover, the Office should ensure that organisational change management is properly set up and should strengthen coordination between the business and information-technology sides. Finally,</w:t>
      </w:r>
      <w:r>
        <w:rPr>
          <w:rFonts w:ascii="EC Square Sans Pro" w:eastAsia="Times New Roman" w:hAnsi="EC Square Sans Pro" w:cs="Times New Roman"/>
          <w:noProof/>
          <w:sz w:val="20"/>
          <w:szCs w:val="20"/>
          <w:lang w:eastAsia="ko-KR"/>
        </w:rPr>
        <w:t xml:space="preserve"> it should define and communicate roles and responsibilities in its content management project more clearly and ensure that key staff have the correct authority.</w:t>
      </w:r>
    </w:p>
    <w:p w:rsidR="000C6D03" w:rsidRDefault="00873433">
      <w:pPr>
        <w:keepNext/>
        <w:spacing w:after="240" w:line="240" w:lineRule="auto"/>
        <w:jc w:val="both"/>
        <w:rPr>
          <w:rFonts w:ascii="EC Square Sans Pro" w:eastAsia="Times New Roman" w:hAnsi="EC Square Sans Pro" w:cs="Times New Roman"/>
          <w:i/>
          <w:noProof/>
          <w:sz w:val="20"/>
          <w:szCs w:val="20"/>
          <w:lang w:eastAsia="ko-KR"/>
        </w:rPr>
      </w:pPr>
      <w:r>
        <w:rPr>
          <w:rFonts w:ascii="EC Square Sans Pro" w:eastAsia="Times New Roman" w:hAnsi="EC Square Sans Pro" w:cs="Times New Roman"/>
          <w:i/>
          <w:noProof/>
          <w:sz w:val="20"/>
          <w:szCs w:val="20"/>
          <w:lang w:eastAsia="ko-KR"/>
        </w:rPr>
        <w:t xml:space="preserve">The European Anti-Fraud Office’s content management business requirements management </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Euro</w:t>
      </w:r>
      <w:r>
        <w:rPr>
          <w:rFonts w:ascii="EC Square Sans Pro" w:eastAsia="Times New Roman" w:hAnsi="EC Square Sans Pro" w:cs="Times New Roman"/>
          <w:noProof/>
          <w:sz w:val="20"/>
          <w:szCs w:val="20"/>
          <w:lang w:eastAsia="ko-KR"/>
        </w:rPr>
        <w:t>pean Anti-Fraud Office should identify and prioritise the remaining requirements. The Project Steering Committee should prioritise the requirements and the project owner should arbitrate as necessary as to whether any may need to be de-prioritised/dropped.</w:t>
      </w:r>
      <w:r>
        <w:rPr>
          <w:rFonts w:ascii="EC Square Sans Pro" w:eastAsia="Times New Roman" w:hAnsi="EC Square Sans Pro" w:cs="Times New Roman"/>
          <w:noProof/>
          <w:sz w:val="20"/>
          <w:szCs w:val="20"/>
          <w:lang w:eastAsia="ko-KR"/>
        </w:rPr>
        <w:t xml:space="preserve"> Moreover, the Office should ensure that the acceptance and implementation processes are signed off at the correct level. It should also improve the documentation of the business requirements and the corresponding work packages. </w:t>
      </w:r>
    </w:p>
    <w:p w:rsidR="000C6D03" w:rsidRDefault="00873433">
      <w:pPr>
        <w:keepNext/>
        <w:spacing w:after="240" w:line="240" w:lineRule="auto"/>
        <w:jc w:val="both"/>
        <w:rPr>
          <w:rFonts w:ascii="EC Square Sans Pro" w:eastAsia="Times New Roman" w:hAnsi="EC Square Sans Pro" w:cs="Times New Roman"/>
          <w:i/>
          <w:noProof/>
          <w:sz w:val="20"/>
          <w:szCs w:val="20"/>
          <w:lang w:eastAsia="ko-KR"/>
        </w:rPr>
      </w:pPr>
      <w:r>
        <w:rPr>
          <w:rFonts w:ascii="EC Square Sans Pro" w:eastAsia="Times New Roman" w:hAnsi="EC Square Sans Pro" w:cs="Times New Roman"/>
          <w:i/>
          <w:noProof/>
          <w:sz w:val="20"/>
          <w:szCs w:val="20"/>
          <w:lang w:eastAsia="ko-KR"/>
        </w:rPr>
        <w:t>Content management testing</w:t>
      </w:r>
      <w:r>
        <w:rPr>
          <w:rFonts w:ascii="EC Square Sans Pro" w:eastAsia="Times New Roman" w:hAnsi="EC Square Sans Pro" w:cs="Times New Roman"/>
          <w:i/>
          <w:noProof/>
          <w:sz w:val="20"/>
          <w:szCs w:val="20"/>
          <w:lang w:eastAsia="ko-KR"/>
        </w:rPr>
        <w:t xml:space="preserve"> and performance in the European Anti-Fraud Office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European Anti-Fraud Office should formalise its user acceptance procedures by basing them on predefined acceptance criteria. The project owner should formally sign off the acceptance tests and the impl</w:t>
      </w:r>
      <w:r>
        <w:rPr>
          <w:rFonts w:ascii="EC Square Sans Pro" w:eastAsia="Times New Roman" w:hAnsi="EC Square Sans Pro" w:cs="Times New Roman"/>
          <w:noProof/>
          <w:sz w:val="20"/>
          <w:szCs w:val="20"/>
          <w:lang w:eastAsia="ko-KR"/>
        </w:rPr>
        <w:t>emented requirements. To address the performance issues, the Office’s solution provider should assess in detail the impact linked to performance-tuning activities. Based on this assessment, the project owner should decide whether those activities should be</w:t>
      </w:r>
      <w:r>
        <w:rPr>
          <w:rFonts w:ascii="EC Square Sans Pro" w:eastAsia="Times New Roman" w:hAnsi="EC Square Sans Pro" w:cs="Times New Roman"/>
          <w:noProof/>
          <w:sz w:val="20"/>
          <w:szCs w:val="20"/>
          <w:lang w:eastAsia="ko-KR"/>
        </w:rPr>
        <w:t xml:space="preserve"> applied or not. Moreover, the Office should implement an emergency procedure to supervise developers’ access to the production environment. </w:t>
      </w:r>
    </w:p>
    <w:p w:rsidR="000C6D03" w:rsidRDefault="00873433">
      <w:pPr>
        <w:keepNext/>
        <w:spacing w:after="240" w:line="240" w:lineRule="auto"/>
        <w:jc w:val="both"/>
        <w:rPr>
          <w:rFonts w:ascii="EC Square Sans Pro" w:eastAsia="Times New Roman" w:hAnsi="EC Square Sans Pro" w:cs="Times New Roman"/>
          <w:i/>
          <w:noProof/>
          <w:sz w:val="20"/>
          <w:szCs w:val="20"/>
          <w:lang w:eastAsia="ko-KR"/>
        </w:rPr>
      </w:pPr>
      <w:r>
        <w:rPr>
          <w:rFonts w:ascii="EC Square Sans Pro" w:eastAsia="Times New Roman" w:hAnsi="EC Square Sans Pro" w:cs="Times New Roman"/>
          <w:i/>
          <w:noProof/>
          <w:sz w:val="20"/>
          <w:szCs w:val="20"/>
          <w:lang w:eastAsia="ko-KR"/>
        </w:rPr>
        <w:t>Content management cost management in the European Anti-Fraud Office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The European Anti-Fraud Office should make a </w:t>
      </w:r>
      <w:r>
        <w:rPr>
          <w:rFonts w:ascii="EC Square Sans Pro" w:eastAsia="Times New Roman" w:hAnsi="EC Square Sans Pro" w:cs="Times New Roman"/>
          <w:noProof/>
          <w:sz w:val="20"/>
          <w:szCs w:val="20"/>
          <w:lang w:eastAsia="ko-KR"/>
        </w:rPr>
        <w:t>detailed calculation of the total cost of ownership</w:t>
      </w:r>
      <w:r>
        <w:rPr>
          <w:rFonts w:ascii="Calibri" w:eastAsia="Times New Roman" w:hAnsi="Calibri" w:cs="Times New Roman"/>
          <w:noProof/>
          <w:sz w:val="20"/>
          <w:szCs w:val="20"/>
          <w:lang w:eastAsia="ko-KR"/>
        </w:rPr>
        <w:t> </w:t>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vertAlign w:val="superscript"/>
          <w:lang w:val="nl" w:eastAsia="ko-KR"/>
        </w:rPr>
        <w:footnoteReference w:id="24"/>
      </w:r>
      <w:r>
        <w:rPr>
          <w:rFonts w:ascii="Calibri" w:eastAsia="Times New Roman" w:hAnsi="Calibri" w:cs="Times New Roman"/>
          <w:noProof/>
          <w:sz w:val="20"/>
          <w:szCs w:val="20"/>
          <w:vertAlign w:val="superscript"/>
          <w:lang w:eastAsia="ko-KR"/>
        </w:rPr>
        <w:t>)</w:t>
      </w:r>
      <w:r>
        <w:rPr>
          <w:rFonts w:ascii="EC Square Sans Pro" w:eastAsia="Times New Roman" w:hAnsi="EC Square Sans Pro" w:cs="Times New Roman"/>
          <w:noProof/>
          <w:sz w:val="20"/>
          <w:szCs w:val="20"/>
          <w:lang w:eastAsia="ko-KR"/>
        </w:rPr>
        <w:t xml:space="preserve"> in line with common practices applied in the Commission. Wherever possible, this data should also include costs stemming from business stakeholders participating in the project. The Office should then</w:t>
      </w:r>
      <w:r>
        <w:rPr>
          <w:rFonts w:ascii="EC Square Sans Pro" w:eastAsia="Times New Roman" w:hAnsi="EC Square Sans Pro" w:cs="Times New Roman"/>
          <w:noProof/>
          <w:sz w:val="20"/>
          <w:szCs w:val="20"/>
          <w:lang w:eastAsia="ko-KR"/>
        </w:rPr>
        <w:t xml:space="preserve"> ensure these figures are reported in the follow-up of the discharge procedure.</w:t>
      </w:r>
    </w:p>
    <w:p w:rsidR="000C6D03" w:rsidRDefault="00873433">
      <w:pPr>
        <w:spacing w:after="240" w:line="240" w:lineRule="auto"/>
        <w:jc w:val="both"/>
        <w:rPr>
          <w:rFonts w:ascii="EC Square Sans Pro" w:eastAsia="Times New Roman" w:hAnsi="EC Square Sans Pro" w:cs="Times New Roman"/>
          <w:b/>
          <w:noProof/>
          <w:sz w:val="20"/>
          <w:szCs w:val="20"/>
          <w:lang w:eastAsia="ko-KR"/>
        </w:rPr>
      </w:pPr>
      <w:r>
        <w:rPr>
          <w:rFonts w:ascii="EC Square Sans Pro" w:eastAsia="Times New Roman" w:hAnsi="EC Square Sans Pro" w:cs="Times New Roman"/>
          <w:noProof/>
          <w:sz w:val="20"/>
          <w:szCs w:val="20"/>
          <w:lang w:eastAsia="ko-KR"/>
        </w:rPr>
        <w:t>Moreover, the European Anti-Fraud Office should recalculate the budget needed to finish the content management based on more detailed business requirements and reliable cost es</w:t>
      </w:r>
      <w:r>
        <w:rPr>
          <w:rFonts w:ascii="EC Square Sans Pro" w:eastAsia="Times New Roman" w:hAnsi="EC Square Sans Pro" w:cs="Times New Roman"/>
          <w:noProof/>
          <w:sz w:val="20"/>
          <w:szCs w:val="20"/>
          <w:lang w:eastAsia="ko-KR"/>
        </w:rPr>
        <w:t>timates.</w:t>
      </w:r>
    </w:p>
    <w:p w:rsidR="000C6D03" w:rsidRDefault="00873433">
      <w:pPr>
        <w:keepNext/>
        <w:spacing w:after="240" w:line="240" w:lineRule="auto"/>
        <w:jc w:val="both"/>
        <w:rPr>
          <w:rFonts w:ascii="EC Square Sans Pro" w:eastAsia="Times New Roman" w:hAnsi="EC Square Sans Pro" w:cs="Times New Roman"/>
          <w:i/>
          <w:noProof/>
          <w:sz w:val="20"/>
          <w:szCs w:val="20"/>
          <w:lang w:eastAsia="ko-KR"/>
        </w:rPr>
      </w:pPr>
      <w:r>
        <w:rPr>
          <w:rFonts w:ascii="EC Square Sans Pro" w:eastAsia="Times New Roman" w:hAnsi="EC Square Sans Pro" w:cs="Times New Roman"/>
          <w:i/>
          <w:noProof/>
          <w:sz w:val="20"/>
          <w:szCs w:val="20"/>
          <w:lang w:eastAsia="ko-KR"/>
        </w:rPr>
        <w:t>Content management project planning, progress and performance in the European Anti-Fraud Office</w:t>
      </w:r>
    </w:p>
    <w:p w:rsidR="000C6D03" w:rsidRDefault="00873433">
      <w:p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The European Anti-Fraud Office should break down the tasks into more detailed work packages. It should also assess and report the actual project perfor</w:t>
      </w:r>
      <w:r>
        <w:rPr>
          <w:rFonts w:ascii="EC Square Sans Pro" w:eastAsia="Times New Roman" w:hAnsi="EC Square Sans Pro" w:cs="Times New Roman"/>
          <w:noProof/>
          <w:sz w:val="20"/>
          <w:szCs w:val="20"/>
          <w:lang w:eastAsia="ko-KR"/>
        </w:rPr>
        <w:t>mance against predefined success criteria and continue measuring content management user satisfaction within the Office.</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Additional information provided by OLAF on the measures drawn 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All </w:t>
      </w:r>
      <w:r>
        <w:rPr>
          <w:rFonts w:ascii="EC Square Sans Pro" w:eastAsia="EC Square Sans Pro" w:hAnsi="EC Square Sans Pro" w:cs="Times New Roman"/>
          <w:noProof/>
          <w:sz w:val="20"/>
          <w:lang w:eastAsia="fr-BE"/>
        </w:rPr>
        <w:t>recommendations issued by the Internal Audit Service have been accepted. Hence, in order to implement these recommendations, the European Anti-Fraud Office’s management has adopted an action plan which the Internal Audit Service considers adequate to addre</w:t>
      </w:r>
      <w:r>
        <w:rPr>
          <w:rFonts w:ascii="EC Square Sans Pro" w:eastAsia="EC Square Sans Pro" w:hAnsi="EC Square Sans Pro" w:cs="Times New Roman"/>
          <w:noProof/>
          <w:sz w:val="20"/>
          <w:lang w:eastAsia="fr-BE"/>
        </w:rPr>
        <w:t>ss the residual risks identified by the auditors.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In February 2020, the Internal Audit Service confirmed to the European Anti-Fraud Office that based on the results of the follow-up audit, all recommendations had been adequately and effectively implemented</w:t>
      </w:r>
      <w:r>
        <w:rPr>
          <w:rFonts w:ascii="EC Square Sans Pro" w:eastAsia="EC Square Sans Pro" w:hAnsi="EC Square Sans Pro" w:cs="Times New Roman"/>
          <w:noProof/>
          <w:sz w:val="20"/>
          <w:lang w:eastAsia="fr-BE"/>
        </w:rPr>
        <w:t xml:space="preserve"> and therefore closed.</w:t>
      </w:r>
    </w:p>
    <w:p w:rsidR="000C6D03" w:rsidRDefault="00873433">
      <w:pPr>
        <w:keepNext/>
        <w:numPr>
          <w:ilvl w:val="0"/>
          <w:numId w:val="51"/>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50" w:name="_Toc2946475"/>
      <w:bookmarkStart w:id="151" w:name="_Toc42788170"/>
      <w:r>
        <w:rPr>
          <w:rFonts w:ascii="EC Square Sans Pro" w:eastAsia="Times New Roman" w:hAnsi="EC Square Sans Pro" w:cs="Times New Roman"/>
          <w:b/>
          <w:i/>
          <w:noProof/>
          <w:color w:val="005D95"/>
          <w:sz w:val="24"/>
          <w:szCs w:val="20"/>
          <w:lang w:eastAsia="en-GB"/>
        </w:rPr>
        <w:t xml:space="preserve">Audit on </w:t>
      </w:r>
      <w:bookmarkEnd w:id="150"/>
      <w:r>
        <w:rPr>
          <w:rFonts w:ascii="EC Square Sans Pro" w:eastAsia="Times New Roman" w:hAnsi="EC Square Sans Pro" w:cs="Times New Roman"/>
          <w:b/>
          <w:i/>
          <w:noProof/>
          <w:color w:val="005D95"/>
          <w:sz w:val="24"/>
          <w:szCs w:val="20"/>
          <w:lang w:eastAsia="en-GB"/>
        </w:rPr>
        <w:t>information-technology project management practices for multi-Directorate-General projects in DG DIGIT</w:t>
      </w:r>
      <w:bookmarkEnd w:id="15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adequacy of the design and the effective and efficient implementation of the</w:t>
      </w:r>
      <w:r>
        <w:rPr>
          <w:rFonts w:ascii="EC Square Sans Pro" w:eastAsia="Times New Roman" w:hAnsi="EC Square Sans Pro" w:cs="Times New Roman"/>
          <w:noProof/>
          <w:sz w:val="20"/>
          <w:szCs w:val="20"/>
          <w:lang w:eastAsia="en-GB"/>
        </w:rPr>
        <w:t xml:space="preserve"> management and control systems that the Directorate-General for Informatics put in place to manage its multi-Directorate-General information-technology projects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rel</w:t>
      </w:r>
      <w:r>
        <w:rPr>
          <w:rFonts w:ascii="EC Square Sans Pro" w:eastAsia="Times New Roman" w:hAnsi="EC Square Sans Pro" w:cs="Times New Roman"/>
          <w:noProof/>
          <w:sz w:val="20"/>
          <w:szCs w:val="20"/>
          <w:lang w:eastAsia="en-GB"/>
        </w:rPr>
        <w:t>ate to the area/process audited. The fieldwork was finalised on 9 July 2019. All recommendations relate to the situation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 highlighted the following strengths: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Informatics has developed a project managem</w:t>
      </w:r>
      <w:r>
        <w:rPr>
          <w:rFonts w:ascii="EC Square Sans Pro" w:eastAsia="Times New Roman" w:hAnsi="EC Square Sans Pro" w:cs="Times New Roman"/>
          <w:noProof/>
          <w:sz w:val="20"/>
          <w:szCs w:val="20"/>
          <w:lang w:eastAsia="en-GB"/>
        </w:rPr>
        <w:t>ent methodology (PM</w:t>
      </w:r>
      <w:r>
        <w:rPr>
          <w:rFonts w:ascii="EC Square Sans Pro" w:eastAsia="Times New Roman" w:hAnsi="EC Square Sans Pro" w:cs="Times New Roman"/>
          <w:noProof/>
          <w:sz w:val="20"/>
          <w:szCs w:val="20"/>
          <w:vertAlign w:val="superscript"/>
          <w:lang w:eastAsia="en-GB"/>
        </w:rPr>
        <w:t>2</w:t>
      </w:r>
      <w:r>
        <w:rPr>
          <w:rFonts w:ascii="EC Square Sans Pro" w:eastAsia="Times New Roman" w:hAnsi="EC Square Sans Pro" w:cs="Times New Roman"/>
          <w:noProof/>
          <w:sz w:val="20"/>
          <w:szCs w:val="20"/>
          <w:lang w:eastAsia="en-GB"/>
        </w:rPr>
        <w:t xml:space="preserve">) inspired by best practices and complemented by a set of proven ‘agile’ practices. It offers a complete set of artefacts, tools and techniques, roles and responsibilities and activities to manage projects in an efficient and effective </w:t>
      </w:r>
      <w:r>
        <w:rPr>
          <w:rFonts w:ascii="EC Square Sans Pro" w:eastAsia="Times New Roman" w:hAnsi="EC Square Sans Pro" w:cs="Times New Roman"/>
          <w:noProof/>
          <w:sz w:val="20"/>
          <w:szCs w:val="20"/>
          <w:lang w:eastAsia="en-GB"/>
        </w:rPr>
        <w:t xml:space="preserve">way. A training and certification programme is in place for all people involved in project management to acquire the necessary skills and demonstrate their expertise in the field.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DG DIGIT’s Directorate B decided in January 2017 to establish a project man</w:t>
      </w:r>
      <w:r>
        <w:rPr>
          <w:rFonts w:ascii="EC Square Sans Pro" w:eastAsia="Times New Roman" w:hAnsi="EC Square Sans Pro" w:cs="Times New Roman"/>
          <w:noProof/>
          <w:sz w:val="20"/>
          <w:szCs w:val="20"/>
          <w:lang w:eastAsia="en-GB"/>
        </w:rPr>
        <w:t>agement office and introduced a new delivery model in May 2017, aimed at better accommodating changes in demand or priorities and offering strong interaction between business representatives (process owners and business managers) and information-technology</w:t>
      </w:r>
      <w:r>
        <w:rPr>
          <w:rFonts w:ascii="EC Square Sans Pro" w:eastAsia="Times New Roman" w:hAnsi="EC Square Sans Pro" w:cs="Times New Roman"/>
          <w:noProof/>
          <w:sz w:val="20"/>
          <w:szCs w:val="20"/>
          <w:lang w:eastAsia="en-GB"/>
        </w:rPr>
        <w:t xml:space="preserve"> solutions providers and suppliers.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did not formulate any critical or very important recommendations. </w:t>
      </w:r>
    </w:p>
    <w:p w:rsidR="000C6D03" w:rsidRDefault="00873433">
      <w:pPr>
        <w:numPr>
          <w:ilvl w:val="0"/>
          <w:numId w:val="51"/>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52" w:name="_Toc42788171"/>
      <w:r>
        <w:rPr>
          <w:rFonts w:ascii="EC Square Sans Pro" w:eastAsia="Times New Roman" w:hAnsi="EC Square Sans Pro" w:cs="Times New Roman"/>
          <w:b/>
          <w:i/>
          <w:noProof/>
          <w:color w:val="005D95"/>
          <w:sz w:val="24"/>
          <w:szCs w:val="20"/>
          <w:lang w:eastAsia="en-GB"/>
        </w:rPr>
        <w:t>Audit on information-technology governance and project management in OP</w:t>
      </w:r>
      <w:bookmarkEnd w:id="152"/>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objective of the audit was to assess the adequacy </w:t>
      </w:r>
      <w:r>
        <w:rPr>
          <w:rFonts w:ascii="EC Square Sans Pro" w:eastAsia="Times New Roman" w:hAnsi="EC Square Sans Pro" w:cs="Times New Roman"/>
          <w:noProof/>
          <w:sz w:val="20"/>
          <w:szCs w:val="20"/>
          <w:lang w:eastAsia="en-GB"/>
        </w:rPr>
        <w:t>of the design and the effectiveness and efficiency of the information-technology governance and project management practices put in place by the Publications Office of the European Union.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In particular, the Internal Audit Service assessed wh</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3"/>
          <w:sz w:val="20"/>
          <w:szCs w:val="20"/>
          <w:lang w:eastAsia="en-GB"/>
        </w:rPr>
        <w:t>h</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 xml:space="preserve">r the </w:t>
      </w:r>
      <w:r>
        <w:rPr>
          <w:rFonts w:ascii="EC Square Sans Pro" w:eastAsia="Times New Roman" w:hAnsi="EC Square Sans Pro" w:cs="Times New Roman"/>
          <w:noProof/>
          <w:sz w:val="20"/>
          <w:szCs w:val="20"/>
          <w:lang w:eastAsia="en-GB"/>
        </w:rPr>
        <w:t>Publications Office h</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s put in p</w:t>
      </w:r>
      <w:r>
        <w:rPr>
          <w:rFonts w:ascii="EC Square Sans Pro" w:eastAsia="Times New Roman" w:hAnsi="EC Square Sans Pro" w:cs="Times New Roman"/>
          <w:noProof/>
          <w:spacing w:val="1"/>
          <w:sz w:val="20"/>
          <w:szCs w:val="20"/>
          <w:lang w:eastAsia="en-GB"/>
        </w:rPr>
        <w:t>la</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f</w:t>
      </w:r>
      <w:r>
        <w:rPr>
          <w:rFonts w:ascii="EC Square Sans Pro" w:eastAsia="Times New Roman" w:hAnsi="EC Square Sans Pro" w:cs="Times New Roman"/>
          <w:noProof/>
          <w:spacing w:val="1"/>
          <w:sz w:val="20"/>
          <w:szCs w:val="20"/>
          <w:lang w:eastAsia="en-GB"/>
        </w:rPr>
        <w:t>f</w:t>
      </w:r>
      <w:r>
        <w:rPr>
          <w:rFonts w:ascii="EC Square Sans Pro" w:eastAsia="Times New Roman" w:hAnsi="EC Square Sans Pro" w:cs="Times New Roman"/>
          <w:noProof/>
          <w:spacing w:val="-1"/>
          <w:sz w:val="20"/>
          <w:szCs w:val="20"/>
          <w:lang w:eastAsia="en-GB"/>
        </w:rPr>
        <w:t>ec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ve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ontrols f</w:t>
      </w:r>
      <w:r>
        <w:rPr>
          <w:rFonts w:ascii="EC Square Sans Pro" w:eastAsia="Times New Roman" w:hAnsi="EC Square Sans Pro" w:cs="Times New Roman"/>
          <w:noProof/>
          <w:spacing w:val="2"/>
          <w:sz w:val="20"/>
          <w:szCs w:val="20"/>
          <w:lang w:eastAsia="en-GB"/>
        </w:rPr>
        <w:t>o</w:t>
      </w:r>
      <w:r>
        <w:rPr>
          <w:rFonts w:ascii="EC Square Sans Pro" w:eastAsia="Times New Roman" w:hAnsi="EC Square Sans Pro" w:cs="Times New Roman"/>
          <w:noProof/>
          <w:sz w:val="20"/>
          <w:szCs w:val="20"/>
          <w:lang w:eastAsia="en-GB"/>
        </w:rPr>
        <w:t>r its information technology</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ov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1"/>
          <w:sz w:val="20"/>
          <w:szCs w:val="20"/>
          <w:lang w:eastAsia="en-GB"/>
        </w:rPr>
        <w:t>n</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ov</w:t>
      </w:r>
      <w:r>
        <w:rPr>
          <w:rFonts w:ascii="EC Square Sans Pro" w:eastAsia="Times New Roman" w:hAnsi="EC Square Sans Pro" w:cs="Times New Roman"/>
          <w:noProof/>
          <w:spacing w:val="1"/>
          <w:sz w:val="20"/>
          <w:szCs w:val="20"/>
          <w:lang w:eastAsia="en-GB"/>
        </w:rPr>
        <w:t>er</w:t>
      </w:r>
      <w:r>
        <w:rPr>
          <w:rFonts w:ascii="EC Square Sans Pro" w:eastAsia="Times New Roman" w:hAnsi="EC Square Sans Pro" w:cs="Times New Roman"/>
          <w:noProof/>
          <w:sz w:val="20"/>
          <w:szCs w:val="20"/>
          <w:lang w:eastAsia="en-GB"/>
        </w:rPr>
        <w:t>si</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ht,</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ma</w:t>
      </w:r>
      <w:r>
        <w:rPr>
          <w:rFonts w:ascii="EC Square Sans Pro" w:eastAsia="Times New Roman" w:hAnsi="EC Square Sans Pro" w:cs="Times New Roman"/>
          <w:noProof/>
          <w:spacing w:val="2"/>
          <w:sz w:val="20"/>
          <w:szCs w:val="20"/>
          <w:lang w:eastAsia="en-GB"/>
        </w:rPr>
        <w:t>n</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ment</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z w:val="20"/>
          <w:szCs w:val="20"/>
          <w:lang w:eastAsia="en-GB"/>
        </w:rPr>
        <w:t>of i</w:t>
      </w:r>
      <w:r>
        <w:rPr>
          <w:rFonts w:ascii="EC Square Sans Pro" w:eastAsia="Times New Roman" w:hAnsi="EC Square Sans Pro" w:cs="Times New Roman"/>
          <w:noProof/>
          <w:spacing w:val="1"/>
          <w:sz w:val="20"/>
          <w:szCs w:val="20"/>
          <w:lang w:eastAsia="en-GB"/>
        </w:rPr>
        <w:t>t</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3"/>
          <w:sz w:val="20"/>
          <w:szCs w:val="20"/>
          <w:lang w:eastAsia="en-GB"/>
        </w:rPr>
        <w:t xml:space="preserve"> information-technology </w:t>
      </w:r>
      <w:r>
        <w:rPr>
          <w:rFonts w:ascii="EC Square Sans Pro" w:eastAsia="Times New Roman" w:hAnsi="EC Square Sans Pro" w:cs="Times New Roman"/>
          <w:noProof/>
          <w:sz w:val="20"/>
          <w:szCs w:val="20"/>
          <w:lang w:eastAsia="en-GB"/>
        </w:rPr>
        <w:t>p</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oje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ts,</w:t>
      </w:r>
      <w:r>
        <w:rPr>
          <w:rFonts w:ascii="EC Square Sans Pro" w:eastAsia="Times New Roman" w:hAnsi="EC Square Sans Pro" w:cs="Times New Roman"/>
          <w:noProof/>
          <w:spacing w:val="1"/>
          <w:sz w:val="20"/>
          <w:szCs w:val="20"/>
          <w:lang w:eastAsia="en-GB"/>
        </w:rPr>
        <w:t xml:space="preserve"> to </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ble it</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 xml:space="preserve">to </w:t>
      </w:r>
      <w:r>
        <w:rPr>
          <w:rFonts w:ascii="EC Square Sans Pro" w:eastAsia="Times New Roman" w:hAnsi="EC Square Sans Pro" w:cs="Times New Roman"/>
          <w:noProof/>
          <w:spacing w:val="-1"/>
          <w:sz w:val="20"/>
          <w:szCs w:val="20"/>
          <w:lang w:eastAsia="en-GB"/>
        </w:rPr>
        <w:t>ac</w:t>
      </w:r>
      <w:r>
        <w:rPr>
          <w:rFonts w:ascii="EC Square Sans Pro" w:eastAsia="Times New Roman" w:hAnsi="EC Square Sans Pro" w:cs="Times New Roman"/>
          <w:noProof/>
          <w:sz w:val="20"/>
          <w:szCs w:val="20"/>
          <w:lang w:eastAsia="en-GB"/>
        </w:rPr>
        <w:t>hieve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i</w:t>
      </w:r>
      <w:r>
        <w:rPr>
          <w:rFonts w:ascii="EC Square Sans Pro" w:eastAsia="Times New Roman" w:hAnsi="EC Square Sans Pro" w:cs="Times New Roman"/>
          <w:noProof/>
          <w:spacing w:val="1"/>
          <w:sz w:val="20"/>
          <w:szCs w:val="20"/>
          <w:lang w:eastAsia="en-GB"/>
        </w:rPr>
        <w:t>t</w:t>
      </w:r>
      <w:r>
        <w:rPr>
          <w:rFonts w:ascii="EC Square Sans Pro" w:eastAsia="Times New Roman" w:hAnsi="EC Square Sans Pro" w:cs="Times New Roman"/>
          <w:noProof/>
          <w:sz w:val="20"/>
          <w:szCs w:val="20"/>
          <w:lang w:eastAsia="en-GB"/>
        </w:rPr>
        <w:t>s obj</w:t>
      </w:r>
      <w:r>
        <w:rPr>
          <w:rFonts w:ascii="EC Square Sans Pro" w:eastAsia="Times New Roman" w:hAnsi="EC Square Sans Pro" w:cs="Times New Roman"/>
          <w:noProof/>
          <w:spacing w:val="-1"/>
          <w:sz w:val="20"/>
          <w:szCs w:val="20"/>
          <w:lang w:eastAsia="en-GB"/>
        </w:rPr>
        <w:t>ec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w</w:t>
      </w:r>
      <w:r>
        <w:rPr>
          <w:rFonts w:ascii="EC Square Sans Pro" w:eastAsia="Times New Roman" w:hAnsi="EC Square Sans Pro" w:cs="Times New Roman"/>
          <w:noProof/>
          <w:spacing w:val="2"/>
          <w:sz w:val="20"/>
          <w:szCs w:val="20"/>
          <w:lang w:eastAsia="en-GB"/>
        </w:rPr>
        <w:t>h</w:t>
      </w:r>
      <w:r>
        <w:rPr>
          <w:rFonts w:ascii="EC Square Sans Pro" w:eastAsia="Times New Roman" w:hAnsi="EC Square Sans Pro" w:cs="Times New Roman"/>
          <w:noProof/>
          <w:sz w:val="20"/>
          <w:szCs w:val="20"/>
          <w:lang w:eastAsia="en-GB"/>
        </w:rPr>
        <w:t>i</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minimising information technology</w:t>
      </w:r>
      <w:r>
        <w:rPr>
          <w:rFonts w:ascii="EC Square Sans Pro" w:eastAsia="Times New Roman" w:hAnsi="EC Square Sans Pro" w:cs="Times New Roman"/>
          <w:noProof/>
          <w:spacing w:val="-1"/>
          <w:sz w:val="20"/>
          <w:szCs w:val="20"/>
          <w:lang w:eastAsia="en-GB"/>
        </w:rPr>
        <w:t>-</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z w:val="20"/>
          <w:szCs w:val="20"/>
          <w:lang w:eastAsia="en-GB"/>
        </w:rPr>
        <w:t>la</w:t>
      </w:r>
      <w:r>
        <w:rPr>
          <w:rFonts w:ascii="EC Square Sans Pro" w:eastAsia="Times New Roman" w:hAnsi="EC Square Sans Pro" w:cs="Times New Roman"/>
          <w:noProof/>
          <w:spacing w:val="2"/>
          <w:sz w:val="20"/>
          <w:szCs w:val="20"/>
          <w:lang w:eastAsia="en-GB"/>
        </w:rPr>
        <w:t>t</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 xml:space="preserve">risks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 opt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m</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sing r</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z w:val="20"/>
          <w:szCs w:val="20"/>
          <w:lang w:eastAsia="en-GB"/>
        </w:rPr>
        <w:t>sou</w:t>
      </w:r>
      <w:r>
        <w:rPr>
          <w:rFonts w:ascii="EC Square Sans Pro" w:eastAsia="Times New Roman" w:hAnsi="EC Square Sans Pro" w:cs="Times New Roman"/>
          <w:noProof/>
          <w:spacing w:val="2"/>
          <w:sz w:val="20"/>
          <w:szCs w:val="20"/>
          <w:lang w:eastAsia="en-GB"/>
        </w:rPr>
        <w:t>r</w:t>
      </w:r>
      <w:r>
        <w:rPr>
          <w:rFonts w:ascii="EC Square Sans Pro" w:eastAsia="Times New Roman" w:hAnsi="EC Square Sans Pro" w:cs="Times New Roman"/>
          <w:noProof/>
          <w:spacing w:val="-1"/>
          <w:sz w:val="20"/>
          <w:szCs w:val="20"/>
          <w:lang w:eastAsia="en-GB"/>
        </w:rPr>
        <w:t>ce</w:t>
      </w:r>
      <w:r>
        <w:rPr>
          <w:rFonts w:ascii="EC Square Sans Pro" w:eastAsia="Times New Roman" w:hAnsi="EC Square Sans Pro" w:cs="Times New Roman"/>
          <w:noProof/>
          <w:sz w:val="20"/>
          <w:szCs w:val="20"/>
          <w:lang w:eastAsia="en-GB"/>
        </w:rPr>
        <w: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Publications Office’s 2018 annual activity report that relate to the area/process audited. The fieldwork was finalised on 28</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June</w:t>
      </w:r>
      <w:r>
        <w:rPr>
          <w:rFonts w:ascii="Calibri" w:eastAsia="Times New Roman" w:hAnsi="Calibri" w:cs="Times New Roman"/>
          <w:noProof/>
          <w:sz w:val="20"/>
          <w:szCs w:val="20"/>
          <w:lang w:eastAsia="en-GB"/>
        </w:rPr>
        <w:t> </w:t>
      </w:r>
      <w:r>
        <w:rPr>
          <w:rFonts w:ascii="EC Square Sans Pro" w:eastAsia="Times New Roman" w:hAnsi="EC Square Sans Pro" w:cs="Times New Roman"/>
          <w:noProof/>
          <w:sz w:val="20"/>
          <w:szCs w:val="20"/>
          <w:lang w:eastAsia="en-GB"/>
        </w:rPr>
        <w:t>2019. All recommendations relate to the situation as of that</w:t>
      </w:r>
      <w:r>
        <w:rPr>
          <w:rFonts w:ascii="EC Square Sans Pro" w:eastAsia="Times New Roman" w:hAnsi="EC Square Sans Pro" w:cs="Times New Roman"/>
          <w:noProof/>
          <w:sz w:val="20"/>
          <w:szCs w:val="20"/>
          <w:lang w:eastAsia="en-GB"/>
        </w:rPr>
        <w:t xml:space="preserve">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auditors recognised the Publications Office’s ongoing efforts to strengthen its governance and project management practices. The definition of the</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10</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str</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te</w:t>
      </w:r>
      <w:r>
        <w:rPr>
          <w:rFonts w:ascii="EC Square Sans Pro" w:eastAsia="Times New Roman" w:hAnsi="EC Square Sans Pro" w:cs="Times New Roman"/>
          <w:noProof/>
          <w:spacing w:val="-3"/>
          <w:sz w:val="20"/>
          <w:szCs w:val="20"/>
          <w:lang w:eastAsia="en-GB"/>
        </w:rPr>
        <w:t>g</w:t>
      </w: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z w:val="20"/>
          <w:szCs w:val="20"/>
          <w:lang w:eastAsia="en-GB"/>
        </w:rPr>
        <w:t>c obje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1"/>
          <w:sz w:val="20"/>
          <w:szCs w:val="20"/>
          <w:lang w:eastAsia="en-GB"/>
        </w:rPr>
        <w:t xml:space="preserve"> f</w:t>
      </w:r>
      <w:r>
        <w:rPr>
          <w:rFonts w:ascii="EC Square Sans Pro" w:eastAsia="Times New Roman" w:hAnsi="EC Square Sans Pro" w:cs="Times New Roman"/>
          <w:noProof/>
          <w:sz w:val="20"/>
          <w:szCs w:val="20"/>
          <w:lang w:eastAsia="en-GB"/>
        </w:rPr>
        <w:t>or the p</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riod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201</w:t>
      </w:r>
      <w:r>
        <w:rPr>
          <w:rFonts w:ascii="EC Square Sans Pro" w:eastAsia="Times New Roman" w:hAnsi="EC Square Sans Pro" w:cs="Times New Roman"/>
          <w:noProof/>
          <w:spacing w:val="3"/>
          <w:sz w:val="20"/>
          <w:szCs w:val="20"/>
          <w:lang w:eastAsia="en-GB"/>
        </w:rPr>
        <w:t>7</w:t>
      </w:r>
      <w:r>
        <w:rPr>
          <w:rFonts w:ascii="EC Square Sans Pro" w:eastAsia="Times New Roman" w:hAnsi="EC Square Sans Pro" w:cs="Times New Roman"/>
          <w:noProof/>
          <w:spacing w:val="-1"/>
          <w:sz w:val="20"/>
          <w:szCs w:val="20"/>
          <w:lang w:eastAsia="en-GB"/>
        </w:rPr>
        <w:t>-</w:t>
      </w:r>
      <w:r>
        <w:rPr>
          <w:rFonts w:ascii="EC Square Sans Pro" w:eastAsia="Times New Roman" w:hAnsi="EC Square Sans Pro" w:cs="Times New Roman"/>
          <w:noProof/>
          <w:sz w:val="20"/>
          <w:szCs w:val="20"/>
          <w:lang w:eastAsia="en-GB"/>
        </w:rPr>
        <w:t>20</w:t>
      </w:r>
      <w:r>
        <w:rPr>
          <w:rFonts w:ascii="EC Square Sans Pro" w:eastAsia="Times New Roman" w:hAnsi="EC Square Sans Pro" w:cs="Times New Roman"/>
          <w:noProof/>
          <w:spacing w:val="2"/>
          <w:sz w:val="20"/>
          <w:szCs w:val="20"/>
          <w:lang w:eastAsia="en-GB"/>
        </w:rPr>
        <w:t>2</w:t>
      </w:r>
      <w:r>
        <w:rPr>
          <w:rFonts w:ascii="EC Square Sans Pro" w:eastAsia="Times New Roman" w:hAnsi="EC Square Sans Pro" w:cs="Times New Roman"/>
          <w:noProof/>
          <w:sz w:val="20"/>
          <w:szCs w:val="20"/>
          <w:lang w:eastAsia="en-GB"/>
        </w:rPr>
        <w:t>5</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l</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nk</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to</w:t>
      </w:r>
      <w:r>
        <w:rPr>
          <w:rFonts w:ascii="EC Square Sans Pro" w:eastAsia="Times New Roman" w:hAnsi="EC Square Sans Pro" w:cs="Times New Roman"/>
          <w:noProof/>
          <w:spacing w:val="2"/>
          <w:sz w:val="20"/>
          <w:szCs w:val="20"/>
          <w:lang w:eastAsia="en-GB"/>
        </w:rPr>
        <w:t xml:space="preserve"> information-technology</w:t>
      </w:r>
      <w:r>
        <w:rPr>
          <w:rFonts w:ascii="EC Square Sans Pro" w:eastAsia="Times New Roman" w:hAnsi="EC Square Sans Pro" w:cs="Times New Roman"/>
          <w:noProof/>
          <w:sz w:val="20"/>
          <w:szCs w:val="20"/>
          <w:lang w:eastAsia="en-GB"/>
        </w:rPr>
        <w:t xml:space="preserve"> p</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oje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ts,</w:t>
      </w:r>
      <w:r>
        <w:rPr>
          <w:rFonts w:ascii="EC Square Sans Pro" w:eastAsia="Times New Roman" w:hAnsi="EC Square Sans Pro" w:cs="Times New Roman"/>
          <w:noProof/>
          <w:spacing w:val="6"/>
          <w:sz w:val="20"/>
          <w:szCs w:val="20"/>
          <w:lang w:eastAsia="en-GB"/>
        </w:rPr>
        <w:t xml:space="preserve"> </w:t>
      </w:r>
      <w:r>
        <w:rPr>
          <w:rFonts w:ascii="EC Square Sans Pro" w:eastAsia="Times New Roman" w:hAnsi="EC Square Sans Pro" w:cs="Times New Roman"/>
          <w:noProof/>
          <w:spacing w:val="2"/>
          <w:sz w:val="20"/>
          <w:szCs w:val="20"/>
          <w:lang w:eastAsia="en-GB"/>
        </w:rPr>
        <w:t>s</w:t>
      </w:r>
      <w:r>
        <w:rPr>
          <w:rFonts w:ascii="EC Square Sans Pro" w:eastAsia="Times New Roman" w:hAnsi="EC Square Sans Pro" w:cs="Times New Roman"/>
          <w:noProof/>
          <w:spacing w:val="-5"/>
          <w:sz w:val="20"/>
          <w:szCs w:val="20"/>
          <w:lang w:eastAsia="en-GB"/>
        </w:rPr>
        <w:t>y</w:t>
      </w:r>
      <w:r>
        <w:rPr>
          <w:rFonts w:ascii="EC Square Sans Pro" w:eastAsia="Times New Roman" w:hAnsi="EC Square Sans Pro" w:cs="Times New Roman"/>
          <w:noProof/>
          <w:sz w:val="20"/>
          <w:szCs w:val="20"/>
          <w:lang w:eastAsia="en-GB"/>
        </w:rPr>
        <w:t>stems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w</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lop</w:t>
      </w:r>
      <w:r>
        <w:rPr>
          <w:rFonts w:ascii="EC Square Sans Pro" w:eastAsia="Times New Roman" w:hAnsi="EC Square Sans Pro" w:cs="Times New Roman"/>
          <w:noProof/>
          <w:spacing w:val="1"/>
          <w:sz w:val="20"/>
          <w:szCs w:val="20"/>
          <w:lang w:eastAsia="en-GB"/>
        </w:rPr>
        <w:t>m</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nts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is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a</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y v</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l</w:t>
      </w:r>
      <w:r>
        <w:rPr>
          <w:rFonts w:ascii="EC Square Sans Pro" w:eastAsia="Times New Roman" w:hAnsi="EC Square Sans Pro" w:cs="Times New Roman"/>
          <w:noProof/>
          <w:spacing w:val="3"/>
          <w:sz w:val="20"/>
          <w:szCs w:val="20"/>
          <w:lang w:eastAsia="en-GB"/>
        </w:rPr>
        <w:t>u</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ble</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z w:val="20"/>
          <w:szCs w:val="20"/>
          <w:lang w:eastAsia="en-GB"/>
        </w:rPr>
        <w:t>tool</w:t>
      </w:r>
      <w:r>
        <w:rPr>
          <w:rFonts w:ascii="EC Square Sans Pro" w:eastAsia="Times New Roman" w:hAnsi="EC Square Sans Pro" w:cs="Times New Roman"/>
          <w:noProof/>
          <w:spacing w:val="5"/>
          <w:sz w:val="20"/>
          <w:szCs w:val="20"/>
          <w:lang w:eastAsia="en-GB"/>
        </w:rPr>
        <w:t xml:space="preserve"> in helping </w:t>
      </w:r>
      <w:r>
        <w:rPr>
          <w:rFonts w:ascii="EC Square Sans Pro" w:eastAsia="Times New Roman" w:hAnsi="EC Square Sans Pro" w:cs="Times New Roman"/>
          <w:noProof/>
          <w:sz w:val="20"/>
          <w:szCs w:val="20"/>
          <w:lang w:eastAsia="en-GB"/>
        </w:rPr>
        <w:t>to</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lop</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a</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le</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6"/>
          <w:sz w:val="20"/>
          <w:szCs w:val="20"/>
          <w:lang w:eastAsia="en-GB"/>
        </w:rPr>
        <w:t xml:space="preserve"> information-technology</w:t>
      </w:r>
      <w:r>
        <w:rPr>
          <w:rFonts w:ascii="EC Square Sans Pro" w:eastAsia="Times New Roman" w:hAnsi="EC Square Sans Pro" w:cs="Times New Roman"/>
          <w:noProof/>
          <w:sz w:val="20"/>
          <w:szCs w:val="20"/>
          <w:lang w:eastAsia="en-GB"/>
        </w:rPr>
        <w:t xml:space="preserve"> str</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ic</w:t>
      </w:r>
      <w:r>
        <w:rPr>
          <w:rFonts w:ascii="EC Square Sans Pro" w:eastAsia="Times New Roman" w:hAnsi="EC Square Sans Pro" w:cs="Times New Roman"/>
          <w:noProof/>
          <w:spacing w:val="23"/>
          <w:sz w:val="20"/>
          <w:szCs w:val="20"/>
          <w:lang w:eastAsia="en-GB"/>
        </w:rPr>
        <w:t xml:space="preserve"> </w:t>
      </w:r>
      <w:r>
        <w:rPr>
          <w:rFonts w:ascii="EC Square Sans Pro" w:eastAsia="Times New Roman" w:hAnsi="EC Square Sans Pro" w:cs="Times New Roman"/>
          <w:noProof/>
          <w:sz w:val="20"/>
          <w:szCs w:val="20"/>
          <w:lang w:eastAsia="en-GB"/>
        </w:rPr>
        <w:t>view</w:t>
      </w:r>
      <w:r>
        <w:rPr>
          <w:rFonts w:ascii="EC Square Sans Pro" w:eastAsia="Times New Roman" w:hAnsi="EC Square Sans Pro" w:cs="Times New Roman"/>
          <w:noProof/>
          <w:spacing w:val="23"/>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25"/>
          <w:sz w:val="20"/>
          <w:szCs w:val="20"/>
          <w:lang w:eastAsia="en-GB"/>
        </w:rPr>
        <w:t xml:space="preserve"> </w:t>
      </w:r>
      <w:r>
        <w:rPr>
          <w:rFonts w:ascii="EC Square Sans Pro" w:eastAsia="Times New Roman" w:hAnsi="EC Square Sans Pro" w:cs="Times New Roman"/>
          <w:noProof/>
          <w:sz w:val="20"/>
          <w:szCs w:val="20"/>
          <w:lang w:eastAsia="en-GB"/>
        </w:rPr>
        <w:t>to</w:t>
      </w:r>
      <w:r>
        <w:rPr>
          <w:rFonts w:ascii="EC Square Sans Pro" w:eastAsia="Times New Roman" w:hAnsi="EC Square Sans Pro" w:cs="Times New Roman"/>
          <w:noProof/>
          <w:spacing w:val="24"/>
          <w:sz w:val="20"/>
          <w:szCs w:val="20"/>
          <w:lang w:eastAsia="en-GB"/>
        </w:rPr>
        <w:t xml:space="preserve"> </w:t>
      </w:r>
      <w:r>
        <w:rPr>
          <w:rFonts w:ascii="EC Square Sans Pro" w:eastAsia="Times New Roman" w:hAnsi="EC Square Sans Pro" w:cs="Times New Roman"/>
          <w:noProof/>
          <w:sz w:val="20"/>
          <w:szCs w:val="20"/>
          <w:lang w:eastAsia="en-GB"/>
        </w:rPr>
        <w:t>leverage the</w:t>
      </w:r>
      <w:r>
        <w:rPr>
          <w:rFonts w:ascii="EC Square Sans Pro" w:eastAsia="Times New Roman" w:hAnsi="EC Square Sans Pro" w:cs="Times New Roman"/>
          <w:noProof/>
          <w:spacing w:val="23"/>
          <w:sz w:val="20"/>
          <w:szCs w:val="20"/>
          <w:lang w:eastAsia="en-GB"/>
        </w:rPr>
        <w:t xml:space="preserve"> </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hnol</w:t>
      </w:r>
      <w:r>
        <w:rPr>
          <w:rFonts w:ascii="EC Square Sans Pro" w:eastAsia="Times New Roman" w:hAnsi="EC Square Sans Pro" w:cs="Times New Roman"/>
          <w:noProof/>
          <w:spacing w:val="3"/>
          <w:sz w:val="20"/>
          <w:szCs w:val="20"/>
          <w:lang w:eastAsia="en-GB"/>
        </w:rPr>
        <w:t>o</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 xml:space="preserve">y necessary </w:t>
      </w:r>
      <w:r>
        <w:rPr>
          <w:rFonts w:ascii="EC Square Sans Pro" w:eastAsia="Times New Roman" w:hAnsi="EC Square Sans Pro" w:cs="Times New Roman"/>
          <w:noProof/>
          <w:spacing w:val="3"/>
          <w:sz w:val="20"/>
          <w:szCs w:val="20"/>
          <w:lang w:eastAsia="en-GB"/>
        </w:rPr>
        <w:t>t</w:t>
      </w:r>
      <w:r>
        <w:rPr>
          <w:rFonts w:ascii="EC Square Sans Pro" w:eastAsia="Times New Roman" w:hAnsi="EC Square Sans Pro" w:cs="Times New Roman"/>
          <w:noProof/>
          <w:sz w:val="20"/>
          <w:szCs w:val="20"/>
          <w:lang w:eastAsia="en-GB"/>
        </w:rPr>
        <w:t>o</w:t>
      </w:r>
      <w:r>
        <w:rPr>
          <w:rFonts w:ascii="EC Square Sans Pro" w:eastAsia="Times New Roman" w:hAnsi="EC Square Sans Pro" w:cs="Times New Roman"/>
          <w:noProof/>
          <w:spacing w:val="26"/>
          <w:sz w:val="20"/>
          <w:szCs w:val="20"/>
          <w:lang w:eastAsia="en-GB"/>
        </w:rPr>
        <w:t xml:space="preserve"> </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f</w:t>
      </w:r>
      <w:r>
        <w:rPr>
          <w:rFonts w:ascii="EC Square Sans Pro" w:eastAsia="Times New Roman" w:hAnsi="EC Square Sans Pro" w:cs="Times New Roman"/>
          <w:noProof/>
          <w:spacing w:val="-1"/>
          <w:sz w:val="20"/>
          <w:szCs w:val="20"/>
          <w:lang w:eastAsia="en-GB"/>
        </w:rPr>
        <w:t>f</w:t>
      </w:r>
      <w:r>
        <w:rPr>
          <w:rFonts w:ascii="EC Square Sans Pro" w:eastAsia="Times New Roman" w:hAnsi="EC Square Sans Pro" w:cs="Times New Roman"/>
          <w:noProof/>
          <w:sz w:val="20"/>
          <w:szCs w:val="20"/>
          <w:lang w:eastAsia="en-GB"/>
        </w:rPr>
        <w:t>ici</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nt</w:t>
      </w:r>
      <w:r>
        <w:rPr>
          <w:rFonts w:ascii="EC Square Sans Pro" w:eastAsia="Times New Roman" w:hAnsi="EC Square Sans Pro" w:cs="Times New Roman"/>
          <w:noProof/>
          <w:spacing w:val="6"/>
          <w:sz w:val="20"/>
          <w:szCs w:val="20"/>
          <w:lang w:eastAsia="en-GB"/>
        </w:rPr>
        <w:t>l</w:t>
      </w:r>
      <w:r>
        <w:rPr>
          <w:rFonts w:ascii="EC Square Sans Pro" w:eastAsia="Times New Roman" w:hAnsi="EC Square Sans Pro" w:cs="Times New Roman"/>
          <w:noProof/>
          <w:sz w:val="20"/>
          <w:szCs w:val="20"/>
          <w:lang w:eastAsia="en-GB"/>
        </w:rPr>
        <w:t>y</w:t>
      </w:r>
      <w:r>
        <w:rPr>
          <w:rFonts w:ascii="EC Square Sans Pro" w:eastAsia="Times New Roman" w:hAnsi="EC Square Sans Pro" w:cs="Times New Roman"/>
          <w:noProof/>
          <w:spacing w:val="19"/>
          <w:sz w:val="20"/>
          <w:szCs w:val="20"/>
          <w:lang w:eastAsia="en-GB"/>
        </w:rPr>
        <w:t xml:space="preserve"> </w:t>
      </w:r>
      <w:r>
        <w:rPr>
          <w:rFonts w:ascii="EC Square Sans Pro" w:eastAsia="Times New Roman" w:hAnsi="EC Square Sans Pro" w:cs="Times New Roman"/>
          <w:noProof/>
          <w:spacing w:val="-1"/>
          <w:sz w:val="20"/>
          <w:szCs w:val="20"/>
          <w:lang w:eastAsia="en-GB"/>
        </w:rPr>
        <w:t>ac</w:t>
      </w:r>
      <w:r>
        <w:rPr>
          <w:rFonts w:ascii="EC Square Sans Pro" w:eastAsia="Times New Roman" w:hAnsi="EC Square Sans Pro" w:cs="Times New Roman"/>
          <w:noProof/>
          <w:sz w:val="20"/>
          <w:szCs w:val="20"/>
          <w:lang w:eastAsia="en-GB"/>
        </w:rPr>
        <w:t>h</w:t>
      </w: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ve</w:t>
      </w:r>
      <w:r>
        <w:rPr>
          <w:rFonts w:ascii="EC Square Sans Pro" w:eastAsia="Times New Roman" w:hAnsi="EC Square Sans Pro" w:cs="Times New Roman"/>
          <w:noProof/>
          <w:spacing w:val="23"/>
          <w:sz w:val="20"/>
          <w:szCs w:val="20"/>
          <w:lang w:eastAsia="en-GB"/>
        </w:rPr>
        <w:t xml:space="preserve"> </w:t>
      </w:r>
      <w:r>
        <w:rPr>
          <w:rFonts w:ascii="EC Square Sans Pro" w:eastAsia="Times New Roman" w:hAnsi="EC Square Sans Pro" w:cs="Times New Roman"/>
          <w:noProof/>
          <w:sz w:val="20"/>
          <w:szCs w:val="20"/>
          <w:lang w:eastAsia="en-GB"/>
        </w:rPr>
        <w:t>its</w:t>
      </w:r>
      <w:r>
        <w:rPr>
          <w:rFonts w:ascii="EC Square Sans Pro" w:eastAsia="Times New Roman" w:hAnsi="EC Square Sans Pro" w:cs="Times New Roman"/>
          <w:noProof/>
          <w:spacing w:val="25"/>
          <w:sz w:val="20"/>
          <w:szCs w:val="20"/>
          <w:lang w:eastAsia="en-GB"/>
        </w:rPr>
        <w:t xml:space="preserve"> </w:t>
      </w:r>
      <w:r>
        <w:rPr>
          <w:rFonts w:ascii="EC Square Sans Pro" w:eastAsia="Times New Roman" w:hAnsi="EC Square Sans Pro" w:cs="Times New Roman"/>
          <w:noProof/>
          <w:sz w:val="20"/>
          <w:szCs w:val="20"/>
          <w:lang w:eastAsia="en-GB"/>
        </w:rPr>
        <w:t>m</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on.</w:t>
      </w:r>
      <w:r>
        <w:rPr>
          <w:rFonts w:ascii="EC Square Sans Pro" w:eastAsia="Times New Roman" w:hAnsi="EC Square Sans Pro" w:cs="Times New Roman"/>
          <w:noProof/>
          <w:spacing w:val="26"/>
          <w:sz w:val="20"/>
          <w:szCs w:val="20"/>
          <w:lang w:eastAsia="en-GB"/>
        </w:rPr>
        <w:t xml:space="preserve"> </w:t>
      </w:r>
      <w:r>
        <w:rPr>
          <w:rFonts w:ascii="EC Square Sans Pro" w:eastAsia="Times New Roman" w:hAnsi="EC Square Sans Pro" w:cs="Times New Roman"/>
          <w:noProof/>
          <w:sz w:val="20"/>
          <w:szCs w:val="20"/>
          <w:lang w:eastAsia="en-GB"/>
        </w:rPr>
        <w:t>The</w:t>
      </w:r>
      <w:r>
        <w:rPr>
          <w:rFonts w:ascii="EC Square Sans Pro" w:eastAsia="Times New Roman" w:hAnsi="EC Square Sans Pro" w:cs="Times New Roman"/>
          <w:noProof/>
          <w:spacing w:val="-3"/>
          <w:sz w:val="20"/>
          <w:szCs w:val="20"/>
          <w:lang w:eastAsia="en-GB"/>
        </w:rPr>
        <w:t xml:space="preserve"> information technology</w:t>
      </w:r>
      <w:r>
        <w:rPr>
          <w:rFonts w:ascii="EC Square Sans Pro" w:eastAsia="Times New Roman" w:hAnsi="EC Square Sans Pro" w:cs="Times New Roman"/>
          <w:noProof/>
          <w:spacing w:val="7"/>
          <w:sz w:val="20"/>
          <w:szCs w:val="20"/>
          <w:lang w:eastAsia="en-GB"/>
        </w:rPr>
        <w:t xml:space="preserve"> </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ov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rn</w:t>
      </w:r>
      <w:r>
        <w:rPr>
          <w:rFonts w:ascii="EC Square Sans Pro" w:eastAsia="Times New Roman" w:hAnsi="EC Square Sans Pro" w:cs="Times New Roman"/>
          <w:noProof/>
          <w:spacing w:val="-2"/>
          <w:sz w:val="20"/>
          <w:szCs w:val="20"/>
          <w:lang w:eastAsia="en-GB"/>
        </w:rPr>
        <w:t>a</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model</w:t>
      </w:r>
      <w:r>
        <w:rPr>
          <w:rFonts w:ascii="EC Square Sans Pro" w:eastAsia="Times New Roman" w:hAnsi="EC Square Sans Pro" w:cs="Times New Roman"/>
          <w:noProof/>
          <w:spacing w:val="6"/>
          <w:sz w:val="20"/>
          <w:szCs w:val="20"/>
          <w:lang w:eastAsia="en-GB"/>
        </w:rPr>
        <w:t xml:space="preserve"> </w:t>
      </w:r>
      <w:r>
        <w:rPr>
          <w:rFonts w:ascii="EC Square Sans Pro" w:eastAsia="Times New Roman" w:hAnsi="EC Square Sans Pro" w:cs="Times New Roman"/>
          <w:noProof/>
          <w:sz w:val="20"/>
          <w:szCs w:val="20"/>
          <w:lang w:eastAsia="en-GB"/>
        </w:rPr>
        <w:t>h</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b</w:t>
      </w:r>
      <w:r>
        <w:rPr>
          <w:rFonts w:ascii="EC Square Sans Pro" w:eastAsia="Times New Roman" w:hAnsi="EC Square Sans Pro" w:cs="Times New Roman"/>
          <w:noProof/>
          <w:spacing w:val="-1"/>
          <w:sz w:val="20"/>
          <w:szCs w:val="20"/>
          <w:lang w:eastAsia="en-GB"/>
        </w:rPr>
        <w:t>ee</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nt</w:t>
      </w:r>
      <w:r>
        <w:rPr>
          <w:rFonts w:ascii="EC Square Sans Pro" w:eastAsia="Times New Roman" w:hAnsi="EC Square Sans Pro" w:cs="Times New Roman"/>
          <w:noProof/>
          <w:spacing w:val="3"/>
          <w:sz w:val="20"/>
          <w:szCs w:val="20"/>
          <w:lang w:eastAsia="en-GB"/>
        </w:rPr>
        <w:t>l</w:t>
      </w:r>
      <w:r>
        <w:rPr>
          <w:rFonts w:ascii="EC Square Sans Pro" w:eastAsia="Times New Roman" w:hAnsi="EC Square Sans Pro" w:cs="Times New Roman"/>
          <w:noProof/>
          <w:sz w:val="20"/>
          <w:szCs w:val="20"/>
          <w:lang w:eastAsia="en-GB"/>
        </w:rPr>
        <w:t>y redefined</w:t>
      </w:r>
      <w:r>
        <w:rPr>
          <w:rFonts w:ascii="EC Square Sans Pro" w:eastAsia="Times New Roman" w:hAnsi="EC Square Sans Pro" w:cs="Times New Roman"/>
          <w:noProof/>
          <w:spacing w:val="6"/>
          <w:sz w:val="20"/>
          <w:szCs w:val="20"/>
          <w:lang w:eastAsia="en-GB"/>
        </w:rPr>
        <w:t xml:space="preserve"> </w:t>
      </w:r>
      <w:r>
        <w:rPr>
          <w:rFonts w:ascii="EC Square Sans Pro" w:eastAsia="Times New Roman" w:hAnsi="EC Square Sans Pro" w:cs="Times New Roman"/>
          <w:noProof/>
          <w:sz w:val="20"/>
          <w:szCs w:val="20"/>
          <w:lang w:eastAsia="en-GB"/>
        </w:rPr>
        <w:t>to</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ddr</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these</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h</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l</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z w:val="20"/>
          <w:szCs w:val="20"/>
          <w:lang w:eastAsia="en-GB"/>
        </w:rPr>
        <w:t>a number</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of</w:t>
      </w:r>
      <w:r>
        <w:rPr>
          <w:rFonts w:ascii="EC Square Sans Pro" w:eastAsia="Times New Roman" w:hAnsi="EC Square Sans Pro" w:cs="Times New Roman"/>
          <w:noProof/>
          <w:spacing w:val="1"/>
          <w:sz w:val="20"/>
          <w:szCs w:val="20"/>
          <w:lang w:eastAsia="en-GB"/>
        </w:rPr>
        <w:t xml:space="preserve"> information-technology</w:t>
      </w:r>
      <w:r>
        <w:rPr>
          <w:rFonts w:ascii="EC Square Sans Pro" w:eastAsia="Times New Roman" w:hAnsi="EC Square Sans Pro" w:cs="Times New Roman"/>
          <w:noProof/>
          <w:sz w:val="20"/>
          <w:szCs w:val="20"/>
          <w:lang w:eastAsia="en-GB"/>
        </w:rPr>
        <w:t xml:space="preserve"> proj</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ts are now more explicitly l</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nk</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 xml:space="preserve">d to </w:t>
      </w:r>
      <w:r>
        <w:rPr>
          <w:rFonts w:ascii="EC Square Sans Pro" w:eastAsia="Times New Roman" w:hAnsi="EC Square Sans Pro" w:cs="Times New Roman"/>
          <w:noProof/>
          <w:spacing w:val="1"/>
          <w:sz w:val="20"/>
          <w:szCs w:val="20"/>
          <w:lang w:eastAsia="en-GB"/>
        </w:rPr>
        <w:t>t</w:t>
      </w:r>
      <w:r>
        <w:rPr>
          <w:rFonts w:ascii="EC Square Sans Pro" w:eastAsia="Times New Roman" w:hAnsi="EC Square Sans Pro" w:cs="Times New Roman"/>
          <w:noProof/>
          <w:sz w:val="20"/>
          <w:szCs w:val="20"/>
          <w:lang w:eastAsia="en-GB"/>
        </w:rPr>
        <w:t>h</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2"/>
          <w:sz w:val="20"/>
          <w:szCs w:val="20"/>
          <w:lang w:eastAsia="en-GB"/>
        </w:rPr>
        <w:t>o</w:t>
      </w:r>
      <w:r>
        <w:rPr>
          <w:rFonts w:ascii="EC Square Sans Pro" w:eastAsia="Times New Roman" w:hAnsi="EC Square Sans Pro" w:cs="Times New Roman"/>
          <w:noProof/>
          <w:sz w:val="20"/>
          <w:szCs w:val="20"/>
          <w:lang w:eastAsia="en-GB"/>
        </w:rPr>
        <w:t>bje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 which has in turn led to tangible improvements. For example, most of the pro</w:t>
      </w:r>
      <w:r>
        <w:rPr>
          <w:rFonts w:ascii="EC Square Sans Pro" w:eastAsia="Times New Roman" w:hAnsi="EC Square Sans Pro" w:cs="Times New Roman"/>
          <w:noProof/>
          <w:spacing w:val="2"/>
          <w:sz w:val="20"/>
          <w:szCs w:val="20"/>
          <w:lang w:eastAsia="en-GB"/>
        </w:rPr>
        <w:t>j</w:t>
      </w:r>
      <w:r>
        <w:rPr>
          <w:rFonts w:ascii="EC Square Sans Pro" w:eastAsia="Times New Roman" w:hAnsi="EC Square Sans Pro" w:cs="Times New Roman"/>
          <w:noProof/>
          <w:spacing w:val="-1"/>
          <w:sz w:val="20"/>
          <w:szCs w:val="20"/>
          <w:lang w:eastAsia="en-GB"/>
        </w:rPr>
        <w:t>ec</w:t>
      </w:r>
      <w:r>
        <w:rPr>
          <w:rFonts w:ascii="EC Square Sans Pro" w:eastAsia="Times New Roman" w:hAnsi="EC Square Sans Pro" w:cs="Times New Roman"/>
          <w:noProof/>
          <w:sz w:val="20"/>
          <w:szCs w:val="20"/>
          <w:lang w:eastAsia="en-GB"/>
        </w:rPr>
        <w:t>ts covered as part of the audit s</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mp</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are now accompanied by a</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proj</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 status r</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port b</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d on</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a</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om</w:t>
      </w:r>
      <w:r>
        <w:rPr>
          <w:rFonts w:ascii="EC Square Sans Pro" w:eastAsia="Times New Roman" w:hAnsi="EC Square Sans Pro" w:cs="Times New Roman"/>
          <w:noProof/>
          <w:spacing w:val="1"/>
          <w:sz w:val="20"/>
          <w:szCs w:val="20"/>
          <w:lang w:eastAsia="en-GB"/>
        </w:rPr>
        <w:t>m</w:t>
      </w:r>
      <w:r>
        <w:rPr>
          <w:rFonts w:ascii="EC Square Sans Pro" w:eastAsia="Times New Roman" w:hAnsi="EC Square Sans Pro" w:cs="Times New Roman"/>
          <w:noProof/>
          <w:sz w:val="20"/>
          <w:szCs w:val="20"/>
          <w:lang w:eastAsia="en-GB"/>
        </w:rPr>
        <w:t>on template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used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 xml:space="preserve">in </w:t>
      </w:r>
      <w:r>
        <w:rPr>
          <w:rFonts w:ascii="EC Square Sans Pro" w:eastAsia="Times New Roman" w:hAnsi="EC Square Sans Pro" w:cs="Times New Roman"/>
          <w:noProof/>
          <w:spacing w:val="1"/>
          <w:sz w:val="20"/>
          <w:szCs w:val="20"/>
          <w:lang w:eastAsia="en-GB"/>
        </w:rPr>
        <w:t>t</w:t>
      </w:r>
      <w:r>
        <w:rPr>
          <w:rFonts w:ascii="EC Square Sans Pro" w:eastAsia="Times New Roman" w:hAnsi="EC Square Sans Pro" w:cs="Times New Roman"/>
          <w:noProof/>
          <w:sz w:val="20"/>
          <w:szCs w:val="20"/>
          <w:lang w:eastAsia="en-GB"/>
        </w:rPr>
        <w:t>he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1"/>
          <w:sz w:val="20"/>
          <w:szCs w:val="20"/>
          <w:lang w:eastAsia="en-GB"/>
        </w:rPr>
        <w:t>P</w:t>
      </w:r>
      <w:r>
        <w:rPr>
          <w:rFonts w:ascii="EC Square Sans Pro" w:eastAsia="Times New Roman" w:hAnsi="EC Square Sans Pro" w:cs="Times New Roman"/>
          <w:noProof/>
          <w:sz w:val="20"/>
          <w:szCs w:val="20"/>
          <w:lang w:eastAsia="en-GB"/>
        </w:rPr>
        <w:t>M² m</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thodo</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z w:val="20"/>
          <w:szCs w:val="20"/>
          <w:lang w:eastAsia="en-GB"/>
        </w:rPr>
        <w:t>og</w:t>
      </w:r>
      <w:r>
        <w:rPr>
          <w:rFonts w:ascii="EC Square Sans Pro" w:eastAsia="Times New Roman" w:hAnsi="EC Square Sans Pro" w:cs="Times New Roman"/>
          <w:noProof/>
          <w:spacing w:val="-2"/>
          <w:sz w:val="20"/>
          <w:szCs w:val="20"/>
          <w:lang w:eastAsia="en-GB"/>
        </w:rPr>
        <w:t>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ddi</w:t>
      </w:r>
      <w:r>
        <w:rPr>
          <w:rFonts w:ascii="EC Square Sans Pro" w:eastAsia="Times New Roman" w:hAnsi="EC Square Sans Pro" w:cs="Times New Roman"/>
          <w:noProof/>
          <w:spacing w:val="1"/>
          <w:sz w:val="20"/>
          <w:szCs w:val="20"/>
          <w:lang w:eastAsia="en-GB"/>
        </w:rPr>
        <w:t>t</w:t>
      </w:r>
      <w:r>
        <w:rPr>
          <w:rFonts w:ascii="EC Square Sans Pro" w:eastAsia="Times New Roman" w:hAnsi="EC Square Sans Pro" w:cs="Times New Roman"/>
          <w:noProof/>
          <w:sz w:val="20"/>
          <w:szCs w:val="20"/>
          <w:lang w:eastAsia="en-GB"/>
        </w:rPr>
        <w:t>ion,</w:t>
      </w:r>
      <w:r>
        <w:rPr>
          <w:rFonts w:ascii="EC Square Sans Pro" w:eastAsia="Times New Roman" w:hAnsi="EC Square Sans Pro" w:cs="Times New Roman"/>
          <w:noProof/>
          <w:spacing w:val="2"/>
          <w:sz w:val="20"/>
          <w:szCs w:val="20"/>
          <w:lang w:eastAsia="en-GB"/>
        </w:rPr>
        <w:t xml:space="preserve"> the Publications Office </w:t>
      </w:r>
      <w:r>
        <w:rPr>
          <w:rFonts w:ascii="EC Square Sans Pro" w:eastAsia="Times New Roman" w:hAnsi="EC Square Sans Pro" w:cs="Times New Roman"/>
          <w:noProof/>
          <w:sz w:val="20"/>
          <w:szCs w:val="20"/>
          <w:lang w:eastAsia="en-GB"/>
        </w:rPr>
        <w:t>h</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pacing w:val="3"/>
          <w:sz w:val="20"/>
          <w:szCs w:val="20"/>
          <w:lang w:eastAsia="en-GB"/>
        </w:rPr>
        <w:t>m</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pacing w:val="2"/>
          <w:sz w:val="20"/>
          <w:szCs w:val="20"/>
          <w:lang w:eastAsia="en-GB"/>
        </w:rPr>
        <w:t>d</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5"/>
          <w:sz w:val="20"/>
          <w:szCs w:val="20"/>
          <w:lang w:eastAsia="en-GB"/>
        </w:rPr>
        <w:t xml:space="preserve"> </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ood</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use</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z w:val="20"/>
          <w:szCs w:val="20"/>
          <w:lang w:eastAsia="en-GB"/>
        </w:rPr>
        <w:t>of</w:t>
      </w:r>
      <w:r>
        <w:rPr>
          <w:rFonts w:ascii="EC Square Sans Pro" w:eastAsia="Times New Roman" w:hAnsi="EC Square Sans Pro" w:cs="Times New Roman"/>
          <w:noProof/>
          <w:spacing w:val="4"/>
          <w:sz w:val="20"/>
          <w:szCs w:val="20"/>
          <w:lang w:eastAsia="en-GB"/>
        </w:rPr>
        <w:t xml:space="preserve"> b</w:t>
      </w:r>
      <w:r>
        <w:rPr>
          <w:rFonts w:ascii="EC Square Sans Pro" w:eastAsia="Times New Roman" w:hAnsi="EC Square Sans Pro" w:cs="Times New Roman"/>
          <w:noProof/>
          <w:sz w:val="20"/>
          <w:szCs w:val="20"/>
          <w:lang w:eastAsia="en-GB"/>
        </w:rPr>
        <w:t>usiness</w:t>
      </w:r>
      <w:r>
        <w:rPr>
          <w:rFonts w:ascii="EC Square Sans Pro" w:eastAsia="Times New Roman" w:hAnsi="EC Square Sans Pro" w:cs="Times New Roman"/>
          <w:noProof/>
          <w:spacing w:val="5"/>
          <w:sz w:val="20"/>
          <w:szCs w:val="20"/>
          <w:lang w:eastAsia="en-GB"/>
        </w:rPr>
        <w:t xml:space="preserve"> p</w:t>
      </w:r>
      <w:r>
        <w:rPr>
          <w:rFonts w:ascii="EC Square Sans Pro" w:eastAsia="Times New Roman" w:hAnsi="EC Square Sans Pro" w:cs="Times New Roman"/>
          <w:noProof/>
          <w:sz w:val="20"/>
          <w:szCs w:val="20"/>
          <w:lang w:eastAsia="en-GB"/>
        </w:rPr>
        <w:t>ro</w:t>
      </w:r>
      <w:r>
        <w:rPr>
          <w:rFonts w:ascii="EC Square Sans Pro" w:eastAsia="Times New Roman" w:hAnsi="EC Square Sans Pro" w:cs="Times New Roman"/>
          <w:noProof/>
          <w:spacing w:val="-2"/>
          <w:sz w:val="20"/>
          <w:szCs w:val="20"/>
          <w:lang w:eastAsia="en-GB"/>
        </w:rPr>
        <w:t>c</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3"/>
          <w:sz w:val="20"/>
          <w:szCs w:val="20"/>
          <w:lang w:eastAsia="en-GB"/>
        </w:rPr>
        <w:t xml:space="preserve"> mo</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l</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z w:val="20"/>
          <w:szCs w:val="20"/>
          <w:lang w:eastAsia="en-GB"/>
        </w:rPr>
        <w:t>i</w:t>
      </w:r>
      <w:r>
        <w:rPr>
          <w:rFonts w:ascii="EC Square Sans Pro" w:eastAsia="Times New Roman" w:hAnsi="EC Square Sans Pro" w:cs="Times New Roman"/>
          <w:noProof/>
          <w:spacing w:val="3"/>
          <w:sz w:val="20"/>
          <w:szCs w:val="20"/>
          <w:lang w:eastAsia="en-GB"/>
        </w:rPr>
        <w:t>n</w:t>
      </w:r>
      <w:r>
        <w:rPr>
          <w:rFonts w:ascii="EC Square Sans Pro" w:eastAsia="Times New Roman" w:hAnsi="EC Square Sans Pro" w:cs="Times New Roman"/>
          <w:noProof/>
          <w:sz w:val="20"/>
          <w:szCs w:val="20"/>
          <w:lang w:eastAsia="en-GB"/>
        </w:rPr>
        <w:t>g p</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pacing w:val="-1"/>
          <w:sz w:val="20"/>
          <w:szCs w:val="20"/>
          <w:lang w:eastAsia="en-GB"/>
        </w:rPr>
        <w:t>ce</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f</w:t>
      </w:r>
      <w:r>
        <w:rPr>
          <w:rFonts w:ascii="EC Square Sans Pro" w:eastAsia="Times New Roman" w:hAnsi="EC Square Sans Pro" w:cs="Times New Roman"/>
          <w:noProof/>
          <w:spacing w:val="1"/>
          <w:sz w:val="20"/>
          <w:szCs w:val="20"/>
          <w:lang w:eastAsia="en-GB"/>
        </w:rPr>
        <w:t>o</w:t>
      </w:r>
      <w:r>
        <w:rPr>
          <w:rFonts w:ascii="EC Square Sans Pro" w:eastAsia="Times New Roman" w:hAnsi="EC Square Sans Pro" w:cs="Times New Roman"/>
          <w:noProof/>
          <w:sz w:val="20"/>
          <w:szCs w:val="20"/>
          <w:lang w:eastAsia="en-GB"/>
        </w:rPr>
        <w:t>r modell</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 xml:space="preserve">ng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2"/>
          <w:sz w:val="20"/>
          <w:szCs w:val="20"/>
          <w:lang w:eastAsia="en-GB"/>
        </w:rPr>
        <w:t xml:space="preserve"> 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sign</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ng the</w:t>
      </w:r>
      <w:r>
        <w:rPr>
          <w:rFonts w:ascii="EC Square Sans Pro" w:eastAsia="Times New Roman" w:hAnsi="EC Square Sans Pro" w:cs="Times New Roman"/>
          <w:noProof/>
          <w:spacing w:val="4"/>
          <w:sz w:val="20"/>
          <w:szCs w:val="20"/>
          <w:lang w:eastAsia="en-GB"/>
        </w:rPr>
        <w:t xml:space="preserve"> </w:t>
      </w:r>
      <w:r>
        <w:rPr>
          <w:rFonts w:ascii="EC Square Sans Pro" w:eastAsia="Times New Roman" w:hAnsi="EC Square Sans Pro" w:cs="Times New Roman"/>
          <w:noProof/>
          <w:sz w:val="20"/>
          <w:szCs w:val="20"/>
          <w:lang w:eastAsia="en-GB"/>
        </w:rPr>
        <w:t>busin</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z w:val="20"/>
          <w:szCs w:val="20"/>
          <w:lang w:eastAsia="en-GB"/>
        </w:rPr>
        <w:t>p</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pacing w:val="2"/>
          <w:sz w:val="20"/>
          <w:szCs w:val="20"/>
          <w:lang w:eastAsia="en-GB"/>
        </w:rPr>
        <w:t>o</w:t>
      </w:r>
      <w:r>
        <w:rPr>
          <w:rFonts w:ascii="EC Square Sans Pro" w:eastAsia="Times New Roman" w:hAnsi="EC Square Sans Pro" w:cs="Times New Roman"/>
          <w:noProof/>
          <w:spacing w:val="-1"/>
          <w:sz w:val="20"/>
          <w:szCs w:val="20"/>
          <w:lang w:eastAsia="en-GB"/>
        </w:rPr>
        <w:t>ce</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pacing w:val="4"/>
          <w:sz w:val="20"/>
          <w:szCs w:val="20"/>
          <w:lang w:eastAsia="en-GB"/>
        </w:rPr>
        <w:t>s</w:t>
      </w:r>
      <w:r>
        <w:rPr>
          <w:rFonts w:ascii="EC Square Sans Pro" w:eastAsia="Times New Roman" w:hAnsi="EC Square Sans Pro" w:cs="Times New Roman"/>
          <w:noProof/>
          <w:sz w:val="20"/>
          <w:szCs w:val="20"/>
          <w:lang w:eastAsia="en-GB"/>
        </w:rPr>
        <w:t>,</w:t>
      </w:r>
      <w:r>
        <w:rPr>
          <w:rFonts w:ascii="EC Square Sans Pro" w:eastAsia="Times New Roman" w:hAnsi="EC Square Sans Pro" w:cs="Times New Roman"/>
          <w:noProof/>
          <w:spacing w:val="2"/>
          <w:sz w:val="20"/>
          <w:szCs w:val="20"/>
          <w:lang w:eastAsia="en-GB"/>
        </w:rPr>
        <w:t xml:space="preserve"> although </w:t>
      </w:r>
      <w:r>
        <w:rPr>
          <w:rFonts w:ascii="EC Square Sans Pro" w:eastAsia="Times New Roman" w:hAnsi="EC Square Sans Pro" w:cs="Times New Roman"/>
          <w:noProof/>
          <w:spacing w:val="4"/>
          <w:sz w:val="20"/>
          <w:szCs w:val="20"/>
          <w:lang w:eastAsia="en-GB"/>
        </w:rPr>
        <w:t>the auditors noted that an update is now required</w:t>
      </w:r>
      <w:r>
        <w:rPr>
          <w:rFonts w:ascii="EC Square Sans Pro" w:eastAsia="Times New Roman" w:hAnsi="EC Square Sans Pro" w:cs="Times New Roman"/>
          <w:noProof/>
          <w:sz w:val="20"/>
          <w:szCs w:val="20"/>
          <w:lang w:eastAsia="en-GB"/>
        </w:rPr>
        <w:t>. Mor</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ov</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2"/>
          <w:sz w:val="20"/>
          <w:szCs w:val="20"/>
          <w:lang w:eastAsia="en-GB"/>
        </w:rPr>
        <w:t xml:space="preserve"> the Office </w:t>
      </w:r>
      <w:r>
        <w:rPr>
          <w:rFonts w:ascii="EC Square Sans Pro" w:eastAsia="Times New Roman" w:hAnsi="EC Square Sans Pro" w:cs="Times New Roman"/>
          <w:noProof/>
          <w:sz w:val="20"/>
          <w:szCs w:val="20"/>
          <w:lang w:eastAsia="en-GB"/>
        </w:rPr>
        <w:t>us</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the</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o</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por</w:t>
      </w:r>
      <w:r>
        <w:rPr>
          <w:rFonts w:ascii="EC Square Sans Pro" w:eastAsia="Times New Roman" w:hAnsi="EC Square Sans Pro" w:cs="Times New Roman"/>
          <w:noProof/>
          <w:spacing w:val="-2"/>
          <w:sz w:val="20"/>
          <w:szCs w:val="20"/>
          <w:lang w:eastAsia="en-GB"/>
        </w:rPr>
        <w:t>a</w:t>
      </w:r>
      <w:r>
        <w:rPr>
          <w:rFonts w:ascii="EC Square Sans Pro" w:eastAsia="Times New Roman" w:hAnsi="EC Square Sans Pro" w:cs="Times New Roman"/>
          <w:noProof/>
          <w:sz w:val="20"/>
          <w:szCs w:val="20"/>
          <w:lang w:eastAsia="en-GB"/>
        </w:rPr>
        <w:t>te</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pacing w:val="4"/>
          <w:sz w:val="20"/>
          <w:szCs w:val="20"/>
          <w:lang w:eastAsia="en-GB"/>
        </w:rPr>
        <w:t>b</w:t>
      </w:r>
      <w:r>
        <w:rPr>
          <w:rFonts w:ascii="EC Square Sans Pro" w:eastAsia="Times New Roman" w:hAnsi="EC Square Sans Pro" w:cs="Times New Roman"/>
          <w:noProof/>
          <w:sz w:val="20"/>
          <w:szCs w:val="20"/>
          <w:lang w:eastAsia="en-GB"/>
        </w:rPr>
        <w:t>usiness</w:t>
      </w:r>
      <w:r>
        <w:rPr>
          <w:rFonts w:ascii="EC Square Sans Pro" w:eastAsia="Times New Roman" w:hAnsi="EC Square Sans Pro" w:cs="Times New Roman"/>
          <w:noProof/>
          <w:spacing w:val="5"/>
          <w:sz w:val="20"/>
          <w:szCs w:val="20"/>
          <w:lang w:eastAsia="en-GB"/>
        </w:rPr>
        <w:t xml:space="preserve"> p</w:t>
      </w:r>
      <w:r>
        <w:rPr>
          <w:rFonts w:ascii="EC Square Sans Pro" w:eastAsia="Times New Roman" w:hAnsi="EC Square Sans Pro" w:cs="Times New Roman"/>
          <w:noProof/>
          <w:sz w:val="20"/>
          <w:szCs w:val="20"/>
          <w:lang w:eastAsia="en-GB"/>
        </w:rPr>
        <w:t>ro</w:t>
      </w:r>
      <w:r>
        <w:rPr>
          <w:rFonts w:ascii="EC Square Sans Pro" w:eastAsia="Times New Roman" w:hAnsi="EC Square Sans Pro" w:cs="Times New Roman"/>
          <w:noProof/>
          <w:spacing w:val="-2"/>
          <w:sz w:val="20"/>
          <w:szCs w:val="20"/>
          <w:lang w:eastAsia="en-GB"/>
        </w:rPr>
        <w:t>c</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ss</w:t>
      </w:r>
      <w:r>
        <w:rPr>
          <w:rFonts w:ascii="EC Square Sans Pro" w:eastAsia="Times New Roman" w:hAnsi="EC Square Sans Pro" w:cs="Times New Roman"/>
          <w:noProof/>
          <w:spacing w:val="3"/>
          <w:sz w:val="20"/>
          <w:szCs w:val="20"/>
          <w:lang w:eastAsia="en-GB"/>
        </w:rPr>
        <w:t xml:space="preserve"> mo</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l</w:t>
      </w:r>
      <w:r>
        <w:rPr>
          <w:rFonts w:ascii="EC Square Sans Pro" w:eastAsia="Times New Roman" w:hAnsi="EC Square Sans Pro" w:cs="Times New Roman"/>
          <w:noProof/>
          <w:spacing w:val="1"/>
          <w:sz w:val="20"/>
          <w:szCs w:val="20"/>
          <w:lang w:eastAsia="en-GB"/>
        </w:rPr>
        <w:t>l</w:t>
      </w:r>
      <w:r>
        <w:rPr>
          <w:rFonts w:ascii="EC Square Sans Pro" w:eastAsia="Times New Roman" w:hAnsi="EC Square Sans Pro" w:cs="Times New Roman"/>
          <w:noProof/>
          <w:sz w:val="20"/>
          <w:szCs w:val="20"/>
          <w:lang w:eastAsia="en-GB"/>
        </w:rPr>
        <w:t>i</w:t>
      </w:r>
      <w:r>
        <w:rPr>
          <w:rFonts w:ascii="EC Square Sans Pro" w:eastAsia="Times New Roman" w:hAnsi="EC Square Sans Pro" w:cs="Times New Roman"/>
          <w:noProof/>
          <w:spacing w:val="3"/>
          <w:sz w:val="20"/>
          <w:szCs w:val="20"/>
          <w:lang w:eastAsia="en-GB"/>
        </w:rPr>
        <w:t>n</w:t>
      </w:r>
      <w:r>
        <w:rPr>
          <w:rFonts w:ascii="EC Square Sans Pro" w:eastAsia="Times New Roman" w:hAnsi="EC Square Sans Pro" w:cs="Times New Roman"/>
          <w:noProof/>
          <w:sz w:val="20"/>
          <w:szCs w:val="20"/>
          <w:lang w:eastAsia="en-GB"/>
        </w:rPr>
        <w:t>g tool</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A</w:t>
      </w:r>
      <w:r>
        <w:rPr>
          <w:rFonts w:ascii="EC Square Sans Pro" w:eastAsia="Times New Roman" w:hAnsi="EC Square Sans Pro" w:cs="Times New Roman"/>
          <w:noProof/>
          <w:spacing w:val="2"/>
          <w:sz w:val="20"/>
          <w:szCs w:val="20"/>
          <w:lang w:eastAsia="en-GB"/>
        </w:rPr>
        <w:t>R</w:t>
      </w: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pacing w:val="-1"/>
          <w:sz w:val="20"/>
          <w:szCs w:val="20"/>
          <w:lang w:eastAsia="en-GB"/>
        </w:rPr>
        <w:t>(</w:t>
      </w:r>
      <w:r>
        <w:rPr>
          <w:rFonts w:ascii="EC Square Sans Pro" w:eastAsia="Times New Roman" w:hAnsi="EC Square Sans Pro" w:cs="Times New Roman"/>
          <w:noProof/>
          <w:sz w:val="20"/>
          <w:szCs w:val="20"/>
          <w:lang w:eastAsia="en-GB"/>
        </w:rPr>
        <w:t>a</w:t>
      </w:r>
      <w:r>
        <w:rPr>
          <w:rFonts w:ascii="EC Square Sans Pro" w:eastAsia="Times New Roman" w:hAnsi="EC Square Sans Pro" w:cs="Times New Roman"/>
          <w:noProof/>
          <w:spacing w:val="-1"/>
          <w:sz w:val="20"/>
          <w:szCs w:val="20"/>
          <w:lang w:eastAsia="en-GB"/>
        </w:rPr>
        <w:t>rc</w:t>
      </w:r>
      <w:r>
        <w:rPr>
          <w:rFonts w:ascii="EC Square Sans Pro" w:eastAsia="Times New Roman" w:hAnsi="EC Square Sans Pro" w:cs="Times New Roman"/>
          <w:noProof/>
          <w:sz w:val="20"/>
          <w:szCs w:val="20"/>
          <w:lang w:eastAsia="en-GB"/>
        </w:rPr>
        <w:t>hi</w:t>
      </w:r>
      <w:r>
        <w:rPr>
          <w:rFonts w:ascii="EC Square Sans Pro" w:eastAsia="Times New Roman" w:hAnsi="EC Square Sans Pro" w:cs="Times New Roman"/>
          <w:noProof/>
          <w:spacing w:val="1"/>
          <w:sz w:val="20"/>
          <w:szCs w:val="20"/>
          <w:lang w:eastAsia="en-GB"/>
        </w:rPr>
        <w:t>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ture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of</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3"/>
          <w:sz w:val="20"/>
          <w:szCs w:val="20"/>
          <w:lang w:eastAsia="en-GB"/>
        </w:rPr>
        <w:t>t</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pacing w:val="-2"/>
          <w:sz w:val="20"/>
          <w:szCs w:val="20"/>
          <w:lang w:eastAsia="en-GB"/>
        </w:rPr>
        <w:t>g</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2"/>
          <w:sz w:val="20"/>
          <w:szCs w:val="20"/>
          <w:lang w:eastAsia="en-GB"/>
        </w:rPr>
        <w:t>a</w:t>
      </w:r>
      <w:r>
        <w:rPr>
          <w:rFonts w:ascii="EC Square Sans Pro" w:eastAsia="Times New Roman" w:hAnsi="EC Square Sans Pro" w:cs="Times New Roman"/>
          <w:noProof/>
          <w:spacing w:val="3"/>
          <w:sz w:val="20"/>
          <w:szCs w:val="20"/>
          <w:lang w:eastAsia="en-GB"/>
        </w:rPr>
        <w:t>t</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2"/>
          <w:sz w:val="20"/>
          <w:szCs w:val="20"/>
          <w:lang w:eastAsia="en-GB"/>
        </w:rPr>
        <w:t xml:space="preserve"> </w:t>
      </w:r>
      <w:r>
        <w:rPr>
          <w:rFonts w:ascii="EC Square Sans Pro" w:eastAsia="Times New Roman" w:hAnsi="EC Square Sans Pro" w:cs="Times New Roman"/>
          <w:noProof/>
          <w:spacing w:val="-3"/>
          <w:sz w:val="20"/>
          <w:szCs w:val="20"/>
          <w:lang w:eastAsia="en-GB"/>
        </w:rPr>
        <w:t>i</w:t>
      </w:r>
      <w:r>
        <w:rPr>
          <w:rFonts w:ascii="EC Square Sans Pro" w:eastAsia="Times New Roman" w:hAnsi="EC Square Sans Pro" w:cs="Times New Roman"/>
          <w:noProof/>
          <w:sz w:val="20"/>
          <w:szCs w:val="20"/>
          <w:lang w:eastAsia="en-GB"/>
        </w:rPr>
        <w:t>n</w:t>
      </w:r>
      <w:r>
        <w:rPr>
          <w:rFonts w:ascii="EC Square Sans Pro" w:eastAsia="Times New Roman" w:hAnsi="EC Square Sans Pro" w:cs="Times New Roman"/>
          <w:noProof/>
          <w:spacing w:val="-1"/>
          <w:sz w:val="20"/>
          <w:szCs w:val="20"/>
          <w:lang w:eastAsia="en-GB"/>
        </w:rPr>
        <w:t>f</w:t>
      </w:r>
      <w:r>
        <w:rPr>
          <w:rFonts w:ascii="EC Square Sans Pro" w:eastAsia="Times New Roman" w:hAnsi="EC Square Sans Pro" w:cs="Times New Roman"/>
          <w:noProof/>
          <w:spacing w:val="2"/>
          <w:sz w:val="20"/>
          <w:szCs w:val="20"/>
          <w:lang w:eastAsia="en-GB"/>
        </w:rPr>
        <w:t>o</w:t>
      </w:r>
      <w:r>
        <w:rPr>
          <w:rFonts w:ascii="EC Square Sans Pro" w:eastAsia="Times New Roman" w:hAnsi="EC Square Sans Pro" w:cs="Times New Roman"/>
          <w:noProof/>
          <w:sz w:val="20"/>
          <w:szCs w:val="20"/>
          <w:lang w:eastAsia="en-GB"/>
        </w:rPr>
        <w:t>rm</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z w:val="20"/>
          <w:szCs w:val="20"/>
          <w:lang w:eastAsia="en-GB"/>
        </w:rPr>
        <w:t xml:space="preserve">on </w:t>
      </w:r>
      <w:r>
        <w:rPr>
          <w:rFonts w:ascii="EC Square Sans Pro" w:eastAsia="Times New Roman" w:hAnsi="EC Square Sans Pro" w:cs="Times New Roman"/>
          <w:noProof/>
          <w:spacing w:val="3"/>
          <w:sz w:val="20"/>
          <w:szCs w:val="20"/>
          <w:lang w:eastAsia="en-GB"/>
        </w:rPr>
        <w:t>s</w:t>
      </w:r>
      <w:r>
        <w:rPr>
          <w:rFonts w:ascii="EC Square Sans Pro" w:eastAsia="Times New Roman" w:hAnsi="EC Square Sans Pro" w:cs="Times New Roman"/>
          <w:noProof/>
          <w:spacing w:val="-5"/>
          <w:sz w:val="20"/>
          <w:szCs w:val="20"/>
          <w:lang w:eastAsia="en-GB"/>
        </w:rPr>
        <w:t>y</w:t>
      </w:r>
      <w:r>
        <w:rPr>
          <w:rFonts w:ascii="EC Square Sans Pro" w:eastAsia="Times New Roman" w:hAnsi="EC Square Sans Pro" w:cs="Times New Roman"/>
          <w:noProof/>
          <w:sz w:val="20"/>
          <w:szCs w:val="20"/>
          <w:lang w:eastAsia="en-GB"/>
        </w:rPr>
        <w:t>stems)</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to</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model</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nd</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z w:val="20"/>
          <w:szCs w:val="20"/>
          <w:lang w:eastAsia="en-GB"/>
        </w:rPr>
        <w:t>support</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the dif</w:t>
      </w:r>
      <w:r>
        <w:rPr>
          <w:rFonts w:ascii="EC Square Sans Pro" w:eastAsia="Times New Roman" w:hAnsi="EC Square Sans Pro" w:cs="Times New Roman"/>
          <w:noProof/>
          <w:spacing w:val="1"/>
          <w:sz w:val="20"/>
          <w:szCs w:val="20"/>
          <w:lang w:eastAsia="en-GB"/>
        </w:rPr>
        <w:t>f</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r</w:t>
      </w:r>
      <w:r>
        <w:rPr>
          <w:rFonts w:ascii="EC Square Sans Pro" w:eastAsia="Times New Roman" w:hAnsi="EC Square Sans Pro" w:cs="Times New Roman"/>
          <w:noProof/>
          <w:spacing w:val="-2"/>
          <w:sz w:val="20"/>
          <w:szCs w:val="20"/>
          <w:lang w:eastAsia="en-GB"/>
        </w:rPr>
        <w:t>e</w:t>
      </w:r>
      <w:r>
        <w:rPr>
          <w:rFonts w:ascii="EC Square Sans Pro" w:eastAsia="Times New Roman" w:hAnsi="EC Square Sans Pro" w:cs="Times New Roman"/>
          <w:noProof/>
          <w:sz w:val="20"/>
          <w:szCs w:val="20"/>
          <w:lang w:eastAsia="en-GB"/>
        </w:rPr>
        <w:t>nt</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z w:val="20"/>
          <w:szCs w:val="20"/>
          <w:lang w:eastAsia="en-GB"/>
        </w:rPr>
        <w:t>b</w:t>
      </w:r>
      <w:r>
        <w:rPr>
          <w:rFonts w:ascii="EC Square Sans Pro" w:eastAsia="Times New Roman" w:hAnsi="EC Square Sans Pro" w:cs="Times New Roman"/>
          <w:noProof/>
          <w:spacing w:val="2"/>
          <w:sz w:val="20"/>
          <w:szCs w:val="20"/>
          <w:lang w:eastAsia="en-GB"/>
        </w:rPr>
        <w:t>u</w:t>
      </w:r>
      <w:r>
        <w:rPr>
          <w:rFonts w:ascii="EC Square Sans Pro" w:eastAsia="Times New Roman" w:hAnsi="EC Square Sans Pro" w:cs="Times New Roman"/>
          <w:noProof/>
          <w:sz w:val="20"/>
          <w:szCs w:val="20"/>
          <w:lang w:eastAsia="en-GB"/>
        </w:rPr>
        <w:t>siness</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wo</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k</w:t>
      </w:r>
      <w:r>
        <w:rPr>
          <w:rFonts w:ascii="EC Square Sans Pro" w:eastAsia="Times New Roman" w:hAnsi="EC Square Sans Pro" w:cs="Times New Roman"/>
          <w:noProof/>
          <w:spacing w:val="-1"/>
          <w:sz w:val="20"/>
          <w:szCs w:val="20"/>
          <w:lang w:eastAsia="en-GB"/>
        </w:rPr>
        <w:t>f</w:t>
      </w:r>
      <w:r>
        <w:rPr>
          <w:rFonts w:ascii="EC Square Sans Pro" w:eastAsia="Times New Roman" w:hAnsi="EC Square Sans Pro" w:cs="Times New Roman"/>
          <w:noProof/>
          <w:sz w:val="20"/>
          <w:szCs w:val="20"/>
          <w:lang w:eastAsia="en-GB"/>
        </w:rPr>
        <w:t>low</w:t>
      </w:r>
      <w:r>
        <w:rPr>
          <w:rFonts w:ascii="EC Square Sans Pro" w:eastAsia="Times New Roman" w:hAnsi="EC Square Sans Pro" w:cs="Times New Roman"/>
          <w:noProof/>
          <w:spacing w:val="4"/>
          <w:sz w:val="20"/>
          <w:szCs w:val="20"/>
          <w:lang w:eastAsia="en-GB"/>
        </w:rPr>
        <w:t>s</w:t>
      </w:r>
      <w:r>
        <w:rPr>
          <w:rFonts w:ascii="EC Square Sans Pro" w:eastAsia="Times New Roman" w:hAnsi="EC Square Sans Pro" w:cs="Times New Roman"/>
          <w:noProof/>
          <w:sz w:val="20"/>
          <w:szCs w:val="20"/>
          <w:lang w:eastAsia="en-GB"/>
        </w:rPr>
        <w:t>,</w:t>
      </w:r>
      <w:r>
        <w:rPr>
          <w:rFonts w:ascii="EC Square Sans Pro" w:eastAsia="Times New Roman" w:hAnsi="EC Square Sans Pro" w:cs="Times New Roman"/>
          <w:noProof/>
          <w:spacing w:val="3"/>
          <w:sz w:val="20"/>
          <w:szCs w:val="20"/>
          <w:lang w:eastAsia="en-GB"/>
        </w:rPr>
        <w:t xml:space="preserve"> </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pacing w:val="1"/>
          <w:sz w:val="20"/>
          <w:szCs w:val="20"/>
          <w:lang w:eastAsia="en-GB"/>
        </w:rPr>
        <w:t xml:space="preserve"> r</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o</w:t>
      </w:r>
      <w:r>
        <w:rPr>
          <w:rFonts w:ascii="EC Square Sans Pro" w:eastAsia="Times New Roman" w:hAnsi="EC Square Sans Pro" w:cs="Times New Roman"/>
          <w:noProof/>
          <w:spacing w:val="1"/>
          <w:sz w:val="20"/>
          <w:szCs w:val="20"/>
          <w:lang w:eastAsia="en-GB"/>
        </w:rPr>
        <w:t>m</w:t>
      </w:r>
      <w:r>
        <w:rPr>
          <w:rFonts w:ascii="EC Square Sans Pro" w:eastAsia="Times New Roman" w:hAnsi="EC Square Sans Pro" w:cs="Times New Roman"/>
          <w:noProof/>
          <w:sz w:val="20"/>
          <w:szCs w:val="20"/>
          <w:lang w:eastAsia="en-GB"/>
        </w:rPr>
        <w:t>mend</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d</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pacing w:val="5"/>
          <w:sz w:val="20"/>
          <w:szCs w:val="20"/>
          <w:lang w:eastAsia="en-GB"/>
        </w:rPr>
        <w:t>b</w:t>
      </w:r>
      <w:r>
        <w:rPr>
          <w:rFonts w:ascii="EC Square Sans Pro" w:eastAsia="Times New Roman" w:hAnsi="EC Square Sans Pro" w:cs="Times New Roman"/>
          <w:noProof/>
          <w:sz w:val="20"/>
          <w:szCs w:val="20"/>
          <w:lang w:eastAsia="en-GB"/>
        </w:rPr>
        <w:t xml:space="preserve">y </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o</w:t>
      </w:r>
      <w:r>
        <w:rPr>
          <w:rFonts w:ascii="EC Square Sans Pro" w:eastAsia="Times New Roman" w:hAnsi="EC Square Sans Pro" w:cs="Times New Roman"/>
          <w:noProof/>
          <w:spacing w:val="-1"/>
          <w:sz w:val="20"/>
          <w:szCs w:val="20"/>
          <w:lang w:eastAsia="en-GB"/>
        </w:rPr>
        <w:t>r</w:t>
      </w:r>
      <w:r>
        <w:rPr>
          <w:rFonts w:ascii="EC Square Sans Pro" w:eastAsia="Times New Roman" w:hAnsi="EC Square Sans Pro" w:cs="Times New Roman"/>
          <w:noProof/>
          <w:sz w:val="20"/>
          <w:szCs w:val="20"/>
          <w:lang w:eastAsia="en-GB"/>
        </w:rPr>
        <w:t>por</w:t>
      </w:r>
      <w:r>
        <w:rPr>
          <w:rFonts w:ascii="EC Square Sans Pro" w:eastAsia="Times New Roman" w:hAnsi="EC Square Sans Pro" w:cs="Times New Roman"/>
          <w:noProof/>
          <w:spacing w:val="-2"/>
          <w:sz w:val="20"/>
          <w:szCs w:val="20"/>
          <w:lang w:eastAsia="en-GB"/>
        </w:rPr>
        <w:t>a</w:t>
      </w:r>
      <w:r>
        <w:rPr>
          <w:rFonts w:ascii="EC Square Sans Pro" w:eastAsia="Times New Roman" w:hAnsi="EC Square Sans Pro" w:cs="Times New Roman"/>
          <w:noProof/>
          <w:spacing w:val="3"/>
          <w:sz w:val="20"/>
          <w:szCs w:val="20"/>
          <w:lang w:eastAsia="en-GB"/>
        </w:rPr>
        <w:t>t</w:t>
      </w:r>
      <w:r>
        <w:rPr>
          <w:rFonts w:ascii="EC Square Sans Pro" w:eastAsia="Times New Roman" w:hAnsi="EC Square Sans Pro" w:cs="Times New Roman"/>
          <w:noProof/>
          <w:sz w:val="20"/>
          <w:szCs w:val="20"/>
          <w:lang w:eastAsia="en-GB"/>
        </w:rPr>
        <w:t>e</w:t>
      </w:r>
      <w:r>
        <w:rPr>
          <w:rFonts w:ascii="EC Square Sans Pro" w:eastAsia="Times New Roman" w:hAnsi="EC Square Sans Pro" w:cs="Times New Roman"/>
          <w:noProof/>
          <w:spacing w:val="-1"/>
          <w:sz w:val="20"/>
          <w:szCs w:val="20"/>
          <w:lang w:eastAsia="en-GB"/>
        </w:rPr>
        <w:t xml:space="preserve"> </w:t>
      </w:r>
      <w:r>
        <w:rPr>
          <w:rFonts w:ascii="EC Square Sans Pro" w:eastAsia="Times New Roman" w:hAnsi="EC Square Sans Pro" w:cs="Times New Roman"/>
          <w:noProof/>
          <w:sz w:val="20"/>
          <w:szCs w:val="20"/>
          <w:lang w:eastAsia="en-GB"/>
        </w:rPr>
        <w:t>b</w:t>
      </w:r>
      <w:r>
        <w:rPr>
          <w:rFonts w:ascii="EC Square Sans Pro" w:eastAsia="Times New Roman" w:hAnsi="EC Square Sans Pro" w:cs="Times New Roman"/>
          <w:noProof/>
          <w:spacing w:val="-1"/>
          <w:sz w:val="20"/>
          <w:szCs w:val="20"/>
          <w:lang w:eastAsia="en-GB"/>
        </w:rPr>
        <w:t>e</w:t>
      </w:r>
      <w:r>
        <w:rPr>
          <w:rFonts w:ascii="EC Square Sans Pro" w:eastAsia="Times New Roman" w:hAnsi="EC Square Sans Pro" w:cs="Times New Roman"/>
          <w:noProof/>
          <w:sz w:val="20"/>
          <w:szCs w:val="20"/>
          <w:lang w:eastAsia="en-GB"/>
        </w:rPr>
        <w:t>st pr</w:t>
      </w:r>
      <w:r>
        <w:rPr>
          <w:rFonts w:ascii="EC Square Sans Pro" w:eastAsia="Times New Roman" w:hAnsi="EC Square Sans Pro" w:cs="Times New Roman"/>
          <w:noProof/>
          <w:spacing w:val="1"/>
          <w:sz w:val="20"/>
          <w:szCs w:val="20"/>
          <w:lang w:eastAsia="en-GB"/>
        </w:rPr>
        <w:t>a</w:t>
      </w:r>
      <w:r>
        <w:rPr>
          <w:rFonts w:ascii="EC Square Sans Pro" w:eastAsia="Times New Roman" w:hAnsi="EC Square Sans Pro" w:cs="Times New Roman"/>
          <w:noProof/>
          <w:spacing w:val="-1"/>
          <w:sz w:val="20"/>
          <w:szCs w:val="20"/>
          <w:lang w:eastAsia="en-GB"/>
        </w:rPr>
        <w:t>c</w:t>
      </w:r>
      <w:r>
        <w:rPr>
          <w:rFonts w:ascii="EC Square Sans Pro" w:eastAsia="Times New Roman" w:hAnsi="EC Square Sans Pro" w:cs="Times New Roman"/>
          <w:noProof/>
          <w:sz w:val="20"/>
          <w:szCs w:val="20"/>
          <w:lang w:eastAsia="en-GB"/>
        </w:rPr>
        <w:t>t</w:t>
      </w:r>
      <w:r>
        <w:rPr>
          <w:rFonts w:ascii="EC Square Sans Pro" w:eastAsia="Times New Roman" w:hAnsi="EC Square Sans Pro" w:cs="Times New Roman"/>
          <w:noProof/>
          <w:spacing w:val="1"/>
          <w:sz w:val="20"/>
          <w:szCs w:val="20"/>
          <w:lang w:eastAsia="en-GB"/>
        </w:rPr>
        <w:t>i</w:t>
      </w:r>
      <w:r>
        <w:rPr>
          <w:rFonts w:ascii="EC Square Sans Pro" w:eastAsia="Times New Roman" w:hAnsi="EC Square Sans Pro" w:cs="Times New Roman"/>
          <w:noProof/>
          <w:spacing w:val="-1"/>
          <w:sz w:val="20"/>
          <w:szCs w:val="20"/>
          <w:lang w:eastAsia="en-GB"/>
        </w:rPr>
        <w:t>ce</w:t>
      </w:r>
      <w:r>
        <w:rPr>
          <w:rFonts w:ascii="EC Square Sans Pro" w:eastAsia="Times New Roman" w:hAnsi="EC Square Sans Pro" w:cs="Times New Roman"/>
          <w:noProof/>
          <w:spacing w:val="4"/>
          <w:sz w:val="20"/>
          <w:szCs w:val="20"/>
          <w:lang w:eastAsia="en-GB"/>
        </w:rPr>
        <w:t>s</w:t>
      </w:r>
      <w:r>
        <w:rPr>
          <w:rFonts w:ascii="Calibri" w:eastAsia="Times New Roman" w:hAnsi="Calibri" w:cs="Times New Roman"/>
          <w:noProof/>
          <w:spacing w:val="4"/>
          <w:sz w:val="20"/>
          <w:szCs w:val="20"/>
          <w:lang w:eastAsia="en-GB"/>
        </w:rPr>
        <w:t> </w:t>
      </w:r>
      <w:r>
        <w:rPr>
          <w:rFonts w:ascii="Calibri" w:eastAsia="Times New Roman" w:hAnsi="Calibri" w:cs="Times New Roman"/>
          <w:noProof/>
          <w:spacing w:val="4"/>
          <w:sz w:val="20"/>
          <w:szCs w:val="20"/>
          <w:vertAlign w:val="superscript"/>
          <w:lang w:eastAsia="en-GB"/>
        </w:rPr>
        <w:t>(</w:t>
      </w:r>
      <w:r>
        <w:rPr>
          <w:rFonts w:ascii="EC Square Sans Pro" w:eastAsia="Times New Roman" w:hAnsi="EC Square Sans Pro" w:cs="Times New Roman"/>
          <w:noProof/>
          <w:spacing w:val="4"/>
          <w:sz w:val="20"/>
          <w:szCs w:val="20"/>
          <w:vertAlign w:val="superscript"/>
          <w:lang w:eastAsia="en-GB"/>
        </w:rPr>
        <w:footnoteReference w:id="25"/>
      </w:r>
      <w:r>
        <w:rPr>
          <w:rFonts w:ascii="Calibri" w:eastAsia="Times New Roman" w:hAnsi="Calibri" w:cs="Times New Roman"/>
          <w:noProof/>
          <w:spacing w:val="4"/>
          <w:sz w:val="20"/>
          <w:szCs w:val="20"/>
          <w:vertAlign w:val="superscript"/>
          <w:lang w:eastAsia="en-GB"/>
        </w:rPr>
        <w:t>)</w:t>
      </w:r>
      <w:r>
        <w:rPr>
          <w:rFonts w:ascii="EC Square Sans Pro" w:eastAsia="Times New Roman" w:hAnsi="EC Square Sans Pro" w:cs="Times New Roman"/>
          <w:noProof/>
          <w:sz w:val="20"/>
          <w:szCs w:val="20"/>
          <w:lang w:eastAsia="en-GB"/>
        </w:rPr>
        <w: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identified one issue concerning </w:t>
      </w:r>
      <w:r>
        <w:rPr>
          <w:rFonts w:ascii="EC Square Sans Pro" w:eastAsia="Times New Roman" w:hAnsi="EC Square Sans Pro" w:cs="Times New Roman"/>
          <w:i/>
          <w:noProof/>
          <w:sz w:val="20"/>
          <w:szCs w:val="20"/>
          <w:lang w:eastAsia="en-GB"/>
        </w:rPr>
        <w:t>governance practices for monitoring of programmes and projects</w:t>
      </w:r>
      <w:r>
        <w:rPr>
          <w:rFonts w:ascii="EC Square Sans Pro" w:eastAsia="Times New Roman" w:hAnsi="EC Square Sans Pro" w:cs="Times New Roman"/>
          <w:noProof/>
          <w:sz w:val="20"/>
          <w:szCs w:val="20"/>
          <w:lang w:eastAsia="en-GB"/>
        </w:rPr>
        <w:t xml:space="preserve"> and formulated the following very important recommendation: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Publications Office of the European </w:t>
      </w:r>
      <w:r>
        <w:rPr>
          <w:rFonts w:ascii="EC Square Sans Pro" w:eastAsia="Times New Roman" w:hAnsi="EC Square Sans Pro" w:cs="Times New Roman"/>
          <w:noProof/>
          <w:sz w:val="20"/>
          <w:szCs w:val="20"/>
          <w:lang w:eastAsia="en-GB"/>
        </w:rPr>
        <w:t xml:space="preserve">Union should improve project status reporting in order to make it more objective and fact-based. This should include the introduction and regular update of a multi-year information-technology programme roadmap, showing the dependencies of all the projects </w:t>
      </w:r>
      <w:r>
        <w:rPr>
          <w:rFonts w:ascii="EC Square Sans Pro" w:eastAsia="Times New Roman" w:hAnsi="EC Square Sans Pro" w:cs="Times New Roman"/>
          <w:noProof/>
          <w:sz w:val="20"/>
          <w:szCs w:val="20"/>
          <w:lang w:eastAsia="en-GB"/>
        </w:rPr>
        <w:t xml:space="preserve">per strategic objective (programme). In parallel, the Office should update its governance framework to reflect the lessons learnt from the past and current operational practices. This should include defining the roles and responsibilities of the project / </w:t>
      </w:r>
      <w:r>
        <w:rPr>
          <w:rFonts w:ascii="EC Square Sans Pro" w:eastAsia="Times New Roman" w:hAnsi="EC Square Sans Pro" w:cs="Times New Roman"/>
          <w:noProof/>
          <w:sz w:val="20"/>
          <w:szCs w:val="20"/>
          <w:lang w:eastAsia="en-GB"/>
        </w:rPr>
        <w:t>programme steering committees, together with accompanying working modalities. The Office should also update the modelling of core-business processes and supporting information systems and ensure that the information-technology architecture is adapted accor</w:t>
      </w:r>
      <w:r>
        <w:rPr>
          <w:rFonts w:ascii="EC Square Sans Pro" w:eastAsia="Times New Roman" w:hAnsi="EC Square Sans Pro" w:cs="Times New Roman"/>
          <w:noProof/>
          <w:sz w:val="20"/>
          <w:szCs w:val="20"/>
          <w:lang w:eastAsia="en-GB"/>
        </w:rPr>
        <w:t>dingly. It should also ensure that the project support office plays a full role in the information technology governance set-up, starting with a clear definition of its role and responsibilities.</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 xml:space="preserve">Additional information provided by OP on the measures drawn </w:t>
      </w:r>
      <w:r>
        <w:rPr>
          <w:rFonts w:ascii="EC Square Sans Pro" w:eastAsia="EC Square Sans Pro" w:hAnsi="EC Square Sans Pro" w:cs="Times New Roman"/>
          <w:b/>
          <w:noProof/>
          <w:color w:val="005D95"/>
          <w:sz w:val="20"/>
          <w:lang w:eastAsia="fr-BE"/>
        </w:rPr>
        <w:t>up and/or 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The action plan submitted was accepted by the Internal Audit Service. Work on its implementation started in 2019 and is progressing as planned. Several action points related to these recommen</w:t>
      </w:r>
      <w:r>
        <w:rPr>
          <w:rFonts w:ascii="EC Square Sans Pro" w:eastAsia="EC Square Sans Pro" w:hAnsi="EC Square Sans Pro" w:cs="Times New Roman"/>
          <w:noProof/>
          <w:sz w:val="20"/>
          <w:lang w:eastAsia="fr-BE"/>
        </w:rPr>
        <w:t>dations have already been implemented.</w:t>
      </w:r>
    </w:p>
    <w:p w:rsidR="000C6D03" w:rsidRDefault="00873433">
      <w:pPr>
        <w:keepNext/>
        <w:numPr>
          <w:ilvl w:val="0"/>
          <w:numId w:val="51"/>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153" w:name="_Toc42788172"/>
      <w:r>
        <w:rPr>
          <w:rFonts w:ascii="EC Square Sans Pro" w:eastAsia="Times New Roman" w:hAnsi="EC Square Sans Pro" w:cs="Times New Roman"/>
          <w:b/>
          <w:i/>
          <w:noProof/>
          <w:color w:val="005D95"/>
          <w:sz w:val="24"/>
          <w:szCs w:val="20"/>
          <w:lang w:eastAsia="en-GB"/>
        </w:rPr>
        <w:t>Audit on information-technology governance and project management in DG</w:t>
      </w:r>
      <w:r>
        <w:rPr>
          <w:rFonts w:ascii="Calibri" w:eastAsia="Times New Roman" w:hAnsi="Calibri" w:cs="Times New Roman"/>
          <w:b/>
          <w:i/>
          <w:noProof/>
          <w:color w:val="005D95"/>
          <w:sz w:val="24"/>
          <w:szCs w:val="20"/>
          <w:lang w:eastAsia="en-GB"/>
        </w:rPr>
        <w:t> </w:t>
      </w:r>
      <w:r>
        <w:rPr>
          <w:rFonts w:ascii="EC Square Sans Pro" w:eastAsia="Times New Roman" w:hAnsi="EC Square Sans Pro" w:cs="Times New Roman"/>
          <w:b/>
          <w:i/>
          <w:noProof/>
          <w:color w:val="005D95"/>
          <w:sz w:val="24"/>
          <w:szCs w:val="20"/>
          <w:lang w:eastAsia="en-GB"/>
        </w:rPr>
        <w:t>EAC</w:t>
      </w:r>
      <w:bookmarkEnd w:id="153"/>
    </w:p>
    <w:p w:rsidR="000C6D03" w:rsidRDefault="00873433">
      <w:pPr>
        <w:keepNext/>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objective of the audit was to assess the adequacy of the design and the efficiency and effectiveness of the management and control systems put in place by the Directorate-General for Education, Youth, Sport and Culture for its information technology go</w:t>
      </w:r>
      <w:r>
        <w:rPr>
          <w:rFonts w:ascii="EC Square Sans Pro" w:eastAsia="Times New Roman" w:hAnsi="EC Square Sans Pro" w:cs="Times New Roman"/>
          <w:noProof/>
          <w:sz w:val="20"/>
          <w:szCs w:val="20"/>
          <w:lang w:eastAsia="en-GB"/>
        </w:rPr>
        <w:t xml:space="preserve">vernance and project management processes.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 were no reservations in the Directorate-General’s 2018 annual activity report that relate to the areas/processes audited. The fieldwork was finalised on 11</w:t>
      </w:r>
      <w:r>
        <w:rPr>
          <w:rFonts w:ascii="Calibri" w:eastAsia="Times New Roman" w:hAnsi="Calibri" w:cs="Calibri"/>
          <w:noProof/>
          <w:sz w:val="20"/>
          <w:szCs w:val="20"/>
          <w:lang w:eastAsia="en-GB"/>
        </w:rPr>
        <w:t> </w:t>
      </w:r>
      <w:r>
        <w:rPr>
          <w:rFonts w:ascii="EC Square Sans Pro" w:eastAsia="Times New Roman" w:hAnsi="EC Square Sans Pro" w:cs="Times New Roman"/>
          <w:noProof/>
          <w:sz w:val="20"/>
          <w:szCs w:val="20"/>
          <w:lang w:eastAsia="en-GB"/>
        </w:rPr>
        <w:t>November</w:t>
      </w:r>
      <w:r>
        <w:rPr>
          <w:rFonts w:ascii="Calibri" w:eastAsia="Times New Roman" w:hAnsi="Calibri" w:cs="Times New Roman"/>
          <w:noProof/>
          <w:sz w:val="20"/>
          <w:szCs w:val="20"/>
          <w:lang w:eastAsia="en-GB"/>
        </w:rPr>
        <w:t xml:space="preserve"> </w:t>
      </w:r>
      <w:r>
        <w:rPr>
          <w:rFonts w:ascii="EC Square Sans Pro" w:eastAsia="Times New Roman" w:hAnsi="EC Square Sans Pro" w:cs="Times New Roman"/>
          <w:noProof/>
          <w:sz w:val="20"/>
          <w:szCs w:val="20"/>
          <w:lang w:eastAsia="en-GB"/>
        </w:rPr>
        <w:t>2019. All recommendations relate to the s</w:t>
      </w:r>
      <w:r>
        <w:rPr>
          <w:rFonts w:ascii="EC Square Sans Pro" w:eastAsia="Times New Roman" w:hAnsi="EC Square Sans Pro" w:cs="Times New Roman"/>
          <w:noProof/>
          <w:sz w:val="20"/>
          <w:szCs w:val="20"/>
          <w:lang w:eastAsia="en-GB"/>
        </w:rPr>
        <w:t>ituation as of that date.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noted a number of good practices within the Directorate-General regarding information technology governance and project management practices:</w:t>
      </w:r>
    </w:p>
    <w:p w:rsidR="000C6D03" w:rsidRDefault="00873433">
      <w:pPr>
        <w:numPr>
          <w:ilvl w:val="0"/>
          <w:numId w:val="17"/>
        </w:numPr>
        <w:spacing w:after="240" w:line="240" w:lineRule="auto"/>
        <w:ind w:left="357" w:hanging="357"/>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Defined, formalised and implemented information-technology go</w:t>
      </w:r>
      <w:r>
        <w:rPr>
          <w:rFonts w:ascii="EC Square Sans Pro" w:eastAsia="Times New Roman" w:hAnsi="EC Square Sans Pro" w:cs="Times New Roman"/>
          <w:noProof/>
          <w:sz w:val="20"/>
          <w:szCs w:val="20"/>
          <w:lang w:eastAsia="ko-KR"/>
        </w:rPr>
        <w:t xml:space="preserve">vernance arrangements, consisting of both information-technology and business stakeholders who periodically discuss, monitor and decide upon information-technology activities and their objectives. This ensures that information-technology is seen by senior </w:t>
      </w:r>
      <w:r>
        <w:rPr>
          <w:rFonts w:ascii="EC Square Sans Pro" w:eastAsia="Times New Roman" w:hAnsi="EC Square Sans Pro" w:cs="Times New Roman"/>
          <w:noProof/>
          <w:sz w:val="20"/>
          <w:szCs w:val="20"/>
          <w:lang w:eastAsia="ko-KR"/>
        </w:rPr>
        <w:t>management as a key component in delivering on the Directorate-General’s policies. It also ensures business-focused and value-driven information-technology activities.</w:t>
      </w:r>
    </w:p>
    <w:p w:rsidR="000C6D03" w:rsidRDefault="00873433">
      <w:pPr>
        <w:numPr>
          <w:ilvl w:val="0"/>
          <w:numId w:val="17"/>
        </w:num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An efficient risk-management process, which focuses on policy priorities and major impac</w:t>
      </w:r>
      <w:r>
        <w:rPr>
          <w:rFonts w:ascii="EC Square Sans Pro" w:eastAsia="Times New Roman" w:hAnsi="EC Square Sans Pro" w:cs="Times New Roman"/>
          <w:noProof/>
          <w:sz w:val="20"/>
          <w:szCs w:val="20"/>
          <w:lang w:eastAsia="ko-KR"/>
        </w:rPr>
        <w:t>ts and integrates information-technology risks in the overall business context. This provides a better understanding and impact assessment for information-technology risks identified.</w:t>
      </w:r>
    </w:p>
    <w:p w:rsidR="000C6D03" w:rsidRDefault="00873433">
      <w:pPr>
        <w:numPr>
          <w:ilvl w:val="0"/>
          <w:numId w:val="17"/>
        </w:num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Defined project management and software development methodology aligned </w:t>
      </w:r>
      <w:r>
        <w:rPr>
          <w:rFonts w:ascii="EC Square Sans Pro" w:eastAsia="Times New Roman" w:hAnsi="EC Square Sans Pro" w:cs="Times New Roman"/>
          <w:noProof/>
          <w:sz w:val="20"/>
          <w:szCs w:val="20"/>
          <w:lang w:eastAsia="ko-KR"/>
        </w:rPr>
        <w:t>with the Commission standards.</w:t>
      </w:r>
    </w:p>
    <w:p w:rsidR="000C6D03" w:rsidRDefault="00873433">
      <w:pPr>
        <w:numPr>
          <w:ilvl w:val="0"/>
          <w:numId w:val="17"/>
        </w:numPr>
        <w:spacing w:after="240" w:line="240" w:lineRule="auto"/>
        <w:jc w:val="both"/>
        <w:rPr>
          <w:rFonts w:ascii="EC Square Sans Pro" w:eastAsia="Times New Roman" w:hAnsi="EC Square Sans Pro" w:cs="Times New Roman"/>
          <w:noProof/>
          <w:sz w:val="20"/>
          <w:szCs w:val="20"/>
          <w:lang w:eastAsia="ko-KR"/>
        </w:rPr>
      </w:pPr>
      <w:r>
        <w:rPr>
          <w:rFonts w:ascii="EC Square Sans Pro" w:eastAsia="Times New Roman" w:hAnsi="EC Square Sans Pro" w:cs="Times New Roman"/>
          <w:noProof/>
          <w:sz w:val="20"/>
          <w:szCs w:val="20"/>
          <w:lang w:eastAsia="ko-KR"/>
        </w:rPr>
        <w:t xml:space="preserve">Comprehensive involvement of stakeholders through formal project organisation structures. This ensures that business requirements and expectations are identified, continuously validated and, if needed, updated throughout the </w:t>
      </w:r>
      <w:r>
        <w:rPr>
          <w:rFonts w:ascii="EC Square Sans Pro" w:eastAsia="Times New Roman" w:hAnsi="EC Square Sans Pro" w:cs="Times New Roman"/>
          <w:noProof/>
          <w:sz w:val="20"/>
          <w:szCs w:val="20"/>
          <w:lang w:eastAsia="ko-KR"/>
        </w:rPr>
        <w:t>project.</w:t>
      </w:r>
    </w:p>
    <w:p w:rsidR="000C6D03" w:rsidRDefault="00873433">
      <w:pPr>
        <w:spacing w:after="240" w:line="240" w:lineRule="auto"/>
        <w:jc w:val="both"/>
        <w:rPr>
          <w:rFonts w:ascii="Times New Roman" w:eastAsia="Times New Roman" w:hAnsi="Times New Roman"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did not formulate any critical or very important recommendations.</w:t>
      </w:r>
      <w:r>
        <w:rPr>
          <w:rFonts w:ascii="Times New Roman" w:eastAsia="Times New Roman" w:hAnsi="Times New Roman" w:cs="Times New Roman"/>
          <w:noProof/>
          <w:sz w:val="20"/>
          <w:szCs w:val="20"/>
          <w:lang w:eastAsia="en-GB"/>
        </w:rPr>
        <w:br w:type="page"/>
      </w:r>
    </w:p>
    <w:p w:rsidR="000C6D03" w:rsidRDefault="00873433">
      <w:pPr>
        <w:keepNext/>
        <w:keepLines/>
        <w:pageBreakBefore/>
        <w:spacing w:after="120" w:line="240" w:lineRule="auto"/>
        <w:outlineLvl w:val="0"/>
        <w:rPr>
          <w:rFonts w:ascii="EC Square Sans Pro" w:eastAsia="EC Square Sans Pro" w:hAnsi="EC Square Sans Pro" w:cs="Times New Roman"/>
          <w:noProof/>
          <w:color w:val="005D95"/>
          <w:sz w:val="52"/>
          <w:lang w:eastAsia="en-GB"/>
        </w:rPr>
      </w:pPr>
      <w:bookmarkStart w:id="154" w:name="_Toc2946477"/>
      <w:bookmarkStart w:id="155" w:name="_Toc9237652"/>
      <w:bookmarkStart w:id="156" w:name="_Toc42788173"/>
      <w:r>
        <w:rPr>
          <w:rFonts w:ascii="EC Square Sans Pro" w:eastAsia="EC Square Sans Pro" w:hAnsi="EC Square Sans Pro" w:cs="Times New Roman"/>
          <w:noProof/>
          <w:color w:val="005D95"/>
          <w:sz w:val="52"/>
        </w:rPr>
        <w:t>PART</w:t>
      </w:r>
      <w:r>
        <w:rPr>
          <w:rFonts w:ascii="EC Square Sans Pro" w:eastAsia="EC Square Sans Pro" w:hAnsi="EC Square Sans Pro" w:cs="Times New Roman"/>
          <w:noProof/>
          <w:color w:val="005D95"/>
          <w:sz w:val="52"/>
          <w:lang w:eastAsia="en-GB"/>
        </w:rPr>
        <w:t xml:space="preserve"> 2: Follow-up engagements (summarised)</w:t>
      </w:r>
      <w:bookmarkEnd w:id="154"/>
      <w:bookmarkEnd w:id="155"/>
      <w:bookmarkEnd w:id="156"/>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57" w:name="_Toc42788174"/>
      <w:bookmarkStart w:id="158" w:name="_Toc2946480"/>
      <w:bookmarkStart w:id="159" w:name="_Toc9237653"/>
      <w:r>
        <w:rPr>
          <w:rFonts w:ascii="EC Square Sans Pro" w:eastAsia="Times New Roman" w:hAnsi="EC Square Sans Pro" w:cs="Times New Roman"/>
          <w:b/>
          <w:i/>
          <w:noProof/>
          <w:color w:val="005D95"/>
          <w:sz w:val="24"/>
          <w:szCs w:val="20"/>
          <w:lang w:eastAsia="en-GB"/>
        </w:rPr>
        <w:t>Follow-up audit on DG AGRI’s control strategy for the 2014-2020 common agricultural policy</w:t>
      </w:r>
      <w:bookmarkEnd w:id="157"/>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 xml:space="preserve">Based on the </w:t>
      </w:r>
      <w:r>
        <w:rPr>
          <w:rFonts w:ascii="EC Square Sans Pro" w:eastAsia="Times New Roman" w:hAnsi="EC Square Sans Pro" w:cs="Tahoma"/>
          <w:noProof/>
          <w:sz w:val="20"/>
          <w:szCs w:val="20"/>
          <w:lang w:eastAsia="en-GB"/>
        </w:rPr>
        <w:t>results of the follow-up audit,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Recommendation No 1 (very important): financial corrections;</w:t>
      </w:r>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Recommendation No 2 (important</w:t>
      </w:r>
      <w:r>
        <w:rPr>
          <w:rFonts w:ascii="EC Square Sans Pro" w:eastAsia="Times New Roman" w:hAnsi="EC Square Sans Pro" w:cs="Tahoma"/>
          <w:noProof/>
          <w:sz w:val="20"/>
          <w:szCs w:val="20"/>
          <w:lang w:eastAsia="en-GB"/>
        </w:rPr>
        <w:t>): follow-up of identified deficiencies;</w:t>
      </w:r>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Recommendation No 3 (important): procedures for financial corrections based on errors detected by the certification bodies;</w:t>
      </w:r>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Recommendation No 4 (important): audit strategy and audit plan;</w:t>
      </w:r>
    </w:p>
    <w:p w:rsidR="000C6D03" w:rsidRDefault="00873433">
      <w:pPr>
        <w:spacing w:after="240" w:line="240" w:lineRule="auto"/>
        <w:jc w:val="both"/>
        <w:rPr>
          <w:rFonts w:ascii="EC Square Sans Pro" w:eastAsia="Times New Roman" w:hAnsi="EC Square Sans Pro" w:cs="Tahoma"/>
          <w:noProof/>
          <w:sz w:val="20"/>
          <w:szCs w:val="20"/>
          <w:lang w:eastAsia="en-GB"/>
        </w:rPr>
      </w:pPr>
      <w:r>
        <w:rPr>
          <w:rFonts w:ascii="EC Square Sans Pro" w:eastAsia="Times New Roman" w:hAnsi="EC Square Sans Pro" w:cs="Tahoma"/>
          <w:noProof/>
          <w:sz w:val="20"/>
          <w:szCs w:val="20"/>
          <w:lang w:eastAsia="en-GB"/>
        </w:rPr>
        <w:t>Recommendation No 6 (import</w:t>
      </w:r>
      <w:r>
        <w:rPr>
          <w:rFonts w:ascii="EC Square Sans Pro" w:eastAsia="Times New Roman" w:hAnsi="EC Square Sans Pro" w:cs="Tahoma"/>
          <w:noProof/>
          <w:sz w:val="20"/>
          <w:szCs w:val="20"/>
          <w:lang w:eastAsia="en-GB"/>
        </w:rPr>
        <w:t>ant): handling of Member State reporting requirements on their control systems.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60" w:name="_Toc42788175"/>
      <w:bookmarkStart w:id="161" w:name="_Toc2946483"/>
      <w:bookmarkStart w:id="162" w:name="_Toc9237656"/>
      <w:bookmarkEnd w:id="158"/>
      <w:bookmarkEnd w:id="159"/>
      <w:r>
        <w:rPr>
          <w:rFonts w:ascii="EC Square Sans Pro" w:eastAsia="Times New Roman" w:hAnsi="EC Square Sans Pro" w:cs="Times New Roman"/>
          <w:b/>
          <w:i/>
          <w:noProof/>
          <w:color w:val="005D95"/>
          <w:sz w:val="24"/>
          <w:szCs w:val="20"/>
          <w:lang w:eastAsia="en-GB"/>
        </w:rPr>
        <w:t>Follow-up audit in DG AGRI on the process for managing and sharing data on agri-environmental climate issues in DG AGRI, DG CLIMA and DG ENV</w:t>
      </w:r>
      <w:bookmarkEnd w:id="160"/>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w:t>
      </w:r>
      <w:r>
        <w:rPr>
          <w:rFonts w:ascii="EC Square Sans Pro" w:eastAsia="Times New Roman" w:hAnsi="EC Square Sans Pro" w:cs="Times New Roman"/>
          <w:noProof/>
          <w:sz w:val="20"/>
          <w:szCs w:val="20"/>
          <w:lang w:eastAsia="en-GB"/>
        </w:rPr>
        <w:t>up audit,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coordination of Member State reporting requirements and re-use of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registration, storage, and sharing of agri-environmental data collected by the Directorate-General for Agriculture and Rural Development, the Directorate-General for Climate Action and the Directorate-General for Environmen</w:t>
      </w:r>
      <w:r>
        <w:rPr>
          <w:rFonts w:ascii="EC Square Sans Pro" w:eastAsia="Times New Roman" w:hAnsi="EC Square Sans Pro" w:cs="Times New Roman"/>
          <w:noProof/>
          <w:sz w:val="20"/>
          <w:szCs w:val="20"/>
          <w:lang w:eastAsia="en-GB"/>
        </w:rPr>
        <w:t>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 (important): dissemination of agri-environmental climate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 was assessed 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mapping of information needs and available dat</w:t>
      </w:r>
      <w:r>
        <w:rPr>
          <w:rFonts w:ascii="EC Square Sans Pro" w:eastAsia="Times New Roman" w:hAnsi="EC Square Sans Pro" w:cs="Times New Roman"/>
          <w:noProof/>
          <w:sz w:val="20"/>
          <w:szCs w:val="20"/>
          <w:lang w:eastAsia="en-GB"/>
        </w:rPr>
        <w:t>a related to agri-environmental climate issues.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noted the progress made in implementing the action plan. In particular, the Directorate-General for Agriculture and Rural Development attended the meetings of the Eurostat working g</w:t>
      </w:r>
      <w:r>
        <w:rPr>
          <w:rFonts w:ascii="EC Square Sans Pro" w:eastAsia="Times New Roman" w:hAnsi="EC Square Sans Pro" w:cs="Times New Roman"/>
          <w:noProof/>
          <w:sz w:val="20"/>
          <w:szCs w:val="20"/>
          <w:lang w:eastAsia="en-GB"/>
        </w:rPr>
        <w:t>roups on agri-environmental climate statistics and indicators. In addition, it participated in the meetings of the environmental-knowledge community and introduced relevant indicators into the indicator inventory created by the Directorate-General for Envi</w:t>
      </w:r>
      <w:r>
        <w:rPr>
          <w:rFonts w:ascii="EC Square Sans Pro" w:eastAsia="Times New Roman" w:hAnsi="EC Square Sans Pro" w:cs="Times New Roman"/>
          <w:noProof/>
          <w:sz w:val="20"/>
          <w:szCs w:val="20"/>
          <w:lang w:eastAsia="en-GB"/>
        </w:rPr>
        <w:t>ronment. It also provided the Directorate-General for Environment and the Directorate-General for Climate Action with access to some of its local databases (data/notifications received from the Member States, such as RDIS and ISAMM). However, certain sub-a</w:t>
      </w:r>
      <w:r>
        <w:rPr>
          <w:rFonts w:ascii="EC Square Sans Pro" w:eastAsia="Times New Roman" w:hAnsi="EC Square Sans Pro" w:cs="Times New Roman"/>
          <w:noProof/>
          <w:sz w:val="20"/>
          <w:szCs w:val="20"/>
          <w:lang w:eastAsia="en-GB"/>
        </w:rPr>
        <w:t>ctions were not yet finalised. These non-finalised sub-actions were linked to: (i) the Eurostat inventory on ‘other statistics’; (ii) the post-2020 regulation on statistics on agricultural inputs and outputs; and (iii) the memorandum of understanding betwe</w:t>
      </w:r>
      <w:r>
        <w:rPr>
          <w:rFonts w:ascii="EC Square Sans Pro" w:eastAsia="Times New Roman" w:hAnsi="EC Square Sans Pro" w:cs="Times New Roman"/>
          <w:noProof/>
          <w:sz w:val="20"/>
          <w:szCs w:val="20"/>
          <w:lang w:eastAsia="en-GB"/>
        </w:rPr>
        <w:t>en the Directorate-General for Agriculture and Rural Development and Eurostat. Nonetheless, the Internal Audit Service considered that the progress made in implementing the recommendation is sufficient to downgrade this recommendation to important.</w:t>
      </w:r>
      <w:r>
        <w:rPr>
          <w:rFonts w:ascii="EC Square Sans Pro" w:eastAsia="EC Square Sans Pro" w:hAnsi="EC Square Sans Pro" w:cs="Verdana"/>
          <w:noProof/>
          <w:sz w:val="20"/>
        </w:rPr>
        <w:t xml:space="preserve"> Subsequ</w:t>
      </w:r>
      <w:r>
        <w:rPr>
          <w:rFonts w:ascii="EC Square Sans Pro" w:eastAsia="EC Square Sans Pro" w:hAnsi="EC Square Sans Pro" w:cs="Verdana"/>
          <w:noProof/>
          <w:sz w:val="20"/>
        </w:rPr>
        <w:t>ently, the Directorate-General for Agriculture and Rural Development reported the recommendation as implemented and is awaiting the follow-up check by the Internal Audit Service</w:t>
      </w:r>
      <w:r>
        <w:rPr>
          <w:rFonts w:ascii="EC Square Sans Pro" w:eastAsia="Times New Roman" w:hAnsi="EC Square Sans Pro" w:cs="Times New Roman"/>
          <w:noProof/>
          <w:sz w:val="20"/>
          <w:szCs w:val="20"/>
          <w:lang w:eastAsia="en-GB"/>
        </w:rPr>
        <w:t>.</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63" w:name="_Toc42788176"/>
      <w:r>
        <w:rPr>
          <w:rFonts w:ascii="EC Square Sans Pro" w:eastAsia="Times New Roman" w:hAnsi="EC Square Sans Pro" w:cs="Times New Roman"/>
          <w:b/>
          <w:i/>
          <w:noProof/>
          <w:color w:val="005D95"/>
          <w:sz w:val="24"/>
          <w:szCs w:val="20"/>
          <w:lang w:eastAsia="en-GB"/>
        </w:rPr>
        <w:t>Follow-up audit in DG CLIMA on the process for managing and sharing data on a</w:t>
      </w:r>
      <w:r>
        <w:rPr>
          <w:rFonts w:ascii="EC Square Sans Pro" w:eastAsia="Times New Roman" w:hAnsi="EC Square Sans Pro" w:cs="Times New Roman"/>
          <w:b/>
          <w:i/>
          <w:noProof/>
          <w:color w:val="005D95"/>
          <w:sz w:val="24"/>
          <w:szCs w:val="20"/>
          <w:lang w:eastAsia="en-GB"/>
        </w:rPr>
        <w:t>gri-environmental climate issues in DG AGRI, DG CLIMA and DG ENV</w:t>
      </w:r>
      <w:bookmarkEnd w:id="163"/>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coordination of Member State reporting requirements and re-use of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registration, storage, and sharing of agri-environmental data collected by the Directorate-General for Agricultur</w:t>
      </w:r>
      <w:r>
        <w:rPr>
          <w:rFonts w:ascii="EC Square Sans Pro" w:eastAsia="Times New Roman" w:hAnsi="EC Square Sans Pro" w:cs="Times New Roman"/>
          <w:noProof/>
          <w:sz w:val="20"/>
          <w:szCs w:val="20"/>
          <w:lang w:eastAsia="en-GB"/>
        </w:rPr>
        <w:t>e and Rural Development, the Directorate-General for Climate Action and the Directorate-General for Environment;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 (important): dissemination of agri-environmental climate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 was assessed as not fully and/o</w:t>
      </w:r>
      <w:r>
        <w:rPr>
          <w:rFonts w:ascii="EC Square Sans Pro" w:eastAsia="Times New Roman" w:hAnsi="EC Square Sans Pro" w:cs="Times New Roman"/>
          <w:noProof/>
          <w:sz w:val="20"/>
          <w:szCs w:val="20"/>
          <w:lang w:eastAsia="en-GB"/>
        </w:rPr>
        <w:t>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1 (very important): mapping of information needs and available data related to agri-environmental climate issues.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noted the progress made in implementing the action plan. In particular</w:t>
      </w:r>
      <w:r>
        <w:rPr>
          <w:rFonts w:ascii="EC Square Sans Pro" w:eastAsia="Times New Roman" w:hAnsi="EC Square Sans Pro" w:cs="Times New Roman"/>
          <w:noProof/>
          <w:sz w:val="20"/>
          <w:szCs w:val="20"/>
          <w:lang w:eastAsia="en-GB"/>
        </w:rPr>
        <w:t>, the Directorate-General for Climate Action attended the meetings of the Eurostat working groups on agri-environmental climate statistics and indicators. In addition, it participated in the meetings of the environmental-knowledge community and received ac</w:t>
      </w:r>
      <w:r>
        <w:rPr>
          <w:rFonts w:ascii="EC Square Sans Pro" w:eastAsia="Times New Roman" w:hAnsi="EC Square Sans Pro" w:cs="Times New Roman"/>
          <w:noProof/>
          <w:sz w:val="20"/>
          <w:szCs w:val="20"/>
          <w:lang w:eastAsia="en-GB"/>
        </w:rPr>
        <w:t>cess to some of the Directorate-General for Agriculture and Rural Development’s local databases (data/notifications received from the Member States, such as RDIS and ISAMM). However, certain sub-actions were not yet finalised. These non-finalised sub-actio</w:t>
      </w:r>
      <w:r>
        <w:rPr>
          <w:rFonts w:ascii="EC Square Sans Pro" w:eastAsia="Times New Roman" w:hAnsi="EC Square Sans Pro" w:cs="Times New Roman"/>
          <w:noProof/>
          <w:sz w:val="20"/>
          <w:szCs w:val="20"/>
          <w:lang w:eastAsia="en-GB"/>
        </w:rPr>
        <w:t>ns were linked to: (i) the Eurostat inventory on ‘other statistics’; and (ii) the memorandum of understanding between the Directorate-General for Climate Action and Eurostat. Nonetheless, the Internal Audit Service considered that the progress made in impl</w:t>
      </w:r>
      <w:r>
        <w:rPr>
          <w:rFonts w:ascii="EC Square Sans Pro" w:eastAsia="Times New Roman" w:hAnsi="EC Square Sans Pro" w:cs="Times New Roman"/>
          <w:noProof/>
          <w:sz w:val="20"/>
          <w:szCs w:val="20"/>
          <w:lang w:eastAsia="en-GB"/>
        </w:rPr>
        <w:t>ementing the recommendation is sufficient to downgrade this recommendation to important.</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64" w:name="_Toc42788177"/>
      <w:r>
        <w:rPr>
          <w:rFonts w:ascii="EC Square Sans Pro" w:eastAsia="Times New Roman" w:hAnsi="EC Square Sans Pro" w:cs="Times New Roman"/>
          <w:b/>
          <w:i/>
          <w:noProof/>
          <w:color w:val="005D95"/>
          <w:sz w:val="24"/>
          <w:szCs w:val="20"/>
          <w:lang w:eastAsia="en-GB"/>
        </w:rPr>
        <w:t>Follow-up audit in DG ENV on the process for managing and sharing data on agri-environmental climate issues in DG AGRI, DG CLIMA and DG ENV</w:t>
      </w:r>
      <w:bookmarkEnd w:id="16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w:t>
      </w:r>
      <w:r>
        <w:rPr>
          <w:rFonts w:ascii="EC Square Sans Pro" w:eastAsia="Times New Roman" w:hAnsi="EC Square Sans Pro" w:cs="Times New Roman"/>
          <w:noProof/>
          <w:sz w:val="20"/>
          <w:szCs w:val="20"/>
          <w:lang w:eastAsia="en-GB"/>
        </w:rPr>
        <w:t xml:space="preserve"> follow-up audit,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coordination of Member State reporting requirements and re-use of d</w:t>
      </w:r>
      <w:r>
        <w:rPr>
          <w:rFonts w:ascii="EC Square Sans Pro" w:eastAsia="Times New Roman" w:hAnsi="EC Square Sans Pro" w:cs="Times New Roman"/>
          <w:noProof/>
          <w:sz w:val="20"/>
          <w:szCs w:val="20"/>
          <w:lang w:eastAsia="en-GB"/>
        </w:rPr>
        <w:t>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registration, storage, and sharing of agri-environmental data collected by the Directorate-General for Agriculture and Rural Development, the Directorate-General for Climate Action and the Directorate-General for Envir</w:t>
      </w:r>
      <w:r>
        <w:rPr>
          <w:rFonts w:ascii="EC Square Sans Pro" w:eastAsia="Times New Roman" w:hAnsi="EC Square Sans Pro" w:cs="Times New Roman"/>
          <w:noProof/>
          <w:sz w:val="20"/>
          <w:szCs w:val="20"/>
          <w:lang w:eastAsia="en-GB"/>
        </w:rPr>
        <w:t xml:space="preserve">onment;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5 (important): coordination and working arrangements with the European Environmental Agency for the management of agri-environmental climate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recommendations were assessed as not fully and/or adequately impleme</w:t>
      </w:r>
      <w:r>
        <w:rPr>
          <w:rFonts w:ascii="EC Square Sans Pro" w:eastAsia="Times New Roman" w:hAnsi="EC Square Sans Pro" w:cs="Times New Roman"/>
          <w:noProof/>
          <w:sz w:val="20"/>
          <w:szCs w:val="20"/>
          <w:lang w:eastAsia="en-GB"/>
        </w:rPr>
        <w:t>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mapping of information needs and available data related to agri-environmental climate issues.</w:t>
      </w:r>
    </w:p>
    <w:p w:rsidR="000C6D03" w:rsidRDefault="00873433">
      <w:pPr>
        <w:spacing w:after="240" w:line="240" w:lineRule="atLeast"/>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noted the progress made in implementing the action plan. In particular, the Directorate-Gen</w:t>
      </w:r>
      <w:r>
        <w:rPr>
          <w:rFonts w:ascii="EC Square Sans Pro" w:eastAsia="Times New Roman" w:hAnsi="EC Square Sans Pro" w:cs="Times New Roman"/>
          <w:noProof/>
          <w:sz w:val="20"/>
          <w:szCs w:val="20"/>
          <w:lang w:eastAsia="en-GB"/>
        </w:rPr>
        <w:t>eral for Environment attended the meetings of the Eurostat working groups on agri-environmental climate statistics and indicators. It also participated in the meetings of the environmental-knowledge community and received access to some of the local databa</w:t>
      </w:r>
      <w:r>
        <w:rPr>
          <w:rFonts w:ascii="EC Square Sans Pro" w:eastAsia="Times New Roman" w:hAnsi="EC Square Sans Pro" w:cs="Times New Roman"/>
          <w:noProof/>
          <w:sz w:val="20"/>
          <w:szCs w:val="20"/>
          <w:lang w:eastAsia="en-GB"/>
        </w:rPr>
        <w:t xml:space="preserve">ses of the Directorate-General for Agriculture and Rural Development (data/notifications received from the Member States, such as RDIS and ISAMM). However, certain sub-actions were not yet finalised. These non-finalised sub-actions were linked to: (i) the </w:t>
      </w:r>
      <w:r>
        <w:rPr>
          <w:rFonts w:ascii="EC Square Sans Pro" w:eastAsia="Times New Roman" w:hAnsi="EC Square Sans Pro" w:cs="Times New Roman"/>
          <w:noProof/>
          <w:sz w:val="20"/>
          <w:szCs w:val="20"/>
          <w:lang w:eastAsia="en-GB"/>
        </w:rPr>
        <w:t>Eurostat inventory on ‘other statistics’; and (ii) an update of the memorandum of understanding between the Directorate-General for Environment and Eurostat. Nonetheless, the Internal Audit Service considered that the progress made in implementing the reco</w:t>
      </w:r>
      <w:r>
        <w:rPr>
          <w:rFonts w:ascii="EC Square Sans Pro" w:eastAsia="Times New Roman" w:hAnsi="EC Square Sans Pro" w:cs="Times New Roman"/>
          <w:noProof/>
          <w:sz w:val="20"/>
          <w:szCs w:val="20"/>
          <w:lang w:eastAsia="en-GB"/>
        </w:rPr>
        <w:t>mmendation is sufficient to downgrade this recommendation to important.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 (important): dissemination of agri-environmental climate data.</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Directorate-General for Environment has yet to make data available through the open-data portal.</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65" w:name="_Toc42788178"/>
      <w:r>
        <w:rPr>
          <w:rFonts w:ascii="EC Square Sans Pro" w:eastAsia="Times New Roman" w:hAnsi="EC Square Sans Pro" w:cs="Times New Roman"/>
          <w:b/>
          <w:i/>
          <w:noProof/>
          <w:color w:val="005D95"/>
          <w:sz w:val="24"/>
          <w:szCs w:val="20"/>
          <w:lang w:eastAsia="en-GB"/>
        </w:rPr>
        <w:t>Follow-up audit on early implementation of the ESIF control strategy 2014-2020 in DG MARE</w:t>
      </w:r>
      <w:bookmarkEnd w:id="161"/>
      <w:bookmarkEnd w:id="162"/>
      <w:r>
        <w:rPr>
          <w:rFonts w:ascii="EC Square Sans Pro" w:eastAsia="Times New Roman" w:hAnsi="EC Square Sans Pro" w:cs="Times New Roman"/>
          <w:b/>
          <w:i/>
          <w:noProof/>
          <w:color w:val="005D95"/>
          <w:sz w:val="24"/>
          <w:szCs w:val="20"/>
          <w:lang w:eastAsia="en-GB"/>
        </w:rPr>
        <w:t xml:space="preserve"> (based on two follow-up audits performed in 2019)</w:t>
      </w:r>
      <w:bookmarkEnd w:id="16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audits, the Internal Audit Service concluded that the following recommendation</w:t>
      </w:r>
      <w:r>
        <w:rPr>
          <w:rFonts w:ascii="EC Square Sans Pro" w:eastAsia="Times New Roman" w:hAnsi="EC Square Sans Pro" w:cs="Times New Roman"/>
          <w:noProof/>
          <w:sz w:val="20"/>
          <w:szCs w:val="20"/>
          <w:lang w:eastAsia="en-GB"/>
        </w:rPr>
        <w:t xml:space="preserve">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10 (very important): audits on financial instruments.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66" w:name="_Toc2946484"/>
      <w:bookmarkStart w:id="167" w:name="_Toc9237658"/>
      <w:bookmarkStart w:id="168" w:name="_Toc42788179"/>
      <w:r>
        <w:rPr>
          <w:rFonts w:ascii="EC Square Sans Pro" w:eastAsia="Times New Roman" w:hAnsi="EC Square Sans Pro" w:cs="Times New Roman"/>
          <w:b/>
          <w:i/>
          <w:noProof/>
          <w:color w:val="005D95"/>
          <w:sz w:val="24"/>
          <w:szCs w:val="20"/>
          <w:lang w:eastAsia="en-GB"/>
        </w:rPr>
        <w:t>Follow-up audit on early implementation of the ESIF control strategy 2014-2020 in DG EMPL</w:t>
      </w:r>
      <w:bookmarkEnd w:id="166"/>
      <w:bookmarkEnd w:id="167"/>
      <w:r>
        <w:rPr>
          <w:rFonts w:ascii="EC Square Sans Pro" w:eastAsia="Times New Roman" w:hAnsi="EC Square Sans Pro" w:cs="Times New Roman"/>
          <w:b/>
          <w:i/>
          <w:noProof/>
          <w:color w:val="005D95"/>
          <w:sz w:val="24"/>
          <w:szCs w:val="20"/>
          <w:lang w:eastAsia="en-GB"/>
        </w:rPr>
        <w:t xml:space="preserve"> (based on two follow-up audits per</w:t>
      </w:r>
      <w:r>
        <w:rPr>
          <w:rFonts w:ascii="EC Square Sans Pro" w:eastAsia="Times New Roman" w:hAnsi="EC Square Sans Pro" w:cs="Times New Roman"/>
          <w:b/>
          <w:i/>
          <w:noProof/>
          <w:color w:val="005D95"/>
          <w:sz w:val="24"/>
          <w:szCs w:val="20"/>
          <w:lang w:eastAsia="en-GB"/>
        </w:rPr>
        <w:t>formed in 2019)</w:t>
      </w:r>
      <w:bookmarkEnd w:id="16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audits,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10 (very important): audits on financial instr</w:t>
      </w:r>
      <w:r>
        <w:rPr>
          <w:rFonts w:ascii="EC Square Sans Pro" w:eastAsia="Times New Roman" w:hAnsi="EC Square Sans Pro" w:cs="Times New Roman"/>
          <w:noProof/>
          <w:sz w:val="20"/>
          <w:szCs w:val="20"/>
          <w:lang w:eastAsia="en-GB"/>
        </w:rPr>
        <w:t>uments</w:t>
      </w:r>
      <w:bookmarkStart w:id="169" w:name="_Toc2946485"/>
      <w:r>
        <w:rPr>
          <w:rFonts w:ascii="EC Square Sans Pro" w:eastAsia="Times New Roman" w:hAnsi="EC Square Sans Pro" w:cs="Times New Roman"/>
          <w:noProof/>
          <w:sz w:val="20"/>
          <w:szCs w:val="20"/>
          <w:lang w:eastAsia="en-GB"/>
        </w:rPr>
        <w:t>.</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70" w:name="_Toc9237660"/>
      <w:bookmarkStart w:id="171" w:name="_Toc42788180"/>
      <w:r>
        <w:rPr>
          <w:rFonts w:ascii="EC Square Sans Pro" w:eastAsia="Times New Roman" w:hAnsi="EC Square Sans Pro" w:cs="Times New Roman"/>
          <w:b/>
          <w:i/>
          <w:noProof/>
          <w:color w:val="005D95"/>
          <w:sz w:val="24"/>
          <w:szCs w:val="20"/>
          <w:lang w:eastAsia="en-GB"/>
        </w:rPr>
        <w:t>Follow-up audit on early implementation of the ESIF control strategy 2014-2020 in DG REGIO</w:t>
      </w:r>
      <w:bookmarkEnd w:id="169"/>
      <w:bookmarkEnd w:id="170"/>
      <w:r>
        <w:rPr>
          <w:rFonts w:ascii="EC Square Sans Pro" w:eastAsia="Times New Roman" w:hAnsi="EC Square Sans Pro" w:cs="Times New Roman"/>
          <w:b/>
          <w:i/>
          <w:noProof/>
          <w:color w:val="005D95"/>
          <w:sz w:val="24"/>
          <w:szCs w:val="20"/>
          <w:lang w:eastAsia="en-GB"/>
        </w:rPr>
        <w:t xml:space="preserve"> (based on two follow-up audits performed in 2019)</w:t>
      </w:r>
      <w:bookmarkEnd w:id="17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audits, the Internal Audit Service concluded that the following recom</w:t>
      </w:r>
      <w:r>
        <w:rPr>
          <w:rFonts w:ascii="EC Square Sans Pro" w:eastAsia="Times New Roman" w:hAnsi="EC Square Sans Pro" w:cs="Times New Roman"/>
          <w:noProof/>
          <w:sz w:val="20"/>
          <w:szCs w:val="20"/>
          <w:lang w:eastAsia="en-GB"/>
        </w:rPr>
        <w:t>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10 (very important): audits on financial instruments</w:t>
      </w:r>
      <w:bookmarkStart w:id="172" w:name="_Toc2946486"/>
      <w:bookmarkStart w:id="173" w:name="_Toc9237661"/>
      <w:r>
        <w:rPr>
          <w:rFonts w:ascii="EC Square Sans Pro" w:eastAsia="Times New Roman" w:hAnsi="EC Square Sans Pro" w:cs="Times New Roman"/>
          <w:noProof/>
          <w:sz w:val="20"/>
          <w:szCs w:val="20"/>
          <w:lang w:eastAsia="en-GB"/>
        </w:rPr>
        <w:t>.</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74" w:name="_Toc42788181"/>
      <w:r>
        <w:rPr>
          <w:rFonts w:ascii="EC Square Sans Pro" w:eastAsia="Times New Roman" w:hAnsi="EC Square Sans Pro" w:cs="Times New Roman"/>
          <w:b/>
          <w:i/>
          <w:noProof/>
          <w:color w:val="005D95"/>
          <w:sz w:val="24"/>
          <w:szCs w:val="20"/>
          <w:lang w:eastAsia="en-GB"/>
        </w:rPr>
        <w:t>Follow-up audit on major projects in DG REGIO</w:t>
      </w:r>
      <w:bookmarkEnd w:id="172"/>
      <w:bookmarkEnd w:id="173"/>
      <w:bookmarkEnd w:id="17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w:t>
      </w:r>
      <w:r>
        <w:rPr>
          <w:rFonts w:ascii="EC Square Sans Pro" w:eastAsia="Times New Roman" w:hAnsi="EC Square Sans Pro" w:cs="Times New Roman"/>
          <w:noProof/>
          <w:sz w:val="20"/>
          <w:szCs w:val="20"/>
          <w:lang w:eastAsia="en-GB"/>
        </w:rPr>
        <w:t>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appraisal of major projects.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75" w:name="_Toc42788182"/>
      <w:bookmarkStart w:id="176" w:name="_Toc2946487"/>
      <w:bookmarkStart w:id="177" w:name="_Toc9237662"/>
      <w:r>
        <w:rPr>
          <w:rFonts w:ascii="EC Square Sans Pro" w:eastAsia="Times New Roman" w:hAnsi="EC Square Sans Pro" w:cs="Times New Roman"/>
          <w:b/>
          <w:i/>
          <w:noProof/>
          <w:color w:val="005D95"/>
          <w:sz w:val="24"/>
          <w:szCs w:val="20"/>
          <w:lang w:eastAsia="en-GB"/>
        </w:rPr>
        <w:t xml:space="preserve">Follow-up audit on the management of recovery orders for competition fines and recovery </w:t>
      </w:r>
      <w:r>
        <w:rPr>
          <w:rFonts w:ascii="EC Square Sans Pro" w:eastAsia="Times New Roman" w:hAnsi="EC Square Sans Pro" w:cs="Times New Roman"/>
          <w:b/>
          <w:i/>
          <w:noProof/>
          <w:color w:val="005D95"/>
          <w:sz w:val="24"/>
          <w:szCs w:val="20"/>
          <w:lang w:eastAsia="en-GB"/>
        </w:rPr>
        <w:t>orders in the context of the Commission’s corrective capacity – Phase 1 in DG CONNECT (based on two follow-up audits performed in 2019)</w:t>
      </w:r>
      <w:bookmarkEnd w:id="17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audits, the Internal Audit Service concluded that the following recommendation was</w:t>
      </w:r>
      <w:r>
        <w:rPr>
          <w:rFonts w:ascii="EC Square Sans Pro" w:eastAsia="Times New Roman" w:hAnsi="EC Square Sans Pro" w:cs="Times New Roman"/>
          <w:noProof/>
          <w:sz w:val="20"/>
          <w:szCs w:val="20"/>
          <w:lang w:eastAsia="en-GB"/>
        </w:rPr>
        <w:t xml:space="preserve">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encoding of the recovery context in ABAC.</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 was assessed 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2 (important): </w:t>
      </w:r>
      <w:r>
        <w:rPr>
          <w:rFonts w:ascii="EC Square Sans Pro" w:eastAsia="Times New Roman" w:hAnsi="EC Square Sans Pro" w:cs="Times New Roman"/>
          <w:noProof/>
          <w:sz w:val="20"/>
          <w:szCs w:val="20"/>
          <w:lang w:eastAsia="en-GB"/>
        </w:rPr>
        <w:t>monitoring of – and reporting on – the uncashed recovery orders.</w:t>
      </w:r>
    </w:p>
    <w:p w:rsidR="000C6D03" w:rsidRDefault="00873433">
      <w:pPr>
        <w:spacing w:after="240" w:line="240" w:lineRule="auto"/>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In line with the action plan, the Internal Audit Service noted that the Directorate-General for Communications Networks, Content and Technology improved the monitoring of the uncashed recover</w:t>
      </w:r>
      <w:r>
        <w:rPr>
          <w:rFonts w:ascii="EC Square Sans Pro" w:eastAsia="Times New Roman" w:hAnsi="EC Square Sans Pro" w:cs="Times New Roman"/>
          <w:noProof/>
          <w:sz w:val="20"/>
          <w:szCs w:val="20"/>
          <w:lang w:val="en-IE" w:eastAsia="en-GB"/>
        </w:rPr>
        <w:t xml:space="preserve">y orders by: </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lang w:val="en-IE"/>
        </w:rPr>
        <w:t xml:space="preserve">setting objectives and indicators, which are applicable for all recovery files as of the beginning of 2019 (these indicators are monitored on a daily basis by the unit in charge); </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lang w:val="en-IE"/>
        </w:rPr>
        <w:t>reporting to management in March 2019 on the detailed state o</w:t>
      </w:r>
      <w:r>
        <w:rPr>
          <w:rFonts w:ascii="EC Square Sans Pro" w:eastAsia="Calibri" w:hAnsi="EC Square Sans Pro" w:cs="Times New Roman"/>
          <w:noProof/>
          <w:sz w:val="20"/>
          <w:szCs w:val="20"/>
          <w:lang w:val="en-IE"/>
        </w:rPr>
        <w:t xml:space="preserve">f play of 2018 activities; </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lang w:val="en-IE"/>
        </w:rPr>
        <w:t xml:space="preserve">reinforcing the recovery team in Unit R.1 in order to clear the backlog of recovery orders existing at the time of the audit by the Internal Audit Service; </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rPr>
        <w:t>merging the two existing Excel files used to track liquidated damages i</w:t>
      </w:r>
      <w:r>
        <w:rPr>
          <w:rFonts w:ascii="EC Square Sans Pro" w:eastAsia="Calibri" w:hAnsi="EC Square Sans Pro" w:cs="Times New Roman"/>
          <w:noProof/>
          <w:sz w:val="20"/>
          <w:szCs w:val="20"/>
        </w:rPr>
        <w:t xml:space="preserve">nto one single file and monitoring the situation, in particular with the Legal Service. </w:t>
      </w:r>
    </w:p>
    <w:p w:rsidR="000C6D03" w:rsidRDefault="00873433">
      <w:pPr>
        <w:spacing w:after="240" w:line="240" w:lineRule="auto"/>
        <w:jc w:val="both"/>
        <w:rPr>
          <w:rFonts w:ascii="EC Square Sans Pro" w:eastAsia="Times New Roman" w:hAnsi="EC Square Sans Pro" w:cs="Times New Roman"/>
          <w:noProof/>
          <w:sz w:val="20"/>
          <w:szCs w:val="20"/>
          <w:lang w:val="en-IE" w:eastAsia="en-GB"/>
        </w:rPr>
      </w:pPr>
      <w:r>
        <w:rPr>
          <w:rFonts w:ascii="EC Square Sans Pro" w:eastAsia="Times New Roman" w:hAnsi="EC Square Sans Pro" w:cs="Times New Roman"/>
          <w:noProof/>
          <w:sz w:val="20"/>
          <w:szCs w:val="20"/>
          <w:lang w:val="en-IE" w:eastAsia="en-GB"/>
        </w:rPr>
        <w:t>However, while acknowledging the actions taken, the Internal Audit Service considered that the risks related to the backlog of recovery files were not yet sufficiently</w:t>
      </w:r>
      <w:r>
        <w:rPr>
          <w:rFonts w:ascii="EC Square Sans Pro" w:eastAsia="Times New Roman" w:hAnsi="EC Square Sans Pro" w:cs="Times New Roman"/>
          <w:noProof/>
          <w:sz w:val="20"/>
          <w:szCs w:val="20"/>
          <w:lang w:val="en-IE" w:eastAsia="en-GB"/>
        </w:rPr>
        <w:t xml:space="preserve"> mitigated. Since the finalisation of the original audit by the Internal Audit Service, a new backlog has built up. Although the ageing profile is lower than at the time of the audit, this situation will need to be monitored carefully over time to see whet</w:t>
      </w:r>
      <w:r>
        <w:rPr>
          <w:rFonts w:ascii="EC Square Sans Pro" w:eastAsia="Times New Roman" w:hAnsi="EC Square Sans Pro" w:cs="Times New Roman"/>
          <w:noProof/>
          <w:sz w:val="20"/>
          <w:szCs w:val="20"/>
          <w:lang w:val="en-IE" w:eastAsia="en-GB"/>
        </w:rPr>
        <w:t xml:space="preserve">her the measures taken are yielding more effective results. </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78" w:name="_Toc42788183"/>
      <w:r>
        <w:rPr>
          <w:rFonts w:ascii="EC Square Sans Pro" w:eastAsia="Times New Roman" w:hAnsi="EC Square Sans Pro" w:cs="Times New Roman"/>
          <w:b/>
          <w:i/>
          <w:noProof/>
          <w:color w:val="005D95"/>
          <w:sz w:val="24"/>
          <w:szCs w:val="20"/>
          <w:lang w:eastAsia="en-GB"/>
        </w:rPr>
        <w:t>Follow-up audit on the production process and the quality of statistics not produced by Eurostat in DG ENER (based on two follow-up audits performed in 2019)</w:t>
      </w:r>
      <w:bookmarkEnd w:id="17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w:t>
      </w:r>
      <w:r>
        <w:rPr>
          <w:rFonts w:ascii="EC Square Sans Pro" w:eastAsia="Times New Roman" w:hAnsi="EC Square Sans Pro" w:cs="Times New Roman"/>
          <w:noProof/>
          <w:sz w:val="20"/>
          <w:szCs w:val="20"/>
          <w:lang w:eastAsia="en-GB"/>
        </w:rPr>
        <w:t xml:space="preserve"> audits,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completion of the statistical inventory and master plan;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(imp</w:t>
      </w:r>
      <w:r>
        <w:rPr>
          <w:rFonts w:ascii="EC Square Sans Pro" w:eastAsia="Times New Roman" w:hAnsi="EC Square Sans Pro" w:cs="Times New Roman"/>
          <w:noProof/>
          <w:sz w:val="20"/>
          <w:szCs w:val="20"/>
          <w:lang w:eastAsia="en-GB"/>
        </w:rPr>
        <w:t>ortant): management of the statistical process by the Directorate-General for Energy.</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79" w:name="_Toc2946488"/>
      <w:bookmarkStart w:id="180" w:name="_Toc9237663"/>
      <w:bookmarkStart w:id="181" w:name="_Toc42788184"/>
      <w:bookmarkEnd w:id="176"/>
      <w:bookmarkEnd w:id="177"/>
      <w:r>
        <w:rPr>
          <w:rFonts w:ascii="EC Square Sans Pro" w:eastAsia="Times New Roman" w:hAnsi="EC Square Sans Pro" w:cs="Times New Roman"/>
          <w:b/>
          <w:i/>
          <w:noProof/>
          <w:color w:val="005D95"/>
          <w:sz w:val="24"/>
          <w:szCs w:val="20"/>
          <w:lang w:eastAsia="en-GB"/>
        </w:rPr>
        <w:t>Follow-up audit on legacy programmes in DG ENER</w:t>
      </w:r>
      <w:bookmarkEnd w:id="179"/>
      <w:bookmarkEnd w:id="180"/>
      <w:bookmarkEnd w:id="18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concluded that the following recommendations were </w:t>
      </w:r>
      <w:r>
        <w:rPr>
          <w:rFonts w:ascii="EC Square Sans Pro" w:eastAsia="Times New Roman" w:hAnsi="EC Square Sans Pro" w:cs="Times New Roman"/>
          <w:noProof/>
          <w:sz w:val="20"/>
          <w:szCs w:val="20"/>
          <w:lang w:eastAsia="en-GB"/>
        </w:rPr>
        <w:t>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procedures for – and monitoring of – closure processes;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management of major changes to the seventh framework programme grant agreement</w:t>
      </w:r>
      <w:r>
        <w:rPr>
          <w:rFonts w:ascii="EC Square Sans Pro" w:eastAsia="Times New Roman" w:hAnsi="EC Square Sans Pro" w:cs="Times New Roman"/>
          <w:noProof/>
          <w:sz w:val="20"/>
          <w:szCs w:val="20"/>
          <w:lang w:eastAsia="en-GB"/>
        </w:rPr>
        <w:t>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82" w:name="_Toc9237664"/>
      <w:bookmarkStart w:id="183" w:name="_Toc42788185"/>
      <w:bookmarkStart w:id="184" w:name="_Toc2946489"/>
      <w:r>
        <w:rPr>
          <w:rFonts w:ascii="EC Square Sans Pro" w:eastAsia="Times New Roman" w:hAnsi="EC Square Sans Pro" w:cs="Times New Roman"/>
          <w:b/>
          <w:i/>
          <w:noProof/>
          <w:color w:val="005D95"/>
          <w:sz w:val="24"/>
          <w:szCs w:val="20"/>
          <w:lang w:eastAsia="en-GB"/>
        </w:rPr>
        <w:t>Follow-up audit on activities in the JRC</w:t>
      </w:r>
      <w:bookmarkEnd w:id="182"/>
      <w:r>
        <w:rPr>
          <w:rFonts w:ascii="EC Square Sans Pro" w:eastAsia="Times New Roman" w:hAnsi="EC Square Sans Pro" w:cs="Times New Roman"/>
          <w:b/>
          <w:i/>
          <w:noProof/>
          <w:color w:val="005D95"/>
          <w:sz w:val="24"/>
          <w:szCs w:val="20"/>
          <w:lang w:eastAsia="en-GB"/>
        </w:rPr>
        <w:t xml:space="preserve"> to support intellectual-property rights</w:t>
      </w:r>
      <w:bookmarkEnd w:id="183"/>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were adequately and effectively implemented and were cl</w:t>
      </w:r>
      <w:r>
        <w:rPr>
          <w:rFonts w:ascii="EC Square Sans Pro" w:eastAsia="Times New Roman" w:hAnsi="EC Square Sans Pro" w:cs="Times New Roman"/>
          <w:noProof/>
          <w:sz w:val="20"/>
          <w:szCs w:val="20"/>
          <w:lang w:eastAsia="en-GB"/>
        </w:rPr>
        <w:t>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efficiency and effectiveness of the intellectual-property-rights network in the Commission;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 (very important): software and information-technology solutions.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85" w:name="_Toc42788186"/>
      <w:r>
        <w:rPr>
          <w:rFonts w:ascii="EC Square Sans Pro" w:eastAsia="Times New Roman" w:hAnsi="EC Square Sans Pro" w:cs="Times New Roman"/>
          <w:b/>
          <w:i/>
          <w:noProof/>
          <w:color w:val="005D95"/>
          <w:sz w:val="24"/>
          <w:szCs w:val="20"/>
          <w:lang w:eastAsia="en-GB"/>
        </w:rPr>
        <w:t>Follow-up audit on human-resources manag</w:t>
      </w:r>
      <w:r>
        <w:rPr>
          <w:rFonts w:ascii="EC Square Sans Pro" w:eastAsia="Times New Roman" w:hAnsi="EC Square Sans Pro" w:cs="Times New Roman"/>
          <w:b/>
          <w:i/>
          <w:noProof/>
          <w:color w:val="005D95"/>
          <w:sz w:val="24"/>
          <w:szCs w:val="20"/>
          <w:lang w:eastAsia="en-GB"/>
        </w:rPr>
        <w:t>ement in the JRC</w:t>
      </w:r>
      <w:bookmarkEnd w:id="18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 was assessed 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Recommendation No 3</w:t>
      </w:r>
      <w:r>
        <w:rPr>
          <w:rFonts w:ascii="EC Square Sans Pro" w:eastAsia="Times New Roman" w:hAnsi="EC Square Sans Pro" w:cs="Times New Roman"/>
          <w:b/>
          <w:noProof/>
          <w:sz w:val="20"/>
          <w:szCs w:val="20"/>
          <w:lang w:val="en-US"/>
        </w:rPr>
        <w:t xml:space="preserve"> </w:t>
      </w:r>
      <w:r>
        <w:rPr>
          <w:rFonts w:ascii="EC Square Sans Pro" w:eastAsia="Times New Roman" w:hAnsi="EC Square Sans Pro" w:cs="Times New Roman"/>
          <w:noProof/>
          <w:sz w:val="20"/>
          <w:szCs w:val="20"/>
          <w:lang w:val="en-US"/>
        </w:rPr>
        <w:t xml:space="preserve">(important): documentation of the recruitment process. </w:t>
      </w:r>
    </w:p>
    <w:p w:rsidR="000C6D03" w:rsidRDefault="00873433">
      <w:pPr>
        <w:spacing w:after="240" w:line="240" w:lineRule="auto"/>
        <w:jc w:val="both"/>
        <w:rPr>
          <w:rFonts w:ascii="EC Square Sans Pro" w:eastAsia="Times New Roman" w:hAnsi="EC Square Sans Pro" w:cs="Times New Roman"/>
          <w:b/>
          <w:noProof/>
          <w:sz w:val="20"/>
          <w:szCs w:val="20"/>
          <w:lang w:val="en-US"/>
        </w:rPr>
      </w:pPr>
      <w:r>
        <w:rPr>
          <w:rFonts w:ascii="EC Square Sans Pro" w:eastAsia="Times New Roman" w:hAnsi="EC Square Sans Pro" w:cs="Times New Roman"/>
          <w:noProof/>
          <w:sz w:val="20"/>
          <w:szCs w:val="20"/>
        </w:rPr>
        <w:t xml:space="preserve">Two out of three sub-recommendations have been adequately and effectively implemented as set out in the two bullet points below. </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 No 3.2</w:t>
      </w:r>
    </w:p>
    <w:p w:rsidR="000C6D03" w:rsidRDefault="00873433">
      <w:pPr>
        <w:spacing w:after="240" w:line="240" w:lineRule="auto"/>
        <w:ind w:left="851"/>
        <w:jc w:val="both"/>
        <w:rPr>
          <w:rFonts w:ascii="EC Square Sans Pro" w:eastAsia="Times New Roman" w:hAnsi="EC Square Sans Pro" w:cs="Times New Roman"/>
          <w:noProof/>
          <w:sz w:val="20"/>
          <w:szCs w:val="20"/>
          <w:lang w:val="en-US"/>
        </w:rPr>
      </w:pPr>
      <w:r>
        <w:rPr>
          <w:rFonts w:ascii="EC Square Sans Pro" w:eastAsia="Times New Roman" w:hAnsi="EC Square Sans Pro" w:cs="Times New Roman"/>
          <w:noProof/>
          <w:sz w:val="20"/>
          <w:szCs w:val="20"/>
        </w:rPr>
        <w:t xml:space="preserve">During its recruitment exercises, </w:t>
      </w:r>
      <w:r>
        <w:rPr>
          <w:rFonts w:ascii="EC Square Sans Pro" w:eastAsia="Times New Roman" w:hAnsi="EC Square Sans Pro" w:cs="Times New Roman"/>
          <w:noProof/>
          <w:sz w:val="20"/>
          <w:szCs w:val="20"/>
          <w:lang w:val="en-US"/>
        </w:rPr>
        <w:t>t</w:t>
      </w:r>
      <w:r>
        <w:rPr>
          <w:rFonts w:ascii="EC Square Sans Pro" w:eastAsia="Times New Roman" w:hAnsi="EC Square Sans Pro" w:cs="Times New Roman"/>
          <w:noProof/>
          <w:sz w:val="20"/>
          <w:szCs w:val="20"/>
        </w:rPr>
        <w:t>he JRC started to employ not only the selection-evaluation templa</w:t>
      </w:r>
      <w:r>
        <w:rPr>
          <w:rFonts w:ascii="EC Square Sans Pro" w:eastAsia="Times New Roman" w:hAnsi="EC Square Sans Pro" w:cs="Times New Roman"/>
          <w:noProof/>
          <w:sz w:val="20"/>
          <w:szCs w:val="20"/>
        </w:rPr>
        <w:t>te, but also in relevant cases the corporate template</w:t>
      </w:r>
      <w:r>
        <w:rPr>
          <w:rFonts w:ascii="Times New Roman" w:eastAsia="Times New Roman" w:hAnsi="Times New Roman" w:cs="Times New Roman"/>
          <w:noProof/>
          <w:sz w:val="24"/>
          <w:szCs w:val="20"/>
        </w:rPr>
        <w:t xml:space="preserve"> </w:t>
      </w:r>
      <w:r>
        <w:rPr>
          <w:rFonts w:ascii="EC Square Sans Pro" w:eastAsia="Times New Roman" w:hAnsi="EC Square Sans Pro" w:cs="Times New Roman"/>
          <w:noProof/>
          <w:sz w:val="20"/>
          <w:szCs w:val="20"/>
        </w:rPr>
        <w:t xml:space="preserve">for the pre-selection phase. This ensures that the selection process is documented in compliance with the updated </w:t>
      </w:r>
      <w:r>
        <w:rPr>
          <w:rFonts w:ascii="EC Square Sans Pro" w:eastAsia="Times New Roman" w:hAnsi="EC Square Sans Pro" w:cs="Times New Roman"/>
          <w:i/>
          <w:noProof/>
          <w:sz w:val="20"/>
          <w:szCs w:val="20"/>
        </w:rPr>
        <w:t>Guide for recruiting units on selection &amp; recruitment of contract agents</w:t>
      </w:r>
      <w:r>
        <w:rPr>
          <w:rFonts w:ascii="EC Square Sans Pro" w:eastAsia="Times New Roman" w:hAnsi="EC Square Sans Pro" w:cs="Times New Roman"/>
          <w:noProof/>
          <w:sz w:val="20"/>
          <w:szCs w:val="20"/>
        </w:rPr>
        <w:t xml:space="preserve">. </w:t>
      </w:r>
    </w:p>
    <w:p w:rsidR="000C6D03" w:rsidRDefault="00873433">
      <w:pPr>
        <w:keepNext/>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w:t>
      </w:r>
      <w:r>
        <w:rPr>
          <w:rFonts w:ascii="EC Square Sans Pro" w:eastAsia="Calibri" w:hAnsi="EC Square Sans Pro" w:cs="Times New Roman"/>
          <w:b/>
          <w:noProof/>
          <w:sz w:val="20"/>
          <w:szCs w:val="20"/>
          <w:lang w:val="en-US"/>
        </w:rPr>
        <w:t>ation No 3.3</w:t>
      </w:r>
    </w:p>
    <w:p w:rsidR="000C6D03" w:rsidRDefault="00873433">
      <w:pPr>
        <w:spacing w:after="240" w:line="240" w:lineRule="auto"/>
        <w:ind w:left="851"/>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 xml:space="preserve">The questionnaire for staff members who attend or may be interested in attending interviews as part of the recruitment panel has been prepared. Based on the survey results, the JRC drew up the list of its employees with basic knowledge of </w:t>
      </w:r>
      <w:r>
        <w:rPr>
          <w:rFonts w:ascii="EC Square Sans Pro" w:eastAsia="Times New Roman" w:hAnsi="EC Square Sans Pro" w:cs="Times New Roman"/>
          <w:noProof/>
          <w:sz w:val="20"/>
          <w:szCs w:val="20"/>
        </w:rPr>
        <w:t>human-resources management who can attend interviews as external members to ensure human-resources expertise in the panels.</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 xml:space="preserve">However, the Internal Audit Service did not consider that sub-recommendation No 3.1 was fully implemented. The updated </w:t>
      </w:r>
      <w:r>
        <w:rPr>
          <w:rFonts w:ascii="EC Square Sans Pro" w:eastAsia="Times New Roman" w:hAnsi="EC Square Sans Pro" w:cs="Times New Roman"/>
          <w:i/>
          <w:noProof/>
          <w:sz w:val="20"/>
          <w:szCs w:val="20"/>
        </w:rPr>
        <w:t>Guide for rec</w:t>
      </w:r>
      <w:r>
        <w:rPr>
          <w:rFonts w:ascii="EC Square Sans Pro" w:eastAsia="Times New Roman" w:hAnsi="EC Square Sans Pro" w:cs="Times New Roman"/>
          <w:i/>
          <w:noProof/>
          <w:sz w:val="20"/>
          <w:szCs w:val="20"/>
        </w:rPr>
        <w:t>ruiting units on selection &amp; recruitment of contract agents</w:t>
      </w:r>
      <w:r>
        <w:rPr>
          <w:rFonts w:ascii="EC Square Sans Pro" w:eastAsia="Times New Roman" w:hAnsi="EC Square Sans Pro" w:cs="Times New Roman"/>
          <w:noProof/>
          <w:sz w:val="20"/>
          <w:szCs w:val="20"/>
        </w:rPr>
        <w:t xml:space="preserve"> and the available template for the pre-selection phase ensure consistent documentation of the process for the position published. However, when the position is not published and the potential cand</w:t>
      </w:r>
      <w:r>
        <w:rPr>
          <w:rFonts w:ascii="EC Square Sans Pro" w:eastAsia="Times New Roman" w:hAnsi="EC Square Sans Pro" w:cs="Times New Roman"/>
          <w:noProof/>
          <w:sz w:val="20"/>
          <w:szCs w:val="20"/>
        </w:rPr>
        <w:t>idates are pre-selected from the recruiter portal, the pre-selection grid is not completed and the pre-selection phase is not documented. Consequently, the procedure should be modified by extending the mandatory use of the pre-selection template for all th</w:t>
      </w:r>
      <w:r>
        <w:rPr>
          <w:rFonts w:ascii="EC Square Sans Pro" w:eastAsia="Times New Roman" w:hAnsi="EC Square Sans Pro" w:cs="Times New Roman"/>
          <w:noProof/>
          <w:sz w:val="20"/>
          <w:szCs w:val="20"/>
        </w:rPr>
        <w:t>e recruitment procedures.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86" w:name="_Toc9237665"/>
      <w:bookmarkStart w:id="187" w:name="_Toc42788187"/>
      <w:r>
        <w:rPr>
          <w:rFonts w:ascii="EC Square Sans Pro" w:eastAsia="Times New Roman" w:hAnsi="EC Square Sans Pro" w:cs="Times New Roman"/>
          <w:b/>
          <w:i/>
          <w:noProof/>
          <w:color w:val="005D95"/>
          <w:sz w:val="24"/>
          <w:szCs w:val="20"/>
          <w:lang w:eastAsia="en-GB"/>
        </w:rPr>
        <w:t>Follow-up audit on past audits in DG RTD</w:t>
      </w:r>
      <w:bookmarkEnd w:id="184"/>
      <w:bookmarkEnd w:id="186"/>
      <w:bookmarkEnd w:id="187"/>
    </w:p>
    <w:p w:rsidR="000C6D03" w:rsidRDefault="00873433">
      <w:pPr>
        <w:spacing w:after="240" w:line="240" w:lineRule="auto"/>
        <w:jc w:val="both"/>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b/>
          <w:noProof/>
          <w:sz w:val="20"/>
          <w:szCs w:val="20"/>
          <w:lang w:eastAsia="en-GB"/>
        </w:rPr>
        <w:t>Audit on Horizon 2020 grant management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concluded that the following recommendation was adequately and effectively </w:t>
      </w:r>
      <w:r>
        <w:rPr>
          <w:rFonts w:ascii="EC Square Sans Pro" w:eastAsia="Times New Roman" w:hAnsi="EC Square Sans Pro" w:cs="Times New Roman"/>
          <w:noProof/>
          <w:sz w:val="20"/>
          <w:szCs w:val="20"/>
          <w:lang w:eastAsia="en-GB"/>
        </w:rPr>
        <w:t>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4(a) (important): evaluation procedures and lessons learnt.</w:t>
      </w:r>
    </w:p>
    <w:p w:rsidR="000C6D03" w:rsidRDefault="00873433">
      <w:pPr>
        <w:spacing w:after="240" w:line="240" w:lineRule="auto"/>
        <w:jc w:val="both"/>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b/>
          <w:noProof/>
          <w:sz w:val="20"/>
          <w:szCs w:val="20"/>
          <w:lang w:eastAsia="en-GB"/>
        </w:rPr>
        <w:t>Audit on Horizon 2020 project management in the Directorate-General for Research and Innovation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w:t>
      </w:r>
      <w:r>
        <w:rPr>
          <w:rFonts w:ascii="EC Square Sans Pro" w:eastAsia="Times New Roman" w:hAnsi="EC Square Sans Pro" w:cs="Times New Roman"/>
          <w:noProof/>
          <w:sz w:val="20"/>
          <w:szCs w:val="20"/>
          <w:lang w:eastAsia="en-GB"/>
        </w:rPr>
        <w:t>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2(a) (important): guidance, support and training;</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implementation of ethics requir</w:t>
      </w:r>
      <w:r>
        <w:rPr>
          <w:rFonts w:ascii="EC Square Sans Pro" w:eastAsia="Times New Roman" w:hAnsi="EC Square Sans Pro" w:cs="Times New Roman"/>
          <w:noProof/>
          <w:sz w:val="20"/>
          <w:szCs w:val="20"/>
          <w:lang w:eastAsia="en-GB"/>
        </w:rPr>
        <w:t>ements.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88" w:name="_Toc42788188"/>
      <w:bookmarkStart w:id="189" w:name="_Toc2946492"/>
      <w:bookmarkStart w:id="190" w:name="_Toc9237668"/>
      <w:r>
        <w:rPr>
          <w:rFonts w:ascii="EC Square Sans Pro" w:eastAsia="Times New Roman" w:hAnsi="EC Square Sans Pro" w:cs="Times New Roman"/>
          <w:b/>
          <w:i/>
          <w:noProof/>
          <w:color w:val="005D95"/>
          <w:sz w:val="24"/>
          <w:szCs w:val="20"/>
          <w:lang w:eastAsia="en-GB"/>
        </w:rPr>
        <w:t>Follow-up audit on direct management of grants in DG DEVCO</w:t>
      </w:r>
      <w:bookmarkEnd w:id="18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w:t>
      </w:r>
      <w:r>
        <w:rPr>
          <w:rFonts w:ascii="EC Square Sans Pro" w:eastAsia="Times New Roman" w:hAnsi="EC Square Sans Pro" w:cs="Times New Roman"/>
          <w:noProof/>
          <w:sz w:val="20"/>
          <w:szCs w:val="20"/>
          <w:lang w:eastAsia="en-GB"/>
        </w:rPr>
        <w:t xml:space="preserve"> No 1 (important): design of the projects.</w:t>
      </w:r>
    </w:p>
    <w:p w:rsidR="000C6D03" w:rsidRDefault="00873433">
      <w:pPr>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91" w:name="_Toc42788189"/>
      <w:r>
        <w:rPr>
          <w:rFonts w:ascii="EC Square Sans Pro" w:eastAsia="Times New Roman" w:hAnsi="EC Square Sans Pro" w:cs="Times New Roman"/>
          <w:b/>
          <w:i/>
          <w:noProof/>
          <w:color w:val="005D95"/>
          <w:sz w:val="24"/>
          <w:szCs w:val="20"/>
          <w:lang w:eastAsia="en-GB"/>
        </w:rPr>
        <w:t>Follow-up audit on the assurance-building process in DG DEVCO’s Headquarters</w:t>
      </w:r>
      <w:bookmarkEnd w:id="19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w:t>
      </w:r>
      <w:r>
        <w:rPr>
          <w:rFonts w:ascii="EC Square Sans Pro" w:eastAsia="Times New Roman" w:hAnsi="EC Square Sans Pro" w:cs="Times New Roman"/>
          <w:noProof/>
          <w:sz w:val="20"/>
          <w:szCs w:val="20"/>
          <w:lang w:eastAsia="en-GB"/>
        </w:rPr>
        <w:t>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guidance, instructions and management declarations.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92" w:name="_Toc42788190"/>
      <w:bookmarkStart w:id="193" w:name="_Toc9237670"/>
      <w:bookmarkStart w:id="194" w:name="_Toc2946494"/>
      <w:bookmarkEnd w:id="189"/>
      <w:bookmarkEnd w:id="190"/>
      <w:r>
        <w:rPr>
          <w:rFonts w:ascii="EC Square Sans Pro" w:eastAsia="Times New Roman" w:hAnsi="EC Square Sans Pro" w:cs="Times New Roman"/>
          <w:b/>
          <w:i/>
          <w:noProof/>
          <w:color w:val="005D95"/>
          <w:sz w:val="24"/>
          <w:szCs w:val="20"/>
          <w:lang w:eastAsia="en-GB"/>
        </w:rPr>
        <w:t>Follow-up audit on the management of investment facilities (financial instruments) in DG DEVCO</w:t>
      </w:r>
      <w:bookmarkEnd w:id="192"/>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recommendations we</w:t>
      </w:r>
      <w:r>
        <w:rPr>
          <w:rFonts w:ascii="EC Square Sans Pro" w:eastAsia="Times New Roman" w:hAnsi="EC Square Sans Pro" w:cs="Times New Roman"/>
          <w:noProof/>
          <w:sz w:val="20"/>
          <w:szCs w:val="20"/>
          <w:lang w:eastAsia="en-GB"/>
        </w:rPr>
        <w:t>re assessed 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blending project cycle; post-contract signature phase – monitoring project implementation.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acknowledged the actions taken by the Direct</w:t>
      </w:r>
      <w:r>
        <w:rPr>
          <w:rFonts w:ascii="EC Square Sans Pro" w:eastAsia="Times New Roman" w:hAnsi="EC Square Sans Pro" w:cs="Times New Roman"/>
          <w:noProof/>
          <w:sz w:val="20"/>
          <w:szCs w:val="20"/>
          <w:lang w:eastAsia="en-GB"/>
        </w:rPr>
        <w:t>orate-General for International Cooperation and Development to implement the recommendation (compulsory in-house training; improvements made to the Excel database of projects; the instruction note addressed to its directors and to EU Delegations). Neverthe</w:t>
      </w:r>
      <w:r>
        <w:rPr>
          <w:rFonts w:ascii="EC Square Sans Pro" w:eastAsia="Times New Roman" w:hAnsi="EC Square Sans Pro" w:cs="Times New Roman"/>
          <w:noProof/>
          <w:sz w:val="20"/>
          <w:szCs w:val="20"/>
          <w:lang w:eastAsia="en-GB"/>
        </w:rPr>
        <w:t>less, a number of measures have not yet been implemented, notably: (i) the improvement of monitoring at the Directorate-General for International Cooperation and Development headquarter’s level via a results-oriented monitoring consolidated report and an a</w:t>
      </w:r>
      <w:r>
        <w:rPr>
          <w:rFonts w:ascii="EC Square Sans Pro" w:eastAsia="Times New Roman" w:hAnsi="EC Square Sans Pro" w:cs="Times New Roman"/>
          <w:noProof/>
          <w:sz w:val="20"/>
          <w:szCs w:val="20"/>
          <w:lang w:eastAsia="en-GB"/>
        </w:rPr>
        <w:t xml:space="preserve">nnual report based on external-action management reports; (ii) the replacement of the current Excel database by a more automated solution; and (iii) the update of the </w:t>
      </w:r>
      <w:r>
        <w:rPr>
          <w:rFonts w:ascii="EC Square Sans Pro" w:eastAsia="Times New Roman" w:hAnsi="EC Square Sans Pro" w:cs="Times New Roman"/>
          <w:i/>
          <w:noProof/>
          <w:sz w:val="20"/>
          <w:szCs w:val="20"/>
          <w:lang w:eastAsia="en-GB"/>
        </w:rPr>
        <w:t>Guidelines on EU blending operations</w:t>
      </w:r>
      <w:r>
        <w:rPr>
          <w:rFonts w:ascii="EC Square Sans Pro" w:eastAsia="Times New Roman" w:hAnsi="EC Square Sans Pro" w:cs="Times New Roman"/>
          <w:noProof/>
          <w:sz w:val="20"/>
          <w:szCs w:val="20"/>
          <w:lang w:eastAsia="en-GB"/>
        </w:rPr>
        <w:t>. In the light of the above, the Internal Audit Servi</w:t>
      </w:r>
      <w:r>
        <w:rPr>
          <w:rFonts w:ascii="EC Square Sans Pro" w:eastAsia="Times New Roman" w:hAnsi="EC Square Sans Pro" w:cs="Times New Roman"/>
          <w:noProof/>
          <w:sz w:val="20"/>
          <w:szCs w:val="20"/>
          <w:lang w:eastAsia="en-GB"/>
        </w:rPr>
        <w:t>ce decided to maintain the rating.</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pre-financing.</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assessed that the three short-term measures implemented (an instruction note addressed to the directors of the Directorate-General for </w:t>
      </w:r>
      <w:r>
        <w:rPr>
          <w:rFonts w:ascii="EC Square Sans Pro" w:eastAsia="Times New Roman" w:hAnsi="EC Square Sans Pro" w:cs="Times New Roman"/>
          <w:noProof/>
          <w:sz w:val="20"/>
          <w:szCs w:val="20"/>
          <w:lang w:eastAsia="en-GB"/>
        </w:rPr>
        <w:t>International Cooperation and Development and to EU Delegations; a presentation to the EU platform on blending in external cooperation on the reporting requirements to be met by the international financial institutions; and an information-technology report</w:t>
      </w:r>
      <w:r>
        <w:rPr>
          <w:rFonts w:ascii="EC Square Sans Pro" w:eastAsia="Times New Roman" w:hAnsi="EC Square Sans Pro" w:cs="Times New Roman"/>
          <w:noProof/>
          <w:sz w:val="20"/>
          <w:szCs w:val="20"/>
          <w:lang w:eastAsia="en-GB"/>
        </w:rPr>
        <w:t xml:space="preserve"> on pre-financing transactions to facilitate the proactive monitoring of pre-financing payments), contribute to the reduction of the risk identified by the audit conducted by the Internal Audit Service. Consequently, the rating of the recommendation was do</w:t>
      </w:r>
      <w:r>
        <w:rPr>
          <w:rFonts w:ascii="EC Square Sans Pro" w:eastAsia="Times New Roman" w:hAnsi="EC Square Sans Pro" w:cs="Times New Roman"/>
          <w:noProof/>
          <w:sz w:val="20"/>
          <w:szCs w:val="20"/>
          <w:lang w:eastAsia="en-GB"/>
        </w:rPr>
        <w:t>wngraded to important.</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95" w:name="_Toc42788191"/>
      <w:r>
        <w:rPr>
          <w:rFonts w:ascii="EC Square Sans Pro" w:eastAsia="Times New Roman" w:hAnsi="EC Square Sans Pro" w:cs="Times New Roman"/>
          <w:b/>
          <w:i/>
          <w:noProof/>
          <w:color w:val="005D95"/>
          <w:sz w:val="24"/>
          <w:szCs w:val="20"/>
          <w:lang w:eastAsia="en-GB"/>
        </w:rPr>
        <w:t>Follow-up audit on the performance-management system in DG DEVCO</w:t>
      </w:r>
      <w:bookmarkEnd w:id="193"/>
      <w:bookmarkEnd w:id="19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recommendations were assessed as not fully and/or adequately implemented:</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lang w:val="en-US"/>
        </w:rPr>
        <w:t>Recommendation No 2 (important): monitoring of – and reporting on – the performa</w:t>
      </w:r>
      <w:r>
        <w:rPr>
          <w:rFonts w:ascii="EC Square Sans Pro" w:eastAsia="Times New Roman" w:hAnsi="EC Square Sans Pro" w:cs="Times New Roman"/>
          <w:noProof/>
          <w:sz w:val="20"/>
          <w:szCs w:val="20"/>
          <w:lang w:val="en-US"/>
        </w:rPr>
        <w:t xml:space="preserve">nce of the </w:t>
      </w:r>
      <w:r>
        <w:rPr>
          <w:rFonts w:ascii="EC Square Sans Pro" w:eastAsia="Times New Roman" w:hAnsi="EC Square Sans Pro" w:cs="Times New Roman"/>
          <w:noProof/>
          <w:color w:val="000000"/>
          <w:sz w:val="20"/>
          <w:szCs w:val="20"/>
          <w:lang w:eastAsia="en-GB"/>
        </w:rPr>
        <w:t>Directorate-General for International Cooperation and Development</w:t>
      </w:r>
      <w:r>
        <w:rPr>
          <w:rFonts w:ascii="EC Square Sans Pro" w:eastAsia="Times New Roman" w:hAnsi="EC Square Sans Pro" w:cs="Times New Roman"/>
          <w:noProof/>
          <w:sz w:val="20"/>
          <w:szCs w:val="20"/>
          <w:lang w:val="en-US"/>
        </w:rPr>
        <w:t xml:space="preserve"> towards achieving its objectives.</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As stated by the Directorate-General for International Cooperation and Development, ‘OPSYS release 2.1 took a significant step towards monitoring</w:t>
      </w:r>
      <w:r>
        <w:rPr>
          <w:rFonts w:ascii="EC Square Sans Pro" w:eastAsia="Times New Roman" w:hAnsi="EC Square Sans Pro" w:cs="Times New Roman"/>
          <w:noProof/>
          <w:color w:val="000000"/>
          <w:sz w:val="20"/>
          <w:szCs w:val="20"/>
          <w:lang w:eastAsia="en-GB"/>
        </w:rPr>
        <w:t xml:space="preserve"> and reporting of results of ongoing projects. However, it was not in time to carry out the 2019 results-reporting exercise’. Furthermore, certain requirements needed for monitoring and reporting are not yet available and will only be available with OPSYS </w:t>
      </w:r>
      <w:r>
        <w:rPr>
          <w:rFonts w:ascii="EC Square Sans Pro" w:eastAsia="Times New Roman" w:hAnsi="EC Square Sans Pro" w:cs="Times New Roman"/>
          <w:noProof/>
          <w:color w:val="000000"/>
          <w:sz w:val="20"/>
          <w:szCs w:val="20"/>
          <w:lang w:eastAsia="en-GB"/>
        </w:rPr>
        <w:t>releases 2.2 and 3.1. Full implementation of certain other sub-recommendations resulting from this audit (see below) also depends partly on the next OPSYS releases.</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lang w:val="en-US"/>
        </w:rPr>
        <w:t>Recommendation</w:t>
      </w:r>
      <w:r>
        <w:rPr>
          <w:rFonts w:ascii="EC Square Sans Pro" w:eastAsia="Times New Roman" w:hAnsi="EC Square Sans Pro" w:cs="Times New Roman"/>
          <w:noProof/>
          <w:sz w:val="20"/>
          <w:szCs w:val="20"/>
        </w:rPr>
        <w:t xml:space="preserve"> No 3 (important): definition of objectives and performance indicators in the</w:t>
      </w:r>
      <w:r>
        <w:rPr>
          <w:rFonts w:ascii="EC Square Sans Pro" w:eastAsia="Times New Roman" w:hAnsi="EC Square Sans Pro" w:cs="Times New Roman"/>
          <w:noProof/>
          <w:sz w:val="20"/>
          <w:szCs w:val="20"/>
        </w:rPr>
        <w:t xml:space="preserve"> strategic plan/management plan of the Directorate-General for International Cooperation and Development.</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Sub-recommendations No 3.3 and 3.4 </w:t>
      </w:r>
    </w:p>
    <w:p w:rsidR="000C6D03" w:rsidRDefault="00873433">
      <w:pPr>
        <w:spacing w:after="240" w:line="240" w:lineRule="auto"/>
        <w:ind w:left="360"/>
        <w:jc w:val="both"/>
        <w:rPr>
          <w:rFonts w:ascii="EC Square Sans Pro" w:eastAsia="Calibri" w:hAnsi="EC Square Sans Pro" w:cs="Times New Roman"/>
          <w:noProof/>
          <w:sz w:val="20"/>
          <w:szCs w:val="20"/>
        </w:rPr>
      </w:pPr>
      <w:r>
        <w:rPr>
          <w:rFonts w:ascii="EC Square Sans Pro" w:eastAsia="Times New Roman" w:hAnsi="EC Square Sans Pro" w:cs="Times New Roman"/>
          <w:noProof/>
          <w:sz w:val="20"/>
          <w:szCs w:val="20"/>
        </w:rPr>
        <w:t xml:space="preserve">The Internal Audit Service considered these sub-recommendations to be adequately implemented for two reasons. Firstly, the Directorate-General for International Cooperation and Development </w:t>
      </w:r>
      <w:r>
        <w:rPr>
          <w:rFonts w:ascii="EC Square Sans Pro" w:eastAsia="Times New Roman" w:hAnsi="EC Square Sans Pro" w:cs="Times New Roman"/>
          <w:noProof/>
          <w:sz w:val="20"/>
          <w:szCs w:val="20"/>
          <w:lang w:eastAsia="en-GB"/>
        </w:rPr>
        <w:t xml:space="preserve">improved the presentation of the key performance indicators in the </w:t>
      </w:r>
      <w:r>
        <w:rPr>
          <w:rFonts w:ascii="EC Square Sans Pro" w:eastAsia="Times New Roman" w:hAnsi="EC Square Sans Pro" w:cs="Times New Roman"/>
          <w:noProof/>
          <w:sz w:val="20"/>
          <w:szCs w:val="20"/>
          <w:lang w:eastAsia="en-GB"/>
        </w:rPr>
        <w:t>internal management plan. Since the 2018 planning exercise, Annex 3 of the management plan outlines the link between the key performance indicators of the Directorate-General for International Cooperation and Development and the related organisational obje</w:t>
      </w:r>
      <w:r>
        <w:rPr>
          <w:rFonts w:ascii="EC Square Sans Pro" w:eastAsia="Times New Roman" w:hAnsi="EC Square Sans Pro" w:cs="Times New Roman"/>
          <w:noProof/>
          <w:sz w:val="20"/>
          <w:szCs w:val="20"/>
          <w:lang w:eastAsia="en-GB"/>
        </w:rPr>
        <w:t>ctives. Secondly, the</w:t>
      </w:r>
      <w:r>
        <w:rPr>
          <w:rFonts w:ascii="EC Square Sans Pro" w:eastAsia="Times New Roman" w:hAnsi="EC Square Sans Pro" w:cs="Times New Roman"/>
          <w:noProof/>
          <w:sz w:val="20"/>
          <w:szCs w:val="20"/>
        </w:rPr>
        <w:t xml:space="preserve"> Directorate-General for International Cooperation and Development</w:t>
      </w:r>
      <w:r>
        <w:rPr>
          <w:rFonts w:ascii="EC Square Sans Pro" w:eastAsia="Times New Roman" w:hAnsi="EC Square Sans Pro" w:cs="Times New Roman"/>
          <w:noProof/>
          <w:sz w:val="20"/>
          <w:szCs w:val="20"/>
          <w:lang w:eastAsia="en-GB"/>
        </w:rPr>
        <w:t xml:space="preserve"> reviewed the existing internal/organisational indicators and assessed their relevance for the directorates and the delegations. The Directorate-General concluded that t</w:t>
      </w:r>
      <w:r>
        <w:rPr>
          <w:rFonts w:ascii="EC Square Sans Pro" w:eastAsia="Times New Roman" w:hAnsi="EC Square Sans Pro" w:cs="Times New Roman"/>
          <w:noProof/>
          <w:sz w:val="20"/>
          <w:szCs w:val="20"/>
          <w:lang w:eastAsia="en-GB"/>
        </w:rPr>
        <w:t>here was no need to modify the templates and instructions for the preparation of: (i) the management plan; (ii) the external assistance management reports; or (iii) the reports by the Authorising-Officer by Sub-delegation.</w:t>
      </w:r>
    </w:p>
    <w:p w:rsidR="000C6D03" w:rsidRDefault="00873433">
      <w:pPr>
        <w:spacing w:after="240" w:line="240" w:lineRule="auto"/>
        <w:ind w:left="360"/>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However, the following two sub-re</w:t>
      </w:r>
      <w:r>
        <w:rPr>
          <w:rFonts w:ascii="EC Square Sans Pro" w:eastAsia="Calibri" w:hAnsi="EC Square Sans Pro" w:cs="Times New Roman"/>
          <w:noProof/>
          <w:sz w:val="20"/>
          <w:szCs w:val="20"/>
        </w:rPr>
        <w:t>commendations were not fully implemented.</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 No 3.1</w:t>
      </w:r>
    </w:p>
    <w:p w:rsidR="000C6D03" w:rsidRDefault="00873433">
      <w:pPr>
        <w:spacing w:after="240" w:line="240" w:lineRule="auto"/>
        <w:ind w:left="360"/>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Although specific objectives and indicators of the 2016-2020 strategic plan were revised, and specific objectives reformulated, the definition of these objectives can be improved in accord</w:t>
      </w:r>
      <w:r>
        <w:rPr>
          <w:rFonts w:ascii="EC Square Sans Pro" w:eastAsia="Calibri" w:hAnsi="EC Square Sans Pro" w:cs="Times New Roman"/>
          <w:noProof/>
          <w:sz w:val="20"/>
          <w:szCs w:val="20"/>
        </w:rPr>
        <w:t>ance with the SMART criteria (primarily by making them more specific and measurable). In addition, the specific objectives for the next multi-annual financial framework have not yet been decided. Consequently, the Directorate-General for International Coop</w:t>
      </w:r>
      <w:r>
        <w:rPr>
          <w:rFonts w:ascii="EC Square Sans Pro" w:eastAsia="Calibri" w:hAnsi="EC Square Sans Pro" w:cs="Times New Roman"/>
          <w:noProof/>
          <w:sz w:val="20"/>
          <w:szCs w:val="20"/>
        </w:rPr>
        <w:t>eration and Development should improve the formulation of its specific objectives during the next strategic planning exercise.</w:t>
      </w:r>
    </w:p>
    <w:p w:rsidR="000C6D03" w:rsidRDefault="00873433">
      <w:pPr>
        <w:keepNext/>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 No 3.2</w:t>
      </w:r>
    </w:p>
    <w:p w:rsidR="000C6D03" w:rsidRDefault="00873433">
      <w:pPr>
        <w:spacing w:after="240" w:line="240" w:lineRule="auto"/>
        <w:ind w:left="360"/>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Although the Directorate-General for International Cooperation and Development updated indicators for t</w:t>
      </w:r>
      <w:r>
        <w:rPr>
          <w:rFonts w:ascii="EC Square Sans Pro" w:eastAsia="Calibri" w:hAnsi="EC Square Sans Pro" w:cs="Times New Roman"/>
          <w:noProof/>
          <w:sz w:val="20"/>
          <w:szCs w:val="20"/>
        </w:rPr>
        <w:t xml:space="preserve">he specific objectives of the 2016-2020 strategic plan, the definition of the milestones and targets was not reviewed. Furthermore, complete implementation of this recommendation depends on the next OPSYS releases. In addition, the indicators for the next </w:t>
      </w:r>
      <w:r>
        <w:rPr>
          <w:rFonts w:ascii="EC Square Sans Pro" w:eastAsia="Calibri" w:hAnsi="EC Square Sans Pro" w:cs="Times New Roman"/>
          <w:noProof/>
          <w:sz w:val="20"/>
          <w:szCs w:val="20"/>
        </w:rPr>
        <w:t xml:space="preserve">multi-annual financial framework, as well as their milestones and targets, have not yet been decided. </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Recommendation No 4 (important): EU result framework (set-up).</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Sub-recommendations No 4.1 and No 4.4:</w:t>
      </w:r>
    </w:p>
    <w:p w:rsidR="000C6D03" w:rsidRDefault="00873433">
      <w:pPr>
        <w:spacing w:after="240" w:line="240" w:lineRule="auto"/>
        <w:ind w:left="360"/>
        <w:jc w:val="both"/>
        <w:rPr>
          <w:rFonts w:ascii="EC Square Sans Pro" w:eastAsia="Calibri" w:hAnsi="EC Square Sans Pro" w:cs="Times New Roman"/>
          <w:noProof/>
          <w:sz w:val="20"/>
          <w:szCs w:val="20"/>
        </w:rPr>
      </w:pPr>
      <w:r>
        <w:rPr>
          <w:rFonts w:ascii="EC Square Sans Pro" w:eastAsia="Calibri" w:hAnsi="EC Square Sans Pro" w:cs="Times New Roman"/>
          <w:noProof/>
          <w:sz w:val="20"/>
          <w:szCs w:val="20"/>
        </w:rPr>
        <w:t>The Internal Audit Service considered these sub-rec</w:t>
      </w:r>
      <w:r>
        <w:rPr>
          <w:rFonts w:ascii="EC Square Sans Pro" w:eastAsia="Calibri" w:hAnsi="EC Square Sans Pro" w:cs="Times New Roman"/>
          <w:noProof/>
          <w:sz w:val="20"/>
          <w:szCs w:val="20"/>
        </w:rPr>
        <w:t>ommendations to be adequately implemented, for two main reasons. Firstly, the Directorate-General for International Cooperation and Development revised and updated the EU result framework by indicating ‘results statements’ for each of the sustainable devel</w:t>
      </w:r>
      <w:r>
        <w:rPr>
          <w:rFonts w:ascii="EC Square Sans Pro" w:eastAsia="Calibri" w:hAnsi="EC Square Sans Pro" w:cs="Times New Roman"/>
          <w:noProof/>
          <w:sz w:val="20"/>
          <w:szCs w:val="20"/>
        </w:rPr>
        <w:t>opment goals. All ‘level 1’ and ‘level 2’ indicators now have an associated results statement to demonstrate which results relate to which objectives. In addition, the revised 2016-2020 strategic plan maps the specific objectives of the Directorate-General</w:t>
      </w:r>
      <w:r>
        <w:rPr>
          <w:rFonts w:ascii="EC Square Sans Pro" w:eastAsia="Calibri" w:hAnsi="EC Square Sans Pro" w:cs="Times New Roman"/>
          <w:noProof/>
          <w:sz w:val="20"/>
          <w:szCs w:val="20"/>
        </w:rPr>
        <w:t xml:space="preserve"> against the result framework. Secondly, the Directorate-General for International Cooperation and Development revised the EU result framework to increase the sector coverage by including (where appropriate) missing indicators on migration and asylum; civi</w:t>
      </w:r>
      <w:r>
        <w:rPr>
          <w:rFonts w:ascii="EC Square Sans Pro" w:eastAsia="Calibri" w:hAnsi="EC Square Sans Pro" w:cs="Times New Roman"/>
          <w:noProof/>
          <w:sz w:val="20"/>
          <w:szCs w:val="20"/>
        </w:rPr>
        <w:t>l society organisations; and local authorities.</w:t>
      </w:r>
    </w:p>
    <w:p w:rsidR="000C6D03" w:rsidRDefault="00873433">
      <w:pPr>
        <w:spacing w:after="240" w:line="240" w:lineRule="auto"/>
        <w:ind w:left="360"/>
        <w:jc w:val="both"/>
        <w:rPr>
          <w:rFonts w:ascii="EC Square Sans Pro" w:eastAsia="Times New Roman" w:hAnsi="EC Square Sans Pro" w:cs="Times New Roman"/>
          <w:b/>
          <w:noProof/>
          <w:sz w:val="20"/>
          <w:szCs w:val="20"/>
        </w:rPr>
      </w:pPr>
      <w:r>
        <w:rPr>
          <w:rFonts w:ascii="EC Square Sans Pro" w:eastAsia="Times New Roman" w:hAnsi="EC Square Sans Pro" w:cs="Times New Roman"/>
          <w:noProof/>
          <w:sz w:val="20"/>
          <w:szCs w:val="20"/>
        </w:rPr>
        <w:t xml:space="preserve">However, this recommendation cannot be closed </w:t>
      </w:r>
      <w:r>
        <w:rPr>
          <w:rFonts w:ascii="EC Square Sans Pro" w:eastAsia="Times New Roman" w:hAnsi="EC Square Sans Pro" w:cs="Times New Roman"/>
          <w:noProof/>
          <w:sz w:val="20"/>
          <w:szCs w:val="20"/>
          <w:lang w:eastAsia="en-GB"/>
        </w:rPr>
        <w:t xml:space="preserve">as the implementation of </w:t>
      </w:r>
      <w:r>
        <w:rPr>
          <w:rFonts w:ascii="EC Square Sans Pro" w:eastAsia="Times New Roman" w:hAnsi="EC Square Sans Pro" w:cs="Times New Roman"/>
          <w:b/>
          <w:noProof/>
          <w:sz w:val="20"/>
          <w:szCs w:val="20"/>
          <w:lang w:eastAsia="en-GB"/>
        </w:rPr>
        <w:t>sub-recommendations No 4.2 and 4.3</w:t>
      </w:r>
      <w:r>
        <w:rPr>
          <w:rFonts w:ascii="EC Square Sans Pro" w:eastAsia="Times New Roman" w:hAnsi="EC Square Sans Pro" w:cs="Times New Roman"/>
          <w:noProof/>
          <w:sz w:val="20"/>
          <w:szCs w:val="20"/>
          <w:lang w:eastAsia="en-GB"/>
        </w:rPr>
        <w:t xml:space="preserve"> </w:t>
      </w:r>
      <w:r>
        <w:rPr>
          <w:rFonts w:ascii="EC Square Sans Pro" w:eastAsia="Times New Roman" w:hAnsi="EC Square Sans Pro" w:cs="Times New Roman"/>
          <w:noProof/>
          <w:color w:val="000000"/>
          <w:sz w:val="20"/>
          <w:szCs w:val="20"/>
          <w:lang w:eastAsia="en-GB"/>
        </w:rPr>
        <w:t>depends on future OPSYS releases.</w:t>
      </w:r>
    </w:p>
    <w:p w:rsidR="000C6D03" w:rsidRDefault="00873433">
      <w:pPr>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 xml:space="preserve">Recommendation No 5 (important): the Directorate-General for </w:t>
      </w:r>
      <w:r>
        <w:rPr>
          <w:rFonts w:ascii="EC Square Sans Pro" w:eastAsia="Times New Roman" w:hAnsi="EC Square Sans Pro" w:cs="Times New Roman"/>
          <w:noProof/>
          <w:sz w:val="20"/>
          <w:szCs w:val="20"/>
        </w:rPr>
        <w:t>International Cooperation and Development key performance indicators.</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Sub-recommendations No 5.2 and 5.3</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rPr>
        <w:t>The Internal Audit Service considered these sub-recommendations to be adequately implemented for two main reasons. Firstly, the Directorate-General for</w:t>
      </w:r>
      <w:r>
        <w:rPr>
          <w:rFonts w:ascii="EC Square Sans Pro" w:eastAsia="Times New Roman" w:hAnsi="EC Square Sans Pro" w:cs="Times New Roman"/>
          <w:noProof/>
          <w:sz w:val="20"/>
          <w:szCs w:val="20"/>
        </w:rPr>
        <w:t xml:space="preserve"> International Cooperation and Development </w:t>
      </w:r>
      <w:r>
        <w:rPr>
          <w:rFonts w:ascii="EC Square Sans Pro" w:eastAsia="Times New Roman" w:hAnsi="EC Square Sans Pro" w:cs="Times New Roman"/>
          <w:noProof/>
          <w:sz w:val="20"/>
          <w:szCs w:val="20"/>
          <w:lang w:eastAsia="en-GB"/>
        </w:rPr>
        <w:t xml:space="preserve">updated the formulation and methods to evaluate the results of some key performance indicators. Four secondary indicators on moderately problematic (‘orange’) projects were created and their results are presented </w:t>
      </w:r>
      <w:r>
        <w:rPr>
          <w:rFonts w:ascii="EC Square Sans Pro" w:eastAsia="Times New Roman" w:hAnsi="EC Square Sans Pro" w:cs="Times New Roman"/>
          <w:noProof/>
          <w:sz w:val="20"/>
          <w:szCs w:val="20"/>
          <w:lang w:eastAsia="en-GB"/>
        </w:rPr>
        <w:t>in the annex of the annual activity report. In addition, two key performance indicators were renamed in line with what they actually measure. Moreover, the evaluation methods of two audit-related key performance indicators were changed to match them to the</w:t>
      </w:r>
      <w:r>
        <w:rPr>
          <w:rFonts w:ascii="EC Square Sans Pro" w:eastAsia="Times New Roman" w:hAnsi="EC Square Sans Pro" w:cs="Times New Roman"/>
          <w:noProof/>
          <w:sz w:val="20"/>
          <w:szCs w:val="20"/>
          <w:lang w:eastAsia="en-GB"/>
        </w:rPr>
        <w:t xml:space="preserve">ir names. Secondly, </w:t>
      </w:r>
      <w:r>
        <w:rPr>
          <w:rFonts w:ascii="EC Square Sans Pro" w:eastAsia="Times New Roman" w:hAnsi="EC Square Sans Pro" w:cs="Times New Roman"/>
          <w:noProof/>
          <w:sz w:val="20"/>
          <w:szCs w:val="20"/>
        </w:rPr>
        <w:t>the Directorate-General for International Cooperation and Development</w:t>
      </w:r>
      <w:r>
        <w:rPr>
          <w:rFonts w:ascii="EC Square Sans Pro" w:eastAsia="Times New Roman" w:hAnsi="EC Square Sans Pro" w:cs="Times New Roman"/>
          <w:noProof/>
          <w:sz w:val="20"/>
          <w:szCs w:val="20"/>
          <w:lang w:eastAsia="en-GB"/>
        </w:rPr>
        <w:t xml:space="preserve"> </w:t>
      </w:r>
      <w:r>
        <w:rPr>
          <w:rFonts w:ascii="EC Square Sans Pro" w:eastAsia="Times New Roman" w:hAnsi="EC Square Sans Pro" w:cs="Times New Roman"/>
          <w:noProof/>
          <w:color w:val="000000"/>
          <w:sz w:val="20"/>
          <w:szCs w:val="20"/>
          <w:lang w:eastAsia="en-GB"/>
        </w:rPr>
        <w:t xml:space="preserve">aligned the name of the groups of key performance indicators with their content (i.e. what they measure). </w:t>
      </w:r>
    </w:p>
    <w:p w:rsidR="000C6D03" w:rsidRDefault="00873433">
      <w:pPr>
        <w:spacing w:after="240" w:line="240" w:lineRule="auto"/>
        <w:ind w:left="36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assessed the following sub-recom</w:t>
      </w:r>
      <w:r>
        <w:rPr>
          <w:rFonts w:ascii="EC Square Sans Pro" w:eastAsia="Times New Roman" w:hAnsi="EC Square Sans Pro" w:cs="Times New Roman"/>
          <w:noProof/>
          <w:sz w:val="20"/>
          <w:szCs w:val="20"/>
          <w:lang w:eastAsia="en-GB"/>
        </w:rPr>
        <w:t>mendations as not fully implemented:</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Sub-recommendation No 5.1(a)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val="en-US" w:eastAsia="en-GB"/>
        </w:rPr>
        <w:t>The</w:t>
      </w:r>
      <w:r>
        <w:rPr>
          <w:rFonts w:ascii="EC Square Sans Pro" w:eastAsia="Times New Roman" w:hAnsi="EC Square Sans Pro" w:cs="Times New Roman"/>
          <w:noProof/>
          <w:color w:val="000000"/>
          <w:sz w:val="20"/>
          <w:szCs w:val="20"/>
          <w:lang w:eastAsia="en-GB"/>
        </w:rPr>
        <w:t xml:space="preserve"> Directorate-General for International Cooperation and Development did not introduce an indicator to measure and report on the ‘percentage of completed projects that achieved all (or mos</w:t>
      </w:r>
      <w:r>
        <w:rPr>
          <w:rFonts w:ascii="EC Square Sans Pro" w:eastAsia="Times New Roman" w:hAnsi="EC Square Sans Pro" w:cs="Times New Roman"/>
          <w:noProof/>
          <w:color w:val="000000"/>
          <w:sz w:val="20"/>
          <w:szCs w:val="20"/>
          <w:lang w:eastAsia="en-GB"/>
        </w:rPr>
        <w:t xml:space="preserve">t) of their objectives’. Furthermore, the implementation of the action plan partially depends on future OPSYS releases. </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Sub-recommendations No 5.1(b) and 5.1(e)</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Internal Audit Service recommended that the Directorate-General for International Cooperat</w:t>
      </w:r>
      <w:r>
        <w:rPr>
          <w:rFonts w:ascii="EC Square Sans Pro" w:eastAsia="Times New Roman" w:hAnsi="EC Square Sans Pro" w:cs="Times New Roman"/>
          <w:noProof/>
          <w:color w:val="000000"/>
          <w:sz w:val="20"/>
          <w:szCs w:val="20"/>
          <w:lang w:eastAsia="en-GB"/>
        </w:rPr>
        <w:t>ion and Development introduce indicators to measure and report on important aspects of performance. The Directorate-General for International Cooperation and Development introduced ‘secondary indicators’ which do not have the same quality as the official k</w:t>
      </w:r>
      <w:r>
        <w:rPr>
          <w:rFonts w:ascii="EC Square Sans Pro" w:eastAsia="Times New Roman" w:hAnsi="EC Square Sans Pro" w:cs="Times New Roman"/>
          <w:noProof/>
          <w:color w:val="000000"/>
          <w:sz w:val="20"/>
          <w:szCs w:val="20"/>
          <w:lang w:eastAsia="en-GB"/>
        </w:rPr>
        <w:t>ey performance indicators. In particular, they do not have targets so they cannot be used to measure performance. In addition, the indicator ‘percentage of projects completed on time’ is measured through the percentage of completed ‘decisions’ and not comp</w:t>
      </w:r>
      <w:r>
        <w:rPr>
          <w:rFonts w:ascii="EC Square Sans Pro" w:eastAsia="Times New Roman" w:hAnsi="EC Square Sans Pro" w:cs="Times New Roman"/>
          <w:noProof/>
          <w:color w:val="000000"/>
          <w:sz w:val="20"/>
          <w:szCs w:val="20"/>
          <w:lang w:eastAsia="en-GB"/>
        </w:rPr>
        <w:t>leted ‘projects’.</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Sub-recommendation No 5.1(c)</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Internal Audit Service acknowledged that, to implement the sub-recommendation, the Directorate-General for International Cooperation and Development introduced the new key performance indicator ‘percentage</w:t>
      </w:r>
      <w:r>
        <w:rPr>
          <w:rFonts w:ascii="EC Square Sans Pro" w:eastAsia="Times New Roman" w:hAnsi="EC Square Sans Pro" w:cs="Times New Roman"/>
          <w:noProof/>
          <w:color w:val="000000"/>
          <w:sz w:val="20"/>
          <w:szCs w:val="20"/>
          <w:lang w:eastAsia="en-GB"/>
        </w:rPr>
        <w:t xml:space="preserve"> of payments paid within contractual deadline’. However, the Internal Audit Service observed that the associated target is lower than the results achieved in previous years, with no particular justification for this choice.</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Sub-recommendation No 5.1(d)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calculation of two key performance indicators measuring the timely completion of annual audit plans was changed to fit their names. Nevertheless, the key performance indicator for implementation of the annual audit plan in year N-1 continues to be meas</w:t>
      </w:r>
      <w:r>
        <w:rPr>
          <w:rFonts w:ascii="EC Square Sans Pro" w:eastAsia="Times New Roman" w:hAnsi="EC Square Sans Pro" w:cs="Times New Roman"/>
          <w:noProof/>
          <w:color w:val="000000"/>
          <w:sz w:val="20"/>
          <w:szCs w:val="20"/>
          <w:lang w:eastAsia="en-GB"/>
        </w:rPr>
        <w:t xml:space="preserve">ured based on the submission dates of the draft audit reports. In addition, the benchmarks for these indicators are set lower than the actual results of previous years with no explanation for these figures either. </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96" w:name="_Toc42788192"/>
      <w:bookmarkStart w:id="197" w:name="_Toc9237671"/>
      <w:r>
        <w:rPr>
          <w:rFonts w:ascii="EC Square Sans Pro" w:eastAsia="Times New Roman" w:hAnsi="EC Square Sans Pro" w:cs="Times New Roman"/>
          <w:b/>
          <w:i/>
          <w:noProof/>
          <w:color w:val="005D95"/>
          <w:sz w:val="24"/>
          <w:szCs w:val="20"/>
          <w:lang w:eastAsia="en-GB"/>
        </w:rPr>
        <w:t>Follow-up audit on the instrument contrib</w:t>
      </w:r>
      <w:r>
        <w:rPr>
          <w:rFonts w:ascii="EC Square Sans Pro" w:eastAsia="Times New Roman" w:hAnsi="EC Square Sans Pro" w:cs="Times New Roman"/>
          <w:b/>
          <w:i/>
          <w:noProof/>
          <w:color w:val="005D95"/>
          <w:sz w:val="24"/>
          <w:szCs w:val="20"/>
          <w:lang w:eastAsia="en-GB"/>
        </w:rPr>
        <w:t>uting to stability and peace in FPI</w:t>
      </w:r>
      <w:bookmarkEnd w:id="196"/>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(important): project-leve</w:t>
      </w:r>
      <w:r>
        <w:rPr>
          <w:rFonts w:ascii="EC Square Sans Pro" w:eastAsia="Times New Roman" w:hAnsi="EC Square Sans Pro" w:cs="Times New Roman"/>
          <w:noProof/>
          <w:sz w:val="20"/>
          <w:szCs w:val="20"/>
          <w:lang w:eastAsia="en-GB"/>
        </w:rPr>
        <w:t>l objectives and indicators.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recommendations were assessed 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swiftness of launching crisis-response actions.</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Sub-recommendation No 1(a):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Internal Audit Service co</w:t>
      </w:r>
      <w:r>
        <w:rPr>
          <w:rFonts w:ascii="EC Square Sans Pro" w:eastAsia="Times New Roman" w:hAnsi="EC Square Sans Pro" w:cs="Times New Roman"/>
          <w:noProof/>
          <w:color w:val="000000"/>
          <w:sz w:val="20"/>
          <w:szCs w:val="20"/>
          <w:lang w:eastAsia="en-GB"/>
        </w:rPr>
        <w:t>nsidered this sub-recommendation to be adequately implemented for four main reasons. Firstly, FPI defined in an internal note: (i) key milestones for the identification/formulation phase and the contracting phase; and (ii) the relevant time required for ea</w:t>
      </w:r>
      <w:r>
        <w:rPr>
          <w:rFonts w:ascii="EC Square Sans Pro" w:eastAsia="Times New Roman" w:hAnsi="EC Square Sans Pro" w:cs="Times New Roman"/>
          <w:noProof/>
          <w:color w:val="000000"/>
          <w:sz w:val="20"/>
          <w:szCs w:val="20"/>
          <w:lang w:eastAsia="en-GB"/>
        </w:rPr>
        <w:t>ch phase. Secondly, FPI designed and implemented a template that allows for the monitoring of the time spent in each phase and can assist the team leaders in identifying cases of delays and take appropriate actions. Thirdly, FPI adapted the financing-decis</w:t>
      </w:r>
      <w:r>
        <w:rPr>
          <w:rFonts w:ascii="EC Square Sans Pro" w:eastAsia="Times New Roman" w:hAnsi="EC Square Sans Pro" w:cs="Times New Roman"/>
          <w:noProof/>
          <w:color w:val="000000"/>
          <w:sz w:val="20"/>
          <w:szCs w:val="20"/>
          <w:lang w:eastAsia="en-GB"/>
        </w:rPr>
        <w:t>ion template to include the changes required by the new Financial Regulation and the new financing-decision template that is now part of the internal rules. Fourthly, FPI enhanced monitoring during the contracting phase by increasing the level of details p</w:t>
      </w:r>
      <w:r>
        <w:rPr>
          <w:rFonts w:ascii="EC Square Sans Pro" w:eastAsia="Times New Roman" w:hAnsi="EC Square Sans Pro" w:cs="Times New Roman"/>
          <w:noProof/>
          <w:color w:val="000000"/>
          <w:sz w:val="20"/>
          <w:szCs w:val="20"/>
          <w:lang w:eastAsia="en-GB"/>
        </w:rPr>
        <w:t>rovided on activities and targets in: (i) monitoring tools (contracting tables, and the pipeline of the instrument contributing to stability and peace); and (ii) the meetings between the Headquarters and regional teams.</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Sub-recommendation No 1(b):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act</w:t>
      </w:r>
      <w:r>
        <w:rPr>
          <w:rFonts w:ascii="EC Square Sans Pro" w:eastAsia="Times New Roman" w:hAnsi="EC Square Sans Pro" w:cs="Times New Roman"/>
          <w:noProof/>
          <w:color w:val="000000"/>
          <w:sz w:val="20"/>
          <w:szCs w:val="20"/>
          <w:lang w:eastAsia="en-GB"/>
        </w:rPr>
        <w:t>ions to be implemented for the next programming period required FPI to analyse the relevance of the current mechanisms in the instrument contributing to stability and peace. The goal of this analysis was to adapt the instrument’s basic act to allow for fas</w:t>
      </w:r>
      <w:r>
        <w:rPr>
          <w:rFonts w:ascii="EC Square Sans Pro" w:eastAsia="Times New Roman" w:hAnsi="EC Square Sans Pro" w:cs="Times New Roman"/>
          <w:noProof/>
          <w:color w:val="000000"/>
          <w:sz w:val="20"/>
          <w:szCs w:val="20"/>
          <w:lang w:eastAsia="en-GB"/>
        </w:rPr>
        <w:t>ter crisis response. Proposals were made by FPI to the central services in this respect. However, these proposals need to be streamlined with the new common instrument for neighbourhood, development and international cooperation, the modalities of which ha</w:t>
      </w:r>
      <w:r>
        <w:rPr>
          <w:rFonts w:ascii="EC Square Sans Pro" w:eastAsia="Times New Roman" w:hAnsi="EC Square Sans Pro" w:cs="Times New Roman"/>
          <w:noProof/>
          <w:color w:val="000000"/>
          <w:sz w:val="20"/>
          <w:szCs w:val="20"/>
          <w:lang w:eastAsia="en-GB"/>
        </w:rPr>
        <w:t xml:space="preserve">ve not yet been discussed. The recommendation cannot therefore be considered as implemented at this stage.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guidance to – and supervision of – EU Delegations.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FPI: (i) clarified the rules for contract extensions in the interim-response programme and monitored the application of these rules in exceptional-assistance measures and the interim-response programme; (ii) improved access to guidance for all old and new </w:t>
      </w:r>
      <w:r>
        <w:rPr>
          <w:rFonts w:ascii="EC Square Sans Pro" w:eastAsia="Times New Roman" w:hAnsi="EC Square Sans Pro" w:cs="Times New Roman"/>
          <w:noProof/>
          <w:sz w:val="20"/>
          <w:szCs w:val="20"/>
          <w:lang w:eastAsia="en-GB"/>
        </w:rPr>
        <w:t xml:space="preserve">staff on the operational </w:t>
      </w:r>
      <w:r>
        <w:rPr>
          <w:rFonts w:ascii="EC Square Sans Pro" w:eastAsia="Times New Roman" w:hAnsi="EC Square Sans Pro" w:cs="Times New Roman"/>
          <w:noProof/>
          <w:color w:val="000000"/>
          <w:sz w:val="20"/>
          <w:szCs w:val="20"/>
          <w:lang w:eastAsia="en-GB"/>
        </w:rPr>
        <w:t>instrument contributing to stability and peace</w:t>
      </w:r>
      <w:r>
        <w:rPr>
          <w:rFonts w:ascii="EC Square Sans Pro" w:eastAsia="Times New Roman" w:hAnsi="EC Square Sans Pro" w:cs="Times New Roman"/>
          <w:noProof/>
          <w:sz w:val="20"/>
          <w:szCs w:val="20"/>
          <w:lang w:eastAsia="en-GB"/>
        </w:rPr>
        <w:t>; (iii) improved reporting on projects from EU Delegations</w:t>
      </w:r>
      <w:r>
        <w:rPr>
          <w:rFonts w:ascii="EC Square Sans Pro" w:eastAsia="Times New Roman" w:hAnsi="EC Square Sans Pro" w:cs="Times New Roman"/>
          <w:noProof/>
          <w:color w:val="000000"/>
          <w:sz w:val="20"/>
          <w:szCs w:val="20"/>
          <w:lang w:eastAsia="en-GB"/>
        </w:rPr>
        <w:t xml:space="preserve"> working on the instrument contributing to stability and peace</w:t>
      </w:r>
      <w:r>
        <w:rPr>
          <w:rFonts w:ascii="EC Square Sans Pro" w:eastAsia="Times New Roman" w:hAnsi="EC Square Sans Pro" w:cs="Times New Roman"/>
          <w:noProof/>
          <w:sz w:val="20"/>
          <w:szCs w:val="20"/>
          <w:lang w:eastAsia="en-GB"/>
        </w:rPr>
        <w:t xml:space="preserve">; and (iv) reminded EU Delegations of the rules on negotiation </w:t>
      </w:r>
      <w:r>
        <w:rPr>
          <w:rFonts w:ascii="EC Square Sans Pro" w:eastAsia="Times New Roman" w:hAnsi="EC Square Sans Pro" w:cs="Times New Roman"/>
          <w:noProof/>
          <w:sz w:val="20"/>
          <w:szCs w:val="20"/>
          <w:lang w:eastAsia="en-GB"/>
        </w:rPr>
        <w:t>reports.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However, sub-recommendation No 3(c) related to the clarification of guidance on field visits specific to the </w:t>
      </w:r>
      <w:r>
        <w:rPr>
          <w:rFonts w:ascii="EC Square Sans Pro" w:eastAsia="Times New Roman" w:hAnsi="EC Square Sans Pro" w:cs="Times New Roman"/>
          <w:noProof/>
          <w:color w:val="000000"/>
          <w:sz w:val="20"/>
          <w:szCs w:val="20"/>
          <w:lang w:eastAsia="en-GB"/>
        </w:rPr>
        <w:t>instrument contributing to stability and peace</w:t>
      </w:r>
      <w:r>
        <w:rPr>
          <w:rFonts w:ascii="EC Square Sans Pro" w:eastAsia="Times New Roman" w:hAnsi="EC Square Sans Pro" w:cs="Times New Roman"/>
          <w:noProof/>
          <w:sz w:val="20"/>
          <w:szCs w:val="20"/>
          <w:lang w:eastAsia="en-GB"/>
        </w:rPr>
        <w:t xml:space="preserve"> (including guidance on the frequency of visits; documentation requirements; and the monitor</w:t>
      </w:r>
      <w:r>
        <w:rPr>
          <w:rFonts w:ascii="EC Square Sans Pro" w:eastAsia="Times New Roman" w:hAnsi="EC Square Sans Pro" w:cs="Times New Roman"/>
          <w:noProof/>
          <w:sz w:val="20"/>
          <w:szCs w:val="20"/>
          <w:lang w:eastAsia="en-GB"/>
        </w:rPr>
        <w:t>ing of compliance with the requirements) is considered to be not fully implemented. A workshop on the subject took place during the 2017 ‘FPI days’ meeting, but there is no written guidance resulting from the workshops or other sources. Nor is there any ev</w:t>
      </w:r>
      <w:r>
        <w:rPr>
          <w:rFonts w:ascii="EC Square Sans Pro" w:eastAsia="Times New Roman" w:hAnsi="EC Square Sans Pro" w:cs="Times New Roman"/>
          <w:noProof/>
          <w:sz w:val="20"/>
          <w:szCs w:val="20"/>
          <w:lang w:eastAsia="en-GB"/>
        </w:rPr>
        <w:t xml:space="preserve">idence of the information and guidance discussed in the workshops. </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198" w:name="_Toc2946501"/>
      <w:bookmarkStart w:id="199" w:name="_Toc9237678"/>
      <w:bookmarkStart w:id="200" w:name="_Toc42788193"/>
      <w:bookmarkEnd w:id="194"/>
      <w:bookmarkEnd w:id="197"/>
      <w:r>
        <w:rPr>
          <w:rFonts w:ascii="EC Square Sans Pro" w:eastAsia="Times New Roman" w:hAnsi="EC Square Sans Pro" w:cs="Times New Roman"/>
          <w:b/>
          <w:i/>
          <w:noProof/>
          <w:color w:val="005D95"/>
          <w:sz w:val="24"/>
          <w:szCs w:val="20"/>
          <w:lang w:eastAsia="en-GB"/>
        </w:rPr>
        <w:t>Follow-up audit on Erasmus+ and Creative Europe – grant-management phase 2 (from project monitoring to payment) in EACEA</w:t>
      </w:r>
      <w:bookmarkEnd w:id="198"/>
      <w:bookmarkEnd w:id="199"/>
      <w:bookmarkEnd w:id="200"/>
      <w:r>
        <w:rPr>
          <w:rFonts w:ascii="EC Square Sans Pro" w:eastAsia="Times New Roman" w:hAnsi="EC Square Sans Pro" w:cs="Times New Roman"/>
          <w:b/>
          <w:i/>
          <w:noProof/>
          <w:color w:val="005D95"/>
          <w:sz w:val="24"/>
          <w:szCs w:val="20"/>
          <w:lang w:eastAsia="en-GB"/>
        </w:rPr>
        <w:t xml:space="preserve">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w:t>
      </w:r>
      <w:r>
        <w:rPr>
          <w:rFonts w:ascii="EC Square Sans Pro" w:eastAsia="Times New Roman" w:hAnsi="EC Square Sans Pro" w:cs="Times New Roman"/>
          <w:noProof/>
          <w:sz w:val="20"/>
          <w:szCs w:val="20"/>
          <w:lang w:eastAsia="en-GB"/>
        </w:rPr>
        <w:t>rvice concluded that the following recommendation was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(critical): assurance on the functioning of the internal control system.</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Information from the Authorising Officers by Sub-delegation</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EACE</w:t>
      </w:r>
      <w:r>
        <w:rPr>
          <w:rFonts w:ascii="EC Square Sans Pro" w:eastAsia="Times New Roman" w:hAnsi="EC Square Sans Pro" w:cs="Times New Roman"/>
          <w:noProof/>
          <w:color w:val="000000"/>
          <w:sz w:val="20"/>
          <w:szCs w:val="20"/>
          <w:lang w:eastAsia="en-GB"/>
        </w:rPr>
        <w:t>A revised the template for the reporting by Authorising Officers by Sub-delegation to the Authorising Officer by Delegation, which was used as part of the preparation of the 2018 annual activity report. The Internal Audit Service tested a sample of three r</w:t>
      </w:r>
      <w:r>
        <w:rPr>
          <w:rFonts w:ascii="EC Square Sans Pro" w:eastAsia="Times New Roman" w:hAnsi="EC Square Sans Pro" w:cs="Times New Roman"/>
          <w:noProof/>
          <w:color w:val="000000"/>
          <w:sz w:val="20"/>
          <w:szCs w:val="20"/>
          <w:lang w:eastAsia="en-GB"/>
        </w:rPr>
        <w:t>eports by Authorising Officers by Sub-delegation.</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template for the reporting of the Authorising Officers by Sub-delegation includes one general question on the internal controls in the unit, i.e. ‘What is your assessment of the control activities in pl</w:t>
      </w:r>
      <w:r>
        <w:rPr>
          <w:rFonts w:ascii="EC Square Sans Pro" w:eastAsia="Times New Roman" w:hAnsi="EC Square Sans Pro" w:cs="Times New Roman"/>
          <w:noProof/>
          <w:color w:val="000000"/>
          <w:sz w:val="20"/>
          <w:szCs w:val="20"/>
          <w:lang w:eastAsia="en-GB"/>
        </w:rPr>
        <w:t xml:space="preserve">ace within your unit (risks are adequately mitigated, procedures are available and adequate)?’. However, it does not explicitly require the Authorising Officer by Sub-delegation to provide more details on the controls in place and their effectiveness.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w:t>
      </w:r>
      <w:r>
        <w:rPr>
          <w:rFonts w:ascii="EC Square Sans Pro" w:eastAsia="Times New Roman" w:hAnsi="EC Square Sans Pro" w:cs="Times New Roman"/>
          <w:noProof/>
          <w:color w:val="000000"/>
          <w:sz w:val="20"/>
          <w:szCs w:val="20"/>
          <w:lang w:eastAsia="en-GB"/>
        </w:rPr>
        <w:t xml:space="preserve"> Internal Audit Service found that the reports contain general statements such as ‘internal control systems in the unit are well defined and function efficiently...’ but that there was no additional information on the controls implemented (type, coverage, </w:t>
      </w:r>
      <w:r>
        <w:rPr>
          <w:rFonts w:ascii="EC Square Sans Pro" w:eastAsia="Times New Roman" w:hAnsi="EC Square Sans Pro" w:cs="Times New Roman"/>
          <w:noProof/>
          <w:color w:val="000000"/>
          <w:sz w:val="20"/>
          <w:szCs w:val="20"/>
          <w:lang w:eastAsia="en-GB"/>
        </w:rPr>
        <w:t xml:space="preserve">frequency and depth) and their results. Consequently, it is not possible to assess on which basis the statement on the effectiveness of controls included in the annual activity report has been built.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Internal Audit Service concluded that this sub-reco</w:t>
      </w:r>
      <w:r>
        <w:rPr>
          <w:rFonts w:ascii="EC Square Sans Pro" w:eastAsia="Times New Roman" w:hAnsi="EC Square Sans Pro" w:cs="Times New Roman"/>
          <w:noProof/>
          <w:color w:val="000000"/>
          <w:sz w:val="20"/>
          <w:szCs w:val="20"/>
          <w:lang w:eastAsia="en-GB"/>
        </w:rPr>
        <w:t xml:space="preserve">mmendation is not yet implemented. </w:t>
      </w:r>
    </w:p>
    <w:p w:rsidR="000C6D03" w:rsidRDefault="00873433">
      <w:pPr>
        <w:numPr>
          <w:ilvl w:val="0"/>
          <w:numId w:val="41"/>
        </w:numPr>
        <w:spacing w:after="240" w:line="240" w:lineRule="auto"/>
        <w:ind w:left="850" w:hanging="357"/>
        <w:jc w:val="both"/>
        <w:rPr>
          <w:rFonts w:ascii="EC Square Sans Pro" w:eastAsia="Calibri" w:hAnsi="EC Square Sans Pro" w:cs="Times New Roman"/>
          <w:b/>
          <w:noProof/>
          <w:sz w:val="20"/>
          <w:szCs w:val="20"/>
          <w:lang w:val="en-US"/>
        </w:rPr>
      </w:pPr>
      <w:r>
        <w:rPr>
          <w:rFonts w:ascii="EC Square Sans Pro" w:eastAsia="Calibri" w:hAnsi="EC Square Sans Pro" w:cs="Times New Roman"/>
          <w:b/>
          <w:noProof/>
          <w:sz w:val="20"/>
          <w:szCs w:val="20"/>
          <w:lang w:val="en-US"/>
        </w:rPr>
        <w:t xml:space="preserve">Non-compliance and exception report </w:t>
      </w:r>
    </w:p>
    <w:p w:rsidR="000C6D03" w:rsidRDefault="00873433">
      <w:pPr>
        <w:spacing w:after="240" w:line="240" w:lineRule="auto"/>
        <w:ind w:left="360"/>
        <w:jc w:val="both"/>
        <w:rPr>
          <w:rFonts w:ascii="EC Square Sans Pro" w:eastAsia="Times New Roman" w:hAnsi="EC Square Sans Pro" w:cs="Times New Roman"/>
          <w:noProof/>
          <w:sz w:val="20"/>
          <w:szCs w:val="20"/>
          <w:u w:val="single"/>
          <w:lang w:eastAsia="en-GB"/>
        </w:rPr>
      </w:pPr>
      <w:r>
        <w:rPr>
          <w:rFonts w:ascii="EC Square Sans Pro" w:eastAsia="Times New Roman" w:hAnsi="EC Square Sans Pro" w:cs="Times New Roman"/>
          <w:noProof/>
          <w:sz w:val="20"/>
          <w:szCs w:val="20"/>
          <w:u w:val="single"/>
          <w:lang w:eastAsia="en-GB"/>
        </w:rPr>
        <w:t>Development of a central register</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EACEA has developed a register which is available on its intranet and is regularly filled in (since 1 January 2019, four cases have been reported in the register). For each entry, the register summarises information on the nature of the issue (exceptio</w:t>
      </w:r>
      <w:r>
        <w:rPr>
          <w:rFonts w:ascii="EC Square Sans Pro" w:eastAsia="Times New Roman" w:hAnsi="EC Square Sans Pro" w:cs="Times New Roman"/>
          <w:noProof/>
          <w:color w:val="000000"/>
          <w:sz w:val="20"/>
          <w:szCs w:val="20"/>
          <w:lang w:eastAsia="en-GB"/>
        </w:rPr>
        <w:t>n or non-compliance; the description of the event; the financial impact of the issue; the cause of the deviation; and the corrective measures to mitigate the risks and prevent the risks from recurring). However, the template does not include information ab</w:t>
      </w:r>
      <w:r>
        <w:rPr>
          <w:rFonts w:ascii="EC Square Sans Pro" w:eastAsia="Times New Roman" w:hAnsi="EC Square Sans Pro" w:cs="Times New Roman"/>
          <w:noProof/>
          <w:color w:val="000000"/>
          <w:sz w:val="20"/>
          <w:szCs w:val="20"/>
          <w:lang w:eastAsia="en-GB"/>
        </w:rPr>
        <w:t>out the internal control(s) that failed. Thus the register does not make it possible to identify structural/cross-cutting issues in order to decide on the necessary measures to address them. This limits the extent and effectiveness of the monitoring at cen</w:t>
      </w:r>
      <w:r>
        <w:rPr>
          <w:rFonts w:ascii="EC Square Sans Pro" w:eastAsia="Times New Roman" w:hAnsi="EC Square Sans Pro" w:cs="Times New Roman"/>
          <w:noProof/>
          <w:color w:val="000000"/>
          <w:sz w:val="20"/>
          <w:szCs w:val="20"/>
          <w:lang w:eastAsia="en-GB"/>
        </w:rPr>
        <w:t xml:space="preserve">tral level.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In this respect, the Internal Audit Service observed that the last version of the template for the notification of non-compliance or for exceptions contains a specific reference to ‘controls not effective’.  The Internal Audit Service consider</w:t>
      </w:r>
      <w:r>
        <w:rPr>
          <w:rFonts w:ascii="EC Square Sans Pro" w:eastAsia="Times New Roman" w:hAnsi="EC Square Sans Pro" w:cs="Times New Roman"/>
          <w:noProof/>
          <w:color w:val="000000"/>
          <w:sz w:val="20"/>
          <w:szCs w:val="20"/>
          <w:lang w:eastAsia="en-GB"/>
        </w:rPr>
        <w:t>ed that this reference could also be reported in the register. The Internal Audit Service also suggested including in the register the date of the document in order to clearly indicate when the last entry was made.</w:t>
      </w:r>
    </w:p>
    <w:p w:rsidR="000C6D03" w:rsidRDefault="00873433">
      <w:pPr>
        <w:spacing w:after="240" w:line="240" w:lineRule="auto"/>
        <w:ind w:left="360"/>
        <w:jc w:val="both"/>
        <w:rPr>
          <w:rFonts w:ascii="EC Square Sans Pro" w:eastAsia="Times New Roman" w:hAnsi="EC Square Sans Pro" w:cs="Times New Roman"/>
          <w:noProof/>
          <w:sz w:val="20"/>
          <w:szCs w:val="20"/>
          <w:u w:val="single"/>
          <w:lang w:eastAsia="en-GB"/>
        </w:rPr>
      </w:pPr>
      <w:r>
        <w:rPr>
          <w:rFonts w:ascii="EC Square Sans Pro" w:eastAsia="Times New Roman" w:hAnsi="EC Square Sans Pro" w:cs="Times New Roman"/>
          <w:noProof/>
          <w:sz w:val="20"/>
          <w:szCs w:val="20"/>
          <w:u w:val="single"/>
          <w:lang w:eastAsia="en-GB"/>
        </w:rPr>
        <w:t>Provision of support and advice to operat</w:t>
      </w:r>
      <w:r>
        <w:rPr>
          <w:rFonts w:ascii="EC Square Sans Pro" w:eastAsia="Times New Roman" w:hAnsi="EC Square Sans Pro" w:cs="Times New Roman"/>
          <w:noProof/>
          <w:sz w:val="20"/>
          <w:szCs w:val="20"/>
          <w:u w:val="single"/>
          <w:lang w:eastAsia="en-GB"/>
        </w:rPr>
        <w:t>ional units</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EACEA has revised the procedure for handling exceptions and non-compliance events. To ensure the reliability and robustness of the file, the EACEA has also introduced an obligation to consult: (i) the person in charge for risk management an</w:t>
      </w:r>
      <w:r>
        <w:rPr>
          <w:rFonts w:ascii="EC Square Sans Pro" w:eastAsia="Times New Roman" w:hAnsi="EC Square Sans Pro" w:cs="Times New Roman"/>
          <w:noProof/>
          <w:color w:val="000000"/>
          <w:sz w:val="20"/>
          <w:szCs w:val="20"/>
          <w:lang w:eastAsia="en-GB"/>
        </w:rPr>
        <w:t>d internal control; (ii) the director’s team member; and (iii) the legal team's head of sector. The contribution of these three people must be formally recorded in the declaration of exceptions. The Internal Audit Service analysed the four cases declared s</w:t>
      </w:r>
      <w:r>
        <w:rPr>
          <w:rFonts w:ascii="EC Square Sans Pro" w:eastAsia="Times New Roman" w:hAnsi="EC Square Sans Pro" w:cs="Times New Roman"/>
          <w:noProof/>
          <w:color w:val="000000"/>
          <w:sz w:val="20"/>
          <w:szCs w:val="20"/>
          <w:lang w:eastAsia="en-GB"/>
        </w:rPr>
        <w:t xml:space="preserve">o far in 2019 and found that the new procedure is adequately implemented. In particular: (i) the risk-management-and-internal-control team provided support and quality control; (ii) the exception requests included adequate assessment and justification for </w:t>
      </w:r>
      <w:r>
        <w:rPr>
          <w:rFonts w:ascii="EC Square Sans Pro" w:eastAsia="Times New Roman" w:hAnsi="EC Square Sans Pro" w:cs="Times New Roman"/>
          <w:noProof/>
          <w:color w:val="000000"/>
          <w:sz w:val="20"/>
          <w:szCs w:val="20"/>
          <w:lang w:eastAsia="en-GB"/>
        </w:rPr>
        <w:t>the case; and (iii) the information provided to the director was complete.</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 xml:space="preserve">On 23 January 2019, the acting director of the agency reminded the heads of unit of the need to draw the attention of their staff (and more particularly the Authorising Officers by </w:t>
      </w:r>
      <w:r>
        <w:rPr>
          <w:rFonts w:ascii="EC Square Sans Pro" w:eastAsia="Times New Roman" w:hAnsi="EC Square Sans Pro" w:cs="Times New Roman"/>
          <w:noProof/>
          <w:color w:val="000000"/>
          <w:sz w:val="20"/>
          <w:szCs w:val="20"/>
          <w:lang w:eastAsia="en-GB"/>
        </w:rPr>
        <w:t xml:space="preserve">Sub-delegation) to the importance of correctly handing exceptions. </w:t>
      </w:r>
    </w:p>
    <w:p w:rsidR="000C6D03" w:rsidRDefault="00873433">
      <w:pPr>
        <w:spacing w:after="240" w:line="240" w:lineRule="auto"/>
        <w:ind w:left="357"/>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On 28 February 2019, the EACEA and the Directorate-General for Budget organised a two-hour training session for all Authorising Officers by Sub-delegation. The Directorate-General for Budg</w:t>
      </w:r>
      <w:r>
        <w:rPr>
          <w:rFonts w:ascii="EC Square Sans Pro" w:eastAsia="Times New Roman" w:hAnsi="EC Square Sans Pro" w:cs="Times New Roman"/>
          <w:noProof/>
          <w:color w:val="000000"/>
          <w:sz w:val="20"/>
          <w:szCs w:val="20"/>
          <w:lang w:eastAsia="en-GB"/>
        </w:rPr>
        <w:t>et gave a general presentation about exceptions and non-compliance events and the EACEA made a detailed presentation about the new procedure (guidance) applicable to the initiating actors in the EACEA.</w:t>
      </w:r>
    </w:p>
    <w:p w:rsidR="000C6D03" w:rsidRDefault="00873433">
      <w:pPr>
        <w:spacing w:after="240" w:line="240" w:lineRule="auto"/>
        <w:ind w:left="360"/>
        <w:jc w:val="both"/>
        <w:rPr>
          <w:rFonts w:ascii="EC Square Sans Pro" w:eastAsia="Times New Roman" w:hAnsi="EC Square Sans Pro" w:cs="Times New Roman"/>
          <w:noProof/>
          <w:sz w:val="20"/>
          <w:szCs w:val="20"/>
          <w:u w:val="single"/>
          <w:lang w:eastAsia="en-GB"/>
        </w:rPr>
      </w:pPr>
      <w:r>
        <w:rPr>
          <w:rFonts w:ascii="EC Square Sans Pro" w:eastAsia="Times New Roman" w:hAnsi="EC Square Sans Pro" w:cs="Times New Roman"/>
          <w:noProof/>
          <w:sz w:val="20"/>
          <w:szCs w:val="20"/>
          <w:u w:val="single"/>
          <w:lang w:eastAsia="en-GB"/>
        </w:rPr>
        <w:t xml:space="preserve">Monitoring the effective implementation of mitigating </w:t>
      </w:r>
      <w:r>
        <w:rPr>
          <w:rFonts w:ascii="EC Square Sans Pro" w:eastAsia="Times New Roman" w:hAnsi="EC Square Sans Pro" w:cs="Times New Roman"/>
          <w:noProof/>
          <w:sz w:val="20"/>
          <w:szCs w:val="20"/>
          <w:u w:val="single"/>
          <w:lang w:eastAsia="en-GB"/>
        </w:rPr>
        <w:t>actions</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new guidelines (V. 1.0 of 23</w:t>
      </w:r>
      <w:r>
        <w:rPr>
          <w:rFonts w:ascii="Calibri" w:eastAsia="Times New Roman" w:hAnsi="Calibri" w:cs="Times New Roman"/>
          <w:noProof/>
          <w:color w:val="000000"/>
          <w:sz w:val="20"/>
          <w:szCs w:val="20"/>
          <w:lang w:eastAsia="en-GB"/>
        </w:rPr>
        <w:t> </w:t>
      </w:r>
      <w:r>
        <w:rPr>
          <w:rFonts w:ascii="EC Square Sans Pro" w:eastAsia="Times New Roman" w:hAnsi="EC Square Sans Pro" w:cs="Times New Roman"/>
          <w:noProof/>
          <w:color w:val="000000"/>
          <w:sz w:val="20"/>
          <w:szCs w:val="20"/>
          <w:lang w:eastAsia="en-GB"/>
        </w:rPr>
        <w:t xml:space="preserve">January 2019) state that ‘the implementation of the proposed mitigating measures to avoid a recurrence of the action is to be centrally monitored, incorporated into the internal control-assessment progress, and be </w:t>
      </w:r>
      <w:r>
        <w:rPr>
          <w:rFonts w:ascii="EC Square Sans Pro" w:eastAsia="Times New Roman" w:hAnsi="EC Square Sans Pro" w:cs="Times New Roman"/>
          <w:noProof/>
          <w:color w:val="000000"/>
          <w:sz w:val="20"/>
          <w:szCs w:val="20"/>
          <w:lang w:eastAsia="en-GB"/>
        </w:rPr>
        <w:t>included into the agreed set of reporting requirements to senior management and Steering Committee of the EACEA.’</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EACEA provided evidence of checks carried out on the implementation of the mitigating measure for individual exceptions by the risk-manage</w:t>
      </w:r>
      <w:r>
        <w:rPr>
          <w:rFonts w:ascii="EC Square Sans Pro" w:eastAsia="Times New Roman" w:hAnsi="EC Square Sans Pro" w:cs="Times New Roman"/>
          <w:noProof/>
          <w:color w:val="000000"/>
          <w:sz w:val="20"/>
          <w:szCs w:val="20"/>
          <w:lang w:eastAsia="en-GB"/>
        </w:rPr>
        <w:t>ment-and-internal-control team. However, there is no evidence of structural monitoring at central level of the proposed mitigating measures defined for the exceptions/non-compliance events that occurred in 2018.</w:t>
      </w:r>
    </w:p>
    <w:p w:rsidR="000C6D03" w:rsidRDefault="00873433">
      <w:pPr>
        <w:spacing w:after="240" w:line="240" w:lineRule="auto"/>
        <w:ind w:left="360"/>
        <w:jc w:val="both"/>
        <w:rPr>
          <w:rFonts w:ascii="EC Square Sans Pro" w:eastAsia="Times New Roman" w:hAnsi="EC Square Sans Pro" w:cs="Times New Roman"/>
          <w:noProof/>
          <w:sz w:val="20"/>
          <w:szCs w:val="20"/>
          <w:u w:val="single"/>
          <w:lang w:eastAsia="en-GB"/>
        </w:rPr>
      </w:pPr>
      <w:r>
        <w:rPr>
          <w:rFonts w:ascii="EC Square Sans Pro" w:eastAsia="Times New Roman" w:hAnsi="EC Square Sans Pro" w:cs="Times New Roman"/>
          <w:noProof/>
          <w:sz w:val="20"/>
          <w:szCs w:val="20"/>
          <w:u w:val="single"/>
          <w:lang w:eastAsia="en-GB"/>
        </w:rPr>
        <w:t>Preparation of an overview of all exceptions</w:t>
      </w:r>
      <w:r>
        <w:rPr>
          <w:rFonts w:ascii="EC Square Sans Pro" w:eastAsia="Times New Roman" w:hAnsi="EC Square Sans Pro" w:cs="Times New Roman"/>
          <w:noProof/>
          <w:sz w:val="20"/>
          <w:szCs w:val="20"/>
          <w:u w:val="single"/>
          <w:lang w:eastAsia="en-GB"/>
        </w:rPr>
        <w:t xml:space="preserve"> and non-compliance events for the director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EACEA performed a ‘specific assessment of its register of exception requests and notification of non-compliance event as per 31/12/2018’. The note contains a summary of the exceptions and non-compliance even</w:t>
      </w:r>
      <w:r>
        <w:rPr>
          <w:rFonts w:ascii="EC Square Sans Pro" w:eastAsia="Times New Roman" w:hAnsi="EC Square Sans Pro" w:cs="Times New Roman"/>
          <w:noProof/>
          <w:color w:val="000000"/>
          <w:sz w:val="20"/>
          <w:szCs w:val="20"/>
          <w:lang w:eastAsia="en-GB"/>
        </w:rPr>
        <w:t>ts that were declared in 2018 (so using the previous template),  complemented by: (i) an overall conclusion on the internal control principles mostly affected and specific actions to be taken; and (ii) the identification of the structural changes that need</w:t>
      </w:r>
      <w:r>
        <w:rPr>
          <w:rFonts w:ascii="EC Square Sans Pro" w:eastAsia="Times New Roman" w:hAnsi="EC Square Sans Pro" w:cs="Times New Roman"/>
          <w:noProof/>
          <w:color w:val="000000"/>
          <w:sz w:val="20"/>
          <w:szCs w:val="20"/>
          <w:lang w:eastAsia="en-GB"/>
        </w:rPr>
        <w:t xml:space="preserve"> to be introduced in the management of the exceptions.</w:t>
      </w:r>
    </w:p>
    <w:p w:rsidR="000C6D03" w:rsidRDefault="00873433">
      <w:pPr>
        <w:spacing w:after="240" w:line="240" w:lineRule="auto"/>
        <w:ind w:left="360"/>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color w:val="000000"/>
          <w:sz w:val="20"/>
          <w:szCs w:val="20"/>
          <w:lang w:eastAsia="en-GB"/>
        </w:rPr>
        <w:t>However, the analysis needed to be improved as it did not contain a specific assessment of the internal controls that did not work effectively or that were lacking and it did not distinguish between ex</w:t>
      </w:r>
      <w:r>
        <w:rPr>
          <w:rFonts w:ascii="EC Square Sans Pro" w:eastAsia="Times New Roman" w:hAnsi="EC Square Sans Pro" w:cs="Times New Roman"/>
          <w:noProof/>
          <w:color w:val="000000"/>
          <w:sz w:val="20"/>
          <w:szCs w:val="20"/>
          <w:lang w:eastAsia="en-GB"/>
        </w:rPr>
        <w:t xml:space="preserve">ceptions and non-compliance. Moreover, the note included a very general statement on the mitigating measures, without providing elements supporting this conclusion.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The Internal Audit Service concluded that the sub-recommendations related to the non-compl</w:t>
      </w:r>
      <w:r>
        <w:rPr>
          <w:rFonts w:ascii="EC Square Sans Pro" w:eastAsia="Times New Roman" w:hAnsi="EC Square Sans Pro" w:cs="Times New Roman"/>
          <w:noProof/>
          <w:color w:val="000000"/>
          <w:sz w:val="20"/>
          <w:szCs w:val="20"/>
          <w:lang w:eastAsia="en-GB"/>
        </w:rPr>
        <w:t xml:space="preserve">iance and exception reports have been partially implemented for what concerns the design of the process and its practical implementation. </w:t>
      </w:r>
    </w:p>
    <w:p w:rsidR="000C6D03" w:rsidRDefault="00873433">
      <w:pPr>
        <w:spacing w:after="240" w:line="240" w:lineRule="auto"/>
        <w:ind w:left="360"/>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color w:val="000000"/>
          <w:sz w:val="20"/>
          <w:szCs w:val="20"/>
          <w:lang w:eastAsia="en-GB"/>
        </w:rPr>
        <w:t>Taking into account the progress already made, the Internal Audit Service considered that the EACE has partially miti</w:t>
      </w:r>
      <w:r>
        <w:rPr>
          <w:rFonts w:ascii="EC Square Sans Pro" w:eastAsia="Times New Roman" w:hAnsi="EC Square Sans Pro" w:cs="Times New Roman"/>
          <w:noProof/>
          <w:color w:val="000000"/>
          <w:sz w:val="20"/>
          <w:szCs w:val="20"/>
          <w:lang w:eastAsia="en-GB"/>
        </w:rPr>
        <w:t>gated the underlying risks and therefore downgraded the rating of recommendation No 3 from critical to very important.</w:t>
      </w:r>
    </w:p>
    <w:p w:rsidR="000C6D03" w:rsidRDefault="000C6D0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sectPr w:rsidR="000C6D03">
          <w:headerReference w:type="even" r:id="rId42"/>
          <w:headerReference w:type="default" r:id="rId43"/>
          <w:footerReference w:type="even" r:id="rId44"/>
          <w:footerReference w:type="default" r:id="rId45"/>
          <w:headerReference w:type="first" r:id="rId46"/>
          <w:footerReference w:type="first" r:id="rId47"/>
          <w:pgSz w:w="11906" w:h="16838" w:code="9"/>
          <w:pgMar w:top="851" w:right="1418" w:bottom="851" w:left="1418" w:header="567" w:footer="567" w:gutter="0"/>
          <w:cols w:space="720"/>
          <w:docGrid w:linePitch="360"/>
        </w:sectPr>
      </w:pP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b/>
          <w:noProof/>
          <w:color w:val="005D95"/>
          <w:sz w:val="20"/>
          <w:lang w:eastAsia="fr-BE"/>
        </w:rPr>
      </w:pPr>
      <w:r>
        <w:rPr>
          <w:rFonts w:ascii="EC Square Sans Pro" w:eastAsia="EC Square Sans Pro" w:hAnsi="EC Square Sans Pro" w:cs="Times New Roman"/>
          <w:b/>
          <w:noProof/>
          <w:color w:val="005D95"/>
          <w:sz w:val="20"/>
          <w:lang w:eastAsia="fr-BE"/>
        </w:rPr>
        <w:t xml:space="preserve">Additional information provided by the EACEA on the measures defined and/or </w:t>
      </w:r>
      <w:r>
        <w:rPr>
          <w:rFonts w:ascii="EC Square Sans Pro" w:eastAsia="EC Square Sans Pro" w:hAnsi="EC Square Sans Pro" w:cs="Times New Roman"/>
          <w:b/>
          <w:noProof/>
          <w:color w:val="005D95"/>
          <w:sz w:val="20"/>
          <w:lang w:eastAsia="fr-BE"/>
        </w:rPr>
        <w:t>implemented following the Internal Audit Service audit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 xml:space="preserve">The Internal Audit Service follow-up audit in early 2019 (March) was a limited review to assess the initial critical recommendation in view of the finalisation of the 2018 annual activity report, well </w:t>
      </w:r>
      <w:r>
        <w:rPr>
          <w:rFonts w:ascii="EC Square Sans Pro" w:eastAsia="EC Square Sans Pro" w:hAnsi="EC Square Sans Pro" w:cs="Times New Roman"/>
          <w:noProof/>
          <w:sz w:val="20"/>
          <w:lang w:eastAsia="fr-BE"/>
        </w:rPr>
        <w:t>before the deadlines agreed in the audit action plan. That review downgraded the critical recommendation to very important.</w:t>
      </w:r>
    </w:p>
    <w:p w:rsidR="000C6D03" w:rsidRDefault="00873433">
      <w:pPr>
        <w:pBdr>
          <w:top w:val="dashSmallGap" w:sz="12" w:space="8" w:color="F68A42"/>
          <w:left w:val="dashSmallGap" w:sz="12" w:space="8" w:color="F68A42"/>
          <w:bottom w:val="dashSmallGap" w:sz="12" w:space="8" w:color="F68A42"/>
          <w:right w:val="dashSmallGap" w:sz="12" w:space="8" w:color="F68A42"/>
        </w:pBdr>
        <w:spacing w:after="240" w:line="240" w:lineRule="auto"/>
        <w:jc w:val="both"/>
        <w:rPr>
          <w:rFonts w:ascii="EC Square Sans Pro" w:eastAsia="EC Square Sans Pro" w:hAnsi="EC Square Sans Pro" w:cs="Times New Roman"/>
          <w:noProof/>
          <w:sz w:val="20"/>
          <w:lang w:eastAsia="fr-BE"/>
        </w:rPr>
      </w:pPr>
      <w:r>
        <w:rPr>
          <w:rFonts w:ascii="EC Square Sans Pro" w:eastAsia="EC Square Sans Pro" w:hAnsi="EC Square Sans Pro" w:cs="Times New Roman"/>
          <w:noProof/>
          <w:sz w:val="20"/>
          <w:lang w:eastAsia="fr-BE"/>
        </w:rPr>
        <w:t>Since the limited review, the EACEA has continued working on the agreed action plan, including by giving regular status updates to s</w:t>
      </w:r>
      <w:r>
        <w:rPr>
          <w:rFonts w:ascii="EC Square Sans Pro" w:eastAsia="EC Square Sans Pro" w:hAnsi="EC Square Sans Pro" w:cs="Times New Roman"/>
          <w:noProof/>
          <w:sz w:val="20"/>
          <w:lang w:eastAsia="fr-BE"/>
        </w:rPr>
        <w:t xml:space="preserve">enior management, parent Directorates-General and the Steering Committee. In summary, the agency has flagged the four audit recommendations (three very important and one important) as fully implemented within the agreed timeframe and ready for review. The </w:t>
      </w:r>
      <w:r>
        <w:rPr>
          <w:rFonts w:ascii="EC Square Sans Pro" w:eastAsia="EC Square Sans Pro" w:hAnsi="EC Square Sans Pro" w:cs="Times New Roman"/>
          <w:noProof/>
          <w:sz w:val="20"/>
          <w:lang w:eastAsia="fr-BE"/>
        </w:rPr>
        <w:t>Internal Audit Service is currently performing the review process.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01" w:name="_Toc42788194"/>
      <w:bookmarkStart w:id="202" w:name="_Toc2946496"/>
      <w:bookmarkStart w:id="203" w:name="_Toc9237673"/>
      <w:r>
        <w:rPr>
          <w:rFonts w:ascii="EC Square Sans Pro" w:eastAsia="Times New Roman" w:hAnsi="EC Square Sans Pro" w:cs="Times New Roman"/>
          <w:b/>
          <w:i/>
          <w:noProof/>
          <w:color w:val="005D95"/>
          <w:sz w:val="24"/>
          <w:szCs w:val="20"/>
          <w:lang w:eastAsia="en-GB"/>
        </w:rPr>
        <w:t>Follow-up audit on monitoring the implementation and performance of 2014-2020 national programmes by DG HOME</w:t>
      </w:r>
      <w:bookmarkEnd w:id="20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w:t>
      </w:r>
      <w:r>
        <w:rPr>
          <w:rFonts w:ascii="EC Square Sans Pro" w:eastAsia="Times New Roman" w:hAnsi="EC Square Sans Pro" w:cs="Times New Roman"/>
          <w:noProof/>
          <w:sz w:val="20"/>
          <w:szCs w:val="20"/>
          <w:lang w:eastAsia="en-GB"/>
        </w:rPr>
        <w:t>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processes for monitoring and reporting on the implementation and performance of national programmes.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04" w:name="_Toc42788195"/>
      <w:bookmarkStart w:id="205" w:name="_Toc2946502"/>
      <w:bookmarkStart w:id="206" w:name="_Toc9237679"/>
      <w:bookmarkEnd w:id="202"/>
      <w:bookmarkEnd w:id="203"/>
      <w:r>
        <w:rPr>
          <w:rFonts w:ascii="EC Square Sans Pro" w:eastAsia="Times New Roman" w:hAnsi="EC Square Sans Pro" w:cs="Times New Roman"/>
          <w:b/>
          <w:i/>
          <w:noProof/>
          <w:color w:val="005D95"/>
          <w:sz w:val="24"/>
          <w:szCs w:val="20"/>
          <w:lang w:eastAsia="en-GB"/>
        </w:rPr>
        <w:t xml:space="preserve">Follow-up audit on </w:t>
      </w:r>
      <w:r>
        <w:rPr>
          <w:rFonts w:ascii="EC Square Sans Pro" w:eastAsia="Times New Roman" w:hAnsi="EC Square Sans Pro" w:cs="Times New Roman"/>
          <w:b/>
          <w:i/>
          <w:noProof/>
          <w:color w:val="005D95"/>
          <w:sz w:val="24"/>
          <w:szCs w:val="20"/>
          <w:lang w:eastAsia="en-GB"/>
        </w:rPr>
        <w:t>activities in DG</w:t>
      </w:r>
      <w:r>
        <w:rPr>
          <w:rFonts w:ascii="Calibri" w:eastAsia="Times New Roman" w:hAnsi="Calibri" w:cs="Times New Roman"/>
          <w:b/>
          <w:i/>
          <w:noProof/>
          <w:color w:val="005D95"/>
          <w:sz w:val="24"/>
          <w:szCs w:val="20"/>
          <w:lang w:eastAsia="en-GB"/>
        </w:rPr>
        <w:t> </w:t>
      </w:r>
      <w:r>
        <w:rPr>
          <w:rFonts w:ascii="EC Square Sans Pro" w:eastAsia="Times New Roman" w:hAnsi="EC Square Sans Pro" w:cs="Times New Roman"/>
          <w:b/>
          <w:i/>
          <w:noProof/>
          <w:color w:val="005D95"/>
          <w:sz w:val="24"/>
          <w:szCs w:val="20"/>
          <w:lang w:eastAsia="en-GB"/>
        </w:rPr>
        <w:t>DEFIS to support intellectual-property rights</w:t>
      </w:r>
      <w:bookmarkEnd w:id="20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w:t>
      </w:r>
      <w:r>
        <w:rPr>
          <w:rFonts w:ascii="EC Square Sans Pro" w:eastAsia="Times New Roman" w:hAnsi="EC Square Sans Pro" w:cs="Times New Roman"/>
          <w:noProof/>
          <w:sz w:val="20"/>
          <w:szCs w:val="20"/>
          <w:lang w:eastAsia="en-GB"/>
        </w:rPr>
        <w:t xml:space="preserve"> intellectual-property-rights management in the Galileo and European geostationary navigation overlay service programmes.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As the dynamic intellectual-property-inventory information system (EURECA) is not yet available, the Directorate-General for Defence </w:t>
      </w:r>
      <w:r>
        <w:rPr>
          <w:rFonts w:ascii="EC Square Sans Pro" w:eastAsia="Times New Roman" w:hAnsi="EC Square Sans Pro" w:cs="Times New Roman"/>
          <w:noProof/>
          <w:sz w:val="20"/>
          <w:szCs w:val="20"/>
          <w:lang w:eastAsia="en-GB"/>
        </w:rPr>
        <w:t>Industry and Space is not yet in a position to implement the above-mentioned recommendation.</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07" w:name="_Toc42788196"/>
      <w:r>
        <w:rPr>
          <w:rFonts w:ascii="EC Square Sans Pro" w:eastAsia="Times New Roman" w:hAnsi="EC Square Sans Pro" w:cs="Times New Roman"/>
          <w:b/>
          <w:i/>
          <w:noProof/>
          <w:color w:val="005D95"/>
          <w:sz w:val="24"/>
          <w:szCs w:val="20"/>
          <w:lang w:eastAsia="en-GB"/>
        </w:rPr>
        <w:t>Follow-up audit on evaluation in DG ECFIN</w:t>
      </w:r>
      <w:bookmarkEnd w:id="205"/>
      <w:bookmarkEnd w:id="206"/>
      <w:bookmarkEnd w:id="20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w:t>
      </w:r>
      <w:r>
        <w:rPr>
          <w:rFonts w:ascii="EC Square Sans Pro" w:eastAsia="Times New Roman" w:hAnsi="EC Square Sans Pro" w:cs="Times New Roman"/>
          <w:noProof/>
          <w:sz w:val="20"/>
          <w:szCs w:val="20"/>
          <w:lang w:eastAsia="en-GB"/>
        </w:rPr>
        <w:t>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(important): organisation of the evaluation process.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08" w:name="_Toc42788197"/>
      <w:bookmarkStart w:id="209" w:name="_Toc2946505"/>
      <w:bookmarkStart w:id="210" w:name="_Toc9237682"/>
      <w:r>
        <w:rPr>
          <w:rFonts w:ascii="EC Square Sans Pro" w:eastAsia="Times New Roman" w:hAnsi="EC Square Sans Pro" w:cs="Times New Roman"/>
          <w:b/>
          <w:i/>
          <w:noProof/>
          <w:color w:val="005D95"/>
          <w:sz w:val="24"/>
          <w:szCs w:val="20"/>
          <w:lang w:eastAsia="en-GB"/>
        </w:rPr>
        <w:t>Follow-up audit on the effectiveness and efficiency of the performance-management system in DG FISMA</w:t>
      </w:r>
      <w:bookmarkEnd w:id="20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w:t>
      </w:r>
      <w:r>
        <w:rPr>
          <w:rFonts w:ascii="EC Square Sans Pro" w:eastAsia="Times New Roman" w:hAnsi="EC Square Sans Pro" w:cs="Times New Roman"/>
          <w:noProof/>
          <w:sz w:val="20"/>
          <w:szCs w:val="20"/>
          <w:lang w:eastAsia="en-GB"/>
        </w:rPr>
        <w:t>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traceability of the process to prepare the strategic plan/management plan.</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1" w:name="_Toc42788198"/>
      <w:r>
        <w:rPr>
          <w:rFonts w:ascii="EC Square Sans Pro" w:eastAsia="Times New Roman" w:hAnsi="EC Square Sans Pro" w:cs="Times New Roman"/>
          <w:b/>
          <w:i/>
          <w:noProof/>
          <w:color w:val="005D95"/>
          <w:sz w:val="24"/>
          <w:szCs w:val="20"/>
          <w:lang w:eastAsia="en-GB"/>
        </w:rPr>
        <w:t>F</w:t>
      </w:r>
      <w:r>
        <w:rPr>
          <w:rFonts w:ascii="EC Square Sans Pro" w:eastAsia="Times New Roman" w:hAnsi="EC Square Sans Pro" w:cs="Times New Roman"/>
          <w:b/>
          <w:i/>
          <w:noProof/>
          <w:color w:val="005D95"/>
          <w:sz w:val="24"/>
          <w:szCs w:val="20"/>
          <w:lang w:eastAsia="en-GB"/>
        </w:rPr>
        <w:t>ollow-up audit on the production process and the quality of statistics not produced by Eurostat in DG FISMA</w:t>
      </w:r>
      <w:bookmarkEnd w:id="21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w:t>
      </w:r>
      <w:r>
        <w:rPr>
          <w:rFonts w:ascii="EC Square Sans Pro" w:eastAsia="Times New Roman" w:hAnsi="EC Square Sans Pro" w:cs="Times New Roman"/>
          <w:noProof/>
          <w:sz w:val="20"/>
          <w:szCs w:val="20"/>
          <w:lang w:eastAsia="en-GB"/>
        </w:rPr>
        <w:t>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(important): management of the statistical process by the Directorate-General for Financial Stability, Financial Services and Capital Markets Union.</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2" w:name="_Toc42788199"/>
      <w:r>
        <w:rPr>
          <w:rFonts w:ascii="EC Square Sans Pro" w:eastAsia="Times New Roman" w:hAnsi="EC Square Sans Pro" w:cs="Times New Roman"/>
          <w:b/>
          <w:i/>
          <w:noProof/>
          <w:color w:val="005D95"/>
          <w:sz w:val="24"/>
          <w:szCs w:val="20"/>
          <w:lang w:eastAsia="en-GB"/>
        </w:rPr>
        <w:t>Follow-up audit on the production process and the quality of</w:t>
      </w:r>
      <w:r>
        <w:rPr>
          <w:rFonts w:ascii="EC Square Sans Pro" w:eastAsia="Times New Roman" w:hAnsi="EC Square Sans Pro" w:cs="Times New Roman"/>
          <w:b/>
          <w:i/>
          <w:noProof/>
          <w:color w:val="005D95"/>
          <w:sz w:val="24"/>
          <w:szCs w:val="20"/>
          <w:lang w:eastAsia="en-GB"/>
        </w:rPr>
        <w:t xml:space="preserve"> statistics not produced by Eurostat in DG GROW</w:t>
      </w:r>
      <w:bookmarkEnd w:id="212"/>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w:t>
      </w:r>
      <w:r>
        <w:rPr>
          <w:rFonts w:ascii="EC Square Sans Pro" w:eastAsia="Times New Roman" w:hAnsi="EC Square Sans Pro" w:cs="Times New Roman"/>
          <w:noProof/>
          <w:sz w:val="20"/>
          <w:szCs w:val="20"/>
          <w:lang w:eastAsia="en-GB"/>
        </w:rPr>
        <w:t xml:space="preserve">nt): management of the statistical process by the Directorate-General for Internal Market, Industry, Entrepreneurship and SMEs. </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3" w:name="_Toc42788200"/>
      <w:r>
        <w:rPr>
          <w:rFonts w:ascii="EC Square Sans Pro" w:eastAsia="Times New Roman" w:hAnsi="EC Square Sans Pro" w:cs="Times New Roman"/>
          <w:b/>
          <w:i/>
          <w:noProof/>
          <w:color w:val="005D95"/>
          <w:sz w:val="24"/>
          <w:szCs w:val="20"/>
          <w:lang w:eastAsia="en-GB"/>
        </w:rPr>
        <w:t>Follow-up audit on the supervision of outsourced information-technology operations in DG TAXUD</w:t>
      </w:r>
      <w:bookmarkEnd w:id="213"/>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w:t>
      </w:r>
      <w:r>
        <w:rPr>
          <w:rFonts w:ascii="EC Square Sans Pro" w:eastAsia="Times New Roman" w:hAnsi="EC Square Sans Pro" w:cs="Times New Roman"/>
          <w:noProof/>
          <w:sz w:val="20"/>
          <w:szCs w:val="20"/>
          <w:lang w:eastAsia="en-GB"/>
        </w:rPr>
        <w:t>ow-up audit, the Internal Audit Service concluded 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ensuring information-technology service continuity;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w:t>
      </w:r>
      <w:r>
        <w:rPr>
          <w:rFonts w:ascii="EC Square Sans Pro" w:eastAsia="Times New Roman" w:hAnsi="EC Square Sans Pro" w:cs="Times New Roman"/>
          <w:noProof/>
          <w:sz w:val="20"/>
          <w:szCs w:val="20"/>
          <w:lang w:eastAsia="en-GB"/>
        </w:rPr>
        <w:t>rtant): audit arrangements.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4" w:name="_Toc42788201"/>
      <w:r>
        <w:rPr>
          <w:rFonts w:ascii="EC Square Sans Pro" w:eastAsia="Times New Roman" w:hAnsi="EC Square Sans Pro" w:cs="Times New Roman"/>
          <w:b/>
          <w:i/>
          <w:noProof/>
          <w:color w:val="005D95"/>
          <w:sz w:val="24"/>
          <w:szCs w:val="20"/>
          <w:lang w:eastAsia="en-GB"/>
        </w:rPr>
        <w:t>Follow-up audit on past audits in DG TRADE</w:t>
      </w:r>
      <w:bookmarkEnd w:id="209"/>
      <w:bookmarkEnd w:id="210"/>
      <w:bookmarkEnd w:id="214"/>
    </w:p>
    <w:p w:rsidR="000C6D03" w:rsidRDefault="00873433">
      <w:pPr>
        <w:spacing w:after="240" w:line="240" w:lineRule="auto"/>
        <w:jc w:val="both"/>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b/>
          <w:noProof/>
          <w:sz w:val="20"/>
          <w:szCs w:val="20"/>
          <w:lang w:eastAsia="en-GB"/>
        </w:rPr>
        <w:t>Audit on internal processes supporting trade-policy negotiations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concluded that the following recommendation was </w:t>
      </w:r>
      <w:r>
        <w:rPr>
          <w:rFonts w:ascii="EC Square Sans Pro" w:eastAsia="Times New Roman" w:hAnsi="EC Square Sans Pro" w:cs="Times New Roman"/>
          <w:noProof/>
          <w:sz w:val="20"/>
          <w:szCs w:val="20"/>
          <w:lang w:eastAsia="en-GB"/>
        </w:rPr>
        <w:t>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5 (important): information-technology support to trade negotiations.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5" w:name="_Toc42788202"/>
      <w:bookmarkStart w:id="216" w:name="_Toc2946506"/>
      <w:bookmarkStart w:id="217" w:name="_Toc9237683"/>
      <w:r>
        <w:rPr>
          <w:rFonts w:ascii="EC Square Sans Pro" w:eastAsia="Times New Roman" w:hAnsi="EC Square Sans Pro" w:cs="Times New Roman"/>
          <w:b/>
          <w:i/>
          <w:noProof/>
          <w:color w:val="005D95"/>
          <w:sz w:val="24"/>
          <w:szCs w:val="20"/>
          <w:lang w:eastAsia="en-GB"/>
        </w:rPr>
        <w:t xml:space="preserve">Follow-up audit on the effectiveness and efficiency of the new early-detection and exclusion system in protecting </w:t>
      </w:r>
      <w:r>
        <w:rPr>
          <w:rFonts w:ascii="EC Square Sans Pro" w:eastAsia="Times New Roman" w:hAnsi="EC Square Sans Pro" w:cs="Times New Roman"/>
          <w:b/>
          <w:i/>
          <w:noProof/>
          <w:color w:val="005D95"/>
          <w:sz w:val="24"/>
          <w:szCs w:val="20"/>
          <w:lang w:eastAsia="en-GB"/>
        </w:rPr>
        <w:t>the EU’s financial interests – DG BUDG</w:t>
      </w:r>
      <w:bookmarkEnd w:id="215"/>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8 (important): monitorin</w:t>
      </w:r>
      <w:r>
        <w:rPr>
          <w:rFonts w:ascii="EC Square Sans Pro" w:eastAsia="Times New Roman" w:hAnsi="EC Square Sans Pro" w:cs="Times New Roman"/>
          <w:noProof/>
          <w:sz w:val="20"/>
          <w:szCs w:val="20"/>
          <w:lang w:eastAsia="en-GB"/>
        </w:rPr>
        <w:t>g deadlines of early-detection and exclusion system panel procedures.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w:t>
      </w:r>
      <w:r>
        <w:rPr>
          <w:rFonts w:ascii="Times New Roman" w:eastAsia="Times New Roman" w:hAnsi="Times New Roman" w:cs="Times New Roman"/>
          <w:noProof/>
          <w:sz w:val="24"/>
          <w:szCs w:val="24"/>
          <w:lang w:eastAsia="en-GB"/>
        </w:rPr>
        <w:t xml:space="preserve"> </w:t>
      </w:r>
      <w:r>
        <w:rPr>
          <w:rFonts w:ascii="EC Square Sans Pro" w:eastAsia="Times New Roman" w:hAnsi="EC Square Sans Pro" w:cs="Times New Roman"/>
          <w:noProof/>
          <w:sz w:val="20"/>
          <w:szCs w:val="20"/>
          <w:lang w:eastAsia="en-GB"/>
        </w:rPr>
        <w:t>recommendation was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val="en-US" w:eastAsia="en-GB"/>
        </w:rPr>
      </w:pPr>
      <w:r>
        <w:rPr>
          <w:rFonts w:ascii="EC Square Sans Pro" w:eastAsia="Times New Roman" w:hAnsi="EC Square Sans Pro" w:cs="Times New Roman"/>
          <w:noProof/>
          <w:sz w:val="20"/>
          <w:szCs w:val="20"/>
          <w:lang w:val="en-US" w:eastAsia="en-GB"/>
        </w:rPr>
        <w:t>Recommendation No 1 (very</w:t>
      </w:r>
      <w:r>
        <w:rPr>
          <w:rFonts w:ascii="EC Square Sans Pro" w:eastAsia="Times New Roman" w:hAnsi="EC Square Sans Pro" w:cs="Times New Roman"/>
          <w:noProof/>
          <w:sz w:val="20"/>
          <w:szCs w:val="20"/>
          <w:lang w:val="en-US" w:eastAsia="en-GB"/>
        </w:rPr>
        <w:t xml:space="preserve"> important): guidelines and awareness raising.</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val="en-US" w:eastAsia="en-GB"/>
        </w:rPr>
        <w:t xml:space="preserve">In line with the action plan, the Directorate-General for Budget published the corporate guide for the </w:t>
      </w:r>
      <w:r>
        <w:rPr>
          <w:rFonts w:ascii="EC Square Sans Pro" w:eastAsia="Times New Roman" w:hAnsi="EC Square Sans Pro" w:cs="Times New Roman"/>
          <w:noProof/>
          <w:sz w:val="20"/>
          <w:szCs w:val="20"/>
          <w:lang w:eastAsia="en-GB"/>
        </w:rPr>
        <w:t>early-detection and exclusion system. T</w:t>
      </w:r>
      <w:r>
        <w:rPr>
          <w:rFonts w:ascii="EC Square Sans Pro" w:eastAsia="Times New Roman" w:hAnsi="EC Square Sans Pro" w:cs="Times New Roman"/>
          <w:noProof/>
          <w:sz w:val="20"/>
          <w:szCs w:val="20"/>
          <w:lang w:val="en-US" w:eastAsia="en-GB"/>
        </w:rPr>
        <w:t>he Directorate-General for Budget also launched a communication pla</w:t>
      </w:r>
      <w:r>
        <w:rPr>
          <w:rFonts w:ascii="EC Square Sans Pro" w:eastAsia="Times New Roman" w:hAnsi="EC Square Sans Pro" w:cs="Times New Roman"/>
          <w:noProof/>
          <w:sz w:val="20"/>
          <w:szCs w:val="20"/>
          <w:lang w:val="en-US" w:eastAsia="en-GB"/>
        </w:rPr>
        <w:t xml:space="preserve">n, endorsed by the Corporate Management Board in March 2019, to increase awareness about the </w:t>
      </w:r>
      <w:r>
        <w:rPr>
          <w:rFonts w:ascii="EC Square Sans Pro" w:eastAsia="Times New Roman" w:hAnsi="EC Square Sans Pro" w:cs="Times New Roman"/>
          <w:noProof/>
          <w:sz w:val="20"/>
          <w:szCs w:val="20"/>
          <w:lang w:eastAsia="en-GB"/>
        </w:rPr>
        <w:t>early-detection and exclusion system</w:t>
      </w:r>
      <w:r>
        <w:rPr>
          <w:rFonts w:ascii="EC Square Sans Pro" w:eastAsia="Times New Roman" w:hAnsi="EC Square Sans Pro" w:cs="Times New Roman"/>
          <w:noProof/>
          <w:sz w:val="20"/>
          <w:szCs w:val="20"/>
          <w:lang w:val="en-US" w:eastAsia="en-GB"/>
        </w:rPr>
        <w:t xml:space="preserve"> within the Commission and to set the appropriate tone at the top. </w:t>
      </w:r>
    </w:p>
    <w:p w:rsidR="000C6D03" w:rsidRDefault="00873433">
      <w:pPr>
        <w:spacing w:after="240" w:line="240" w:lineRule="auto"/>
        <w:jc w:val="both"/>
        <w:rPr>
          <w:rFonts w:ascii="EC Square Sans Pro" w:eastAsia="Times New Roman" w:hAnsi="EC Square Sans Pro" w:cs="Times New Roman"/>
          <w:noProof/>
          <w:sz w:val="20"/>
          <w:szCs w:val="20"/>
          <w:lang w:val="en-US" w:eastAsia="en-GB"/>
        </w:rPr>
      </w:pPr>
      <w:r>
        <w:rPr>
          <w:rFonts w:ascii="EC Square Sans Pro" w:eastAsia="Times New Roman" w:hAnsi="EC Square Sans Pro" w:cs="Times New Roman"/>
          <w:noProof/>
          <w:sz w:val="20"/>
          <w:szCs w:val="20"/>
          <w:lang w:val="en-US" w:eastAsia="en-GB"/>
        </w:rPr>
        <w:t xml:space="preserve">The Internal Audit Service acknowledged that progress was made in raising awareness and guiding external stakeholders in the use of the </w:t>
      </w:r>
      <w:r>
        <w:rPr>
          <w:rFonts w:ascii="EC Square Sans Pro" w:eastAsia="Times New Roman" w:hAnsi="EC Square Sans Pro" w:cs="Times New Roman"/>
          <w:noProof/>
          <w:sz w:val="20"/>
          <w:szCs w:val="20"/>
          <w:lang w:eastAsia="en-GB"/>
        </w:rPr>
        <w:t>early-detection and exclusion system</w:t>
      </w:r>
      <w:r>
        <w:rPr>
          <w:rFonts w:ascii="EC Square Sans Pro" w:eastAsia="Times New Roman" w:hAnsi="EC Square Sans Pro" w:cs="Times New Roman"/>
          <w:noProof/>
          <w:sz w:val="20"/>
          <w:szCs w:val="20"/>
          <w:lang w:val="en-US" w:eastAsia="en-GB"/>
        </w:rPr>
        <w:t xml:space="preserve"> (e.g. via workshops targeting different management modes). However, further actions</w:t>
      </w:r>
      <w:r>
        <w:rPr>
          <w:rFonts w:ascii="EC Square Sans Pro" w:eastAsia="Times New Roman" w:hAnsi="EC Square Sans Pro" w:cs="Times New Roman"/>
          <w:noProof/>
          <w:sz w:val="20"/>
          <w:szCs w:val="20"/>
          <w:lang w:val="en-US" w:eastAsia="en-GB"/>
        </w:rPr>
        <w:t xml:space="preserve"> are still needed to raise awareness on the use of the </w:t>
      </w:r>
      <w:r>
        <w:rPr>
          <w:rFonts w:ascii="EC Square Sans Pro" w:eastAsia="Times New Roman" w:hAnsi="EC Square Sans Pro" w:cs="Times New Roman"/>
          <w:noProof/>
          <w:sz w:val="20"/>
          <w:szCs w:val="20"/>
          <w:lang w:eastAsia="en-GB"/>
        </w:rPr>
        <w:t>early-detection and exclusion system</w:t>
      </w:r>
      <w:r>
        <w:rPr>
          <w:rFonts w:ascii="EC Square Sans Pro" w:eastAsia="Times New Roman" w:hAnsi="EC Square Sans Pro" w:cs="Times New Roman"/>
          <w:noProof/>
          <w:sz w:val="20"/>
          <w:szCs w:val="20"/>
          <w:lang w:val="en-US" w:eastAsia="en-GB"/>
        </w:rPr>
        <w:t xml:space="preserve"> at the level of Member State authorities. These actions should include: (i) nominating ‘national user administrators’ for the </w:t>
      </w:r>
      <w:r>
        <w:rPr>
          <w:rFonts w:ascii="EC Square Sans Pro" w:eastAsia="Times New Roman" w:hAnsi="EC Square Sans Pro" w:cs="Times New Roman"/>
          <w:noProof/>
          <w:sz w:val="20"/>
          <w:szCs w:val="20"/>
          <w:lang w:eastAsia="en-GB"/>
        </w:rPr>
        <w:t>early-detection and exclusion system;</w:t>
      </w:r>
      <w:r>
        <w:rPr>
          <w:rFonts w:ascii="EC Square Sans Pro" w:eastAsia="Times New Roman" w:hAnsi="EC Square Sans Pro" w:cs="Times New Roman"/>
          <w:noProof/>
          <w:sz w:val="20"/>
          <w:szCs w:val="20"/>
          <w:lang w:val="en-US" w:eastAsia="en-GB"/>
        </w:rPr>
        <w:t xml:space="preserve"> </w:t>
      </w:r>
      <w:r>
        <w:rPr>
          <w:rFonts w:ascii="EC Square Sans Pro" w:eastAsia="Times New Roman" w:hAnsi="EC Square Sans Pro" w:cs="Times New Roman"/>
          <w:noProof/>
          <w:sz w:val="20"/>
          <w:szCs w:val="20"/>
          <w:lang w:val="en-US" w:eastAsia="en-GB"/>
        </w:rPr>
        <w:t xml:space="preserve">and (ii) participating in the relevant working groups in the Council and in expert groups with Member State experts. </w:t>
      </w:r>
    </w:p>
    <w:p w:rsidR="000C6D03" w:rsidRDefault="00873433">
      <w:pPr>
        <w:spacing w:after="240" w:line="240" w:lineRule="auto"/>
        <w:jc w:val="both"/>
        <w:rPr>
          <w:rFonts w:ascii="EC Square Sans Pro" w:eastAsia="Times New Roman" w:hAnsi="EC Square Sans Pro" w:cs="Times New Roman"/>
          <w:noProof/>
          <w:sz w:val="20"/>
          <w:szCs w:val="20"/>
          <w:lang w:val="en-US" w:eastAsia="en-GB"/>
        </w:rPr>
      </w:pPr>
      <w:r>
        <w:rPr>
          <w:rFonts w:ascii="EC Square Sans Pro" w:eastAsia="Times New Roman" w:hAnsi="EC Square Sans Pro" w:cs="Times New Roman"/>
          <w:noProof/>
          <w:sz w:val="20"/>
          <w:szCs w:val="20"/>
          <w:lang w:val="en-US" w:eastAsia="en-GB"/>
        </w:rPr>
        <w:t>The risks identified during the audit have not been adequately mitigated in the area of shared management as outlined above. Nevertheless,</w:t>
      </w:r>
      <w:r>
        <w:rPr>
          <w:rFonts w:ascii="EC Square Sans Pro" w:eastAsia="Times New Roman" w:hAnsi="EC Square Sans Pro" w:cs="Times New Roman"/>
          <w:noProof/>
          <w:sz w:val="20"/>
          <w:szCs w:val="20"/>
          <w:lang w:val="en-US" w:eastAsia="en-GB"/>
        </w:rPr>
        <w:t xml:space="preserve"> the Internal Audit Service considered that the actions implemented so far have increased the overall level of awareness of the </w:t>
      </w:r>
      <w:r>
        <w:rPr>
          <w:rFonts w:ascii="EC Square Sans Pro" w:eastAsia="Times New Roman" w:hAnsi="EC Square Sans Pro" w:cs="Times New Roman"/>
          <w:noProof/>
          <w:sz w:val="20"/>
          <w:szCs w:val="20"/>
          <w:lang w:eastAsia="en-GB"/>
        </w:rPr>
        <w:t>early-detection and exclusion system</w:t>
      </w:r>
      <w:r>
        <w:rPr>
          <w:rFonts w:ascii="EC Square Sans Pro" w:eastAsia="Times New Roman" w:hAnsi="EC Square Sans Pro" w:cs="Times New Roman"/>
          <w:noProof/>
          <w:sz w:val="20"/>
          <w:szCs w:val="20"/>
          <w:lang w:val="en-US" w:eastAsia="en-GB"/>
        </w:rPr>
        <w:t xml:space="preserve"> and have therefore reduced the residual risk. Consequently, the recommendation was downgrad</w:t>
      </w:r>
      <w:r>
        <w:rPr>
          <w:rFonts w:ascii="EC Square Sans Pro" w:eastAsia="Times New Roman" w:hAnsi="EC Square Sans Pro" w:cs="Times New Roman"/>
          <w:noProof/>
          <w:sz w:val="20"/>
          <w:szCs w:val="20"/>
          <w:lang w:val="en-US" w:eastAsia="en-GB"/>
        </w:rPr>
        <w:t>ed to important.</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18" w:name="_Toc2946508"/>
      <w:bookmarkStart w:id="219" w:name="_Toc9237685"/>
      <w:bookmarkStart w:id="220" w:name="_Toc42788203"/>
      <w:bookmarkEnd w:id="216"/>
      <w:bookmarkEnd w:id="217"/>
      <w:r>
        <w:rPr>
          <w:rFonts w:ascii="EC Square Sans Pro" w:eastAsia="Times New Roman" w:hAnsi="EC Square Sans Pro" w:cs="Times New Roman"/>
          <w:b/>
          <w:i/>
          <w:noProof/>
          <w:color w:val="005D95"/>
          <w:sz w:val="24"/>
          <w:szCs w:val="20"/>
          <w:lang w:eastAsia="en-GB"/>
        </w:rPr>
        <w:t>Follow-up audit on the procurement process in DG DIGIT</w:t>
      </w:r>
      <w:bookmarkEnd w:id="218"/>
      <w:bookmarkEnd w:id="219"/>
      <w:bookmarkEnd w:id="220"/>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w:t>
      </w:r>
      <w:r>
        <w:rPr>
          <w:rFonts w:ascii="EC Square Sans Pro" w:eastAsia="Times New Roman" w:hAnsi="EC Square Sans Pro" w:cs="Times New Roman"/>
          <w:noProof/>
          <w:sz w:val="20"/>
          <w:szCs w:val="20"/>
          <w:lang w:eastAsia="en-GB"/>
        </w:rPr>
        <w:t>ation No 2 (important): low-value procurement procedures.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not fully and/or adequately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sens</w:t>
      </w:r>
      <w:r>
        <w:rPr>
          <w:rFonts w:ascii="EC Square Sans Pro" w:eastAsia="Times New Roman" w:hAnsi="EC Square Sans Pro" w:cs="Times New Roman"/>
          <w:noProof/>
          <w:sz w:val="20"/>
          <w:szCs w:val="20"/>
          <w:lang w:eastAsia="en-GB"/>
        </w:rPr>
        <w:t>itive functions and ABAC access rights.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ko-KR"/>
        </w:rPr>
        <w:t>The Internal Audit Service recommended to the Directorate-General for Informatics that it</w:t>
      </w:r>
      <w:r>
        <w:rPr>
          <w:rFonts w:ascii="EC Square Sans Pro" w:eastAsia="Times New Roman" w:hAnsi="EC Square Sans Pro" w:cs="Times New Roman"/>
          <w:noProof/>
          <w:sz w:val="20"/>
          <w:szCs w:val="20"/>
          <w:lang w:eastAsia="en-GB"/>
        </w:rPr>
        <w:t xml:space="preserve"> (i) finalise the assessment of potentially sensitive functions in the Directorate-General and follow-up on the results in line</w:t>
      </w:r>
      <w:r>
        <w:rPr>
          <w:rFonts w:ascii="EC Square Sans Pro" w:eastAsia="Times New Roman" w:hAnsi="EC Square Sans Pro" w:cs="Times New Roman"/>
          <w:noProof/>
          <w:sz w:val="20"/>
          <w:szCs w:val="20"/>
          <w:lang w:eastAsia="en-GB"/>
        </w:rPr>
        <w:t xml:space="preserve"> with the applicable guidance; and (ii) implement the existing action plan to address the findings of the ABAC access-rights review.</w:t>
      </w:r>
    </w:p>
    <w:p w:rsidR="000C6D03" w:rsidRDefault="00873433">
      <w:pPr>
        <w:spacing w:after="240" w:line="240" w:lineRule="auto"/>
        <w:jc w:val="both"/>
        <w:rPr>
          <w:rFonts w:ascii="Times New Roman" w:eastAsia="Times New Roman" w:hAnsi="Times New Roman" w:cs="Times New Roman"/>
          <w:noProof/>
          <w:sz w:val="24"/>
          <w:szCs w:val="20"/>
          <w:lang w:eastAsia="en-GB"/>
        </w:rPr>
      </w:pPr>
      <w:r>
        <w:rPr>
          <w:rFonts w:ascii="EC Square Sans Pro" w:eastAsia="Times New Roman" w:hAnsi="EC Square Sans Pro" w:cs="Times New Roman"/>
          <w:noProof/>
          <w:sz w:val="20"/>
          <w:szCs w:val="20"/>
          <w:lang w:eastAsia="en-GB"/>
        </w:rPr>
        <w:t>On point (i), the Internal Audit Service acknowledged that the list of sensitive functions has been updated. However, the p</w:t>
      </w:r>
      <w:r>
        <w:rPr>
          <w:rFonts w:ascii="EC Square Sans Pro" w:eastAsia="Times New Roman" w:hAnsi="EC Square Sans Pro" w:cs="Times New Roman"/>
          <w:noProof/>
          <w:sz w:val="20"/>
          <w:szCs w:val="20"/>
          <w:lang w:eastAsia="en-GB"/>
        </w:rPr>
        <w:t>rocess for assessing sensitive functions is not adequately structured and documented. Point (i) is therefore only partially implemented.</w:t>
      </w:r>
      <w:r>
        <w:rPr>
          <w:rFonts w:ascii="Times New Roman" w:eastAsia="Times New Roman" w:hAnsi="Times New Roman" w:cs="Times New Roman"/>
          <w:noProof/>
          <w:sz w:val="24"/>
          <w:szCs w:val="20"/>
          <w:lang w:eastAsia="en-GB"/>
        </w:rPr>
        <w:t xml:space="preserve">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process for assessing sensitive functions should be documented with an analysis of the financial and reputational </w:t>
      </w:r>
      <w:r>
        <w:rPr>
          <w:rFonts w:ascii="EC Square Sans Pro" w:eastAsia="Times New Roman" w:hAnsi="EC Square Sans Pro" w:cs="Times New Roman"/>
          <w:noProof/>
          <w:sz w:val="20"/>
          <w:szCs w:val="20"/>
          <w:lang w:eastAsia="en-GB"/>
        </w:rPr>
        <w:t>risks linked to a function that may be considered sensitive, as well as the internal controls (such as the segregation of duties, the four-eyes principle, strong supervisory mechanisms, and information-technology control mechanisms) which allow for the fun</w:t>
      </w:r>
      <w:r>
        <w:rPr>
          <w:rFonts w:ascii="EC Square Sans Pro" w:eastAsia="Times New Roman" w:hAnsi="EC Square Sans Pro" w:cs="Times New Roman"/>
          <w:noProof/>
          <w:sz w:val="20"/>
          <w:szCs w:val="20"/>
          <w:lang w:eastAsia="en-GB"/>
        </w:rPr>
        <w:t>ction not to be considered as sensitive. In addition, the roles and responsibilities of the person performing the coordination of the exercise should be clearly defined and the sensitive-functions list should be endorsed by the hierarchy.</w:t>
      </w:r>
    </w:p>
    <w:p w:rsidR="000C6D03" w:rsidRDefault="00873433">
      <w:pPr>
        <w:autoSpaceDE w:val="0"/>
        <w:autoSpaceDN w:val="0"/>
        <w:adjustRightInd w:val="0"/>
        <w:spacing w:after="240" w:line="240" w:lineRule="auto"/>
        <w:jc w:val="both"/>
        <w:rPr>
          <w:rFonts w:ascii="EC Square Sans Pro" w:eastAsia="Calibri" w:hAnsi="EC Square Sans Pro" w:cs="Times New Roman"/>
          <w:i/>
          <w:noProof/>
          <w:color w:val="000000"/>
          <w:sz w:val="20"/>
          <w:szCs w:val="20"/>
        </w:rPr>
      </w:pPr>
      <w:r>
        <w:rPr>
          <w:rFonts w:ascii="EC Square Sans Pro" w:eastAsia="Calibri" w:hAnsi="EC Square Sans Pro" w:cs="Times New Roman"/>
          <w:noProof/>
          <w:color w:val="000000"/>
          <w:sz w:val="20"/>
          <w:szCs w:val="20"/>
        </w:rPr>
        <w:t>On point (ii), th</w:t>
      </w:r>
      <w:r>
        <w:rPr>
          <w:rFonts w:ascii="EC Square Sans Pro" w:eastAsia="Calibri" w:hAnsi="EC Square Sans Pro" w:cs="Times New Roman"/>
          <w:noProof/>
          <w:color w:val="000000"/>
          <w:sz w:val="20"/>
          <w:szCs w:val="20"/>
        </w:rPr>
        <w:t xml:space="preserve">e </w:t>
      </w:r>
      <w:r>
        <w:rPr>
          <w:rFonts w:ascii="EC Square Sans Pro" w:eastAsia="Calibri" w:hAnsi="EC Square Sans Pro" w:cs="Times New Roman"/>
          <w:noProof/>
          <w:color w:val="333333"/>
          <w:sz w:val="20"/>
          <w:szCs w:val="20"/>
          <w:lang w:val="en-IE"/>
        </w:rPr>
        <w:t>Directorate-General for Informatics has addressed the issues identified in the action plan on the validation of ABAC access rights. In addition, adequate monitoring has been ensured. Two meetings were held in July 2018 and January 2019 to follow up on th</w:t>
      </w:r>
      <w:r>
        <w:rPr>
          <w:rFonts w:ascii="EC Square Sans Pro" w:eastAsia="Calibri" w:hAnsi="EC Square Sans Pro" w:cs="Times New Roman"/>
          <w:noProof/>
          <w:color w:val="333333"/>
          <w:sz w:val="20"/>
          <w:szCs w:val="20"/>
          <w:lang w:val="en-IE"/>
        </w:rPr>
        <w:t>e progress of implementation. A  state of play has been prepared, which includes future actions to take. Therefore, point (ii) can be considered as fully implemented.</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21" w:name="_Toc42788204"/>
      <w:r>
        <w:rPr>
          <w:rFonts w:ascii="EC Square Sans Pro" w:eastAsia="Times New Roman" w:hAnsi="EC Square Sans Pro" w:cs="Times New Roman"/>
          <w:b/>
          <w:i/>
          <w:noProof/>
          <w:color w:val="005D95"/>
          <w:sz w:val="24"/>
          <w:szCs w:val="20"/>
          <w:lang w:eastAsia="en-GB"/>
        </w:rPr>
        <w:t>Follow-up audit on the statistical production process and the quality of statistics not p</w:t>
      </w:r>
      <w:r>
        <w:rPr>
          <w:rFonts w:ascii="EC Square Sans Pro" w:eastAsia="Times New Roman" w:hAnsi="EC Square Sans Pro" w:cs="Times New Roman"/>
          <w:b/>
          <w:i/>
          <w:noProof/>
          <w:color w:val="005D95"/>
          <w:sz w:val="24"/>
          <w:szCs w:val="20"/>
          <w:lang w:eastAsia="en-GB"/>
        </w:rPr>
        <w:t>roduced by Eurostat in DG ESTAT</w:t>
      </w:r>
      <w:bookmarkEnd w:id="22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5 (very important): referencing</w:t>
      </w:r>
      <w:r>
        <w:rPr>
          <w:rFonts w:ascii="EC Square Sans Pro" w:eastAsia="Times New Roman" w:hAnsi="EC Square Sans Pro" w:cs="Times New Roman"/>
          <w:noProof/>
          <w:sz w:val="20"/>
          <w:szCs w:val="20"/>
          <w:lang w:eastAsia="en-GB"/>
        </w:rPr>
        <w:t xml:space="preserve"> and use of a disclaimer when publishing other statistics.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22" w:name="_Toc42788205"/>
      <w:bookmarkStart w:id="223" w:name="_Toc2946510"/>
      <w:bookmarkStart w:id="224" w:name="_Toc9237687"/>
      <w:r>
        <w:rPr>
          <w:rFonts w:ascii="EC Square Sans Pro" w:eastAsia="Times New Roman" w:hAnsi="EC Square Sans Pro" w:cs="Times New Roman"/>
          <w:b/>
          <w:i/>
          <w:noProof/>
          <w:color w:val="005D95"/>
          <w:sz w:val="24"/>
          <w:szCs w:val="20"/>
          <w:lang w:eastAsia="en-GB"/>
        </w:rPr>
        <w:t>Follow-up audit on management of intra-muros contractors in DG HR</w:t>
      </w:r>
      <w:bookmarkEnd w:id="222"/>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not fully a</w:t>
      </w:r>
      <w:r>
        <w:rPr>
          <w:rFonts w:ascii="EC Square Sans Pro" w:eastAsia="Times New Roman" w:hAnsi="EC Square Sans Pro" w:cs="Times New Roman"/>
          <w:noProof/>
          <w:sz w:val="20"/>
          <w:szCs w:val="20"/>
          <w:lang w:eastAsia="en-GB"/>
        </w:rPr>
        <w:t>nd/or adequately implemented and was re-opened: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1 (very important): corporate framework for the use of </w:t>
      </w:r>
      <w:r>
        <w:rPr>
          <w:rFonts w:ascii="EC Square Sans Pro" w:eastAsia="Times New Roman" w:hAnsi="EC Square Sans Pro" w:cs="Times New Roman"/>
          <w:i/>
          <w:noProof/>
          <w:sz w:val="20"/>
          <w:szCs w:val="20"/>
          <w:lang w:eastAsia="en-GB"/>
        </w:rPr>
        <w:t>intra-muros</w:t>
      </w:r>
      <w:r>
        <w:rPr>
          <w:rFonts w:ascii="EC Square Sans Pro" w:eastAsia="Times New Roman" w:hAnsi="EC Square Sans Pro" w:cs="Times New Roman"/>
          <w:noProof/>
          <w:sz w:val="20"/>
          <w:szCs w:val="20"/>
          <w:lang w:eastAsia="en-GB"/>
        </w:rPr>
        <w:t xml:space="preserve"> contractors.</w:t>
      </w:r>
    </w:p>
    <w:p w:rsidR="000C6D03" w:rsidRDefault="00873433">
      <w:pPr>
        <w:spacing w:after="240" w:line="240" w:lineRule="auto"/>
        <w:jc w:val="both"/>
        <w:rPr>
          <w:rFonts w:ascii="EC Square Sans Pro" w:eastAsia="Times New Roman" w:hAnsi="EC Square Sans Pro" w:cs="TimesNewRoman"/>
          <w:noProof/>
          <w:sz w:val="20"/>
          <w:szCs w:val="20"/>
          <w:lang w:eastAsia="en-GB"/>
        </w:rPr>
      </w:pPr>
      <w:r>
        <w:rPr>
          <w:rFonts w:ascii="EC Square Sans Pro" w:eastAsia="Calibri" w:hAnsi="EC Square Sans Pro" w:cs="TimesNewRoman"/>
          <w:noProof/>
          <w:color w:val="000000"/>
          <w:sz w:val="20"/>
          <w:szCs w:val="20"/>
        </w:rPr>
        <w:t xml:space="preserve">The Internal Audit Service recommended that Directorate-General for Human Resources and Security develop a corporate framework and guidelines for the use of </w:t>
      </w:r>
      <w:r>
        <w:rPr>
          <w:rFonts w:ascii="EC Square Sans Pro" w:eastAsia="Calibri" w:hAnsi="EC Square Sans Pro" w:cs="TimesNewRoman"/>
          <w:i/>
          <w:noProof/>
          <w:color w:val="000000"/>
          <w:sz w:val="20"/>
          <w:szCs w:val="20"/>
        </w:rPr>
        <w:t>intra-muros</w:t>
      </w:r>
      <w:r>
        <w:rPr>
          <w:rFonts w:ascii="EC Square Sans Pro" w:eastAsia="Calibri" w:hAnsi="EC Square Sans Pro" w:cs="TimesNewRoman"/>
          <w:noProof/>
          <w:color w:val="000000"/>
          <w:sz w:val="20"/>
          <w:szCs w:val="20"/>
        </w:rPr>
        <w:t xml:space="preserve"> contractors. The guidelines have not yet been finalised by the Directorate-General for </w:t>
      </w:r>
      <w:r>
        <w:rPr>
          <w:rFonts w:ascii="EC Square Sans Pro" w:eastAsia="Calibri" w:hAnsi="EC Square Sans Pro" w:cs="TimesNewRoman"/>
          <w:noProof/>
          <w:color w:val="000000"/>
          <w:sz w:val="20"/>
          <w:szCs w:val="20"/>
        </w:rPr>
        <w:t>Human Resources and Security and have therefore not yet been endorsed by the Corporate Management Board. However, the Internal Audit Service acknowledged that progress has been made in implementing the recommendation. Firstly, the Directorate-General for H</w:t>
      </w:r>
      <w:r>
        <w:rPr>
          <w:rFonts w:ascii="EC Square Sans Pro" w:eastAsia="Calibri" w:hAnsi="EC Square Sans Pro" w:cs="TimesNewRoman"/>
          <w:noProof/>
          <w:color w:val="000000"/>
          <w:sz w:val="20"/>
          <w:szCs w:val="20"/>
        </w:rPr>
        <w:t>uman Resources and Security identified the main structure and parts of the guidelines by consulting the Resource Directors of all the Directorates-G</w:t>
      </w:r>
      <w:bookmarkStart w:id="225" w:name="TMB785457483"/>
      <w:bookmarkEnd w:id="225"/>
      <w:r>
        <w:rPr>
          <w:rFonts w:ascii="EC Square Sans Pro" w:eastAsia="Calibri" w:hAnsi="EC Square Sans Pro" w:cs="TimesNewRoman"/>
          <w:noProof/>
          <w:color w:val="000000"/>
          <w:sz w:val="20"/>
          <w:szCs w:val="20"/>
        </w:rPr>
        <w:t xml:space="preserve">eneral in cooperation with the Directorate-General for Budget and </w:t>
      </w:r>
      <w:r>
        <w:rPr>
          <w:rFonts w:ascii="EC Square Sans Pro" w:eastAsia="Calibri" w:hAnsi="EC Square Sans Pro" w:cs="Times New Roman"/>
          <w:noProof/>
          <w:color w:val="000000"/>
          <w:sz w:val="20"/>
          <w:szCs w:val="20"/>
        </w:rPr>
        <w:t xml:space="preserve">the </w:t>
      </w:r>
      <w:r>
        <w:rPr>
          <w:rFonts w:ascii="EC Square Sans Pro" w:eastAsia="Calibri" w:hAnsi="EC Square Sans Pro" w:cs="Times New Roman"/>
          <w:noProof/>
          <w:color w:val="333333"/>
          <w:sz w:val="20"/>
          <w:szCs w:val="20"/>
          <w:lang w:val="en-IE"/>
        </w:rPr>
        <w:t>Directorate-General for Informatics</w:t>
      </w:r>
      <w:r>
        <w:rPr>
          <w:rFonts w:ascii="EC Square Sans Pro" w:eastAsia="Calibri" w:hAnsi="EC Square Sans Pro" w:cs="TimesNewRoman"/>
          <w:noProof/>
          <w:color w:val="000000"/>
          <w:sz w:val="20"/>
          <w:szCs w:val="20"/>
        </w:rPr>
        <w:t xml:space="preserve">. </w:t>
      </w:r>
      <w:r>
        <w:rPr>
          <w:rFonts w:ascii="EC Square Sans Pro" w:eastAsia="Times New Roman" w:hAnsi="EC Square Sans Pro" w:cs="Times New Roman"/>
          <w:noProof/>
          <w:sz w:val="20"/>
          <w:szCs w:val="20"/>
          <w:lang w:eastAsia="en-GB"/>
        </w:rPr>
        <w:t>S</w:t>
      </w:r>
      <w:r>
        <w:rPr>
          <w:rFonts w:ascii="EC Square Sans Pro" w:eastAsia="Times New Roman" w:hAnsi="EC Square Sans Pro" w:cs="Times New Roman"/>
          <w:noProof/>
          <w:sz w:val="20"/>
          <w:szCs w:val="20"/>
          <w:lang w:eastAsia="en-GB"/>
        </w:rPr>
        <w:t xml:space="preserve">econdly, the Directorate-General for Human Resources and Security developed a draft of the corporate guidelines in April 2019, and requested comments from the Directorates-General/services concerned. </w:t>
      </w:r>
      <w:r>
        <w:rPr>
          <w:rFonts w:ascii="EC Square Sans Pro" w:eastAsia="Times New Roman" w:hAnsi="EC Square Sans Pro" w:cs="TimesNewRoman"/>
          <w:noProof/>
          <w:sz w:val="20"/>
          <w:szCs w:val="20"/>
          <w:lang w:eastAsia="en-GB"/>
        </w:rPr>
        <w:t>The draft guidelines cover the appropriateness of the us</w:t>
      </w:r>
      <w:r>
        <w:rPr>
          <w:rFonts w:ascii="EC Square Sans Pro" w:eastAsia="Times New Roman" w:hAnsi="EC Square Sans Pro" w:cs="TimesNewRoman"/>
          <w:noProof/>
          <w:sz w:val="20"/>
          <w:szCs w:val="20"/>
          <w:lang w:eastAsia="en-GB"/>
        </w:rPr>
        <w:t xml:space="preserve">e of </w:t>
      </w:r>
      <w:r>
        <w:rPr>
          <w:rFonts w:ascii="EC Square Sans Pro" w:eastAsia="Times New Roman" w:hAnsi="EC Square Sans Pro" w:cs="TimesNewRoman"/>
          <w:i/>
          <w:noProof/>
          <w:sz w:val="20"/>
          <w:szCs w:val="20"/>
          <w:lang w:eastAsia="en-GB"/>
        </w:rPr>
        <w:t>intra-muros</w:t>
      </w:r>
      <w:r>
        <w:rPr>
          <w:rFonts w:ascii="EC Square Sans Pro" w:eastAsia="Times New Roman" w:hAnsi="EC Square Sans Pro" w:cs="TimesNewRoman"/>
          <w:noProof/>
          <w:sz w:val="20"/>
          <w:szCs w:val="20"/>
          <w:lang w:eastAsia="en-GB"/>
        </w:rPr>
        <w:t xml:space="preserve"> contractors through a cost-benefit analysis as well as the daily management of those contractors. However, the Internal Audit Service noted that </w:t>
      </w:r>
      <w:r>
        <w:rPr>
          <w:rFonts w:ascii="EC Square Sans Pro" w:eastAsia="Times New Roman" w:hAnsi="EC Square Sans Pro" w:cs="Times New Roman"/>
          <w:noProof/>
          <w:sz w:val="20"/>
          <w:szCs w:val="20"/>
          <w:lang w:eastAsia="en-GB"/>
        </w:rPr>
        <w:t xml:space="preserve">the draft guidelines did not cover the issues </w:t>
      </w:r>
      <w:r>
        <w:rPr>
          <w:rFonts w:ascii="EC Square Sans Pro" w:eastAsia="Times New Roman" w:hAnsi="EC Square Sans Pro" w:cs="TimesNewRoman"/>
          <w:noProof/>
          <w:sz w:val="20"/>
          <w:szCs w:val="20"/>
          <w:lang w:eastAsia="en-GB"/>
        </w:rPr>
        <w:t xml:space="preserve">related to achieving value for money for ‘times </w:t>
      </w:r>
      <w:r>
        <w:rPr>
          <w:rFonts w:ascii="EC Square Sans Pro" w:eastAsia="Times New Roman" w:hAnsi="EC Square Sans Pro" w:cs="TimesNewRoman"/>
          <w:noProof/>
          <w:sz w:val="20"/>
          <w:szCs w:val="20"/>
          <w:lang w:eastAsia="en-GB"/>
        </w:rPr>
        <w:t xml:space="preserve">and means’ contracts, where there is no incentive for the contractor to increase efficiency, as opposed to ‘result’ contracts. </w:t>
      </w:r>
    </w:p>
    <w:p w:rsidR="000C6D03" w:rsidRDefault="00873433">
      <w:pPr>
        <w:spacing w:after="240" w:line="240" w:lineRule="auto"/>
        <w:jc w:val="both"/>
        <w:rPr>
          <w:rFonts w:ascii="EC Square Sans Pro" w:eastAsia="Times New Roman" w:hAnsi="EC Square Sans Pro" w:cs="TimesNewRoman"/>
          <w:noProof/>
          <w:sz w:val="20"/>
          <w:szCs w:val="20"/>
          <w:lang w:eastAsia="en-GB"/>
        </w:rPr>
      </w:pPr>
      <w:r>
        <w:rPr>
          <w:rFonts w:ascii="EC Square Sans Pro" w:eastAsia="Times New Roman" w:hAnsi="EC Square Sans Pro" w:cs="TimesNewRoman"/>
          <w:noProof/>
          <w:sz w:val="20"/>
          <w:szCs w:val="20"/>
          <w:lang w:eastAsia="en-GB"/>
        </w:rPr>
        <w:t xml:space="preserve">Consequently, the risks that were identified during the audit, regarding the ineffective or inefficient use of </w:t>
      </w:r>
      <w:r>
        <w:rPr>
          <w:rFonts w:ascii="EC Square Sans Pro" w:eastAsia="Times New Roman" w:hAnsi="EC Square Sans Pro" w:cs="TimesNewRoman"/>
          <w:i/>
          <w:noProof/>
          <w:sz w:val="20"/>
          <w:szCs w:val="20"/>
          <w:lang w:eastAsia="en-GB"/>
        </w:rPr>
        <w:t>intra-muros</w:t>
      </w:r>
      <w:r>
        <w:rPr>
          <w:rFonts w:ascii="EC Square Sans Pro" w:eastAsia="Times New Roman" w:hAnsi="EC Square Sans Pro" w:cs="TimesNewRoman"/>
          <w:noProof/>
          <w:sz w:val="20"/>
          <w:szCs w:val="20"/>
          <w:lang w:eastAsia="en-GB"/>
        </w:rPr>
        <w:t xml:space="preserve"> contractors and inconsistent practices across the Commission, have not been adequately mitigated. </w:t>
      </w:r>
    </w:p>
    <w:p w:rsidR="000C6D03" w:rsidRDefault="00873433">
      <w:pPr>
        <w:spacing w:after="240"/>
        <w:jc w:val="both"/>
        <w:rPr>
          <w:rFonts w:ascii="EC Square Sans Pro" w:eastAsia="Calibri" w:hAnsi="EC Square Sans Pro" w:cs="TimesNewRoman"/>
          <w:noProof/>
          <w:color w:val="000000"/>
          <w:sz w:val="20"/>
          <w:szCs w:val="20"/>
        </w:rPr>
      </w:pPr>
      <w:r>
        <w:rPr>
          <w:rFonts w:ascii="EC Square Sans Pro" w:eastAsia="Calibri" w:hAnsi="EC Square Sans Pro" w:cs="TimesNewRoman"/>
          <w:noProof/>
          <w:color w:val="000000"/>
          <w:sz w:val="20"/>
          <w:szCs w:val="20"/>
        </w:rPr>
        <w:t xml:space="preserve">Moreover, the Internal Audit Service noted that there have recently been several developments at the corporate level regarding </w:t>
      </w:r>
      <w:r>
        <w:rPr>
          <w:rFonts w:ascii="EC Square Sans Pro" w:eastAsia="Calibri" w:hAnsi="EC Square Sans Pro" w:cs="TimesNewRoman"/>
          <w:i/>
          <w:noProof/>
          <w:color w:val="000000"/>
          <w:sz w:val="20"/>
          <w:szCs w:val="20"/>
        </w:rPr>
        <w:t>intra-muros</w:t>
      </w:r>
      <w:r>
        <w:rPr>
          <w:rFonts w:ascii="EC Square Sans Pro" w:eastAsia="Calibri" w:hAnsi="EC Square Sans Pro" w:cs="TimesNewRoman"/>
          <w:noProof/>
          <w:color w:val="000000"/>
          <w:sz w:val="20"/>
          <w:szCs w:val="20"/>
        </w:rPr>
        <w:t xml:space="preserve"> contractors. In p</w:t>
      </w:r>
      <w:r>
        <w:rPr>
          <w:rFonts w:ascii="EC Square Sans Pro" w:eastAsia="Calibri" w:hAnsi="EC Square Sans Pro" w:cs="TimesNewRoman"/>
          <w:noProof/>
          <w:color w:val="000000"/>
          <w:sz w:val="20"/>
          <w:szCs w:val="20"/>
        </w:rPr>
        <w:t xml:space="preserve">articular, when discussing the topic in October 2019, the Corporate Management Board recommended freezing the number of </w:t>
      </w:r>
      <w:r>
        <w:rPr>
          <w:rFonts w:ascii="EC Square Sans Pro" w:eastAsia="Calibri" w:hAnsi="EC Square Sans Pro" w:cs="TimesNewRoman"/>
          <w:i/>
          <w:noProof/>
          <w:color w:val="000000"/>
          <w:sz w:val="20"/>
          <w:szCs w:val="20"/>
        </w:rPr>
        <w:t>intra-muros</w:t>
      </w:r>
      <w:r>
        <w:rPr>
          <w:rFonts w:ascii="EC Square Sans Pro" w:eastAsia="Calibri" w:hAnsi="EC Square Sans Pro" w:cs="TimesNewRoman"/>
          <w:noProof/>
          <w:color w:val="000000"/>
          <w:sz w:val="20"/>
          <w:szCs w:val="20"/>
        </w:rPr>
        <w:t xml:space="preserve"> service providers at the current levels with immediate effect. It also invited all Directorates-General to reduce their reli</w:t>
      </w:r>
      <w:r>
        <w:rPr>
          <w:rFonts w:ascii="EC Square Sans Pro" w:eastAsia="Calibri" w:hAnsi="EC Square Sans Pro" w:cs="TimesNewRoman"/>
          <w:noProof/>
          <w:color w:val="000000"/>
          <w:sz w:val="20"/>
          <w:szCs w:val="20"/>
        </w:rPr>
        <w:t>ance on service providers with office space in the Commission by at least 5% by mid-2020. The Internal Audit Service therefore stressed the importance for the Directorate-General for Human Resources and Security to consider all these aspects when finalisin</w:t>
      </w:r>
      <w:r>
        <w:rPr>
          <w:rFonts w:ascii="EC Square Sans Pro" w:eastAsia="Calibri" w:hAnsi="EC Square Sans Pro" w:cs="TimesNewRoman"/>
          <w:noProof/>
          <w:color w:val="000000"/>
          <w:sz w:val="20"/>
          <w:szCs w:val="20"/>
        </w:rPr>
        <w:t>g the guidelines.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26" w:name="_Toc42788206"/>
      <w:bookmarkStart w:id="227" w:name="_Toc9237690"/>
      <w:bookmarkEnd w:id="223"/>
      <w:bookmarkEnd w:id="224"/>
      <w:r>
        <w:rPr>
          <w:rFonts w:ascii="EC Square Sans Pro" w:eastAsia="Times New Roman" w:hAnsi="EC Square Sans Pro" w:cs="Times New Roman"/>
          <w:b/>
          <w:i/>
          <w:noProof/>
          <w:color w:val="005D95"/>
          <w:sz w:val="24"/>
          <w:szCs w:val="20"/>
          <w:lang w:eastAsia="en-GB"/>
        </w:rPr>
        <w:t>Follow-up audit on ethics in OLAF</w:t>
      </w:r>
      <w:bookmarkEnd w:id="226"/>
      <w:r>
        <w:rPr>
          <w:rFonts w:ascii="EC Square Sans Pro" w:eastAsia="Times New Roman" w:hAnsi="EC Square Sans Pro" w:cs="Times New Roman"/>
          <w:b/>
          <w:i/>
          <w:noProof/>
          <w:color w:val="005D95"/>
          <w:sz w:val="24"/>
          <w:szCs w:val="20"/>
          <w:lang w:eastAsia="en-GB"/>
        </w:rPr>
        <w:t xml:space="preserve"> </w:t>
      </w:r>
      <w:bookmarkEnd w:id="22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 was adequately and effectively implemented and was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1 (very </w:t>
      </w:r>
      <w:r>
        <w:rPr>
          <w:rFonts w:ascii="EC Square Sans Pro" w:eastAsia="Times New Roman" w:hAnsi="EC Square Sans Pro" w:cs="Times New Roman"/>
          <w:noProof/>
          <w:sz w:val="20"/>
          <w:szCs w:val="20"/>
          <w:lang w:eastAsia="en-GB"/>
        </w:rPr>
        <w:t>important): use of social media and contacts with interest groups.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28" w:name="_Toc42788207"/>
      <w:bookmarkStart w:id="229" w:name="_Toc2946514"/>
      <w:bookmarkStart w:id="230" w:name="_Toc9237693"/>
      <w:r>
        <w:rPr>
          <w:rFonts w:ascii="EC Square Sans Pro" w:eastAsia="Times New Roman" w:hAnsi="EC Square Sans Pro" w:cs="Times New Roman"/>
          <w:b/>
          <w:i/>
          <w:noProof/>
          <w:color w:val="005D95"/>
          <w:sz w:val="24"/>
          <w:szCs w:val="20"/>
          <w:lang w:eastAsia="en-GB"/>
        </w:rPr>
        <w:t>Follow-up audit on the charge-back process in PMO</w:t>
      </w:r>
      <w:bookmarkEnd w:id="22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were adequately and ef</w:t>
      </w:r>
      <w:r>
        <w:rPr>
          <w:rFonts w:ascii="EC Square Sans Pro" w:eastAsia="Times New Roman" w:hAnsi="EC Square Sans Pro" w:cs="Times New Roman"/>
          <w:noProof/>
          <w:sz w:val="20"/>
          <w:szCs w:val="20"/>
          <w:lang w:eastAsia="en-GB"/>
        </w:rPr>
        <w:t>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cost methodology.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efficiency of the invoicing system.</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The Internal Audit Service concluded that the following recommendation was not fully and/or </w:t>
      </w:r>
      <w:r>
        <w:rPr>
          <w:rFonts w:ascii="EC Square Sans Pro" w:eastAsia="Times New Roman" w:hAnsi="EC Square Sans Pro" w:cs="Times New Roman"/>
          <w:noProof/>
          <w:sz w:val="20"/>
          <w:szCs w:val="20"/>
          <w:lang w:eastAsia="en-GB"/>
        </w:rPr>
        <w:t>adequately implemented and was re-opened: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service-level agreements.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acknowledged that the Office for the Administration and Payment of Individual Entitlements made significant progress in imp</w:t>
      </w:r>
      <w:r>
        <w:rPr>
          <w:rFonts w:ascii="EC Square Sans Pro" w:eastAsia="Times New Roman" w:hAnsi="EC Square Sans Pro" w:cs="Times New Roman"/>
          <w:noProof/>
          <w:sz w:val="20"/>
          <w:szCs w:val="20"/>
          <w:lang w:eastAsia="en-GB"/>
        </w:rPr>
        <w:t>lementing the recommendation by putting in place a series of actions, namely:</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lang w:val="en-IE"/>
        </w:rPr>
        <w:t>a catalogue of services with estimated unit costs was included in the annex to the service-level-agreement template;</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lang w:val="en-IE"/>
        </w:rPr>
        <w:t>a charge-back methodology and service-level-agreement templat</w:t>
      </w:r>
      <w:r>
        <w:rPr>
          <w:rFonts w:ascii="EC Square Sans Pro" w:eastAsia="Calibri" w:hAnsi="EC Square Sans Pro" w:cs="Times New Roman"/>
          <w:noProof/>
          <w:sz w:val="20"/>
          <w:szCs w:val="20"/>
          <w:lang w:val="en-IE"/>
        </w:rPr>
        <w:t>es have been designed in compliance with the central guidance;</w:t>
      </w:r>
    </w:p>
    <w:p w:rsidR="000C6D03" w:rsidRDefault="00873433">
      <w:pPr>
        <w:numPr>
          <w:ilvl w:val="0"/>
          <w:numId w:val="42"/>
        </w:numPr>
        <w:spacing w:after="240" w:line="240" w:lineRule="auto"/>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lang w:val="en-IE"/>
        </w:rPr>
        <w:t xml:space="preserve">provisions on reporting have been included in the service-level-agreement template ‘General Conditions’ Article 3 (which is in line with the 2018 central guidelines on the external charge-back </w:t>
      </w:r>
      <w:r>
        <w:rPr>
          <w:rFonts w:ascii="EC Square Sans Pro" w:eastAsia="Calibri" w:hAnsi="EC Square Sans Pro" w:cs="Times New Roman"/>
          <w:noProof/>
          <w:sz w:val="20"/>
          <w:szCs w:val="20"/>
          <w:lang w:val="en-IE"/>
        </w:rPr>
        <w:t>process issued by the Directorate-General for Budget) and key performance indicators have been defined and are published monthly on the PMO website;</w:t>
      </w:r>
    </w:p>
    <w:p w:rsidR="000C6D03" w:rsidRDefault="00873433">
      <w:pPr>
        <w:numPr>
          <w:ilvl w:val="0"/>
          <w:numId w:val="42"/>
        </w:numPr>
        <w:spacing w:after="240" w:line="240" w:lineRule="auto"/>
        <w:ind w:left="714" w:hanging="357"/>
        <w:jc w:val="both"/>
        <w:rPr>
          <w:rFonts w:ascii="EC Square Sans Pro" w:eastAsia="Calibri" w:hAnsi="EC Square Sans Pro" w:cs="Times New Roman"/>
          <w:noProof/>
          <w:sz w:val="20"/>
          <w:szCs w:val="20"/>
          <w:lang w:val="en-IE"/>
        </w:rPr>
      </w:pPr>
      <w:r>
        <w:rPr>
          <w:rFonts w:ascii="EC Square Sans Pro" w:eastAsia="Calibri" w:hAnsi="EC Square Sans Pro" w:cs="Times New Roman"/>
          <w:noProof/>
          <w:sz w:val="20"/>
          <w:szCs w:val="20"/>
          <w:lang w:val="en-IE"/>
        </w:rPr>
        <w:t xml:space="preserve">the 2018 reporting to the Corporate Management Board of March 2019 follows the requirements set out in the </w:t>
      </w:r>
      <w:r>
        <w:rPr>
          <w:rFonts w:ascii="EC Square Sans Pro" w:eastAsia="Calibri" w:hAnsi="EC Square Sans Pro" w:cs="Times New Roman"/>
          <w:noProof/>
          <w:sz w:val="20"/>
          <w:szCs w:val="20"/>
          <w:lang w:val="en-IE"/>
        </w:rPr>
        <w:t>corporate guidance on charge-back.</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However, the revision of all existing service-level agreements with external clients has not yet been fully completed. This is because the new service-level agreements have only been signed with agencies and joint underta</w:t>
      </w:r>
      <w:r>
        <w:rPr>
          <w:rFonts w:ascii="EC Square Sans Pro" w:eastAsia="Times New Roman" w:hAnsi="EC Square Sans Pro" w:cs="Times New Roman"/>
          <w:noProof/>
          <w:sz w:val="20"/>
          <w:szCs w:val="20"/>
          <w:lang w:eastAsia="en-GB"/>
        </w:rPr>
        <w:t>kings, but not with other European institutions (except for the Council). This means that the Office for the Administration and Payment of Individual Entitlements is offering services at 2017 prices (which are lower than the current prices paid by other cl</w:t>
      </w:r>
      <w:r>
        <w:rPr>
          <w:rFonts w:ascii="EC Square Sans Pro" w:eastAsia="Times New Roman" w:hAnsi="EC Square Sans Pro" w:cs="Times New Roman"/>
          <w:noProof/>
          <w:sz w:val="20"/>
          <w:szCs w:val="20"/>
          <w:lang w:eastAsia="en-GB"/>
        </w:rPr>
        <w:t>ients) to the European institutions that have not signed a new service-level agreement. Applying two pricing systems in parallel infringes the principle of equal treatment of clients, which was one of the key risks identified during the Internal Audit Serv</w:t>
      </w:r>
      <w:r>
        <w:rPr>
          <w:rFonts w:ascii="EC Square Sans Pro" w:eastAsia="Times New Roman" w:hAnsi="EC Square Sans Pro" w:cs="Times New Roman"/>
          <w:noProof/>
          <w:sz w:val="20"/>
          <w:szCs w:val="20"/>
          <w:lang w:eastAsia="en-GB"/>
        </w:rPr>
        <w:t>ice audit.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acknowledges that the Office for the Administration and Payment of Individual Entitlements informed the</w:t>
      </w:r>
      <w:r>
        <w:rPr>
          <w:rFonts w:ascii="EC Square Sans Pro" w:eastAsia="Times New Roman" w:hAnsi="EC Square Sans Pro" w:cs="Times New Roman"/>
          <w:noProof/>
          <w:color w:val="000000"/>
          <w:sz w:val="20"/>
          <w:szCs w:val="20"/>
          <w:lang w:eastAsia="en-GB"/>
        </w:rPr>
        <w:t xml:space="preserve"> Directorate-General for Budget </w:t>
      </w:r>
      <w:r>
        <w:rPr>
          <w:rFonts w:ascii="EC Square Sans Pro" w:eastAsia="Times New Roman" w:hAnsi="EC Square Sans Pro" w:cs="Times New Roman"/>
          <w:noProof/>
          <w:sz w:val="20"/>
          <w:szCs w:val="20"/>
          <w:lang w:eastAsia="en-GB"/>
        </w:rPr>
        <w:t>and the Legal Service about the refusal of the European Parliament and resistance o</w:t>
      </w:r>
      <w:r>
        <w:rPr>
          <w:rFonts w:ascii="EC Square Sans Pro" w:eastAsia="Times New Roman" w:hAnsi="EC Square Sans Pro" w:cs="Times New Roman"/>
          <w:noProof/>
          <w:sz w:val="20"/>
          <w:szCs w:val="20"/>
          <w:lang w:eastAsia="en-GB"/>
        </w:rPr>
        <w:t xml:space="preserve">f other institutions to sign the new agreements. The Office for the Administration and Payment of Individual Entitlements has also asked for the Corporate Management Board’s support in the negotiations for the agreements with all the European institutions </w:t>
      </w:r>
      <w:r>
        <w:rPr>
          <w:rFonts w:ascii="EC Square Sans Pro" w:eastAsia="Times New Roman" w:hAnsi="EC Square Sans Pro" w:cs="Times New Roman"/>
          <w:noProof/>
          <w:sz w:val="20"/>
          <w:szCs w:val="20"/>
          <w:lang w:eastAsia="en-GB"/>
        </w:rPr>
        <w:t>in its report of March 2019. The Internal Audit Service encouraged the Office for the Administration and Payment of Individual Entitlements to engage in further actions, involving the Directorate-General for Budget if needed, to speed up the negotiation pr</w:t>
      </w:r>
      <w:r>
        <w:rPr>
          <w:rFonts w:ascii="EC Square Sans Pro" w:eastAsia="Times New Roman" w:hAnsi="EC Square Sans Pro" w:cs="Times New Roman"/>
          <w:noProof/>
          <w:sz w:val="20"/>
          <w:szCs w:val="20"/>
          <w:lang w:eastAsia="en-GB"/>
        </w:rPr>
        <w:t xml:space="preserve">ocess and finalise the signature of the new service-level agreements with all its external clients before the next report to the Corporate Management Board. </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31" w:name="_Toc42788208"/>
      <w:r>
        <w:rPr>
          <w:rFonts w:ascii="EC Square Sans Pro" w:eastAsia="Times New Roman" w:hAnsi="EC Square Sans Pro" w:cs="Times New Roman"/>
          <w:b/>
          <w:i/>
          <w:noProof/>
          <w:color w:val="005D95"/>
          <w:sz w:val="24"/>
          <w:szCs w:val="20"/>
          <w:lang w:eastAsia="en-GB"/>
        </w:rPr>
        <w:t>Follow-up audit on former Internal Audit Capability (IAC) audits in PMO</w:t>
      </w:r>
      <w:bookmarkEnd w:id="229"/>
      <w:bookmarkEnd w:id="230"/>
      <w:bookmarkEnd w:id="231"/>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w:t>
      </w:r>
      <w:r>
        <w:rPr>
          <w:rFonts w:ascii="EC Square Sans Pro" w:eastAsia="Times New Roman" w:hAnsi="EC Square Sans Pro" w:cs="Times New Roman"/>
          <w:noProof/>
          <w:sz w:val="20"/>
          <w:szCs w:val="20"/>
          <w:lang w:eastAsia="en-GB"/>
        </w:rPr>
        <w:t>e follow-up audit, the Internal Audit Service concluded that the following recommendation was not fully and/or adequately implemented:</w:t>
      </w:r>
    </w:p>
    <w:p w:rsidR="000C6D03" w:rsidRDefault="00873433">
      <w:pPr>
        <w:spacing w:after="240" w:line="240" w:lineRule="auto"/>
        <w:jc w:val="both"/>
        <w:rPr>
          <w:rFonts w:ascii="EC Square Sans Pro" w:eastAsia="Times New Roman" w:hAnsi="EC Square Sans Pro" w:cs="Times New Roman"/>
          <w:b/>
          <w:noProof/>
          <w:color w:val="005D95"/>
          <w:sz w:val="20"/>
          <w:szCs w:val="20"/>
          <w:lang w:eastAsia="en-GB"/>
        </w:rPr>
      </w:pPr>
      <w:r>
        <w:rPr>
          <w:rFonts w:ascii="EC Square Sans Pro" w:eastAsia="Times New Roman" w:hAnsi="EC Square Sans Pro" w:cs="Times New Roman"/>
          <w:b/>
          <w:noProof/>
          <w:color w:val="005D95"/>
          <w:sz w:val="20"/>
          <w:szCs w:val="20"/>
          <w:lang w:eastAsia="en-GB"/>
        </w:rPr>
        <w:t>IAC audit on management of accident’s insurance in PMO.3</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5 (very important): reliable monitoring of </w:t>
      </w:r>
      <w:r>
        <w:rPr>
          <w:rFonts w:ascii="EC Square Sans Pro" w:eastAsia="Times New Roman" w:hAnsi="EC Square Sans Pro" w:cs="Times New Roman"/>
          <w:noProof/>
          <w:sz w:val="20"/>
          <w:szCs w:val="20"/>
          <w:lang w:eastAsia="en-GB"/>
        </w:rPr>
        <w:t>accident files.</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The Internal Audit Capability recommended that the Office for the Administration and Payment of Individual Entitlements design, develop and implement an effective monitoring system for accident files. It recommended that this system include</w:t>
      </w:r>
      <w:r>
        <w:rPr>
          <w:rFonts w:ascii="EC Square Sans Pro" w:eastAsia="Times New Roman" w:hAnsi="EC Square Sans Pro" w:cs="Times New Roman"/>
          <w:noProof/>
          <w:sz w:val="20"/>
          <w:szCs w:val="20"/>
        </w:rPr>
        <w:t xml:space="preserve">: (i) efficient management of delays (e.g. a warning system); (ii) tracing controls of accident costs submitted for reimbursement; and (iii) correct calculation of permanent, partial-invalidity capitals. </w:t>
      </w:r>
    </w:p>
    <w:p w:rsidR="000C6D03" w:rsidRDefault="00873433">
      <w:pPr>
        <w:autoSpaceDE w:val="0"/>
        <w:autoSpaceDN w:val="0"/>
        <w:adjustRightInd w:val="0"/>
        <w:spacing w:after="240" w:line="240" w:lineRule="auto"/>
        <w:jc w:val="both"/>
        <w:rPr>
          <w:rFonts w:ascii="EC Square Sans Pro" w:eastAsia="Calibri" w:hAnsi="EC Square Sans Pro" w:cs="Times New Roman"/>
          <w:noProof/>
          <w:color w:val="000000"/>
          <w:sz w:val="20"/>
          <w:szCs w:val="20"/>
        </w:rPr>
      </w:pPr>
      <w:r>
        <w:rPr>
          <w:rFonts w:ascii="EC Square Sans Pro" w:eastAsia="Times New Roman" w:hAnsi="EC Square Sans Pro" w:cs="Times New Roman"/>
          <w:noProof/>
          <w:sz w:val="20"/>
          <w:szCs w:val="20"/>
        </w:rPr>
        <w:t>The recommendation has been addressed by the Office</w:t>
      </w:r>
      <w:r>
        <w:rPr>
          <w:rFonts w:ascii="EC Square Sans Pro" w:eastAsia="Times New Roman" w:hAnsi="EC Square Sans Pro" w:cs="Times New Roman"/>
          <w:noProof/>
          <w:sz w:val="20"/>
          <w:szCs w:val="20"/>
        </w:rPr>
        <w:t xml:space="preserve"> for the Administration and Payment of Individual Entitlements as part of developing the information-technology tool Assmal2 ('assurance maladie') in the ‘accidents’ module. </w:t>
      </w:r>
      <w:r>
        <w:rPr>
          <w:rFonts w:ascii="EC Square Sans Pro" w:eastAsia="Calibri" w:hAnsi="EC Square Sans Pro" w:cs="Times New Roman"/>
          <w:noProof/>
          <w:color w:val="000000"/>
          <w:sz w:val="20"/>
          <w:szCs w:val="20"/>
        </w:rPr>
        <w:t>The Internal Audit Service noted that Assmal2 includes pre-defined deadlines for t</w:t>
      </w:r>
      <w:r>
        <w:rPr>
          <w:rFonts w:ascii="EC Square Sans Pro" w:eastAsia="Calibri" w:hAnsi="EC Square Sans Pro" w:cs="Times New Roman"/>
          <w:noProof/>
          <w:color w:val="000000"/>
          <w:sz w:val="20"/>
          <w:szCs w:val="20"/>
        </w:rPr>
        <w:t>he key steps in processing an accident file. These deadlines are in place only for the accident files encoded in Assmal2, notably those opened after the Assmal2 ‘accidents’ module was launched in May 2018. According to the Office for the Administration and</w:t>
      </w:r>
      <w:r>
        <w:rPr>
          <w:rFonts w:ascii="EC Square Sans Pro" w:eastAsia="Calibri" w:hAnsi="EC Square Sans Pro" w:cs="Times New Roman"/>
          <w:noProof/>
          <w:color w:val="000000"/>
          <w:sz w:val="20"/>
          <w:szCs w:val="20"/>
        </w:rPr>
        <w:t xml:space="preserve"> Payment of Individual Entitlements, a limited number of older accident files, which are in the final phase of the administrative process, are not encoded in Assmal2 and are monitored separately.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noted that Assmal2 has features t</w:t>
      </w:r>
      <w:r>
        <w:rPr>
          <w:rFonts w:ascii="EC Square Sans Pro" w:eastAsia="Times New Roman" w:hAnsi="EC Square Sans Pro" w:cs="Times New Roman"/>
          <w:noProof/>
          <w:sz w:val="20"/>
          <w:szCs w:val="20"/>
          <w:lang w:eastAsia="en-GB"/>
        </w:rPr>
        <w:t>hat can provide an overview of the accident files per case handler, including the related deadlines. This information is available on the screen or can be obtained in the form of a business-object report. However, no such report is extracted on a regular b</w:t>
      </w:r>
      <w:r>
        <w:rPr>
          <w:rFonts w:ascii="EC Square Sans Pro" w:eastAsia="Times New Roman" w:hAnsi="EC Square Sans Pro" w:cs="Times New Roman"/>
          <w:noProof/>
          <w:sz w:val="20"/>
          <w:szCs w:val="20"/>
          <w:lang w:eastAsia="en-GB"/>
        </w:rPr>
        <w:t xml:space="preserve">asis and monitored by staff or management.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Internal Audit Service also recommended that the Office for the Administration and Payment of Individual Entitlements implement a warning signal (which can be an email sent to the case handler) when a deadlin</w:t>
      </w:r>
      <w:r>
        <w:rPr>
          <w:rFonts w:ascii="EC Square Sans Pro" w:eastAsia="Times New Roman" w:hAnsi="EC Square Sans Pro" w:cs="Times New Roman"/>
          <w:noProof/>
          <w:sz w:val="20"/>
          <w:szCs w:val="20"/>
          <w:lang w:eastAsia="en-GB"/>
        </w:rPr>
        <w:t xml:space="preserve">e in the process has lapsed. This warning signal would draw attention to the fact that action needs to be taken on a specific file. The Internal Audit Service found that this feature has yet to be implemented as part of Assmal2.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Therefore, the Internal Au</w:t>
      </w:r>
      <w:r>
        <w:rPr>
          <w:rFonts w:ascii="EC Square Sans Pro" w:eastAsia="Times New Roman" w:hAnsi="EC Square Sans Pro" w:cs="Times New Roman"/>
          <w:noProof/>
          <w:sz w:val="20"/>
          <w:szCs w:val="20"/>
          <w:lang w:eastAsia="en-GB"/>
        </w:rPr>
        <w:t>dit Service considered that, overall, the Office for the Administration and Payment of Individual Entitlements has yet to put in place effective monitoring of the accident files, even though certain technical means are available (but not fully used) to fac</w:t>
      </w:r>
      <w:r>
        <w:rPr>
          <w:rFonts w:ascii="EC Square Sans Pro" w:eastAsia="Times New Roman" w:hAnsi="EC Square Sans Pro" w:cs="Times New Roman"/>
          <w:noProof/>
          <w:sz w:val="20"/>
          <w:szCs w:val="20"/>
          <w:lang w:eastAsia="en-GB"/>
        </w:rPr>
        <w:t>ilitate this process.</w:t>
      </w:r>
    </w:p>
    <w:p w:rsidR="000C6D03" w:rsidRDefault="00873433">
      <w:pPr>
        <w:autoSpaceDE w:val="0"/>
        <w:autoSpaceDN w:val="0"/>
        <w:adjustRightInd w:val="0"/>
        <w:spacing w:after="240" w:line="240" w:lineRule="auto"/>
        <w:jc w:val="both"/>
        <w:rPr>
          <w:rFonts w:ascii="EC Square Sans Pro" w:eastAsia="Times New Roman" w:hAnsi="EC Square Sans Pro" w:cs="Times New Roman"/>
          <w:noProof/>
          <w:sz w:val="20"/>
          <w:szCs w:val="20"/>
        </w:rPr>
      </w:pPr>
      <w:r>
        <w:rPr>
          <w:rFonts w:ascii="EC Square Sans Pro" w:eastAsia="Times New Roman" w:hAnsi="EC Square Sans Pro" w:cs="Times New Roman"/>
          <w:noProof/>
          <w:sz w:val="20"/>
          <w:szCs w:val="20"/>
        </w:rPr>
        <w:t>On the reimbursement process for the accident files, this is currently integrated in the Assmal2 ‘accidents’ module. The ‘accidents’ module includes the key steps and the related controls for processing an accident file. It also inclu</w:t>
      </w:r>
      <w:r>
        <w:rPr>
          <w:rFonts w:ascii="EC Square Sans Pro" w:eastAsia="Times New Roman" w:hAnsi="EC Square Sans Pro" w:cs="Times New Roman"/>
          <w:noProof/>
          <w:sz w:val="20"/>
          <w:szCs w:val="20"/>
        </w:rPr>
        <w:t>des template letters for communicating with the affiliates and the medical advisors. The Internal Audit Service noted that the calculation of the permanent partial-invalidity capitals is still performed manually using Excel files, outside Assmal2. However,</w:t>
      </w:r>
      <w:r>
        <w:rPr>
          <w:rFonts w:ascii="EC Square Sans Pro" w:eastAsia="Times New Roman" w:hAnsi="EC Square Sans Pro" w:cs="Times New Roman"/>
          <w:noProof/>
          <w:sz w:val="20"/>
          <w:szCs w:val="20"/>
        </w:rPr>
        <w:t xml:space="preserve"> the Internal Audit Service did not identify any issues in the calculation of the amounts. Therefore, the Internal Audit Service </w:t>
      </w:r>
      <w:r>
        <w:rPr>
          <w:rFonts w:ascii="EC Square Sans Pro" w:eastAsia="Calibri" w:hAnsi="EC Square Sans Pro" w:cs="Times New Roman"/>
          <w:noProof/>
          <w:color w:val="000000"/>
          <w:sz w:val="20"/>
          <w:szCs w:val="20"/>
        </w:rPr>
        <w:t>considered that the measures taken adequately address the risks identified for this part of the recommendation.</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Although the In</w:t>
      </w:r>
      <w:r>
        <w:rPr>
          <w:rFonts w:ascii="EC Square Sans Pro" w:eastAsia="Times New Roman" w:hAnsi="EC Square Sans Pro" w:cs="Times New Roman"/>
          <w:noProof/>
          <w:sz w:val="20"/>
          <w:szCs w:val="20"/>
          <w:lang w:eastAsia="en-GB"/>
        </w:rPr>
        <w:t>ternal Audit Service assessed that, overall, the recommendation has yet to be fully implemented, it nevertheless considered that the level of implementation was sufficient to reduce the level of residual risk from high to medium. Therefore, the rating of t</w:t>
      </w:r>
      <w:r>
        <w:rPr>
          <w:rFonts w:ascii="EC Square Sans Pro" w:eastAsia="Times New Roman" w:hAnsi="EC Square Sans Pro" w:cs="Times New Roman"/>
          <w:noProof/>
          <w:sz w:val="20"/>
          <w:szCs w:val="20"/>
          <w:lang w:eastAsia="en-GB"/>
        </w:rPr>
        <w:t>he recommendation was downgraded to important.</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32" w:name="_Toc42788209"/>
      <w:bookmarkStart w:id="233" w:name="_Toc2946516"/>
      <w:bookmarkStart w:id="234" w:name="_Toc9237695"/>
      <w:r>
        <w:rPr>
          <w:rFonts w:ascii="EC Square Sans Pro" w:eastAsia="Times New Roman" w:hAnsi="EC Square Sans Pro" w:cs="Times New Roman"/>
          <w:b/>
          <w:i/>
          <w:noProof/>
          <w:color w:val="005D95"/>
          <w:sz w:val="24"/>
          <w:szCs w:val="20"/>
          <w:lang w:eastAsia="en-GB"/>
        </w:rPr>
        <w:t>Follow-up audit on information-technology governance in DG DEVCO</w:t>
      </w:r>
      <w:bookmarkEnd w:id="232"/>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concluded that the following recommendations were adequately and </w:t>
      </w:r>
      <w:r>
        <w:rPr>
          <w:rFonts w:ascii="EC Square Sans Pro" w:eastAsia="Times New Roman" w:hAnsi="EC Square Sans Pro" w:cs="Times New Roman"/>
          <w:noProof/>
          <w:sz w:val="20"/>
          <w:szCs w:val="20"/>
          <w:lang w:eastAsia="en-GB"/>
        </w:rPr>
        <w:t>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data governance.</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information-technology risk-management oversight.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 was assessed as not fully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w:t>
      </w:r>
      <w:r>
        <w:rPr>
          <w:rFonts w:ascii="EC Square Sans Pro" w:eastAsia="Times New Roman" w:hAnsi="EC Square Sans Pro" w:cs="Times New Roman"/>
          <w:noProof/>
          <w:sz w:val="20"/>
          <w:szCs w:val="20"/>
          <w:lang w:eastAsia="en-GB"/>
        </w:rPr>
        <w:t>ation No 4 (important): business process governance.</w:t>
      </w:r>
    </w:p>
    <w:p w:rsidR="000C6D03" w:rsidRDefault="00873433">
      <w:pPr>
        <w:spacing w:after="240" w:line="240" w:lineRule="auto"/>
        <w:jc w:val="both"/>
        <w:rPr>
          <w:rFonts w:ascii="EC Square Sans Pro" w:eastAsia="Times New Roman" w:hAnsi="EC Square Sans Pro" w:cs="Times New Roman"/>
          <w:noProof/>
          <w:color w:val="000000"/>
          <w:sz w:val="20"/>
          <w:szCs w:val="20"/>
          <w:lang w:eastAsia="en-GB"/>
        </w:rPr>
      </w:pPr>
      <w:r>
        <w:rPr>
          <w:rFonts w:ascii="EC Square Sans Pro" w:eastAsia="Times New Roman" w:hAnsi="EC Square Sans Pro" w:cs="Times New Roman"/>
          <w:noProof/>
          <w:sz w:val="20"/>
          <w:szCs w:val="20"/>
          <w:lang w:eastAsia="en-GB"/>
        </w:rPr>
        <w:t xml:space="preserve">The Directorate-General for International Cooperation and Development’s revised information-technology-governance framework includes a new governance body in the form of a Process Governance Board, </w:t>
      </w:r>
      <w:r>
        <w:rPr>
          <w:rFonts w:ascii="EC Square Sans Pro" w:eastAsia="Times New Roman" w:hAnsi="EC Square Sans Pro" w:cs="Times New Roman"/>
          <w:noProof/>
          <w:color w:val="000000"/>
          <w:sz w:val="20"/>
          <w:szCs w:val="20"/>
          <w:lang w:val="en-IE" w:eastAsia="en-GB"/>
        </w:rPr>
        <w:t>manda</w:t>
      </w:r>
      <w:r>
        <w:rPr>
          <w:rFonts w:ascii="EC Square Sans Pro" w:eastAsia="Times New Roman" w:hAnsi="EC Square Sans Pro" w:cs="Times New Roman"/>
          <w:noProof/>
          <w:color w:val="000000"/>
          <w:sz w:val="20"/>
          <w:szCs w:val="20"/>
          <w:lang w:val="en-IE" w:eastAsia="en-GB"/>
        </w:rPr>
        <w:t>ted by the Information Technology</w:t>
      </w:r>
      <w:r>
        <w:rPr>
          <w:rFonts w:ascii="EC Square Sans Pro" w:eastAsia="Times New Roman" w:hAnsi="EC Square Sans Pro" w:cs="Times New Roman"/>
          <w:noProof/>
          <w:sz w:val="20"/>
          <w:szCs w:val="20"/>
          <w:lang w:val="en-IE" w:eastAsia="en-GB"/>
        </w:rPr>
        <w:t xml:space="preserve"> </w:t>
      </w:r>
      <w:r>
        <w:rPr>
          <w:rFonts w:ascii="EC Square Sans Pro" w:eastAsia="Times New Roman" w:hAnsi="EC Square Sans Pro" w:cs="Times New Roman"/>
          <w:noProof/>
          <w:color w:val="000000"/>
          <w:sz w:val="20"/>
          <w:szCs w:val="20"/>
          <w:lang w:val="en-IE" w:eastAsia="en-GB"/>
        </w:rPr>
        <w:t>B</w:t>
      </w:r>
      <w:r>
        <w:rPr>
          <w:rFonts w:ascii="EC Square Sans Pro" w:eastAsia="Times New Roman" w:hAnsi="EC Square Sans Pro" w:cs="Times New Roman"/>
          <w:noProof/>
          <w:sz w:val="20"/>
          <w:szCs w:val="20"/>
          <w:lang w:val="en-IE" w:eastAsia="en-GB"/>
        </w:rPr>
        <w:t>oard</w:t>
      </w:r>
      <w:r>
        <w:rPr>
          <w:rFonts w:ascii="EC Square Sans Pro" w:eastAsia="Times New Roman" w:hAnsi="EC Square Sans Pro" w:cs="Times New Roman"/>
          <w:noProof/>
          <w:color w:val="000000"/>
          <w:sz w:val="20"/>
          <w:szCs w:val="20"/>
          <w:lang w:val="en-IE" w:eastAsia="en-GB"/>
        </w:rPr>
        <w:t xml:space="preserve"> to ensure that business processes are documented, harmoni</w:t>
      </w:r>
      <w:r>
        <w:rPr>
          <w:rFonts w:ascii="EC Square Sans Pro" w:eastAsia="Times New Roman" w:hAnsi="EC Square Sans Pro" w:cs="Times New Roman"/>
          <w:noProof/>
          <w:sz w:val="20"/>
          <w:szCs w:val="20"/>
          <w:lang w:val="en-IE" w:eastAsia="en-GB"/>
        </w:rPr>
        <w:t>s</w:t>
      </w:r>
      <w:r>
        <w:rPr>
          <w:rFonts w:ascii="EC Square Sans Pro" w:eastAsia="Times New Roman" w:hAnsi="EC Square Sans Pro" w:cs="Times New Roman"/>
          <w:noProof/>
          <w:color w:val="000000"/>
          <w:sz w:val="20"/>
          <w:szCs w:val="20"/>
          <w:lang w:val="en-IE" w:eastAsia="en-GB"/>
        </w:rPr>
        <w:t>ed, optimi</w:t>
      </w:r>
      <w:r>
        <w:rPr>
          <w:rFonts w:ascii="EC Square Sans Pro" w:eastAsia="Times New Roman" w:hAnsi="EC Square Sans Pro" w:cs="Times New Roman"/>
          <w:noProof/>
          <w:sz w:val="20"/>
          <w:szCs w:val="20"/>
          <w:lang w:val="en-IE" w:eastAsia="en-GB"/>
        </w:rPr>
        <w:t>s</w:t>
      </w:r>
      <w:r>
        <w:rPr>
          <w:rFonts w:ascii="EC Square Sans Pro" w:eastAsia="Times New Roman" w:hAnsi="EC Square Sans Pro" w:cs="Times New Roman"/>
          <w:noProof/>
          <w:color w:val="000000"/>
          <w:sz w:val="20"/>
          <w:szCs w:val="20"/>
          <w:lang w:val="en-IE" w:eastAsia="en-GB"/>
        </w:rPr>
        <w:t>ed and continuously improved</w:t>
      </w:r>
      <w:r>
        <w:rPr>
          <w:rFonts w:ascii="EC Square Sans Pro" w:eastAsia="Times New Roman" w:hAnsi="EC Square Sans Pro" w:cs="Times New Roman"/>
          <w:noProof/>
          <w:sz w:val="20"/>
          <w:szCs w:val="20"/>
          <w:lang w:val="en-IE" w:eastAsia="en-GB"/>
        </w:rPr>
        <w:t>.</w:t>
      </w:r>
      <w:r>
        <w:rPr>
          <w:rFonts w:ascii="EC Square Sans Pro" w:eastAsia="Times New Roman" w:hAnsi="EC Square Sans Pro" w:cs="Times New Roman"/>
          <w:noProof/>
          <w:sz w:val="20"/>
          <w:szCs w:val="20"/>
          <w:lang w:eastAsia="en-GB"/>
        </w:rPr>
        <w:t xml:space="preserve"> The</w:t>
      </w:r>
      <w:r>
        <w:rPr>
          <w:rFonts w:ascii="EC Square Sans Pro" w:eastAsia="Times New Roman" w:hAnsi="EC Square Sans Pro" w:cs="Times New Roman"/>
          <w:noProof/>
          <w:color w:val="000000"/>
          <w:sz w:val="20"/>
          <w:szCs w:val="20"/>
          <w:lang w:eastAsia="en-GB"/>
        </w:rPr>
        <w:t xml:space="preserve"> Directorate-General for International Cooperation and Development appointed external experts to help with this ne</w:t>
      </w:r>
      <w:r>
        <w:rPr>
          <w:rFonts w:ascii="EC Square Sans Pro" w:eastAsia="Times New Roman" w:hAnsi="EC Square Sans Pro" w:cs="Times New Roman"/>
          <w:noProof/>
          <w:color w:val="000000"/>
          <w:sz w:val="20"/>
          <w:szCs w:val="20"/>
          <w:lang w:eastAsia="en-GB"/>
        </w:rPr>
        <w:t>w governance structure, based on a phased approach and encompassing five ‘work packages’. The proposed timeline is estimated at 12 working weeks, starting from mid-November 2019 and will involve the creation of a business case, the set-up of an ad-hoc gove</w:t>
      </w:r>
      <w:r>
        <w:rPr>
          <w:rFonts w:ascii="EC Square Sans Pro" w:eastAsia="Times New Roman" w:hAnsi="EC Square Sans Pro" w:cs="Times New Roman"/>
          <w:noProof/>
          <w:color w:val="000000"/>
          <w:sz w:val="20"/>
          <w:szCs w:val="20"/>
          <w:lang w:eastAsia="en-GB"/>
        </w:rPr>
        <w:t xml:space="preserve">rnance board and communicating with the business-side, as part of a package of preliminary measures before the Process Governance Board can be launched.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color w:val="000000"/>
          <w:sz w:val="20"/>
          <w:szCs w:val="20"/>
          <w:lang w:eastAsia="en-GB"/>
        </w:rPr>
        <w:t>Although the process has clearly begun, the Internal Audit Service considered</w:t>
      </w:r>
      <w:r>
        <w:rPr>
          <w:rFonts w:ascii="EC Square Sans Pro" w:eastAsia="Times New Roman" w:hAnsi="EC Square Sans Pro" w:cs="Times New Roman"/>
          <w:noProof/>
          <w:sz w:val="20"/>
          <w:szCs w:val="20"/>
          <w:lang w:eastAsia="en-GB"/>
        </w:rPr>
        <w:t xml:space="preserve"> that the Directorate-Gen</w:t>
      </w:r>
      <w:r>
        <w:rPr>
          <w:rFonts w:ascii="EC Square Sans Pro" w:eastAsia="Times New Roman" w:hAnsi="EC Square Sans Pro" w:cs="Times New Roman"/>
          <w:noProof/>
          <w:sz w:val="20"/>
          <w:szCs w:val="20"/>
          <w:lang w:eastAsia="en-GB"/>
        </w:rPr>
        <w:t>eral has yet to fully implement the underlying enterprise architecture and business-governance framework in practice,  including mandate, roles and responsibilities,  resources and workflow between process owners and information-technology system suppliers</w:t>
      </w:r>
      <w:r>
        <w:rPr>
          <w:rFonts w:ascii="EC Square Sans Pro" w:eastAsia="Times New Roman" w:hAnsi="EC Square Sans Pro" w:cs="Times New Roman"/>
          <w:noProof/>
          <w:sz w:val="20"/>
          <w:szCs w:val="20"/>
          <w:lang w:eastAsia="en-GB"/>
        </w:rPr>
        <w:t xml:space="preserve"> and service providers.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35" w:name="_Toc42788210"/>
      <w:r>
        <w:rPr>
          <w:rFonts w:ascii="EC Square Sans Pro" w:eastAsia="Times New Roman" w:hAnsi="EC Square Sans Pro" w:cs="Times New Roman"/>
          <w:b/>
          <w:i/>
          <w:noProof/>
          <w:color w:val="005D95"/>
          <w:sz w:val="24"/>
          <w:szCs w:val="20"/>
          <w:lang w:eastAsia="en-GB"/>
        </w:rPr>
        <w:t>Follow-up audit on the security of information-technology applications supporting nuclear accountancy and nuclear-inspection processes in DG ENER</w:t>
      </w:r>
      <w:bookmarkEnd w:id="235"/>
      <w:r>
        <w:rPr>
          <w:rFonts w:ascii="EC Square Sans Pro" w:eastAsia="Times New Roman" w:hAnsi="EC Square Sans Pro" w:cs="Times New Roman"/>
          <w:b/>
          <w:i/>
          <w:noProof/>
          <w:color w:val="005D95"/>
          <w:sz w:val="24"/>
          <w:szCs w:val="20"/>
          <w:lang w:eastAsia="en-GB"/>
        </w:rPr>
        <w:t xml:space="preserve"> </w:t>
      </w:r>
      <w:bookmarkEnd w:id="233"/>
      <w:bookmarkEnd w:id="23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Based on the results of the follow-up audit, the Internal Audit Service concluded </w:t>
      </w:r>
      <w:r>
        <w:rPr>
          <w:rFonts w:ascii="EC Square Sans Pro" w:eastAsia="Times New Roman" w:hAnsi="EC Square Sans Pro" w:cs="Times New Roman"/>
          <w:noProof/>
          <w:sz w:val="20"/>
          <w:szCs w:val="20"/>
          <w:lang w:eastAsia="en-GB"/>
        </w:rPr>
        <w:t>that the following recommendations were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information-technology-security governance;</w:t>
      </w:r>
    </w:p>
    <w:p w:rsidR="000C6D03" w:rsidRDefault="00873433">
      <w:pPr>
        <w:spacing w:after="240" w:line="240" w:lineRule="auto"/>
        <w:jc w:val="both"/>
        <w:rPr>
          <w:rFonts w:ascii="EC Square Sans Pro" w:eastAsia="Times New Roman" w:hAnsi="EC Square Sans Pro" w:cs="Times New Roman"/>
          <w:b/>
          <w:noProof/>
          <w:sz w:val="20"/>
          <w:szCs w:val="20"/>
          <w:lang w:eastAsia="en-GB"/>
        </w:rPr>
      </w:pPr>
      <w:r>
        <w:rPr>
          <w:rFonts w:ascii="EC Square Sans Pro" w:eastAsia="Times New Roman" w:hAnsi="EC Square Sans Pro" w:cs="Times New Roman"/>
          <w:noProof/>
          <w:sz w:val="20"/>
          <w:szCs w:val="20"/>
          <w:lang w:eastAsia="fr-BE"/>
        </w:rPr>
        <w:t>Recommendation No 2 (very important): information-technology security-risk ana</w:t>
      </w:r>
      <w:r>
        <w:rPr>
          <w:rFonts w:ascii="EC Square Sans Pro" w:eastAsia="Times New Roman" w:hAnsi="EC Square Sans Pro" w:cs="Times New Roman"/>
          <w:noProof/>
          <w:sz w:val="20"/>
          <w:szCs w:val="20"/>
          <w:lang w:eastAsia="fr-BE"/>
        </w:rPr>
        <w:t>lysis and security arrangements.</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36" w:name="_Toc2946519"/>
      <w:bookmarkStart w:id="237" w:name="_Toc9237698"/>
      <w:bookmarkStart w:id="238" w:name="_Toc42788211"/>
      <w:r>
        <w:rPr>
          <w:rFonts w:ascii="EC Square Sans Pro" w:eastAsia="Times New Roman" w:hAnsi="EC Square Sans Pro" w:cs="Times New Roman"/>
          <w:b/>
          <w:i/>
          <w:noProof/>
          <w:color w:val="005D95"/>
          <w:sz w:val="24"/>
          <w:szCs w:val="20"/>
          <w:lang w:eastAsia="en-GB"/>
        </w:rPr>
        <w:t>Follow-up audit on information-technology governance and portfolio management in DG GROW</w:t>
      </w:r>
      <w:bookmarkEnd w:id="236"/>
      <w:bookmarkEnd w:id="237"/>
      <w:bookmarkEnd w:id="238"/>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were adequately a</w:t>
      </w:r>
      <w:r>
        <w:rPr>
          <w:rFonts w:ascii="EC Square Sans Pro" w:eastAsia="Times New Roman" w:hAnsi="EC Square Sans Pro" w:cs="Times New Roman"/>
          <w:noProof/>
          <w:sz w:val="20"/>
          <w:szCs w:val="20"/>
          <w:lang w:eastAsia="en-GB"/>
        </w:rPr>
        <w:t>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2 (very important): information-technology portfolio and programme management;</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data, information and knowledge-assets strategy.</w:t>
      </w:r>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39" w:name="_Toc42788212"/>
      <w:bookmarkStart w:id="240" w:name="_Toc2946520"/>
      <w:bookmarkStart w:id="241" w:name="_Toc9237699"/>
      <w:r>
        <w:rPr>
          <w:rFonts w:ascii="EC Square Sans Pro" w:eastAsia="Times New Roman" w:hAnsi="EC Square Sans Pro" w:cs="Times New Roman"/>
          <w:b/>
          <w:i/>
          <w:noProof/>
          <w:color w:val="005D95"/>
          <w:sz w:val="24"/>
          <w:szCs w:val="20"/>
          <w:lang w:eastAsia="en-GB"/>
        </w:rPr>
        <w:t xml:space="preserve">Follow-up audit on </w:t>
      </w:r>
      <w:r>
        <w:rPr>
          <w:rFonts w:ascii="EC Square Sans Pro" w:eastAsia="Times New Roman" w:hAnsi="EC Square Sans Pro" w:cs="Times New Roman"/>
          <w:b/>
          <w:i/>
          <w:noProof/>
          <w:color w:val="005D95"/>
          <w:sz w:val="24"/>
          <w:szCs w:val="20"/>
          <w:lang w:eastAsia="en-GB"/>
        </w:rPr>
        <w:t>information-technology security in the information-and-communications-technology (ICT) systems of the JRC</w:t>
      </w:r>
      <w:bookmarkEnd w:id="239"/>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were adequately and effectively i</w:t>
      </w:r>
      <w:r>
        <w:rPr>
          <w:rFonts w:ascii="EC Square Sans Pro" w:eastAsia="Times New Roman" w:hAnsi="EC Square Sans Pro" w:cs="Times New Roman"/>
          <w:noProof/>
          <w:sz w:val="20"/>
          <w:szCs w:val="20"/>
          <w:lang w:eastAsia="en-GB"/>
        </w:rPr>
        <w:t>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(very important): management oversight of information-technology security;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Recommendation No 2 (very important): information-technology security in the design of new information-technology systems and during </w:t>
      </w:r>
      <w:r>
        <w:rPr>
          <w:rFonts w:ascii="EC Square Sans Pro" w:eastAsia="Times New Roman" w:hAnsi="EC Square Sans Pro" w:cs="Times New Roman"/>
          <w:noProof/>
          <w:sz w:val="20"/>
          <w:szCs w:val="20"/>
          <w:lang w:eastAsia="en-GB"/>
        </w:rPr>
        <w:t>maintenance of existing systems.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following recommendations were assessed as not fully implemented: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(very important): deployment of security reference configurations and monitoring of new vulnerabilities.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The deployment of security r</w:t>
      </w:r>
      <w:r>
        <w:rPr>
          <w:rFonts w:ascii="EC Square Sans Pro" w:eastAsia="Times New Roman" w:hAnsi="EC Square Sans Pro" w:cs="Times New Roman"/>
          <w:noProof/>
          <w:sz w:val="20"/>
          <w:szCs w:val="20"/>
          <w:lang w:eastAsia="en-GB"/>
        </w:rPr>
        <w:t xml:space="preserve">eference configurations has not been completed, but the monitoring of new vulnerabilities is already operational.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 xml:space="preserve">In view of the progress made, the IAS downgraded the rating to important since the implementation of the three completed sub-actions results </w:t>
      </w:r>
      <w:r>
        <w:rPr>
          <w:rFonts w:ascii="EC Square Sans Pro" w:eastAsia="Times New Roman" w:hAnsi="EC Square Sans Pro" w:cs="Times New Roman"/>
          <w:noProof/>
          <w:sz w:val="20"/>
          <w:szCs w:val="20"/>
          <w:lang w:eastAsia="en-GB"/>
        </w:rPr>
        <w:t xml:space="preserve">in a lower level of residual risk. </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4 (very important): inventory of JRC information-technology systems and their security dependencies.</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Although the ICT executive committee endorsed the proposed approach for the development of an integra</w:t>
      </w:r>
      <w:r>
        <w:rPr>
          <w:rFonts w:ascii="EC Square Sans Pro" w:eastAsia="Times New Roman" w:hAnsi="EC Square Sans Pro" w:cs="Times New Roman"/>
          <w:noProof/>
          <w:sz w:val="20"/>
          <w:szCs w:val="20"/>
          <w:lang w:eastAsia="en-GB"/>
        </w:rPr>
        <w:t>ted inventory-management solution (sub-action 4.1.1), this has yet to be fully implemented. More specifically, there was no central inventory-management solution in place for: (i) the hardware assets in scientific domains that are not managed through an in</w:t>
      </w:r>
      <w:r>
        <w:rPr>
          <w:rFonts w:ascii="EC Square Sans Pro" w:eastAsia="Times New Roman" w:hAnsi="EC Square Sans Pro" w:cs="Times New Roman"/>
          <w:noProof/>
          <w:sz w:val="20"/>
          <w:szCs w:val="20"/>
          <w:lang w:eastAsia="en-GB"/>
        </w:rPr>
        <w:t xml:space="preserve">ventory-management tool: and (ii) the information systems not connected to the internet. There was no process in place for maintaining an up-to-date list of active systems. Furthermore, there remained further work to be done to improve coordination of the </w:t>
      </w:r>
      <w:r>
        <w:rPr>
          <w:rFonts w:ascii="EC Square Sans Pro" w:eastAsia="Times New Roman" w:hAnsi="EC Square Sans Pro" w:cs="Times New Roman"/>
          <w:noProof/>
          <w:sz w:val="20"/>
          <w:szCs w:val="20"/>
          <w:lang w:eastAsia="en-GB"/>
        </w:rPr>
        <w:t>identified initiatives on network segregation.</w:t>
      </w:r>
    </w:p>
    <w:p w:rsidR="000C6D03" w:rsidRDefault="00873433">
      <w:pPr>
        <w:spacing w:after="240" w:line="240" w:lineRule="auto"/>
        <w:jc w:val="both"/>
        <w:rPr>
          <w:rFonts w:ascii="EC Square Sans Pro" w:eastAsia="Times New Roman" w:hAnsi="EC Square Sans Pro" w:cs="Times New Roman"/>
          <w:i/>
          <w:noProof/>
          <w:sz w:val="20"/>
          <w:szCs w:val="20"/>
          <w:lang w:val="en-US" w:eastAsia="en-GB"/>
        </w:rPr>
      </w:pPr>
      <w:r>
        <w:rPr>
          <w:rFonts w:ascii="EC Square Sans Pro" w:eastAsia="Times New Roman" w:hAnsi="EC Square Sans Pro" w:cs="Times New Roman"/>
          <w:noProof/>
          <w:sz w:val="20"/>
          <w:szCs w:val="20"/>
          <w:lang w:eastAsia="en-GB"/>
        </w:rPr>
        <w:t xml:space="preserve">Consequently, although sub-action 4.1.1. was implemented, the IAS considered that in view of the other actions still to be implemented, the residual risk for the recommendation overall remains essentially the </w:t>
      </w:r>
      <w:r>
        <w:rPr>
          <w:rFonts w:ascii="EC Square Sans Pro" w:eastAsia="Times New Roman" w:hAnsi="EC Square Sans Pro" w:cs="Times New Roman"/>
          <w:noProof/>
          <w:sz w:val="20"/>
          <w:szCs w:val="20"/>
          <w:lang w:eastAsia="en-GB"/>
        </w:rPr>
        <w:t>same. The IAS therefore maintained the rating.</w:t>
      </w:r>
      <w:bookmarkEnd w:id="240"/>
      <w:bookmarkEnd w:id="241"/>
    </w:p>
    <w:p w:rsidR="000C6D03" w:rsidRDefault="00873433">
      <w:pPr>
        <w:keepNext/>
        <w:numPr>
          <w:ilvl w:val="0"/>
          <w:numId w:val="52"/>
        </w:numPr>
        <w:spacing w:before="360" w:after="240" w:line="240" w:lineRule="auto"/>
        <w:ind w:hanging="567"/>
        <w:jc w:val="both"/>
        <w:outlineLvl w:val="2"/>
        <w:rPr>
          <w:rFonts w:ascii="EC Square Sans Pro" w:eastAsia="Times New Roman" w:hAnsi="EC Square Sans Pro" w:cs="Times New Roman"/>
          <w:b/>
          <w:i/>
          <w:noProof/>
          <w:color w:val="005D95"/>
          <w:sz w:val="24"/>
          <w:szCs w:val="20"/>
          <w:lang w:eastAsia="en-GB"/>
        </w:rPr>
      </w:pPr>
      <w:bookmarkStart w:id="242" w:name="_Toc2946526"/>
      <w:bookmarkStart w:id="243" w:name="_Toc9237704"/>
      <w:bookmarkStart w:id="244" w:name="_Toc42788213"/>
      <w:r>
        <w:rPr>
          <w:rFonts w:ascii="EC Square Sans Pro" w:eastAsia="Times New Roman" w:hAnsi="EC Square Sans Pro" w:cs="Times New Roman"/>
          <w:b/>
          <w:i/>
          <w:noProof/>
          <w:color w:val="005D95"/>
          <w:sz w:val="24"/>
          <w:szCs w:val="20"/>
          <w:lang w:eastAsia="en-GB"/>
        </w:rPr>
        <w:t>Follow-up audit on supervision of outsourced information-technology operations in DG TAXUD</w:t>
      </w:r>
      <w:bookmarkEnd w:id="242"/>
      <w:bookmarkEnd w:id="243"/>
      <w:bookmarkEnd w:id="244"/>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 the Internal Audit Service concluded that the following recommendations w</w:t>
      </w:r>
      <w:r>
        <w:rPr>
          <w:rFonts w:ascii="EC Square Sans Pro" w:eastAsia="Times New Roman" w:hAnsi="EC Square Sans Pro" w:cs="Times New Roman"/>
          <w:noProof/>
          <w:sz w:val="20"/>
          <w:szCs w:val="20"/>
          <w:lang w:eastAsia="en-GB"/>
        </w:rPr>
        <w:t>ere adequately and effectively implemented and were closed:</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1 (important): ensuring information-technology service continuity;</w:t>
      </w:r>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Recommendation No 3 (important): audit arrangements.</w:t>
      </w:r>
    </w:p>
    <w:p w:rsidR="000C6D03" w:rsidRDefault="00873433">
      <w:pPr>
        <w:numPr>
          <w:ilvl w:val="2"/>
          <w:numId w:val="0"/>
        </w:numPr>
        <w:spacing w:before="360" w:after="240" w:line="240" w:lineRule="auto"/>
        <w:jc w:val="both"/>
        <w:outlineLvl w:val="2"/>
        <w:rPr>
          <w:rFonts w:ascii="EC Square Sans Pro" w:eastAsia="Times New Roman" w:hAnsi="EC Square Sans Pro" w:cs="Times New Roman"/>
          <w:b/>
          <w:i/>
          <w:noProof/>
          <w:color w:val="005D95"/>
          <w:sz w:val="24"/>
          <w:szCs w:val="20"/>
          <w:lang w:eastAsia="en-GB"/>
        </w:rPr>
      </w:pPr>
      <w:bookmarkStart w:id="245" w:name="_Toc2946527"/>
      <w:bookmarkStart w:id="246" w:name="_Toc9237705"/>
      <w:bookmarkStart w:id="247" w:name="_Toc42788214"/>
      <w:r>
        <w:rPr>
          <w:rFonts w:ascii="EC Square Sans Pro" w:eastAsia="Times New Roman" w:hAnsi="EC Square Sans Pro" w:cs="Times New Roman"/>
          <w:b/>
          <w:i/>
          <w:noProof/>
          <w:color w:val="005D95"/>
          <w:sz w:val="24"/>
          <w:szCs w:val="20"/>
          <w:lang w:eastAsia="en-GB"/>
        </w:rPr>
        <w:t>List of follow-up audits performed in 2019 for which all r</w:t>
      </w:r>
      <w:r>
        <w:rPr>
          <w:rFonts w:ascii="EC Square Sans Pro" w:eastAsia="Times New Roman" w:hAnsi="EC Square Sans Pro" w:cs="Times New Roman"/>
          <w:b/>
          <w:i/>
          <w:noProof/>
          <w:color w:val="005D95"/>
          <w:sz w:val="24"/>
          <w:szCs w:val="20"/>
          <w:lang w:eastAsia="en-GB"/>
        </w:rPr>
        <w:t>ecommendations have been closed after the follow-up</w:t>
      </w:r>
      <w:bookmarkEnd w:id="245"/>
      <w:bookmarkEnd w:id="246"/>
      <w:bookmarkEnd w:id="247"/>
    </w:p>
    <w:p w:rsidR="000C6D03" w:rsidRDefault="00873433">
      <w:pPr>
        <w:spacing w:after="240" w:line="240" w:lineRule="auto"/>
        <w:jc w:val="both"/>
        <w:rPr>
          <w:rFonts w:ascii="EC Square Sans Pro" w:eastAsia="Times New Roman" w:hAnsi="EC Square Sans Pro" w:cs="Times New Roman"/>
          <w:noProof/>
          <w:sz w:val="20"/>
          <w:szCs w:val="20"/>
          <w:lang w:eastAsia="en-GB"/>
        </w:rPr>
      </w:pPr>
      <w:r>
        <w:rPr>
          <w:rFonts w:ascii="EC Square Sans Pro" w:eastAsia="Times New Roman" w:hAnsi="EC Square Sans Pro" w:cs="Times New Roman"/>
          <w:noProof/>
          <w:sz w:val="20"/>
          <w:szCs w:val="20"/>
          <w:lang w:eastAsia="en-GB"/>
        </w:rPr>
        <w:t>Based on the results of the follow-up audits performed in 2019, the Internal Audit Service assessed that the following audits listed below could be fully closed as all the recommendations had been adequat</w:t>
      </w:r>
      <w:r>
        <w:rPr>
          <w:rFonts w:ascii="EC Square Sans Pro" w:eastAsia="Times New Roman" w:hAnsi="EC Square Sans Pro" w:cs="Times New Roman"/>
          <w:noProof/>
          <w:sz w:val="20"/>
          <w:szCs w:val="20"/>
          <w:lang w:eastAsia="en-GB"/>
        </w:rPr>
        <w:t>ely implemented</w:t>
      </w:r>
      <w:r>
        <w:rPr>
          <w:rFonts w:ascii="Calibri" w:eastAsia="Times New Roman" w:hAnsi="Calibri" w:cs="Times New Roman"/>
          <w:noProof/>
          <w:sz w:val="20"/>
          <w:szCs w:val="20"/>
          <w:lang w:eastAsia="en-GB"/>
        </w:rPr>
        <w:t> </w:t>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vertAlign w:val="superscript"/>
          <w:lang w:val="nl" w:eastAsia="en-GB"/>
        </w:rPr>
        <w:footnoteReference w:id="26"/>
      </w:r>
      <w:r>
        <w:rPr>
          <w:rFonts w:ascii="Calibri" w:eastAsia="Times New Roman" w:hAnsi="Calibri" w:cs="Times New Roman"/>
          <w:noProof/>
          <w:sz w:val="20"/>
          <w:szCs w:val="20"/>
          <w:vertAlign w:val="superscript"/>
          <w:lang w:eastAsia="en-GB"/>
        </w:rPr>
        <w:t>)</w:t>
      </w:r>
      <w:r>
        <w:rPr>
          <w:rFonts w:ascii="EC Square Sans Pro" w:eastAsia="Times New Roman" w:hAnsi="EC Square Sans Pro" w:cs="Times New Roman"/>
          <w:noProof/>
          <w:sz w:val="20"/>
          <w:szCs w:val="20"/>
          <w:lang w:eastAsia="en-GB"/>
        </w:rPr>
        <w:t>.</w:t>
      </w:r>
    </w:p>
    <w:tbl>
      <w:tblPr>
        <w:tblStyle w:val="TableGrid5"/>
        <w:tblW w:w="7759" w:type="dxa"/>
        <w:tblInd w:w="598" w:type="dxa"/>
        <w:tblLook w:val="04A0" w:firstRow="1" w:lastRow="0" w:firstColumn="1" w:lastColumn="0" w:noHBand="0" w:noVBand="1"/>
      </w:tblPr>
      <w:tblGrid>
        <w:gridCol w:w="7759"/>
      </w:tblGrid>
      <w:tr w:rsidR="000C6D03">
        <w:trPr>
          <w:trHeight w:val="432"/>
        </w:trPr>
        <w:tc>
          <w:tcPr>
            <w:tcW w:w="7759" w:type="dxa"/>
            <w:shd w:val="clear" w:color="auto" w:fill="auto"/>
          </w:tcPr>
          <w:p w:rsidR="000C6D03" w:rsidRDefault="00873433">
            <w:pPr>
              <w:spacing w:before="120" w:after="120"/>
              <w:jc w:val="both"/>
              <w:rPr>
                <w:rFonts w:ascii="EC Square Sans Pro" w:hAnsi="EC Square Sans Pro"/>
                <w:b/>
                <w:noProof/>
              </w:rPr>
            </w:pPr>
            <w:r>
              <w:rPr>
                <w:rFonts w:ascii="EC Square Sans Pro" w:hAnsi="EC Square Sans Pro"/>
                <w:b/>
                <w:noProof/>
              </w:rPr>
              <w:t>Audit Title</w:t>
            </w:r>
          </w:p>
        </w:tc>
      </w:tr>
      <w:tr w:rsidR="000C6D03">
        <w:trPr>
          <w:trHeight w:val="372"/>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 xml:space="preserve">41. Follow-up audit on the limited review of the adjustment of the reported error rate by DG AGRI and the calculation of the amounts at risk at payment </w:t>
            </w:r>
          </w:p>
          <w:p w:rsidR="000C6D03" w:rsidRDefault="00873433">
            <w:pPr>
              <w:spacing w:after="120"/>
              <w:jc w:val="both"/>
              <w:rPr>
                <w:rFonts w:ascii="EC Square Sans Pro" w:hAnsi="EC Square Sans Pro"/>
                <w:noProof/>
              </w:rPr>
            </w:pPr>
            <w:r>
              <w:rPr>
                <w:rFonts w:ascii="EC Square Sans Pro" w:hAnsi="EC Square Sans Pro"/>
                <w:noProof/>
              </w:rPr>
              <w:t xml:space="preserve">42. Follow-up audit on the design of DG AGRI’s </w:t>
            </w:r>
            <w:r>
              <w:rPr>
                <w:rFonts w:ascii="EC Square Sans Pro" w:hAnsi="EC Square Sans Pro"/>
                <w:noProof/>
              </w:rPr>
              <w:t>performance-measurement system for the 2014-2020 common agricultural policy</w:t>
            </w:r>
          </w:p>
          <w:p w:rsidR="000C6D03" w:rsidRDefault="00873433">
            <w:pPr>
              <w:spacing w:after="120"/>
              <w:jc w:val="both"/>
              <w:rPr>
                <w:rFonts w:ascii="EC Square Sans Pro" w:hAnsi="EC Square Sans Pro"/>
                <w:noProof/>
              </w:rPr>
            </w:pPr>
            <w:r>
              <w:rPr>
                <w:rFonts w:ascii="EC Square Sans Pro" w:hAnsi="EC Square Sans Pro"/>
                <w:noProof/>
              </w:rPr>
              <w:t>43. Follow-up audit of DG AGRI’s management of the agricultural-market crisis</w:t>
            </w:r>
          </w:p>
          <w:p w:rsidR="000C6D03" w:rsidRDefault="00873433">
            <w:pPr>
              <w:spacing w:after="120"/>
              <w:jc w:val="both"/>
              <w:rPr>
                <w:rFonts w:ascii="EC Square Sans Pro" w:hAnsi="EC Square Sans Pro"/>
                <w:noProof/>
              </w:rPr>
            </w:pPr>
            <w:r>
              <w:rPr>
                <w:rFonts w:ascii="EC Square Sans Pro" w:hAnsi="EC Square Sans Pro"/>
                <w:noProof/>
              </w:rPr>
              <w:t>44. Follow-up audit on the implementation of rural development programmes in DG AGRI</w:t>
            </w:r>
          </w:p>
          <w:p w:rsidR="000C6D03" w:rsidRDefault="00873433">
            <w:pPr>
              <w:spacing w:after="120"/>
              <w:jc w:val="both"/>
              <w:rPr>
                <w:rFonts w:ascii="EC Square Sans Pro" w:hAnsi="EC Square Sans Pro"/>
                <w:noProof/>
              </w:rPr>
            </w:pPr>
            <w:r>
              <w:rPr>
                <w:rFonts w:ascii="EC Square Sans Pro" w:hAnsi="EC Square Sans Pro"/>
                <w:noProof/>
              </w:rPr>
              <w:t>45. Follow-up aud</w:t>
            </w:r>
            <w:r>
              <w:rPr>
                <w:rFonts w:ascii="EC Square Sans Pro" w:hAnsi="EC Square Sans Pro"/>
                <w:noProof/>
              </w:rPr>
              <w:t>it on payment suspensions and interruptions in the 2014-2020 common agricultural policy framework in DG AGRI</w:t>
            </w:r>
          </w:p>
          <w:p w:rsidR="000C6D03" w:rsidRDefault="00873433">
            <w:pPr>
              <w:spacing w:after="120"/>
              <w:jc w:val="both"/>
              <w:rPr>
                <w:rFonts w:ascii="EC Square Sans Pro" w:hAnsi="EC Square Sans Pro"/>
                <w:noProof/>
              </w:rPr>
            </w:pPr>
            <w:r>
              <w:rPr>
                <w:rFonts w:ascii="EC Square Sans Pro" w:hAnsi="EC Square Sans Pro"/>
                <w:noProof/>
              </w:rPr>
              <w:t xml:space="preserve">46. Follow-up audit on the management of grants under the 2014-2020 consumer and health programmes in CHAFEA </w:t>
            </w:r>
          </w:p>
          <w:p w:rsidR="000C6D03" w:rsidRDefault="00873433">
            <w:pPr>
              <w:spacing w:after="120"/>
              <w:jc w:val="both"/>
              <w:rPr>
                <w:rFonts w:ascii="EC Square Sans Pro" w:hAnsi="EC Square Sans Pro"/>
                <w:noProof/>
              </w:rPr>
            </w:pPr>
            <w:r>
              <w:rPr>
                <w:rFonts w:ascii="EC Square Sans Pro" w:hAnsi="EC Square Sans Pro"/>
                <w:noProof/>
              </w:rPr>
              <w:t>47. Follow-up audit on food-safety pr</w:t>
            </w:r>
            <w:r>
              <w:rPr>
                <w:rFonts w:ascii="EC Square Sans Pro" w:hAnsi="EC Square Sans Pro"/>
                <w:noProof/>
              </w:rPr>
              <w:t>eparedness in DG SANTE</w:t>
            </w:r>
          </w:p>
          <w:p w:rsidR="000C6D03" w:rsidRDefault="00873433">
            <w:pPr>
              <w:spacing w:after="120"/>
              <w:jc w:val="both"/>
              <w:rPr>
                <w:rFonts w:ascii="EC Square Sans Pro" w:hAnsi="EC Square Sans Pro"/>
                <w:noProof/>
              </w:rPr>
            </w:pPr>
            <w:r>
              <w:rPr>
                <w:rFonts w:ascii="EC Square Sans Pro" w:hAnsi="EC Square Sans Pro"/>
                <w:noProof/>
              </w:rPr>
              <w:t>48. Follow-up audit on staff allocation and process management in response to staff reduction in DG ENV</w:t>
            </w:r>
          </w:p>
        </w:tc>
      </w:tr>
      <w:tr w:rsidR="000C6D03">
        <w:trPr>
          <w:trHeight w:val="567"/>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49. Follow-up audit on the financial management of the SRSS (current REFORM)</w:t>
            </w:r>
          </w:p>
          <w:p w:rsidR="000C6D03" w:rsidRDefault="00873433">
            <w:pPr>
              <w:spacing w:after="120"/>
              <w:jc w:val="both"/>
              <w:rPr>
                <w:rFonts w:ascii="EC Square Sans Pro" w:hAnsi="EC Square Sans Pro"/>
                <w:noProof/>
              </w:rPr>
            </w:pPr>
            <w:r>
              <w:rPr>
                <w:rFonts w:ascii="EC Square Sans Pro" w:hAnsi="EC Square Sans Pro"/>
                <w:noProof/>
              </w:rPr>
              <w:t>50. Follow-up audit on closure and accounting proce</w:t>
            </w:r>
            <w:r>
              <w:rPr>
                <w:rFonts w:ascii="EC Square Sans Pro" w:hAnsi="EC Square Sans Pro"/>
                <w:noProof/>
              </w:rPr>
              <w:t>sses in DG EMPL</w:t>
            </w:r>
          </w:p>
          <w:p w:rsidR="000C6D03" w:rsidRDefault="00873433">
            <w:pPr>
              <w:spacing w:after="120"/>
              <w:jc w:val="both"/>
              <w:rPr>
                <w:rFonts w:ascii="EC Square Sans Pro" w:hAnsi="EC Square Sans Pro"/>
                <w:noProof/>
              </w:rPr>
            </w:pPr>
            <w:r>
              <w:rPr>
                <w:rFonts w:ascii="EC Square Sans Pro" w:hAnsi="EC Square Sans Pro"/>
                <w:noProof/>
              </w:rPr>
              <w:t>51. Follow-up audit on policy and funding for youth employment in DG EMPL</w:t>
            </w:r>
          </w:p>
          <w:p w:rsidR="000C6D03" w:rsidRDefault="00873433">
            <w:pPr>
              <w:spacing w:after="120"/>
              <w:jc w:val="both"/>
              <w:rPr>
                <w:rFonts w:ascii="EC Square Sans Pro" w:hAnsi="EC Square Sans Pro"/>
                <w:noProof/>
              </w:rPr>
            </w:pPr>
            <w:r>
              <w:rPr>
                <w:rFonts w:ascii="EC Square Sans Pro" w:hAnsi="EC Square Sans Pro"/>
                <w:noProof/>
              </w:rPr>
              <w:t>52. Follow-up audit on monitoring the implementation and performance of the fund for European aid to the most deprived operational programmes in DG EMPL</w:t>
            </w:r>
          </w:p>
          <w:p w:rsidR="000C6D03" w:rsidRDefault="00873433">
            <w:pPr>
              <w:spacing w:after="120"/>
              <w:jc w:val="both"/>
              <w:rPr>
                <w:rFonts w:ascii="EC Square Sans Pro" w:hAnsi="EC Square Sans Pro"/>
                <w:noProof/>
              </w:rPr>
            </w:pPr>
            <w:r>
              <w:rPr>
                <w:rFonts w:ascii="EC Square Sans Pro" w:hAnsi="EC Square Sans Pro"/>
                <w:noProof/>
              </w:rPr>
              <w:t>53. Follow-up</w:t>
            </w:r>
            <w:r>
              <w:rPr>
                <w:rFonts w:ascii="EC Square Sans Pro" w:hAnsi="EC Square Sans Pro"/>
                <w:noProof/>
              </w:rPr>
              <w:t xml:space="preserve"> audit on preparations for the use of financial instruments in DG EMPL</w:t>
            </w:r>
          </w:p>
          <w:p w:rsidR="000C6D03" w:rsidRDefault="00873433">
            <w:pPr>
              <w:spacing w:after="120"/>
              <w:jc w:val="both"/>
              <w:rPr>
                <w:rFonts w:ascii="EC Square Sans Pro" w:hAnsi="EC Square Sans Pro"/>
                <w:noProof/>
              </w:rPr>
            </w:pPr>
            <w:r>
              <w:rPr>
                <w:rFonts w:ascii="EC Square Sans Pro" w:hAnsi="EC Square Sans Pro"/>
                <w:noProof/>
              </w:rPr>
              <w:t>54. Follow-up of the l</w:t>
            </w:r>
            <w:r>
              <w:rPr>
                <w:rFonts w:ascii="EC Square Sans Pro" w:hAnsi="EC Square Sans Pro"/>
                <w:bCs/>
                <w:noProof/>
              </w:rPr>
              <w:t xml:space="preserve">imited review of the reporting on the corrective capacity </w:t>
            </w:r>
            <w:r>
              <w:rPr>
                <w:rFonts w:ascii="EC Square Sans Pro" w:hAnsi="EC Square Sans Pro"/>
                <w:noProof/>
              </w:rPr>
              <w:t>in DG EMPL</w:t>
            </w:r>
          </w:p>
          <w:p w:rsidR="000C6D03" w:rsidRDefault="00873433">
            <w:pPr>
              <w:spacing w:after="120"/>
              <w:jc w:val="both"/>
              <w:rPr>
                <w:rFonts w:ascii="EC Square Sans Pro" w:hAnsi="EC Square Sans Pro"/>
                <w:noProof/>
              </w:rPr>
            </w:pPr>
            <w:r>
              <w:rPr>
                <w:rFonts w:ascii="EC Square Sans Pro" w:hAnsi="EC Square Sans Pro"/>
                <w:noProof/>
              </w:rPr>
              <w:t>55. Follow-up audit on amendments to 2014-2020 operational programmes in DGs REGIO, EMPL and M</w:t>
            </w:r>
            <w:r>
              <w:rPr>
                <w:rFonts w:ascii="EC Square Sans Pro" w:hAnsi="EC Square Sans Pro"/>
                <w:noProof/>
              </w:rPr>
              <w:t>ARE - DG EMPL</w:t>
            </w:r>
          </w:p>
          <w:p w:rsidR="000C6D03" w:rsidRDefault="00873433">
            <w:pPr>
              <w:spacing w:after="120"/>
              <w:jc w:val="both"/>
              <w:rPr>
                <w:rFonts w:ascii="EC Square Sans Pro" w:hAnsi="EC Square Sans Pro"/>
                <w:noProof/>
              </w:rPr>
            </w:pPr>
            <w:r>
              <w:rPr>
                <w:rFonts w:ascii="EC Square Sans Pro" w:hAnsi="EC Square Sans Pro"/>
                <w:noProof/>
              </w:rPr>
              <w:t xml:space="preserve">56. Follow-up audit on amendments to 2014-2020 operational programmes in DGs REGIO, EMPL and MARE - DG REGIO </w:t>
            </w:r>
          </w:p>
          <w:p w:rsidR="000C6D03" w:rsidRDefault="00873433">
            <w:pPr>
              <w:spacing w:after="120"/>
              <w:jc w:val="both"/>
              <w:rPr>
                <w:rFonts w:ascii="EC Square Sans Pro" w:hAnsi="EC Square Sans Pro"/>
                <w:noProof/>
              </w:rPr>
            </w:pPr>
            <w:r>
              <w:rPr>
                <w:rFonts w:ascii="EC Square Sans Pro" w:hAnsi="EC Square Sans Pro"/>
                <w:noProof/>
              </w:rPr>
              <w:t>57. Follow-up audit on the evaluation process in DG REGIO</w:t>
            </w:r>
          </w:p>
          <w:p w:rsidR="000C6D03" w:rsidRDefault="00873433">
            <w:pPr>
              <w:spacing w:after="120"/>
              <w:rPr>
                <w:rFonts w:ascii="EC Square Sans Pro" w:hAnsi="EC Square Sans Pro"/>
                <w:noProof/>
              </w:rPr>
            </w:pPr>
            <w:r>
              <w:rPr>
                <w:rFonts w:ascii="EC Square Sans Pro" w:hAnsi="EC Square Sans Pro"/>
                <w:noProof/>
              </w:rPr>
              <w:t>58. Follow-up of the l</w:t>
            </w:r>
            <w:r>
              <w:rPr>
                <w:rFonts w:ascii="EC Square Sans Pro" w:hAnsi="EC Square Sans Pro"/>
                <w:bCs/>
                <w:noProof/>
              </w:rPr>
              <w:t xml:space="preserve">imited review of the reporting on the corrective capacity </w:t>
            </w:r>
            <w:r>
              <w:rPr>
                <w:rFonts w:ascii="EC Square Sans Pro" w:hAnsi="EC Square Sans Pro"/>
                <w:noProof/>
              </w:rPr>
              <w:t>in DG REGIO</w:t>
            </w:r>
          </w:p>
        </w:tc>
      </w:tr>
      <w:tr w:rsidR="000C6D03">
        <w:trPr>
          <w:trHeight w:val="1032"/>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 xml:space="preserve">59. Follow-up audit on human resources management in DG CNECT </w:t>
            </w:r>
          </w:p>
          <w:p w:rsidR="000C6D03" w:rsidRDefault="00873433">
            <w:pPr>
              <w:spacing w:after="120"/>
              <w:jc w:val="both"/>
              <w:rPr>
                <w:rFonts w:ascii="EC Square Sans Pro" w:hAnsi="EC Square Sans Pro"/>
                <w:noProof/>
              </w:rPr>
            </w:pPr>
            <w:r>
              <w:rPr>
                <w:rFonts w:ascii="EC Square Sans Pro" w:hAnsi="EC Square Sans Pro"/>
                <w:noProof/>
              </w:rPr>
              <w:t>60. Follow-up audit on the management of recovery orders for competition fines and recovery orders in the context of the C</w:t>
            </w:r>
            <w:r>
              <w:rPr>
                <w:rFonts w:ascii="EC Square Sans Pro" w:hAnsi="EC Square Sans Pro"/>
                <w:noProof/>
              </w:rPr>
              <w:t>ommission’s corrective capacity – phase 1 in DG ENER</w:t>
            </w:r>
          </w:p>
          <w:p w:rsidR="000C6D03" w:rsidRDefault="00873433">
            <w:pPr>
              <w:spacing w:after="120"/>
              <w:jc w:val="both"/>
              <w:rPr>
                <w:rFonts w:ascii="EC Square Sans Pro" w:hAnsi="EC Square Sans Pro"/>
                <w:noProof/>
              </w:rPr>
            </w:pPr>
            <w:r>
              <w:rPr>
                <w:rFonts w:ascii="EC Square Sans Pro" w:hAnsi="EC Square Sans Pro"/>
                <w:noProof/>
              </w:rPr>
              <w:t>61. Follow-up audit on the management and functioning of the nuclear-safeguards service in DG ENER</w:t>
            </w:r>
          </w:p>
          <w:p w:rsidR="000C6D03" w:rsidRDefault="00873433">
            <w:pPr>
              <w:spacing w:after="120"/>
              <w:jc w:val="both"/>
              <w:rPr>
                <w:rFonts w:ascii="EC Square Sans Pro" w:hAnsi="EC Square Sans Pro"/>
                <w:noProof/>
              </w:rPr>
            </w:pPr>
            <w:r>
              <w:rPr>
                <w:rFonts w:ascii="EC Square Sans Pro" w:hAnsi="EC Square Sans Pro"/>
                <w:noProof/>
              </w:rPr>
              <w:t>62. Follow-up audit on the supervision of the international thermonuclear experimental reactor in DG ENE</w:t>
            </w:r>
            <w:r>
              <w:rPr>
                <w:rFonts w:ascii="EC Square Sans Pro" w:hAnsi="EC Square Sans Pro"/>
                <w:noProof/>
              </w:rPr>
              <w:t>R</w:t>
            </w:r>
          </w:p>
          <w:p w:rsidR="000C6D03" w:rsidRDefault="00873433">
            <w:pPr>
              <w:spacing w:after="120"/>
              <w:jc w:val="both"/>
              <w:rPr>
                <w:rFonts w:ascii="EC Square Sans Pro" w:hAnsi="EC Square Sans Pro"/>
                <w:noProof/>
              </w:rPr>
            </w:pPr>
            <w:r>
              <w:rPr>
                <w:rFonts w:ascii="EC Square Sans Pro" w:hAnsi="EC Square Sans Pro"/>
                <w:noProof/>
              </w:rPr>
              <w:t xml:space="preserve">63. Follow-up audit on grant-management phase 2: project management and payments for CEF in INEA </w:t>
            </w:r>
          </w:p>
          <w:p w:rsidR="000C6D03" w:rsidRDefault="00873433">
            <w:pPr>
              <w:spacing w:after="120"/>
              <w:jc w:val="both"/>
              <w:rPr>
                <w:rFonts w:ascii="EC Square Sans Pro" w:hAnsi="EC Square Sans Pro"/>
                <w:noProof/>
              </w:rPr>
            </w:pPr>
            <w:r>
              <w:rPr>
                <w:rFonts w:ascii="EC Square Sans Pro" w:hAnsi="EC Square Sans Pro"/>
                <w:noProof/>
              </w:rPr>
              <w:t>64. Follow-up audit on grant-management phase 2: project management and payments for H2020 in INEA</w:t>
            </w:r>
          </w:p>
          <w:p w:rsidR="000C6D03" w:rsidRDefault="00873433">
            <w:pPr>
              <w:spacing w:after="120"/>
              <w:jc w:val="both"/>
              <w:rPr>
                <w:rFonts w:ascii="EC Square Sans Pro" w:hAnsi="EC Square Sans Pro"/>
                <w:noProof/>
              </w:rPr>
            </w:pPr>
            <w:r>
              <w:rPr>
                <w:rFonts w:ascii="EC Square Sans Pro" w:hAnsi="EC Square Sans Pro"/>
                <w:noProof/>
              </w:rPr>
              <w:t>65. Follow-up audit on human-resources management in INEA</w:t>
            </w:r>
          </w:p>
          <w:p w:rsidR="000C6D03" w:rsidRDefault="00873433">
            <w:pPr>
              <w:spacing w:after="120"/>
              <w:jc w:val="both"/>
              <w:rPr>
                <w:rFonts w:ascii="EC Square Sans Pro" w:hAnsi="EC Square Sans Pro"/>
                <w:noProof/>
              </w:rPr>
            </w:pPr>
            <w:r>
              <w:rPr>
                <w:rFonts w:ascii="EC Square Sans Pro" w:hAnsi="EC Square Sans Pro"/>
                <w:noProof/>
              </w:rPr>
              <w:t xml:space="preserve">66. Follow-up audit on the management of </w:t>
            </w:r>
            <w:r>
              <w:rPr>
                <w:rFonts w:ascii="EC Square Sans Pro" w:hAnsi="EC Square Sans Pro"/>
                <w:i/>
                <w:noProof/>
              </w:rPr>
              <w:t>intra-muros</w:t>
            </w:r>
            <w:r>
              <w:rPr>
                <w:rFonts w:ascii="EC Square Sans Pro" w:hAnsi="EC Square Sans Pro"/>
                <w:noProof/>
              </w:rPr>
              <w:t xml:space="preserve"> contractors in the JRC </w:t>
            </w:r>
          </w:p>
          <w:p w:rsidR="000C6D03" w:rsidRDefault="00873433">
            <w:pPr>
              <w:spacing w:after="120"/>
              <w:jc w:val="both"/>
              <w:rPr>
                <w:rFonts w:ascii="EC Square Sans Pro" w:hAnsi="EC Square Sans Pro"/>
                <w:noProof/>
              </w:rPr>
            </w:pPr>
            <w:r>
              <w:rPr>
                <w:rFonts w:ascii="EC Square Sans Pro" w:hAnsi="EC Square Sans Pro"/>
                <w:noProof/>
              </w:rPr>
              <w:t xml:space="preserve">67. Follow-up audit on the effectiveness of the set-up and supervision of the Shift2Rail joint undertaking by DG MOVE </w:t>
            </w:r>
          </w:p>
          <w:p w:rsidR="000C6D03" w:rsidRDefault="00873433">
            <w:pPr>
              <w:spacing w:after="120"/>
              <w:jc w:val="both"/>
              <w:rPr>
                <w:rFonts w:ascii="EC Square Sans Pro" w:hAnsi="EC Square Sans Pro"/>
                <w:noProof/>
              </w:rPr>
            </w:pPr>
            <w:r>
              <w:rPr>
                <w:rFonts w:ascii="EC Square Sans Pro" w:hAnsi="EC Square Sans Pro"/>
                <w:noProof/>
              </w:rPr>
              <w:t xml:space="preserve">68. Follow-up audit on past audits in REA: (1) H2020 grant </w:t>
            </w:r>
            <w:r>
              <w:rPr>
                <w:rFonts w:ascii="EC Square Sans Pro" w:hAnsi="EC Square Sans Pro"/>
                <w:noProof/>
              </w:rPr>
              <w:t xml:space="preserve">management, (2) human resources management, (3) closure of FP7 projects </w:t>
            </w:r>
          </w:p>
          <w:p w:rsidR="000C6D03" w:rsidRDefault="00873433">
            <w:pPr>
              <w:spacing w:after="120"/>
              <w:jc w:val="both"/>
              <w:rPr>
                <w:rFonts w:ascii="EC Square Sans Pro" w:hAnsi="EC Square Sans Pro"/>
                <w:noProof/>
              </w:rPr>
            </w:pPr>
            <w:r>
              <w:rPr>
                <w:rFonts w:ascii="EC Square Sans Pro" w:hAnsi="EC Square Sans Pro"/>
                <w:noProof/>
              </w:rPr>
              <w:t xml:space="preserve">69. Follow-up audit on H2020 grant management – Phase 2 (project monitoring and </w:t>
            </w:r>
            <w:r>
              <w:rPr>
                <w:rFonts w:ascii="EC Square Sans Pro" w:hAnsi="EC Square Sans Pro"/>
                <w:i/>
                <w:noProof/>
              </w:rPr>
              <w:t>ex ante</w:t>
            </w:r>
            <w:r>
              <w:rPr>
                <w:rFonts w:ascii="EC Square Sans Pro" w:hAnsi="EC Square Sans Pro"/>
                <w:noProof/>
              </w:rPr>
              <w:t xml:space="preserve"> controls) in REA</w:t>
            </w:r>
          </w:p>
          <w:p w:rsidR="000C6D03" w:rsidRDefault="00873433">
            <w:pPr>
              <w:spacing w:after="120"/>
              <w:jc w:val="both"/>
              <w:rPr>
                <w:rFonts w:ascii="EC Square Sans Pro" w:hAnsi="EC Square Sans Pro"/>
                <w:noProof/>
              </w:rPr>
            </w:pPr>
            <w:r>
              <w:rPr>
                <w:rFonts w:ascii="EC Square Sans Pro" w:hAnsi="EC Square Sans Pro"/>
                <w:noProof/>
              </w:rPr>
              <w:t>(p.m.)</w:t>
            </w:r>
            <w:r>
              <w:rPr>
                <w:rFonts w:ascii="Calibri" w:hAnsi="Calibri"/>
                <w:noProof/>
              </w:rPr>
              <w:t> </w:t>
            </w:r>
            <w:r>
              <w:rPr>
                <w:rFonts w:ascii="Calibri" w:hAnsi="Calibri"/>
                <w:noProof/>
                <w:vertAlign w:val="superscript"/>
              </w:rPr>
              <w:t>(</w:t>
            </w:r>
            <w:r>
              <w:rPr>
                <w:rFonts w:ascii="EC Square Sans Pro" w:hAnsi="EC Square Sans Pro"/>
                <w:noProof/>
                <w:vertAlign w:val="superscript"/>
                <w:lang w:val="nl"/>
              </w:rPr>
              <w:footnoteReference w:id="27"/>
            </w:r>
            <w:r>
              <w:rPr>
                <w:rFonts w:ascii="Calibri" w:hAnsi="Calibri"/>
                <w:noProof/>
                <w:vertAlign w:val="superscript"/>
              </w:rPr>
              <w:t>)</w:t>
            </w:r>
            <w:r>
              <w:rPr>
                <w:rFonts w:ascii="EC Square Sans Pro" w:hAnsi="EC Square Sans Pro"/>
                <w:noProof/>
              </w:rPr>
              <w:t xml:space="preserve"> Follow-up on past IAS audits in DG RTD: HR management</w:t>
            </w:r>
          </w:p>
        </w:tc>
      </w:tr>
      <w:tr w:rsidR="000C6D03">
        <w:trPr>
          <w:trHeight w:val="1032"/>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 xml:space="preserve">70. </w:t>
            </w:r>
            <w:r>
              <w:rPr>
                <w:rFonts w:ascii="EC Square Sans Pro" w:hAnsi="EC Square Sans Pro"/>
                <w:noProof/>
              </w:rPr>
              <w:t>Follow-up audit on the management of the African Peace Facility in DG DEVCO</w:t>
            </w:r>
          </w:p>
          <w:p w:rsidR="000C6D03" w:rsidRDefault="00873433">
            <w:pPr>
              <w:spacing w:after="120"/>
              <w:jc w:val="both"/>
              <w:rPr>
                <w:rFonts w:ascii="EC Square Sans Pro" w:hAnsi="EC Square Sans Pro"/>
                <w:noProof/>
              </w:rPr>
            </w:pPr>
            <w:r>
              <w:rPr>
                <w:rFonts w:ascii="EC Square Sans Pro" w:hAnsi="EC Square Sans Pro"/>
                <w:noProof/>
              </w:rPr>
              <w:t>71. Follow-up audit on DG DEVCO’s payment deadlines</w:t>
            </w:r>
          </w:p>
          <w:p w:rsidR="000C6D03" w:rsidRDefault="00873433">
            <w:pPr>
              <w:spacing w:after="120"/>
              <w:jc w:val="both"/>
              <w:rPr>
                <w:rFonts w:ascii="EC Square Sans Pro" w:hAnsi="EC Square Sans Pro"/>
                <w:noProof/>
              </w:rPr>
            </w:pPr>
            <w:r>
              <w:rPr>
                <w:rFonts w:ascii="EC Square Sans Pro" w:hAnsi="EC Square Sans Pro"/>
                <w:noProof/>
              </w:rPr>
              <w:t>72 Follow-up audit on DG ECHO’s grant management in response to the Syrian crisis in the Middle East (Headquarters and field off</w:t>
            </w:r>
            <w:r>
              <w:rPr>
                <w:rFonts w:ascii="EC Square Sans Pro" w:hAnsi="EC Square Sans Pro"/>
                <w:noProof/>
              </w:rPr>
              <w:t>ices)</w:t>
            </w:r>
          </w:p>
          <w:p w:rsidR="000C6D03" w:rsidRDefault="00873433">
            <w:pPr>
              <w:spacing w:after="120"/>
              <w:jc w:val="both"/>
              <w:rPr>
                <w:rFonts w:ascii="EC Square Sans Pro" w:hAnsi="EC Square Sans Pro"/>
                <w:noProof/>
              </w:rPr>
            </w:pPr>
            <w:r>
              <w:rPr>
                <w:rFonts w:ascii="EC Square Sans Pro" w:hAnsi="EC Square Sans Pro"/>
                <w:noProof/>
              </w:rPr>
              <w:t>73. and 74. Follow-up audit on procurement under the instrument for pre-accession (direct management and indirect management with beneficiary countries) – Phase 1 in DG NEAR (two follow-up audits performed in 2019)</w:t>
            </w:r>
          </w:p>
          <w:p w:rsidR="000C6D03" w:rsidRDefault="00873433">
            <w:pPr>
              <w:keepNext/>
              <w:spacing w:after="120"/>
              <w:jc w:val="both"/>
              <w:rPr>
                <w:rFonts w:ascii="EC Square Sans Pro" w:hAnsi="EC Square Sans Pro"/>
                <w:noProof/>
              </w:rPr>
            </w:pPr>
            <w:r>
              <w:rPr>
                <w:rFonts w:ascii="EC Square Sans Pro" w:hAnsi="EC Square Sans Pro"/>
                <w:noProof/>
              </w:rPr>
              <w:t xml:space="preserve">75. Follow-up audit on procurement </w:t>
            </w:r>
            <w:r>
              <w:rPr>
                <w:rFonts w:ascii="EC Square Sans Pro" w:hAnsi="EC Square Sans Pro"/>
                <w:noProof/>
              </w:rPr>
              <w:t>under instrument for pre-accession (direct management and indirect management with beneficiary countries) – Phase 2 in DG NEAR</w:t>
            </w:r>
          </w:p>
        </w:tc>
      </w:tr>
      <w:tr w:rsidR="000C6D03">
        <w:trPr>
          <w:trHeight w:val="965"/>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 xml:space="preserve">76. Follow-up audit on performance-management systems in DG EAC, including the contributions of executive agencies and national </w:t>
            </w:r>
            <w:r>
              <w:rPr>
                <w:rFonts w:ascii="EC Square Sans Pro" w:hAnsi="EC Square Sans Pro"/>
                <w:noProof/>
              </w:rPr>
              <w:t>agencies to the achievement of policy objectives</w:t>
            </w:r>
          </w:p>
          <w:p w:rsidR="000C6D03" w:rsidRDefault="00873433">
            <w:pPr>
              <w:spacing w:after="120"/>
              <w:jc w:val="both"/>
              <w:rPr>
                <w:rFonts w:ascii="EC Square Sans Pro" w:hAnsi="EC Square Sans Pro"/>
                <w:noProof/>
              </w:rPr>
            </w:pPr>
            <w:r>
              <w:rPr>
                <w:rFonts w:ascii="EC Square Sans Pro" w:hAnsi="EC Square Sans Pro"/>
                <w:noProof/>
              </w:rPr>
              <w:t xml:space="preserve">77. Follow-up audit on DG EAC’s: (i) </w:t>
            </w:r>
            <w:r>
              <w:rPr>
                <w:rFonts w:ascii="EC Square Sans Pro" w:hAnsi="EC Square Sans Pro"/>
                <w:i/>
                <w:noProof/>
              </w:rPr>
              <w:t>ex post</w:t>
            </w:r>
            <w:r>
              <w:rPr>
                <w:rFonts w:ascii="EC Square Sans Pro" w:hAnsi="EC Square Sans Pro"/>
                <w:noProof/>
              </w:rPr>
              <w:t xml:space="preserve"> financial audits; (ii) independent audit bodies’ opinions; and (iii) controls on grant-proposal evaluation for Erasmus+ actions implemented by national agencies. </w:t>
            </w:r>
          </w:p>
          <w:p w:rsidR="000C6D03" w:rsidRDefault="00873433">
            <w:pPr>
              <w:spacing w:after="120"/>
              <w:jc w:val="both"/>
              <w:rPr>
                <w:rFonts w:ascii="EC Square Sans Pro" w:hAnsi="EC Square Sans Pro"/>
                <w:noProof/>
              </w:rPr>
            </w:pPr>
            <w:r>
              <w:rPr>
                <w:rFonts w:ascii="EC Square Sans Pro" w:hAnsi="EC Square Sans Pro"/>
                <w:noProof/>
              </w:rPr>
              <w:t>78. Follow-up audit on human-resources management in EACEA</w:t>
            </w:r>
          </w:p>
          <w:p w:rsidR="000C6D03" w:rsidRDefault="00873433">
            <w:pPr>
              <w:spacing w:after="120"/>
              <w:jc w:val="both"/>
              <w:rPr>
                <w:rFonts w:ascii="EC Square Sans Pro" w:hAnsi="EC Square Sans Pro"/>
                <w:noProof/>
              </w:rPr>
            </w:pPr>
            <w:r>
              <w:rPr>
                <w:rFonts w:ascii="EC Square Sans Pro" w:hAnsi="EC Square Sans Pro"/>
                <w:noProof/>
              </w:rPr>
              <w:t>79. and 80. Follow-up audit on Erasmus+ and Creative Europe grant-management phase 1 (from the call to the signature of contracts) in EACEA (two follow-up audits performed in 2019)</w:t>
            </w:r>
          </w:p>
          <w:p w:rsidR="000C6D03" w:rsidRDefault="00873433">
            <w:pPr>
              <w:spacing w:after="120"/>
              <w:jc w:val="both"/>
              <w:rPr>
                <w:rFonts w:ascii="EC Square Sans Pro" w:hAnsi="EC Square Sans Pro"/>
                <w:noProof/>
              </w:rPr>
            </w:pPr>
            <w:r>
              <w:rPr>
                <w:rFonts w:ascii="EC Square Sans Pro" w:hAnsi="EC Square Sans Pro"/>
                <w:noProof/>
              </w:rPr>
              <w:t>81. Follow-up a</w:t>
            </w:r>
            <w:r>
              <w:rPr>
                <w:rFonts w:ascii="EC Square Sans Pro" w:hAnsi="EC Square Sans Pro"/>
                <w:noProof/>
              </w:rPr>
              <w:t>udit on the management of recovery orders for competition fines and for recovery orders in the context of the Commission's 'corrective capacity'– Phase 1 in EACEA</w:t>
            </w:r>
          </w:p>
          <w:p w:rsidR="000C6D03" w:rsidRDefault="00873433">
            <w:pPr>
              <w:spacing w:after="120"/>
              <w:jc w:val="both"/>
              <w:rPr>
                <w:rFonts w:ascii="EC Square Sans Pro" w:hAnsi="EC Square Sans Pro"/>
                <w:noProof/>
              </w:rPr>
            </w:pPr>
            <w:r>
              <w:rPr>
                <w:rFonts w:ascii="EC Square Sans Pro" w:hAnsi="EC Square Sans Pro"/>
                <w:noProof/>
              </w:rPr>
              <w:t>82. Follow-up audit on risk management in DG HOME</w:t>
            </w:r>
          </w:p>
          <w:p w:rsidR="000C6D03" w:rsidRDefault="00873433">
            <w:pPr>
              <w:spacing w:after="120"/>
              <w:jc w:val="both"/>
              <w:rPr>
                <w:rFonts w:ascii="EC Square Sans Pro" w:hAnsi="EC Square Sans Pro"/>
                <w:noProof/>
              </w:rPr>
            </w:pPr>
            <w:r>
              <w:rPr>
                <w:rFonts w:ascii="EC Square Sans Pro" w:hAnsi="EC Square Sans Pro"/>
                <w:noProof/>
              </w:rPr>
              <w:t>83. Follow-up audit on risk management in D</w:t>
            </w:r>
            <w:r>
              <w:rPr>
                <w:rFonts w:ascii="EC Square Sans Pro" w:hAnsi="EC Square Sans Pro"/>
                <w:noProof/>
              </w:rPr>
              <w:t>G JUST</w:t>
            </w:r>
          </w:p>
        </w:tc>
      </w:tr>
      <w:tr w:rsidR="000C6D03">
        <w:trPr>
          <w:trHeight w:val="274"/>
        </w:trPr>
        <w:tc>
          <w:tcPr>
            <w:tcW w:w="7759" w:type="dxa"/>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84. and 85. Follow-up on management of human resources in EASME (two follow-up audits performed in 2019)</w:t>
            </w:r>
          </w:p>
          <w:p w:rsidR="000C6D03" w:rsidRDefault="00873433">
            <w:pPr>
              <w:spacing w:after="120"/>
              <w:jc w:val="both"/>
              <w:rPr>
                <w:rFonts w:ascii="EC Square Sans Pro" w:hAnsi="EC Square Sans Pro"/>
                <w:noProof/>
              </w:rPr>
            </w:pPr>
            <w:r>
              <w:rPr>
                <w:rFonts w:ascii="EC Square Sans Pro" w:hAnsi="EC Square Sans Pro"/>
                <w:noProof/>
              </w:rPr>
              <w:t xml:space="preserve">86. Follow-up audit on the setting of objectives and measurement of performance in DG GROW </w:t>
            </w:r>
          </w:p>
          <w:p w:rsidR="000C6D03" w:rsidRDefault="00873433">
            <w:pPr>
              <w:spacing w:after="120"/>
              <w:jc w:val="both"/>
              <w:rPr>
                <w:rFonts w:ascii="EC Square Sans Pro" w:hAnsi="EC Square Sans Pro"/>
                <w:noProof/>
              </w:rPr>
            </w:pPr>
            <w:r>
              <w:rPr>
                <w:rFonts w:ascii="EC Square Sans Pro" w:hAnsi="EC Square Sans Pro"/>
                <w:noProof/>
              </w:rPr>
              <w:t xml:space="preserve">87. and 88. Follow-up audit on the performance of </w:t>
            </w:r>
            <w:r>
              <w:rPr>
                <w:rFonts w:ascii="EC Square Sans Pro" w:hAnsi="EC Square Sans Pro"/>
                <w:noProof/>
              </w:rPr>
              <w:t>the supervision by DG GROW of the European Space Agency’s implementation of Galileo (two follow-up audits performed)</w:t>
            </w:r>
          </w:p>
          <w:p w:rsidR="000C6D03" w:rsidRDefault="00873433">
            <w:pPr>
              <w:spacing w:after="120"/>
              <w:jc w:val="both"/>
              <w:rPr>
                <w:rFonts w:ascii="EC Square Sans Pro" w:hAnsi="EC Square Sans Pro"/>
                <w:noProof/>
              </w:rPr>
            </w:pPr>
            <w:r>
              <w:rPr>
                <w:rFonts w:ascii="EC Square Sans Pro" w:hAnsi="EC Square Sans Pro"/>
                <w:noProof/>
              </w:rPr>
              <w:t>(p.m.). Follow-up audit on past audits in DG TRADE: audit on ethics</w:t>
            </w:r>
          </w:p>
        </w:tc>
      </w:tr>
      <w:tr w:rsidR="000C6D03">
        <w:trPr>
          <w:trHeight w:val="283"/>
        </w:trPr>
        <w:tc>
          <w:tcPr>
            <w:tcW w:w="7759" w:type="dxa"/>
            <w:tcBorders>
              <w:bottom w:val="single" w:sz="4" w:space="0" w:color="auto"/>
            </w:tcBorders>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89. Follow-up audit on the Commission’s framework/arrangements for the</w:t>
            </w:r>
            <w:r>
              <w:rPr>
                <w:rFonts w:ascii="EC Square Sans Pro" w:hAnsi="EC Square Sans Pro"/>
                <w:noProof/>
              </w:rPr>
              <w:t xml:space="preserve"> estimation, assessment and reporting of the cost effectiveness of controls - DG BUDG</w:t>
            </w:r>
          </w:p>
          <w:p w:rsidR="000C6D03" w:rsidRDefault="00873433">
            <w:pPr>
              <w:spacing w:after="120"/>
              <w:jc w:val="both"/>
              <w:rPr>
                <w:rFonts w:ascii="EC Square Sans Pro" w:hAnsi="EC Square Sans Pro"/>
                <w:noProof/>
              </w:rPr>
            </w:pPr>
            <w:r>
              <w:rPr>
                <w:rFonts w:ascii="EC Square Sans Pro" w:hAnsi="EC Square Sans Pro"/>
                <w:noProof/>
              </w:rPr>
              <w:t xml:space="preserve">90. Follow-up audit on the Commission’s governance/oversight arrangements concerning risk management, financial reporting and the </w:t>
            </w:r>
            <w:r>
              <w:rPr>
                <w:rFonts w:ascii="EC Square Sans Pro" w:hAnsi="EC Square Sans Pro"/>
                <w:i/>
                <w:noProof/>
              </w:rPr>
              <w:t>ex post</w:t>
            </w:r>
            <w:r>
              <w:rPr>
                <w:rFonts w:ascii="EC Square Sans Pro" w:hAnsi="EC Square Sans Pro"/>
                <w:noProof/>
              </w:rPr>
              <w:t xml:space="preserve"> verification/audit function – DG</w:t>
            </w:r>
            <w:r>
              <w:rPr>
                <w:rFonts w:ascii="EC Square Sans Pro" w:hAnsi="EC Square Sans Pro"/>
                <w:noProof/>
              </w:rPr>
              <w:t xml:space="preserve"> BUDG</w:t>
            </w:r>
          </w:p>
          <w:p w:rsidR="000C6D03" w:rsidRDefault="00873433">
            <w:pPr>
              <w:spacing w:after="120"/>
              <w:jc w:val="both"/>
              <w:rPr>
                <w:rFonts w:ascii="EC Square Sans Pro" w:hAnsi="EC Square Sans Pro"/>
                <w:noProof/>
              </w:rPr>
            </w:pPr>
            <w:r>
              <w:rPr>
                <w:rFonts w:ascii="EC Square Sans Pro" w:hAnsi="EC Square Sans Pro"/>
                <w:noProof/>
              </w:rPr>
              <w:t xml:space="preserve">91. Follow-up audit on the management of </w:t>
            </w:r>
            <w:r>
              <w:rPr>
                <w:rFonts w:ascii="EC Square Sans Pro" w:hAnsi="EC Square Sans Pro"/>
                <w:i/>
                <w:noProof/>
              </w:rPr>
              <w:t>intra-muros</w:t>
            </w:r>
            <w:r>
              <w:rPr>
                <w:rFonts w:ascii="EC Square Sans Pro" w:hAnsi="EC Square Sans Pro"/>
                <w:noProof/>
              </w:rPr>
              <w:t xml:space="preserve"> contractors in DG COMM</w:t>
            </w:r>
          </w:p>
          <w:p w:rsidR="000C6D03" w:rsidRDefault="00873433">
            <w:pPr>
              <w:spacing w:after="120"/>
              <w:jc w:val="both"/>
              <w:rPr>
                <w:rFonts w:ascii="EC Square Sans Pro" w:hAnsi="EC Square Sans Pro"/>
                <w:noProof/>
              </w:rPr>
            </w:pPr>
            <w:r>
              <w:rPr>
                <w:rFonts w:ascii="EC Square Sans Pro" w:hAnsi="EC Square Sans Pro"/>
                <w:noProof/>
              </w:rPr>
              <w:t xml:space="preserve">92. Follow-up audit on the charge-back process in DG DIGIT </w:t>
            </w:r>
          </w:p>
          <w:p w:rsidR="000C6D03" w:rsidRDefault="00873433">
            <w:pPr>
              <w:spacing w:after="120"/>
              <w:jc w:val="both"/>
              <w:rPr>
                <w:rFonts w:ascii="EC Square Sans Pro" w:hAnsi="EC Square Sans Pro"/>
                <w:noProof/>
              </w:rPr>
            </w:pPr>
            <w:r>
              <w:rPr>
                <w:rFonts w:ascii="EC Square Sans Pro" w:hAnsi="EC Square Sans Pro"/>
                <w:noProof/>
              </w:rPr>
              <w:t>93. Follow-up audit on financial management of grants in Eurostat</w:t>
            </w:r>
          </w:p>
          <w:p w:rsidR="000C6D03" w:rsidRDefault="00873433">
            <w:pPr>
              <w:spacing w:after="120"/>
              <w:jc w:val="both"/>
              <w:rPr>
                <w:rFonts w:ascii="EC Square Sans Pro" w:hAnsi="EC Square Sans Pro"/>
                <w:noProof/>
              </w:rPr>
            </w:pPr>
            <w:r>
              <w:rPr>
                <w:rFonts w:ascii="EC Square Sans Pro" w:hAnsi="EC Square Sans Pro"/>
                <w:noProof/>
              </w:rPr>
              <w:t>94. Follow-up audit on former IAC audits in Euro</w:t>
            </w:r>
            <w:r>
              <w:rPr>
                <w:rFonts w:ascii="EC Square Sans Pro" w:hAnsi="EC Square Sans Pro"/>
                <w:noProof/>
              </w:rPr>
              <w:t>stat: IAC audit on sensitive information and IAC audit on statistical process III – agriculture statistics</w:t>
            </w:r>
          </w:p>
          <w:p w:rsidR="000C6D03" w:rsidRDefault="00873433">
            <w:pPr>
              <w:spacing w:after="120"/>
              <w:jc w:val="both"/>
              <w:rPr>
                <w:rFonts w:ascii="EC Square Sans Pro" w:hAnsi="EC Square Sans Pro"/>
                <w:noProof/>
              </w:rPr>
            </w:pPr>
            <w:r>
              <w:rPr>
                <w:rFonts w:ascii="EC Square Sans Pro" w:hAnsi="EC Square Sans Pro"/>
                <w:noProof/>
              </w:rPr>
              <w:t>95. Follow-up audit on charge-back services in DG HR</w:t>
            </w:r>
          </w:p>
          <w:p w:rsidR="000C6D03" w:rsidRDefault="00873433">
            <w:pPr>
              <w:spacing w:after="120"/>
              <w:jc w:val="both"/>
              <w:rPr>
                <w:rFonts w:ascii="EC Square Sans Pro" w:hAnsi="EC Square Sans Pro"/>
                <w:noProof/>
              </w:rPr>
            </w:pPr>
            <w:r>
              <w:rPr>
                <w:rFonts w:ascii="EC Square Sans Pro" w:hAnsi="EC Square Sans Pro"/>
                <w:noProof/>
              </w:rPr>
              <w:t>96. Follow-up audit on the management of recovery orders for competition fines and recovery orde</w:t>
            </w:r>
            <w:r>
              <w:rPr>
                <w:rFonts w:ascii="EC Square Sans Pro" w:hAnsi="EC Square Sans Pro"/>
                <w:noProof/>
              </w:rPr>
              <w:t>rs in the context of the Commission’s corrective capacity – Phase 1 in the Legal Service</w:t>
            </w:r>
          </w:p>
          <w:p w:rsidR="000C6D03" w:rsidRDefault="00873433">
            <w:pPr>
              <w:spacing w:after="120"/>
              <w:jc w:val="both"/>
              <w:rPr>
                <w:rFonts w:ascii="EC Square Sans Pro" w:hAnsi="EC Square Sans Pro"/>
                <w:noProof/>
              </w:rPr>
            </w:pPr>
            <w:r>
              <w:rPr>
                <w:rFonts w:ascii="EC Square Sans Pro" w:hAnsi="EC Square Sans Pro"/>
                <w:noProof/>
              </w:rPr>
              <w:t>97. Follow-up audit on effectiveness of the management of absenteeism in OIB, OIL and PMO – OIB</w:t>
            </w:r>
          </w:p>
          <w:p w:rsidR="000C6D03" w:rsidRDefault="00873433">
            <w:pPr>
              <w:spacing w:after="120"/>
              <w:jc w:val="both"/>
              <w:rPr>
                <w:rFonts w:ascii="EC Square Sans Pro" w:hAnsi="EC Square Sans Pro"/>
                <w:noProof/>
              </w:rPr>
            </w:pPr>
            <w:r>
              <w:rPr>
                <w:rFonts w:ascii="EC Square Sans Pro" w:hAnsi="EC Square Sans Pro"/>
                <w:noProof/>
              </w:rPr>
              <w:t>98. Follow-up audit on the procurement process in OIL</w:t>
            </w:r>
          </w:p>
          <w:p w:rsidR="000C6D03" w:rsidRDefault="00873433">
            <w:pPr>
              <w:spacing w:after="120"/>
              <w:jc w:val="both"/>
              <w:rPr>
                <w:rFonts w:ascii="EC Square Sans Pro" w:hAnsi="EC Square Sans Pro"/>
                <w:noProof/>
              </w:rPr>
            </w:pPr>
            <w:r>
              <w:rPr>
                <w:rFonts w:ascii="EC Square Sans Pro" w:hAnsi="EC Square Sans Pro"/>
                <w:noProof/>
              </w:rPr>
              <w:t>99. Follow-up aud</w:t>
            </w:r>
            <w:r>
              <w:rPr>
                <w:rFonts w:ascii="EC Square Sans Pro" w:hAnsi="EC Square Sans Pro"/>
                <w:noProof/>
              </w:rPr>
              <w:t>it on performance and coordination of anti-fraud activities in the traditional own-resources area in OLAF</w:t>
            </w:r>
          </w:p>
          <w:p w:rsidR="000C6D03" w:rsidRDefault="00873433">
            <w:pPr>
              <w:spacing w:after="120"/>
              <w:jc w:val="both"/>
              <w:rPr>
                <w:rFonts w:ascii="EC Square Sans Pro" w:hAnsi="EC Square Sans Pro"/>
                <w:noProof/>
              </w:rPr>
            </w:pPr>
            <w:r>
              <w:rPr>
                <w:rFonts w:ascii="EC Square Sans Pro" w:hAnsi="EC Square Sans Pro"/>
                <w:noProof/>
              </w:rPr>
              <w:t>100. Follow-up audit on former IAC audit in SCIC: technical support provided to meetings and conferences</w:t>
            </w:r>
          </w:p>
          <w:p w:rsidR="000C6D03" w:rsidRDefault="00873433">
            <w:pPr>
              <w:spacing w:after="120"/>
              <w:jc w:val="both"/>
              <w:rPr>
                <w:rFonts w:ascii="EC Square Sans Pro" w:hAnsi="EC Square Sans Pro"/>
                <w:noProof/>
              </w:rPr>
            </w:pPr>
            <w:r>
              <w:rPr>
                <w:rFonts w:ascii="EC Square Sans Pro" w:hAnsi="EC Square Sans Pro"/>
                <w:noProof/>
              </w:rPr>
              <w:t>101. Follow-up audit on better regulation age</w:t>
            </w:r>
            <w:r>
              <w:rPr>
                <w:rFonts w:ascii="EC Square Sans Pro" w:hAnsi="EC Square Sans Pro"/>
                <w:noProof/>
              </w:rPr>
              <w:t>nda in the Commission – SG</w:t>
            </w:r>
          </w:p>
          <w:p w:rsidR="000C6D03" w:rsidRDefault="00873433">
            <w:pPr>
              <w:spacing w:after="120"/>
              <w:jc w:val="both"/>
              <w:rPr>
                <w:rFonts w:ascii="EC Square Sans Pro" w:hAnsi="EC Square Sans Pro"/>
                <w:noProof/>
              </w:rPr>
            </w:pPr>
            <w:r>
              <w:rPr>
                <w:rFonts w:ascii="EC Square Sans Pro" w:hAnsi="EC Square Sans Pro"/>
                <w:noProof/>
              </w:rPr>
              <w:t>102. Follow-up audit on financial management in SG</w:t>
            </w:r>
          </w:p>
        </w:tc>
      </w:tr>
      <w:tr w:rsidR="000C6D03">
        <w:trPr>
          <w:trHeight w:val="1842"/>
        </w:trPr>
        <w:tc>
          <w:tcPr>
            <w:tcW w:w="7759" w:type="dxa"/>
            <w:tcBorders>
              <w:top w:val="single" w:sz="4" w:space="0" w:color="auto"/>
              <w:bottom w:val="single" w:sz="4" w:space="0" w:color="auto"/>
            </w:tcBorders>
            <w:shd w:val="clear" w:color="auto" w:fill="auto"/>
          </w:tcPr>
          <w:p w:rsidR="000C6D03" w:rsidRDefault="00873433">
            <w:pPr>
              <w:spacing w:after="120"/>
              <w:jc w:val="both"/>
              <w:rPr>
                <w:rFonts w:ascii="EC Square Sans Pro" w:hAnsi="EC Square Sans Pro"/>
                <w:noProof/>
              </w:rPr>
            </w:pPr>
            <w:r>
              <w:rPr>
                <w:rFonts w:ascii="EC Square Sans Pro" w:hAnsi="EC Square Sans Pro"/>
                <w:noProof/>
              </w:rPr>
              <w:t xml:space="preserve">103. Follow-up audit on the management of the security of the EU ETS information-technology system in DG CLIMA </w:t>
            </w:r>
          </w:p>
          <w:p w:rsidR="000C6D03" w:rsidRDefault="00873433">
            <w:pPr>
              <w:spacing w:after="120"/>
              <w:jc w:val="both"/>
              <w:rPr>
                <w:rFonts w:ascii="EC Square Sans Pro" w:hAnsi="EC Square Sans Pro"/>
                <w:noProof/>
              </w:rPr>
            </w:pPr>
            <w:r>
              <w:rPr>
                <w:rFonts w:ascii="EC Square Sans Pro" w:hAnsi="EC Square Sans Pro"/>
                <w:noProof/>
              </w:rPr>
              <w:t>104. Follow-up audit on business continuity in DG COMM</w:t>
            </w:r>
          </w:p>
          <w:p w:rsidR="000C6D03" w:rsidRDefault="00873433">
            <w:pPr>
              <w:spacing w:after="120"/>
              <w:jc w:val="both"/>
              <w:rPr>
                <w:rFonts w:ascii="EC Square Sans Pro" w:hAnsi="EC Square Sans Pro"/>
                <w:noProof/>
              </w:rPr>
            </w:pPr>
            <w:r>
              <w:rPr>
                <w:rFonts w:ascii="EC Square Sans Pro" w:hAnsi="EC Square Sans Pro"/>
                <w:noProof/>
              </w:rPr>
              <w:t xml:space="preserve">105. </w:t>
            </w:r>
            <w:r>
              <w:rPr>
                <w:rFonts w:ascii="EC Square Sans Pro" w:hAnsi="EC Square Sans Pro"/>
                <w:noProof/>
              </w:rPr>
              <w:t>Follow-up audit on the management of local information technology in Eurostat</w:t>
            </w:r>
          </w:p>
          <w:p w:rsidR="000C6D03" w:rsidRDefault="00873433">
            <w:pPr>
              <w:spacing w:after="120"/>
              <w:jc w:val="both"/>
              <w:rPr>
                <w:rFonts w:ascii="EC Square Sans Pro" w:hAnsi="EC Square Sans Pro"/>
                <w:noProof/>
              </w:rPr>
            </w:pPr>
            <w:r>
              <w:rPr>
                <w:rFonts w:ascii="EC Square Sans Pro" w:hAnsi="EC Square Sans Pro"/>
                <w:noProof/>
              </w:rPr>
              <w:t xml:space="preserve">106. Follow-up audit on information-technology logical security controls in OLAF </w:t>
            </w:r>
          </w:p>
          <w:p w:rsidR="000C6D03" w:rsidRDefault="00873433">
            <w:pPr>
              <w:spacing w:after="120"/>
              <w:jc w:val="both"/>
              <w:rPr>
                <w:rFonts w:ascii="EC Square Sans Pro" w:hAnsi="EC Square Sans Pro"/>
                <w:noProof/>
              </w:rPr>
            </w:pPr>
            <w:r>
              <w:rPr>
                <w:rFonts w:ascii="EC Square Sans Pro" w:hAnsi="EC Square Sans Pro"/>
                <w:noProof/>
              </w:rPr>
              <w:t>107. Follow-up audit on business continuity in OP</w:t>
            </w:r>
          </w:p>
          <w:p w:rsidR="000C6D03" w:rsidRDefault="00873433">
            <w:pPr>
              <w:spacing w:after="120"/>
              <w:jc w:val="both"/>
              <w:rPr>
                <w:rFonts w:ascii="EC Square Sans Pro" w:hAnsi="EC Square Sans Pro"/>
                <w:noProof/>
              </w:rPr>
            </w:pPr>
            <w:r>
              <w:rPr>
                <w:rFonts w:ascii="EC Square Sans Pro" w:hAnsi="EC Square Sans Pro"/>
                <w:noProof/>
              </w:rPr>
              <w:t>108. Follow-up audit on information-technology</w:t>
            </w:r>
            <w:r>
              <w:rPr>
                <w:rFonts w:ascii="EC Square Sans Pro" w:hAnsi="EC Square Sans Pro"/>
                <w:noProof/>
              </w:rPr>
              <w:t xml:space="preserve"> project management in DG REGIO </w:t>
            </w:r>
          </w:p>
          <w:p w:rsidR="000C6D03" w:rsidRDefault="00873433">
            <w:pPr>
              <w:spacing w:after="120"/>
              <w:jc w:val="both"/>
              <w:rPr>
                <w:rFonts w:ascii="EC Square Sans Pro" w:hAnsi="EC Square Sans Pro"/>
                <w:noProof/>
              </w:rPr>
            </w:pPr>
            <w:r>
              <w:rPr>
                <w:rFonts w:ascii="EC Square Sans Pro" w:hAnsi="EC Square Sans Pro"/>
                <w:noProof/>
              </w:rPr>
              <w:t>109. Follow-up audit on the corporate information-technology governance framework and portfolio management in SG and DG DIGIT</w:t>
            </w:r>
          </w:p>
          <w:p w:rsidR="000C6D03" w:rsidRDefault="00873433">
            <w:pPr>
              <w:spacing w:after="120"/>
              <w:jc w:val="both"/>
              <w:rPr>
                <w:rFonts w:ascii="EC Square Sans Pro" w:hAnsi="EC Square Sans Pro"/>
                <w:noProof/>
              </w:rPr>
            </w:pPr>
            <w:r>
              <w:rPr>
                <w:rFonts w:ascii="EC Square Sans Pro" w:hAnsi="EC Square Sans Pro"/>
                <w:noProof/>
              </w:rPr>
              <w:t>110. Follow-up audit on the information-technology programme and project management in the HR fam</w:t>
            </w:r>
            <w:r>
              <w:rPr>
                <w:rFonts w:ascii="EC Square Sans Pro" w:hAnsi="EC Square Sans Pro"/>
                <w:noProof/>
              </w:rPr>
              <w:t>ily (DG DIGIT, DG HR, EPSO, PMO)</w:t>
            </w:r>
          </w:p>
        </w:tc>
      </w:tr>
    </w:tbl>
    <w:p w:rsidR="000C6D03" w:rsidRDefault="000C6D03">
      <w:pPr>
        <w:spacing w:after="240" w:line="240" w:lineRule="auto"/>
        <w:jc w:val="both"/>
        <w:rPr>
          <w:rFonts w:ascii="Times New Roman" w:eastAsia="Times New Roman" w:hAnsi="Times New Roman" w:cs="Times New Roman"/>
          <w:noProof/>
          <w:sz w:val="20"/>
          <w:szCs w:val="20"/>
          <w:lang w:eastAsia="en-GB"/>
        </w:rPr>
      </w:pPr>
    </w:p>
    <w:p w:rsidR="000C6D03" w:rsidRDefault="000C6D03">
      <w:pPr>
        <w:spacing w:after="240" w:line="240" w:lineRule="auto"/>
        <w:jc w:val="both"/>
        <w:rPr>
          <w:rFonts w:ascii="Times New Roman" w:eastAsia="Times New Roman" w:hAnsi="Times New Roman" w:cs="Times New Roman"/>
          <w:noProof/>
          <w:sz w:val="20"/>
          <w:szCs w:val="20"/>
          <w:lang w:eastAsia="en-GB"/>
        </w:rPr>
      </w:pPr>
    </w:p>
    <w:p w:rsidR="000C6D03" w:rsidRDefault="000C6D03">
      <w:pPr>
        <w:spacing w:after="240" w:line="240" w:lineRule="auto"/>
        <w:jc w:val="both"/>
        <w:rPr>
          <w:rFonts w:ascii="Times New Roman" w:eastAsia="Times New Roman" w:hAnsi="Times New Roman" w:cs="Times New Roman"/>
          <w:noProof/>
          <w:sz w:val="20"/>
          <w:szCs w:val="20"/>
          <w:lang w:eastAsia="en-GB"/>
        </w:rPr>
      </w:pPr>
    </w:p>
    <w:p w:rsidR="000C6D03" w:rsidRDefault="000C6D03">
      <w:pPr>
        <w:keepNext/>
        <w:spacing w:before="240" w:after="240" w:line="240" w:lineRule="auto"/>
        <w:ind w:left="574" w:hanging="432"/>
        <w:jc w:val="both"/>
        <w:outlineLvl w:val="0"/>
        <w:rPr>
          <w:rFonts w:ascii="Times New Roman" w:eastAsia="Times New Roman" w:hAnsi="Times New Roman" w:cs="Times New Roman"/>
          <w:b/>
          <w:smallCaps/>
          <w:noProof/>
          <w:sz w:val="24"/>
          <w:szCs w:val="20"/>
          <w:lang w:eastAsia="en-GB"/>
        </w:rPr>
        <w:sectPr w:rsidR="000C6D03">
          <w:headerReference w:type="even" r:id="rId48"/>
          <w:headerReference w:type="default" r:id="rId49"/>
          <w:footerReference w:type="even" r:id="rId50"/>
          <w:footerReference w:type="default" r:id="rId51"/>
          <w:headerReference w:type="first" r:id="rId52"/>
          <w:footerReference w:type="first" r:id="rId53"/>
          <w:pgSz w:w="11906" w:h="16838" w:code="9"/>
          <w:pgMar w:top="851" w:right="1418" w:bottom="851" w:left="1418" w:header="567" w:footer="567" w:gutter="0"/>
          <w:cols w:space="720"/>
          <w:docGrid w:linePitch="360"/>
        </w:sectPr>
      </w:pPr>
      <w:bookmarkStart w:id="248" w:name="_Toc11829467"/>
    </w:p>
    <w:p w:rsidR="000C6D03" w:rsidRDefault="00873433">
      <w:pPr>
        <w:keepNext/>
        <w:spacing w:before="240" w:after="240" w:line="240" w:lineRule="auto"/>
        <w:ind w:left="574" w:hanging="432"/>
        <w:jc w:val="both"/>
        <w:outlineLvl w:val="0"/>
        <w:rPr>
          <w:rFonts w:ascii="EC Square Sans Pro" w:eastAsia="Times New Roman" w:hAnsi="EC Square Sans Pro" w:cs="Times New Roman"/>
          <w:smallCaps/>
          <w:noProof/>
          <w:sz w:val="24"/>
          <w:szCs w:val="20"/>
          <w:lang w:eastAsia="en-GB"/>
        </w:rPr>
      </w:pPr>
      <w:bookmarkStart w:id="249" w:name="_Toc42788215"/>
      <w:r>
        <w:rPr>
          <w:rFonts w:ascii="EC Square Sans Pro" w:eastAsia="Times New Roman" w:hAnsi="EC Square Sans Pro" w:cs="Times New Roman"/>
          <w:smallCaps/>
          <w:noProof/>
          <w:sz w:val="24"/>
          <w:szCs w:val="20"/>
          <w:lang w:eastAsia="en-GB"/>
        </w:rPr>
        <w:t>Part 3: summary of long-outstanding recommendations – state of play as at 31 January 2020</w:t>
      </w:r>
      <w:bookmarkEnd w:id="248"/>
      <w:bookmarkEnd w:id="249"/>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2"/>
        <w:gridCol w:w="1702"/>
        <w:gridCol w:w="1981"/>
        <w:gridCol w:w="6380"/>
        <w:gridCol w:w="1277"/>
        <w:gridCol w:w="1132"/>
        <w:gridCol w:w="1135"/>
      </w:tblGrid>
      <w:tr w:rsidR="000C6D03">
        <w:trPr>
          <w:cantSplit/>
          <w:trHeight w:val="240"/>
          <w:tblHeader/>
        </w:trPr>
        <w:tc>
          <w:tcPr>
            <w:tcW w:w="234" w:type="pct"/>
            <w:vAlign w:val="center"/>
          </w:tcPr>
          <w:p w:rsidR="000C6D03" w:rsidRDefault="00873433">
            <w:pPr>
              <w:spacing w:before="60" w:after="60" w:line="240" w:lineRule="auto"/>
              <w:jc w:val="center"/>
              <w:rPr>
                <w:rFonts w:ascii="Times New Roman" w:eastAsia="Times New Roman" w:hAnsi="Times New Roman" w:cs="Times New Roman"/>
                <w:noProof/>
                <w:sz w:val="24"/>
                <w:szCs w:val="20"/>
                <w:lang w:eastAsia="en-GB"/>
              </w:rPr>
            </w:pPr>
            <w:r>
              <w:rPr>
                <w:rFonts w:ascii="Tahoma" w:eastAsia="Tahoma" w:hAnsi="Tahoma" w:cs="Tahoma"/>
                <w:b/>
                <w:i/>
                <w:noProof/>
                <w:sz w:val="16"/>
                <w:szCs w:val="16"/>
                <w:lang w:eastAsia="en-GB"/>
              </w:rPr>
              <w:t>No.</w:t>
            </w:r>
          </w:p>
        </w:tc>
        <w:tc>
          <w:tcPr>
            <w:tcW w:w="281" w:type="pct"/>
            <w:vAlign w:val="center"/>
          </w:tcPr>
          <w:p w:rsidR="000C6D03" w:rsidRDefault="00873433">
            <w:pPr>
              <w:spacing w:before="60" w:after="60" w:line="240" w:lineRule="auto"/>
              <w:jc w:val="center"/>
              <w:rPr>
                <w:rFonts w:ascii="Times New Roman" w:eastAsia="Times New Roman" w:hAnsi="Times New Roman" w:cs="Times New Roman"/>
                <w:noProof/>
                <w:sz w:val="24"/>
                <w:szCs w:val="20"/>
                <w:lang w:eastAsia="en-GB"/>
              </w:rPr>
            </w:pPr>
            <w:r>
              <w:rPr>
                <w:rFonts w:ascii="Tahoma" w:eastAsia="Tahoma" w:hAnsi="Tahoma" w:cs="Tahoma"/>
                <w:b/>
                <w:i/>
                <w:noProof/>
                <w:sz w:val="16"/>
                <w:szCs w:val="16"/>
                <w:lang w:eastAsia="en-GB"/>
              </w:rPr>
              <w:t>DG</w:t>
            </w:r>
          </w:p>
        </w:tc>
        <w:tc>
          <w:tcPr>
            <w:tcW w:w="561" w:type="pct"/>
            <w:vAlign w:val="center"/>
          </w:tcPr>
          <w:p w:rsidR="000C6D03" w:rsidRDefault="00873433">
            <w:pPr>
              <w:spacing w:before="60" w:after="60" w:line="240" w:lineRule="auto"/>
              <w:jc w:val="center"/>
              <w:rPr>
                <w:rFonts w:ascii="Times New Roman" w:eastAsia="Times New Roman" w:hAnsi="Times New Roman" w:cs="Times New Roman"/>
                <w:noProof/>
                <w:sz w:val="24"/>
                <w:szCs w:val="20"/>
                <w:lang w:eastAsia="en-GB"/>
              </w:rPr>
            </w:pPr>
            <w:r>
              <w:rPr>
                <w:rFonts w:ascii="Tahoma" w:eastAsia="Tahoma" w:hAnsi="Tahoma" w:cs="Tahoma"/>
                <w:b/>
                <w:i/>
                <w:noProof/>
                <w:sz w:val="16"/>
                <w:szCs w:val="16"/>
                <w:lang w:eastAsia="en-GB"/>
              </w:rPr>
              <w:t>Audit title</w:t>
            </w:r>
          </w:p>
        </w:tc>
        <w:tc>
          <w:tcPr>
            <w:tcW w:w="653" w:type="pct"/>
            <w:vAlign w:val="center"/>
          </w:tcPr>
          <w:p w:rsidR="000C6D03" w:rsidRDefault="00873433">
            <w:pPr>
              <w:spacing w:before="60" w:after="60" w:line="240" w:lineRule="auto"/>
              <w:jc w:val="center"/>
              <w:rPr>
                <w:rFonts w:ascii="Times New Roman" w:eastAsia="Times New Roman" w:hAnsi="Times New Roman" w:cs="Times New Roman"/>
                <w:noProof/>
                <w:sz w:val="24"/>
                <w:szCs w:val="20"/>
                <w:lang w:eastAsia="en-GB"/>
              </w:rPr>
            </w:pPr>
            <w:r>
              <w:rPr>
                <w:rFonts w:ascii="Tahoma" w:eastAsia="Tahoma" w:hAnsi="Tahoma" w:cs="Tahoma"/>
                <w:b/>
                <w:i/>
                <w:noProof/>
                <w:sz w:val="16"/>
                <w:szCs w:val="16"/>
                <w:lang w:eastAsia="en-GB"/>
              </w:rPr>
              <w:t>Recommendation</w:t>
            </w:r>
          </w:p>
        </w:tc>
        <w:tc>
          <w:tcPr>
            <w:tcW w:w="2103" w:type="pct"/>
            <w:vAlign w:val="center"/>
          </w:tcPr>
          <w:p w:rsidR="000C6D03" w:rsidRDefault="00873433">
            <w:pPr>
              <w:spacing w:before="60" w:after="60" w:line="240" w:lineRule="auto"/>
              <w:jc w:val="center"/>
              <w:rPr>
                <w:rFonts w:ascii="Times New Roman" w:eastAsia="Times New Roman" w:hAnsi="Times New Roman" w:cs="Times New Roman"/>
                <w:noProof/>
                <w:sz w:val="24"/>
                <w:szCs w:val="20"/>
                <w:lang w:eastAsia="en-GB"/>
              </w:rPr>
            </w:pPr>
            <w:r>
              <w:rPr>
                <w:rFonts w:ascii="Tahoma" w:eastAsia="Times New Roman" w:hAnsi="Tahoma" w:cs="Tahoma"/>
                <w:b/>
                <w:i/>
                <w:noProof/>
                <w:sz w:val="16"/>
                <w:szCs w:val="16"/>
                <w:lang w:eastAsia="en-GB"/>
              </w:rPr>
              <w:t>Comments</w:t>
            </w:r>
          </w:p>
        </w:tc>
        <w:tc>
          <w:tcPr>
            <w:tcW w:w="421" w:type="pct"/>
            <w:vAlign w:val="center"/>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imes New Roman" w:hAnsi="Tahoma" w:cs="Tahoma"/>
                <w:b/>
                <w:i/>
                <w:noProof/>
                <w:sz w:val="16"/>
                <w:szCs w:val="16"/>
                <w:lang w:eastAsia="en-GB"/>
              </w:rPr>
              <w:t>Final report date</w:t>
            </w:r>
          </w:p>
        </w:tc>
        <w:tc>
          <w:tcPr>
            <w:tcW w:w="373" w:type="pct"/>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ahoma" w:hAnsi="Tahoma" w:cs="Tahoma"/>
                <w:b/>
                <w:i/>
                <w:noProof/>
                <w:sz w:val="16"/>
                <w:szCs w:val="16"/>
                <w:lang w:eastAsia="en-GB"/>
              </w:rPr>
              <w:t xml:space="preserve">Original </w:t>
            </w:r>
            <w:r>
              <w:rPr>
                <w:rFonts w:ascii="Tahoma" w:eastAsia="Tahoma" w:hAnsi="Tahoma" w:cs="Tahoma"/>
                <w:b/>
                <w:i/>
                <w:noProof/>
                <w:sz w:val="16"/>
                <w:szCs w:val="16"/>
                <w:lang w:eastAsia="en-GB"/>
              </w:rPr>
              <w:t>agreed completion date</w:t>
            </w:r>
          </w:p>
        </w:tc>
        <w:tc>
          <w:tcPr>
            <w:tcW w:w="374" w:type="pct"/>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ahoma" w:hAnsi="Tahoma" w:cs="Tahoma"/>
                <w:b/>
                <w:i/>
                <w:noProof/>
                <w:sz w:val="16"/>
                <w:szCs w:val="16"/>
                <w:lang w:eastAsia="en-GB"/>
              </w:rPr>
              <w:t>Revised expected completion date</w:t>
            </w:r>
          </w:p>
        </w:tc>
      </w:tr>
      <w:tr w:rsidR="000C6D03">
        <w:trPr>
          <w:cantSplit/>
          <w:trHeight w:val="240"/>
          <w:tblHeader/>
        </w:trPr>
        <w:tc>
          <w:tcPr>
            <w:tcW w:w="234" w:type="pct"/>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I</w:t>
            </w:r>
          </w:p>
        </w:tc>
        <w:tc>
          <w:tcPr>
            <w:tcW w:w="281" w:type="pct"/>
            <w:vAlign w:val="center"/>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imes New Roman" w:hAnsi="Tahoma" w:cs="Tahoma"/>
                <w:noProof/>
                <w:sz w:val="16"/>
                <w:szCs w:val="16"/>
                <w:lang w:eastAsia="en-GB"/>
              </w:rPr>
              <w:t>DG CLIMA</w:t>
            </w:r>
          </w:p>
        </w:tc>
        <w:tc>
          <w:tcPr>
            <w:tcW w:w="561" w:type="pct"/>
            <w:vAlign w:val="center"/>
          </w:tcPr>
          <w:p w:rsidR="000C6D03" w:rsidRDefault="00873433">
            <w:pPr>
              <w:spacing w:before="60" w:after="60" w:line="240" w:lineRule="auto"/>
              <w:rPr>
                <w:rFonts w:ascii="Tahoma" w:eastAsia="Tahoma" w:hAnsi="Tahoma" w:cs="Tahoma"/>
                <w:b/>
                <w:i/>
                <w:noProof/>
                <w:sz w:val="16"/>
                <w:szCs w:val="16"/>
                <w:lang w:eastAsia="en-GB"/>
              </w:rPr>
            </w:pPr>
            <w:r>
              <w:rPr>
                <w:rFonts w:ascii="Tahoma" w:eastAsia="Times New Roman" w:hAnsi="Tahoma" w:cs="Tahoma"/>
                <w:noProof/>
                <w:sz w:val="16"/>
                <w:szCs w:val="16"/>
                <w:lang w:eastAsia="en-GB"/>
              </w:rPr>
              <w:t>LIFE financial instruments: effectiveness and efficiency of the current framework (ENV+CLIMA)</w:t>
            </w:r>
          </w:p>
        </w:tc>
        <w:tc>
          <w:tcPr>
            <w:tcW w:w="653" w:type="pct"/>
            <w:vAlign w:val="center"/>
          </w:tcPr>
          <w:p w:rsidR="000C6D03" w:rsidRDefault="00873433">
            <w:pPr>
              <w:spacing w:before="60" w:after="60" w:line="240" w:lineRule="auto"/>
              <w:rPr>
                <w:rFonts w:ascii="Tahoma" w:eastAsia="Tahoma" w:hAnsi="Tahoma" w:cs="Tahoma"/>
                <w:b/>
                <w:i/>
                <w:noProof/>
                <w:sz w:val="16"/>
                <w:szCs w:val="16"/>
                <w:highlight w:val="yellow"/>
                <w:lang w:eastAsia="en-GB"/>
              </w:rPr>
            </w:pPr>
            <w:r>
              <w:rPr>
                <w:rFonts w:ascii="Tahoma" w:eastAsia="Times New Roman" w:hAnsi="Tahoma" w:cs="Tahoma"/>
                <w:noProof/>
                <w:sz w:val="16"/>
                <w:szCs w:val="16"/>
                <w:lang w:eastAsia="en-GB"/>
              </w:rPr>
              <w:t>Visibility and promotion of the EU contribution</w:t>
            </w:r>
          </w:p>
        </w:tc>
        <w:tc>
          <w:tcPr>
            <w:tcW w:w="2103" w:type="pct"/>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DG CLIMA informed the IAS at the end of </w:t>
            </w:r>
            <w:r>
              <w:rPr>
                <w:rFonts w:ascii="Tahoma" w:eastAsia="Times New Roman" w:hAnsi="Tahoma" w:cs="Tahoma"/>
                <w:noProof/>
                <w:sz w:val="16"/>
                <w:szCs w:val="16"/>
                <w:lang w:eastAsia="en-GB"/>
              </w:rPr>
              <w:t>January 2020 and in mid-March 2020</w:t>
            </w:r>
            <w:r>
              <w:rPr>
                <w:rFonts w:ascii="Times New Roman" w:eastAsia="Times New Roman" w:hAnsi="Times New Roman" w:cs="Times New Roman"/>
                <w:noProof/>
                <w:sz w:val="24"/>
                <w:szCs w:val="24"/>
                <w:lang w:eastAsia="en-GB"/>
              </w:rPr>
              <w:t xml:space="preserve"> </w:t>
            </w:r>
            <w:r>
              <w:rPr>
                <w:rFonts w:ascii="Tahoma" w:eastAsia="Times New Roman" w:hAnsi="Tahoma" w:cs="Tahoma"/>
                <w:noProof/>
                <w:sz w:val="16"/>
                <w:szCs w:val="16"/>
                <w:lang w:eastAsia="en-GB"/>
              </w:rPr>
              <w:t xml:space="preserve">that actions had been taken and that the recommendation was close to being fully implemented. The issue of visibility and promotion was being addressed in Steering-Committee meetings, and DG CLIMA has increased its </w:t>
            </w:r>
            <w:r>
              <w:rPr>
                <w:rFonts w:ascii="Tahoma" w:eastAsia="Times New Roman" w:hAnsi="Tahoma" w:cs="Tahoma"/>
                <w:noProof/>
                <w:sz w:val="16"/>
                <w:szCs w:val="16"/>
                <w:lang w:eastAsia="en-GB"/>
              </w:rPr>
              <w:t>monitoring.</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by the IAS will take place in the second quarter of 2020: DG CLIMA reported the recommendation as ‘ready for review’ to the IAS on 26 March 2020.</w:t>
            </w:r>
          </w:p>
          <w:p w:rsidR="000C6D03" w:rsidRDefault="00873433">
            <w:pPr>
              <w:spacing w:after="120" w:line="240" w:lineRule="auto"/>
              <w:jc w:val="both"/>
              <w:rPr>
                <w:rFonts w:ascii="Tahoma" w:eastAsia="Times New Roman" w:hAnsi="Tahoma" w:cs="Tahoma"/>
                <w:b/>
                <w:noProof/>
                <w:sz w:val="16"/>
                <w:szCs w:val="16"/>
                <w:lang w:eastAsia="en-GB"/>
              </w:rPr>
            </w:pPr>
            <w:r>
              <w:rPr>
                <w:rFonts w:ascii="Tahoma" w:eastAsia="Times New Roman" w:hAnsi="Tahoma" w:cs="Tahoma"/>
                <w:noProof/>
                <w:sz w:val="16"/>
                <w:szCs w:val="16"/>
                <w:lang w:eastAsia="en-GB"/>
              </w:rPr>
              <w:t xml:space="preserve">The expected delay between the originally agreed and revised expected completion date </w:t>
            </w:r>
            <w:r>
              <w:rPr>
                <w:rFonts w:ascii="Tahoma" w:eastAsia="Times New Roman" w:hAnsi="Tahoma" w:cs="Tahoma"/>
                <w:noProof/>
                <w:sz w:val="16"/>
                <w:szCs w:val="16"/>
                <w:lang w:eastAsia="en-GB"/>
              </w:rPr>
              <w:t>is 9 months.</w:t>
            </w:r>
          </w:p>
        </w:tc>
        <w:tc>
          <w:tcPr>
            <w:tcW w:w="421" w:type="pct"/>
            <w:shd w:val="clear" w:color="auto" w:fill="auto"/>
            <w:vAlign w:val="center"/>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imes New Roman" w:hAnsi="Tahoma" w:cs="Tahoma"/>
                <w:noProof/>
                <w:sz w:val="16"/>
                <w:szCs w:val="16"/>
                <w:lang w:eastAsia="en-GB"/>
              </w:rPr>
              <w:t>9.11.2018</w:t>
            </w:r>
          </w:p>
        </w:tc>
        <w:tc>
          <w:tcPr>
            <w:tcW w:w="373" w:type="pct"/>
            <w:shd w:val="clear" w:color="auto" w:fill="auto"/>
            <w:vAlign w:val="center"/>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imes New Roman" w:hAnsi="Tahoma" w:cs="Tahoma"/>
                <w:noProof/>
                <w:sz w:val="16"/>
                <w:szCs w:val="16"/>
                <w:lang w:eastAsia="en-GB"/>
              </w:rPr>
              <w:t>30.6.2019</w:t>
            </w:r>
          </w:p>
        </w:tc>
        <w:tc>
          <w:tcPr>
            <w:tcW w:w="374" w:type="pct"/>
            <w:shd w:val="clear" w:color="auto" w:fill="auto"/>
            <w:vAlign w:val="center"/>
          </w:tcPr>
          <w:p w:rsidR="000C6D03" w:rsidRDefault="00873433">
            <w:pPr>
              <w:spacing w:before="60" w:after="60" w:line="240" w:lineRule="auto"/>
              <w:jc w:val="center"/>
              <w:rPr>
                <w:rFonts w:ascii="Tahoma" w:eastAsia="Tahoma" w:hAnsi="Tahoma" w:cs="Tahoma"/>
                <w:b/>
                <w:i/>
                <w:noProof/>
                <w:sz w:val="16"/>
                <w:szCs w:val="16"/>
                <w:lang w:eastAsia="en-GB"/>
              </w:rPr>
            </w:pPr>
            <w:r>
              <w:rPr>
                <w:rFonts w:ascii="Tahoma" w:eastAsia="Times New Roman" w:hAnsi="Tahoma" w:cs="Tahoma"/>
                <w:noProof/>
                <w:sz w:val="16"/>
                <w:szCs w:val="16"/>
                <w:lang w:eastAsia="en-GB"/>
              </w:rPr>
              <w:t>31.3.2020</w:t>
            </w:r>
          </w:p>
        </w:tc>
      </w:tr>
      <w:tr w:rsidR="000C6D03">
        <w:trPr>
          <w:cantSplit/>
          <w:trHeight w:val="240"/>
          <w:tblHeader/>
        </w:trPr>
        <w:tc>
          <w:tcPr>
            <w:tcW w:w="234"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II</w:t>
            </w:r>
          </w:p>
        </w:tc>
        <w:tc>
          <w:tcPr>
            <w:tcW w:w="28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DG HR</w:t>
            </w:r>
          </w:p>
        </w:tc>
        <w:tc>
          <w:tcPr>
            <w:tcW w:w="56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IAS audit on management of </w:t>
            </w:r>
            <w:r>
              <w:rPr>
                <w:rFonts w:ascii="Tahoma" w:eastAsia="Times New Roman" w:hAnsi="Tahoma" w:cs="Tahoma"/>
                <w:i/>
                <w:noProof/>
                <w:sz w:val="16"/>
                <w:szCs w:val="16"/>
                <w:lang w:eastAsia="en-GB"/>
              </w:rPr>
              <w:t xml:space="preserve">intra-muros </w:t>
            </w:r>
            <w:r>
              <w:rPr>
                <w:rFonts w:ascii="Tahoma" w:eastAsia="Times New Roman" w:hAnsi="Tahoma" w:cs="Tahoma"/>
                <w:noProof/>
                <w:sz w:val="16"/>
                <w:szCs w:val="16"/>
                <w:lang w:eastAsia="en-GB"/>
              </w:rPr>
              <w:t>contractors</w:t>
            </w:r>
          </w:p>
        </w:tc>
        <w:tc>
          <w:tcPr>
            <w:tcW w:w="65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DG HR CORPORATE FRAMEWORK FOR THE USE OF INTRA-MUROS CONTRACTORS</w:t>
            </w:r>
          </w:p>
        </w:tc>
        <w:tc>
          <w:tcPr>
            <w:tcW w:w="210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The IAS follow-up of January 2020 found that two tasks from the action plan still need </w:t>
            </w:r>
            <w:r>
              <w:rPr>
                <w:rFonts w:ascii="Tahoma" w:eastAsia="Times New Roman" w:hAnsi="Tahoma" w:cs="Tahoma"/>
                <w:noProof/>
                <w:sz w:val="16"/>
                <w:szCs w:val="16"/>
                <w:lang w:eastAsia="en-GB"/>
              </w:rPr>
              <w:t>to be completed, i.e. the approval of the guidelines by the Corporate Management Board and the subsequent publication of the guidelines to the main stakeholders. Consequently, the recommendation has been re-opened.</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will take place during the fo</w:t>
            </w:r>
            <w:r>
              <w:rPr>
                <w:rFonts w:ascii="Tahoma" w:eastAsia="Times New Roman" w:hAnsi="Tahoma" w:cs="Tahoma"/>
                <w:noProof/>
                <w:sz w:val="16"/>
                <w:szCs w:val="16"/>
                <w:lang w:eastAsia="en-GB"/>
              </w:rPr>
              <w:t>urth quarter of 2020.</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expected delay between the originally agreed and revised expected completion date is 2 years and 1 month.</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12.7.2016</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31.7.2018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1.9.2020</w:t>
            </w:r>
          </w:p>
        </w:tc>
      </w:tr>
      <w:tr w:rsidR="000C6D03">
        <w:trPr>
          <w:cantSplit/>
          <w:trHeight w:val="240"/>
          <w:tblHeader/>
        </w:trPr>
        <w:tc>
          <w:tcPr>
            <w:tcW w:w="234"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III</w:t>
            </w:r>
          </w:p>
        </w:tc>
        <w:tc>
          <w:tcPr>
            <w:tcW w:w="28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DG EMPL</w:t>
            </w:r>
          </w:p>
        </w:tc>
        <w:tc>
          <w:tcPr>
            <w:tcW w:w="56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Effectiveness of simplification measures under the 2014-2020 ESI funds in DG EMPL,</w:t>
            </w:r>
            <w:r>
              <w:rPr>
                <w:rFonts w:ascii="Tahoma" w:eastAsia="Times New Roman" w:hAnsi="Tahoma" w:cs="Tahoma"/>
                <w:noProof/>
                <w:sz w:val="16"/>
                <w:szCs w:val="16"/>
                <w:lang w:eastAsia="en-GB"/>
              </w:rPr>
              <w:t xml:space="preserve"> REGIO and MARE</w:t>
            </w:r>
          </w:p>
        </w:tc>
        <w:tc>
          <w:tcPr>
            <w:tcW w:w="65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UPTAKE AND IMPACT OF SIMPLIFICATION MEASURES AND THE DGS' PROCESSES TO PROMOTE AND MONITOR THESE MEASURES</w:t>
            </w:r>
          </w:p>
        </w:tc>
        <w:tc>
          <w:tcPr>
            <w:tcW w:w="210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Implementation of this recommendation is delayed because the guidance on the simplified cost options is still under revision (latest version circulated in July 2019). The text is currently being finalised. </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 addition, the delay in preparing a guidance no</w:t>
            </w:r>
            <w:r>
              <w:rPr>
                <w:rFonts w:ascii="Tahoma" w:eastAsia="Times New Roman" w:hAnsi="Tahoma" w:cs="Tahoma"/>
                <w:noProof/>
                <w:sz w:val="16"/>
                <w:szCs w:val="16"/>
                <w:lang w:eastAsia="en-GB"/>
              </w:rPr>
              <w:t xml:space="preserve">te on joint action plans has contributed to the delay in implementing this recommendation. </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started in 2019 and is being finalised. Based on its results, the IAS concludes that the recommendation has been adequately and effectively implem</w:t>
            </w:r>
            <w:r>
              <w:rPr>
                <w:rFonts w:ascii="Tahoma" w:eastAsia="Times New Roman" w:hAnsi="Tahoma" w:cs="Tahoma"/>
                <w:noProof/>
                <w:sz w:val="16"/>
                <w:szCs w:val="16"/>
                <w:lang w:eastAsia="en-GB"/>
              </w:rPr>
              <w:t>ented and will therefore be closed.</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expected delay between the originally agreed and revised expected completion date is 1 year and 2 months.</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23.1.2017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31.12.2018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1.3.2020</w:t>
            </w:r>
          </w:p>
        </w:tc>
      </w:tr>
      <w:tr w:rsidR="000C6D03">
        <w:trPr>
          <w:cantSplit/>
          <w:trHeight w:val="240"/>
          <w:tblHeader/>
        </w:trPr>
        <w:tc>
          <w:tcPr>
            <w:tcW w:w="234"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IV</w:t>
            </w:r>
          </w:p>
        </w:tc>
        <w:tc>
          <w:tcPr>
            <w:tcW w:w="28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DG MARE</w:t>
            </w:r>
          </w:p>
        </w:tc>
        <w:tc>
          <w:tcPr>
            <w:tcW w:w="56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Effectiveness of simplification measures under the 2014-2020 ESI </w:t>
            </w:r>
            <w:r>
              <w:rPr>
                <w:rFonts w:ascii="Tahoma" w:eastAsia="Times New Roman" w:hAnsi="Tahoma" w:cs="Tahoma"/>
                <w:noProof/>
                <w:sz w:val="16"/>
                <w:szCs w:val="16"/>
                <w:lang w:eastAsia="en-GB"/>
              </w:rPr>
              <w:t>funds in DG EMPL, REGIO and MARE</w:t>
            </w:r>
          </w:p>
        </w:tc>
        <w:tc>
          <w:tcPr>
            <w:tcW w:w="65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UPTAKE AND IMPACT OF SIMPLIFICATION MEASURES AND THE DGS' PROCESSES TO PROMOTE AND MONITOR THESE MEASURES</w:t>
            </w:r>
          </w:p>
        </w:tc>
        <w:tc>
          <w:tcPr>
            <w:tcW w:w="210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DG EMPL is the lead service for implementing this recommendation. DG MARE has aligned its revised date of implementation with that of DG EMPL. </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started in 2019 and is being finalised. Based on its results, the IAS concludes that the recom</w:t>
            </w:r>
            <w:r>
              <w:rPr>
                <w:rFonts w:ascii="Tahoma" w:eastAsia="Times New Roman" w:hAnsi="Tahoma" w:cs="Tahoma"/>
                <w:noProof/>
                <w:sz w:val="16"/>
                <w:szCs w:val="16"/>
                <w:lang w:eastAsia="en-GB"/>
              </w:rPr>
              <w:t>mendation has been adequately and effectively implemented and will therefore be closed.</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expected delay between the originally agreed and revised expected completion date is 1 year and 2 months.</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23.1.2017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31.12.2018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1.3.2020</w:t>
            </w:r>
          </w:p>
        </w:tc>
      </w:tr>
      <w:tr w:rsidR="000C6D03">
        <w:trPr>
          <w:cantSplit/>
          <w:trHeight w:val="240"/>
          <w:tblHeader/>
        </w:trPr>
        <w:tc>
          <w:tcPr>
            <w:tcW w:w="234"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V</w:t>
            </w:r>
          </w:p>
        </w:tc>
        <w:tc>
          <w:tcPr>
            <w:tcW w:w="28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OIB</w:t>
            </w:r>
          </w:p>
        </w:tc>
        <w:tc>
          <w:tcPr>
            <w:tcW w:w="56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Procurement process </w:t>
            </w:r>
            <w:r>
              <w:rPr>
                <w:rFonts w:ascii="Tahoma" w:eastAsia="Times New Roman" w:hAnsi="Tahoma" w:cs="Tahoma"/>
                <w:noProof/>
                <w:sz w:val="16"/>
                <w:szCs w:val="16"/>
                <w:lang w:eastAsia="en-GB"/>
              </w:rPr>
              <w:t>in OIB, OIL and DG BUDG</w:t>
            </w:r>
          </w:p>
        </w:tc>
        <w:tc>
          <w:tcPr>
            <w:tcW w:w="65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PROCUREMENT PROCEDURES</w:t>
            </w:r>
          </w:p>
        </w:tc>
        <w:tc>
          <w:tcPr>
            <w:tcW w:w="210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OIB prepared a working document including a proposal to revise substantially the current real estate procedure (‘Kallas procedure’) and submitted it at the end of September 2018 to the working group. The </w:t>
            </w:r>
            <w:r>
              <w:rPr>
                <w:rFonts w:ascii="Tahoma" w:eastAsia="Times New Roman" w:hAnsi="Tahoma" w:cs="Tahoma"/>
                <w:noProof/>
                <w:sz w:val="16"/>
                <w:szCs w:val="16"/>
                <w:lang w:eastAsia="en-GB"/>
              </w:rPr>
              <w:t>working group was set up to prepare the revision of the procedure to align it with the Financial Regulation. Technical meetings took place with DG HR on the proposal to replace the current Kallas methodology. The next steps are: (i) the validation of the n</w:t>
            </w:r>
            <w:r>
              <w:rPr>
                <w:rFonts w:ascii="Tahoma" w:eastAsia="Times New Roman" w:hAnsi="Tahoma" w:cs="Tahoma"/>
                <w:noProof/>
                <w:sz w:val="16"/>
                <w:szCs w:val="16"/>
                <w:lang w:eastAsia="en-GB"/>
              </w:rPr>
              <w:t>ew methodology by OIB and DG HR senior management; (ii) consulting the Legal Service; and (iii) launching the inter-service consultation. The further delay is due to the lengthy process of the technical meetings.</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 follow-up will take place as soon as OIB </w:t>
            </w:r>
            <w:r>
              <w:rPr>
                <w:rFonts w:ascii="Tahoma" w:eastAsia="Times New Roman" w:hAnsi="Tahoma" w:cs="Tahoma"/>
                <w:noProof/>
                <w:sz w:val="16"/>
                <w:szCs w:val="16"/>
                <w:lang w:eastAsia="en-GB"/>
              </w:rPr>
              <w:t>reports the recommendation as ‘ready for review’.</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expected delay between the originally agreed and revised expected completion date is 2 years and 4 months.</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20.1.2017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22.2.2017</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30.4.2020</w:t>
            </w:r>
          </w:p>
        </w:tc>
      </w:tr>
      <w:tr w:rsidR="000C6D03">
        <w:trPr>
          <w:cantSplit/>
          <w:trHeight w:val="240"/>
          <w:tblHeader/>
        </w:trPr>
        <w:tc>
          <w:tcPr>
            <w:tcW w:w="234"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ahoma" w:hAnsi="Tahoma" w:cs="Tahoma"/>
                <w:noProof/>
                <w:sz w:val="16"/>
                <w:szCs w:val="16"/>
                <w:lang w:eastAsia="en-GB"/>
              </w:rPr>
            </w:pPr>
            <w:r>
              <w:rPr>
                <w:rFonts w:ascii="Tahoma" w:eastAsia="Tahoma" w:hAnsi="Tahoma" w:cs="Tahoma"/>
                <w:noProof/>
                <w:sz w:val="16"/>
                <w:szCs w:val="16"/>
                <w:lang w:eastAsia="en-GB"/>
              </w:rPr>
              <w:t>VI</w:t>
            </w:r>
          </w:p>
        </w:tc>
        <w:tc>
          <w:tcPr>
            <w:tcW w:w="28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PMO</w:t>
            </w:r>
          </w:p>
        </w:tc>
        <w:tc>
          <w:tcPr>
            <w:tcW w:w="561"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Charge-back in PMO</w:t>
            </w:r>
          </w:p>
        </w:tc>
        <w:tc>
          <w:tcPr>
            <w:tcW w:w="65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before="60" w:after="60" w:line="240" w:lineRule="auto"/>
              <w:rPr>
                <w:rFonts w:ascii="Tahoma" w:eastAsia="Times New Roman" w:hAnsi="Tahoma" w:cs="Tahoma"/>
                <w:noProof/>
                <w:sz w:val="16"/>
                <w:szCs w:val="16"/>
                <w:lang w:eastAsia="en-GB"/>
              </w:rPr>
            </w:pPr>
            <w:r>
              <w:rPr>
                <w:rFonts w:ascii="Tahoma" w:eastAsia="Times New Roman" w:hAnsi="Tahoma" w:cs="Tahoma"/>
                <w:noProof/>
                <w:sz w:val="16"/>
                <w:szCs w:val="16"/>
                <w:lang w:eastAsia="en-GB"/>
              </w:rPr>
              <w:t>SERVICE-LEVEL AGREEMENTS (SLAS)</w:t>
            </w:r>
          </w:p>
        </w:tc>
        <w:tc>
          <w:tcPr>
            <w:tcW w:w="2103" w:type="pct"/>
            <w:tcBorders>
              <w:top w:val="single" w:sz="4" w:space="0" w:color="000000"/>
              <w:left w:val="single" w:sz="4" w:space="0" w:color="000000"/>
              <w:bottom w:val="single" w:sz="4" w:space="0" w:color="000000"/>
              <w:right w:val="single" w:sz="4" w:space="0" w:color="000000"/>
            </w:tcBorders>
            <w:vAlign w:val="center"/>
          </w:tcPr>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The </w:t>
            </w:r>
            <w:r>
              <w:rPr>
                <w:rFonts w:ascii="Tahoma" w:eastAsia="Times New Roman" w:hAnsi="Tahoma" w:cs="Tahoma"/>
                <w:noProof/>
                <w:sz w:val="16"/>
                <w:szCs w:val="16"/>
                <w:lang w:eastAsia="en-GB"/>
              </w:rPr>
              <w:t xml:space="preserve">IAS found in a first follow-up in September 2019 that, while PMO had made significant progress, it had not yet implemented important parts of the recommendation. In particular, it had not yet fully completed the revision of all existing SLAs with external </w:t>
            </w:r>
            <w:r>
              <w:rPr>
                <w:rFonts w:ascii="Tahoma" w:eastAsia="Times New Roman" w:hAnsi="Tahoma" w:cs="Tahoma"/>
                <w:noProof/>
                <w:sz w:val="16"/>
                <w:szCs w:val="16"/>
                <w:lang w:eastAsia="en-GB"/>
              </w:rPr>
              <w:t>clients. Discussions with the parties concerned are still ongoing.</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IAS will perform a second follow-up in the second half of 2020, once PMO’s management reports this recommendation as ‘ready for review’.</w:t>
            </w:r>
          </w:p>
          <w:p w:rsidR="000C6D03" w:rsidRDefault="00873433">
            <w:pPr>
              <w:spacing w:after="120" w:line="240" w:lineRule="auto"/>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expected delay between the originally agreed</w:t>
            </w:r>
            <w:r>
              <w:rPr>
                <w:rFonts w:ascii="Tahoma" w:eastAsia="Times New Roman" w:hAnsi="Tahoma" w:cs="Tahoma"/>
                <w:noProof/>
                <w:sz w:val="16"/>
                <w:szCs w:val="16"/>
                <w:lang w:eastAsia="en-GB"/>
              </w:rPr>
              <w:t xml:space="preserve"> and revised expected completion date is 2 years.</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19.1.2017</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31.3.2018</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6D03" w:rsidRDefault="00873433">
            <w:pPr>
              <w:spacing w:before="60" w:after="60" w:line="240" w:lineRule="auto"/>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31.3.2020</w:t>
            </w:r>
          </w:p>
        </w:tc>
      </w:tr>
    </w:tbl>
    <w:p w:rsidR="000C6D03" w:rsidRDefault="000C6D03">
      <w:pPr>
        <w:spacing w:after="240" w:line="240" w:lineRule="auto"/>
        <w:ind w:left="482"/>
        <w:jc w:val="both"/>
        <w:rPr>
          <w:rFonts w:ascii="Times New Roman" w:eastAsia="Times New Roman" w:hAnsi="Times New Roman" w:cs="Times New Roman"/>
          <w:noProof/>
          <w:sz w:val="24"/>
          <w:szCs w:val="20"/>
          <w:lang w:eastAsia="en-GB"/>
        </w:rPr>
      </w:pPr>
    </w:p>
    <w:p w:rsidR="000C6D03" w:rsidRDefault="000C6D03">
      <w:pPr>
        <w:spacing w:after="0" w:line="240" w:lineRule="auto"/>
        <w:jc w:val="both"/>
        <w:rPr>
          <w:rFonts w:ascii="EC Square Sans Pro" w:eastAsia="EC Square Sans Pro" w:hAnsi="EC Square Sans Pro" w:cs="Times New Roman"/>
          <w:noProof/>
          <w:color w:val="000000"/>
          <w:sz w:val="20"/>
        </w:rPr>
      </w:pPr>
    </w:p>
    <w:p w:rsidR="000C6D03" w:rsidRDefault="000C6D03">
      <w:pPr>
        <w:rPr>
          <w:noProof/>
        </w:rPr>
      </w:pPr>
    </w:p>
    <w:sectPr w:rsidR="000C6D03">
      <w:headerReference w:type="even" r:id="rId54"/>
      <w:headerReference w:type="default" r:id="rId55"/>
      <w:footerReference w:type="even" r:id="rId56"/>
      <w:footerReference w:type="default" r:id="rId57"/>
      <w:headerReference w:type="first" r:id="rId58"/>
      <w:footerReference w:type="first" r:id="rId59"/>
      <w:pgSz w:w="16838" w:h="11906" w:orient="landscape" w:code="9"/>
      <w:pgMar w:top="1418" w:right="851" w:bottom="1418"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03" w:rsidRDefault="00873433">
      <w:pPr>
        <w:spacing w:after="0" w:line="240" w:lineRule="auto"/>
      </w:pPr>
      <w:r>
        <w:separator/>
      </w:r>
    </w:p>
  </w:endnote>
  <w:endnote w:type="continuationSeparator" w:id="0">
    <w:p w:rsidR="000C6D03" w:rsidRDefault="00873433">
      <w:pPr>
        <w:spacing w:after="0" w:line="240" w:lineRule="auto"/>
      </w:pPr>
      <w:r>
        <w:continuationSeparator/>
      </w:r>
    </w:p>
  </w:endnote>
  <w:endnote w:type="continuationNotice" w:id="1">
    <w:p w:rsidR="000C6D03" w:rsidRDefault="000C6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rPr>
        <w:rFonts w:ascii="EC Square Sans Pro" w:hAnsi="EC Square Sans Pro"/>
        <w:sz w:val="20"/>
        <w:szCs w:val="20"/>
      </w:rPr>
    </w:pPr>
    <w:r>
      <w:rPr>
        <w:rFonts w:ascii="EC Square Sans Pro" w:hAnsi="EC Square Sans Pro"/>
        <w:sz w:val="20"/>
        <w:szCs w:val="20"/>
      </w:rPr>
      <w:fldChar w:fldCharType="begin"/>
    </w:r>
    <w:r>
      <w:rPr>
        <w:rFonts w:ascii="EC Square Sans Pro" w:hAnsi="EC Square Sans Pro"/>
        <w:sz w:val="20"/>
        <w:szCs w:val="20"/>
      </w:rPr>
      <w:instrText xml:space="preserve"> PAGE   \* MERGEFORMAT </w:instrText>
    </w:r>
    <w:r>
      <w:rPr>
        <w:rFonts w:ascii="EC Square Sans Pro" w:hAnsi="EC Square Sans Pro"/>
        <w:sz w:val="20"/>
        <w:szCs w:val="20"/>
      </w:rPr>
      <w:fldChar w:fldCharType="separate"/>
    </w:r>
    <w:r>
      <w:rPr>
        <w:rFonts w:ascii="EC Square Sans Pro" w:hAnsi="EC Square Sans Pro"/>
        <w:noProof/>
        <w:sz w:val="20"/>
        <w:szCs w:val="20"/>
      </w:rPr>
      <w:t>6</w:t>
    </w:r>
    <w:r>
      <w:rPr>
        <w:rFonts w:ascii="EC Square Sans Pro" w:hAnsi="EC Square Sans Pro"/>
        <w:noProof/>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rPr>
        <w:rFonts w:ascii="EC Square Sans Pro" w:hAnsi="EC Square Sans Pro"/>
        <w:sz w:val="20"/>
        <w:szCs w:val="20"/>
      </w:rPr>
    </w:pPr>
    <w:r>
      <w:rPr>
        <w:rFonts w:ascii="EC Square Sans Pro" w:hAnsi="EC Square Sans Pro"/>
        <w:sz w:val="20"/>
        <w:szCs w:val="20"/>
      </w:rPr>
      <w:fldChar w:fldCharType="begin"/>
    </w:r>
    <w:r>
      <w:rPr>
        <w:rFonts w:ascii="EC Square Sans Pro" w:hAnsi="EC Square Sans Pro"/>
        <w:sz w:val="20"/>
        <w:szCs w:val="20"/>
      </w:rPr>
      <w:instrText xml:space="preserve"> PAGE   \* MERGEFORMAT </w:instrText>
    </w:r>
    <w:r>
      <w:rPr>
        <w:rFonts w:ascii="EC Square Sans Pro" w:hAnsi="EC Square Sans Pro"/>
        <w:sz w:val="20"/>
        <w:szCs w:val="20"/>
      </w:rPr>
      <w:fldChar w:fldCharType="separate"/>
    </w:r>
    <w:r>
      <w:rPr>
        <w:rFonts w:ascii="EC Square Sans Pro" w:hAnsi="EC Square Sans Pro"/>
        <w:noProof/>
        <w:sz w:val="20"/>
        <w:szCs w:val="20"/>
      </w:rPr>
      <w:t>12</w:t>
    </w:r>
    <w:r>
      <w:rPr>
        <w:rFonts w:ascii="EC Square Sans Pro" w:hAnsi="EC Square Sans Pro"/>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rPr>
        <w:rFonts w:ascii="EC Square Sans Pro" w:hAnsi="EC Square Sans Pro"/>
        <w:sz w:val="20"/>
        <w:szCs w:val="20"/>
      </w:rPr>
    </w:pPr>
    <w:r>
      <w:rPr>
        <w:rFonts w:ascii="EC Square Sans Pro" w:hAnsi="EC Square Sans Pro"/>
        <w:sz w:val="20"/>
        <w:szCs w:val="20"/>
      </w:rPr>
      <w:fldChar w:fldCharType="begin"/>
    </w:r>
    <w:r>
      <w:rPr>
        <w:rFonts w:ascii="EC Square Sans Pro" w:hAnsi="EC Square Sans Pro"/>
        <w:sz w:val="20"/>
        <w:szCs w:val="20"/>
      </w:rPr>
      <w:instrText xml:space="preserve"> PAGE   \* MERGEFORMAT </w:instrText>
    </w:r>
    <w:r>
      <w:rPr>
        <w:rFonts w:ascii="EC Square Sans Pro" w:hAnsi="EC Square Sans Pro"/>
        <w:sz w:val="20"/>
        <w:szCs w:val="20"/>
      </w:rPr>
      <w:fldChar w:fldCharType="separate"/>
    </w:r>
    <w:r>
      <w:rPr>
        <w:rFonts w:ascii="EC Square Sans Pro" w:hAnsi="EC Square Sans Pro"/>
        <w:noProof/>
        <w:sz w:val="20"/>
        <w:szCs w:val="20"/>
      </w:rPr>
      <w:t>48</w:t>
    </w:r>
    <w:r>
      <w:rPr>
        <w:rFonts w:ascii="EC Square Sans Pro" w:hAnsi="EC Square Sans Pro"/>
        <w:noProof/>
        <w:sz w:val="20"/>
        <w:szCs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FooterCoverPage"/>
      <w:rPr>
        <w:rFonts w:ascii="Arial" w:hAnsi="Arial" w:cs="Arial"/>
        <w:b/>
        <w:sz w:val="48"/>
      </w:rPr>
    </w:pPr>
    <w:r w:rsidRPr="00873433">
      <w:rPr>
        <w:rFonts w:ascii="Arial" w:hAnsi="Arial" w:cs="Arial"/>
        <w:b/>
        <w:sz w:val="48"/>
      </w:rPr>
      <w:t>EN</w:t>
    </w:r>
    <w:r w:rsidRPr="00873433">
      <w:rPr>
        <w:rFonts w:ascii="Arial" w:hAnsi="Arial" w:cs="Arial"/>
        <w:b/>
        <w:sz w:val="48"/>
      </w:rPr>
      <w:tab/>
    </w:r>
    <w:r w:rsidRPr="00873433">
      <w:rPr>
        <w:rFonts w:ascii="Arial" w:hAnsi="Arial" w:cs="Arial"/>
        <w:b/>
        <w:sz w:val="48"/>
      </w:rPr>
      <w:tab/>
    </w:r>
    <w:r w:rsidRPr="00873433">
      <w:tab/>
    </w:r>
    <w:r w:rsidRPr="00873433">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rPr>
        <w:rFonts w:ascii="EC Square Sans Pro" w:hAnsi="EC Square Sans Pro"/>
        <w:sz w:val="20"/>
        <w:szCs w:val="20"/>
      </w:rPr>
    </w:pPr>
    <w:r>
      <w:rPr>
        <w:rFonts w:ascii="EC Square Sans Pro" w:hAnsi="EC Square Sans Pro"/>
        <w:sz w:val="20"/>
        <w:szCs w:val="20"/>
      </w:rPr>
      <w:fldChar w:fldCharType="begin"/>
    </w:r>
    <w:r>
      <w:rPr>
        <w:rFonts w:ascii="EC Square Sans Pro" w:hAnsi="EC Square Sans Pro"/>
        <w:sz w:val="20"/>
        <w:szCs w:val="20"/>
      </w:rPr>
      <w:instrText xml:space="preserve"> PAGE   \* MERGEFORMAT </w:instrText>
    </w:r>
    <w:r>
      <w:rPr>
        <w:rFonts w:ascii="EC Square Sans Pro" w:hAnsi="EC Square Sans Pro"/>
        <w:sz w:val="20"/>
        <w:szCs w:val="20"/>
      </w:rPr>
      <w:fldChar w:fldCharType="separate"/>
    </w:r>
    <w:r>
      <w:rPr>
        <w:rFonts w:ascii="EC Square Sans Pro" w:hAnsi="EC Square Sans Pro"/>
        <w:noProof/>
        <w:sz w:val="20"/>
        <w:szCs w:val="20"/>
      </w:rPr>
      <w:t>58</w:t>
    </w:r>
    <w:r>
      <w:rPr>
        <w:rFonts w:ascii="EC Square Sans Pro" w:hAnsi="EC Square Sans Pro"/>
        <w:noProof/>
        <w:sz w:val="20"/>
        <w:szCs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rPr>
        <w:rFonts w:ascii="EC Square Sans Pro" w:hAnsi="EC Square Sans Pro"/>
      </w:rPr>
    </w:pPr>
    <w:r>
      <w:rPr>
        <w:rFonts w:ascii="EC Square Sans Pro" w:hAnsi="EC Square Sans Pro"/>
      </w:rPr>
      <w:fldChar w:fldCharType="begin"/>
    </w:r>
    <w:r>
      <w:rPr>
        <w:rFonts w:ascii="EC Square Sans Pro" w:hAnsi="EC Square Sans Pro"/>
      </w:rPr>
      <w:instrText xml:space="preserve"> PAGE   \* MERGEFORMAT </w:instrText>
    </w:r>
    <w:r>
      <w:rPr>
        <w:rFonts w:ascii="EC Square Sans Pro" w:hAnsi="EC Square Sans Pro"/>
      </w:rPr>
      <w:fldChar w:fldCharType="separate"/>
    </w:r>
    <w:r>
      <w:rPr>
        <w:rFonts w:ascii="EC Square Sans Pro" w:hAnsi="EC Square Sans Pro"/>
        <w:noProof/>
      </w:rPr>
      <w:t>60</w:t>
    </w:r>
    <w:r>
      <w:rPr>
        <w:rFonts w:ascii="EC Square Sans Pro" w:hAnsi="EC Square Sans Pro"/>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pStyle w:val="FooterLine"/>
      <w:jc w:val="center"/>
    </w:pPr>
    <w:r>
      <w:fldChar w:fldCharType="begin"/>
    </w:r>
    <w:r>
      <w:instrText>PAGE   \* MERGEFORMAT</w:instrText>
    </w:r>
    <w:r>
      <w:fldChar w:fldCharType="separate"/>
    </w:r>
    <w:r>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pStyle w:val="FooterLine"/>
      <w:jc w:val="center"/>
      <w:rPr>
        <w:rFonts w:ascii="EC Square Sans Pro" w:hAnsi="EC Square Sans Pro"/>
        <w:sz w:val="22"/>
        <w:szCs w:val="22"/>
      </w:rPr>
    </w:pPr>
    <w:r>
      <w:rPr>
        <w:rFonts w:ascii="EC Square Sans Pro" w:hAnsi="EC Square Sans Pro"/>
        <w:sz w:val="22"/>
        <w:szCs w:val="22"/>
      </w:rPr>
      <w:fldChar w:fldCharType="begin"/>
    </w:r>
    <w:r>
      <w:rPr>
        <w:rFonts w:ascii="EC Square Sans Pro" w:hAnsi="EC Square Sans Pro"/>
        <w:sz w:val="22"/>
        <w:szCs w:val="22"/>
      </w:rPr>
      <w:instrText>PAGE   \* MERGEFORMAT</w:instrText>
    </w:r>
    <w:r>
      <w:rPr>
        <w:rFonts w:ascii="EC Square Sans Pro" w:hAnsi="EC Square Sans Pro"/>
        <w:sz w:val="22"/>
        <w:szCs w:val="22"/>
      </w:rPr>
      <w:fldChar w:fldCharType="separate"/>
    </w:r>
    <w:r>
      <w:rPr>
        <w:rFonts w:ascii="EC Square Sans Pro" w:hAnsi="EC Square Sans Pro"/>
        <w:noProof/>
        <w:sz w:val="22"/>
        <w:szCs w:val="22"/>
      </w:rPr>
      <w:t>1</w:t>
    </w:r>
    <w:r>
      <w:rPr>
        <w:rFonts w:ascii="EC Square Sans Pro" w:hAnsi="EC Square Sans Pro"/>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pStyle w:val="FooterLine"/>
      <w:jc w:val="center"/>
    </w:pPr>
    <w:r>
      <w:fldChar w:fldCharType="begin"/>
    </w:r>
    <w:r>
      <w:instrText>PAGE   \* MERGEFORMAT</w:instrText>
    </w:r>
    <w:r>
      <w:fldChar w:fldCharType="separate"/>
    </w:r>
    <w:r>
      <w:rPr>
        <w:noProof/>
      </w:rPr>
      <w:t>20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03" w:rsidRDefault="00873433">
      <w:pPr>
        <w:spacing w:after="0" w:line="240" w:lineRule="auto"/>
      </w:pPr>
      <w:r>
        <w:separator/>
      </w:r>
    </w:p>
  </w:footnote>
  <w:footnote w:type="continuationSeparator" w:id="0">
    <w:p w:rsidR="000C6D03" w:rsidRDefault="00873433">
      <w:pPr>
        <w:spacing w:after="0" w:line="240" w:lineRule="auto"/>
      </w:pPr>
      <w:r>
        <w:continuationSeparator/>
      </w:r>
    </w:p>
  </w:footnote>
  <w:footnote w:type="continuationNotice" w:id="1">
    <w:p w:rsidR="000C6D03" w:rsidRDefault="000C6D03">
      <w:pPr>
        <w:spacing w:after="0" w:line="240" w:lineRule="auto"/>
      </w:pPr>
    </w:p>
  </w:footnote>
  <w:footnote w:id="2">
    <w:p w:rsidR="000C6D03" w:rsidRDefault="00873433">
      <w:pPr>
        <w:pStyle w:val="FootnoteText"/>
      </w:pPr>
      <w:r>
        <w:rPr>
          <w:vertAlign w:val="superscript"/>
        </w:rPr>
        <w:t>(</w:t>
      </w:r>
      <w:r>
        <w:rPr>
          <w:rStyle w:val="FootnoteReference"/>
        </w:rPr>
        <w:footnoteRef/>
      </w:r>
      <w:r>
        <w:rPr>
          <w:vertAlign w:val="superscript"/>
        </w:rPr>
        <w:t>)</w:t>
      </w:r>
      <w:r>
        <w:rPr>
          <w:vertAlign w:val="superscript"/>
        </w:rPr>
        <w:tab/>
      </w:r>
      <w:r>
        <w:t>Important recommendations are not reproduced in this document.</w:t>
      </w:r>
    </w:p>
  </w:footnote>
  <w:footnote w:id="3">
    <w:p w:rsidR="000C6D03" w:rsidRDefault="00873433">
      <w:pPr>
        <w:pStyle w:val="FootnoteText"/>
      </w:pPr>
      <w:r>
        <w:rPr>
          <w:vertAlign w:val="superscript"/>
        </w:rPr>
        <w:t>(</w:t>
      </w:r>
      <w:r>
        <w:rPr>
          <w:rStyle w:val="FootnoteReference"/>
        </w:rPr>
        <w:footnoteRef/>
      </w:r>
      <w:r>
        <w:rPr>
          <w:vertAlign w:val="superscript"/>
        </w:rPr>
        <w:t>)</w:t>
      </w:r>
      <w:r>
        <w:t xml:space="preserve"> </w:t>
      </w:r>
      <w:r>
        <w:tab/>
        <w:t xml:space="preserve">The summary reflects the IAS’s assessment of the audit </w:t>
      </w:r>
      <w:r>
        <w:t xml:space="preserve">recommendations’ implementation status at the end of the follow-up assignment. It does not take into account any further action with possible impact on the status of the recommendation that the auditee may have undertaken and reported to the IAS since the </w:t>
      </w:r>
      <w:r>
        <w:t>release of the IAS follow-up note or report.</w:t>
      </w:r>
    </w:p>
  </w:footnote>
  <w:footnote w:id="4">
    <w:p w:rsidR="000C6D03" w:rsidRDefault="00873433">
      <w:pPr>
        <w:pStyle w:val="FootnoteText"/>
      </w:pPr>
      <w:r>
        <w:rPr>
          <w:vertAlign w:val="superscript"/>
        </w:rPr>
        <w:t>(</w:t>
      </w:r>
      <w:r>
        <w:rPr>
          <w:rStyle w:val="FootnoteReference"/>
        </w:rPr>
        <w:footnoteRef/>
      </w:r>
      <w:r>
        <w:rPr>
          <w:vertAlign w:val="superscript"/>
        </w:rPr>
        <w:t>)</w:t>
      </w:r>
      <w:r>
        <w:tab/>
        <w:t>DG REGIO reports a reservation on 30 programmes, DG EMPL on 25 programmes.</w:t>
      </w:r>
    </w:p>
  </w:footnote>
  <w:footnote w:id="5">
    <w:p w:rsidR="000C6D03" w:rsidRDefault="00873433">
      <w:pPr>
        <w:pStyle w:val="FootnoteText"/>
      </w:pPr>
      <w:r>
        <w:rPr>
          <w:vertAlign w:val="superscript"/>
        </w:rPr>
        <w:t>(</w:t>
      </w:r>
      <w:r>
        <w:rPr>
          <w:rStyle w:val="FootnoteReference"/>
        </w:rPr>
        <w:footnoteRef/>
      </w:r>
      <w:r>
        <w:rPr>
          <w:vertAlign w:val="superscript"/>
        </w:rPr>
        <w:t>)</w:t>
      </w:r>
      <w:r>
        <w:tab/>
        <w:t>Cohesion Policy 2014-2020: A Strategy to Manage Change towards a more Performance-Based Culture; EMPL strategy for a performance</w:t>
      </w:r>
      <w:r>
        <w:t>-based culture for the ESF 2016-2023.</w:t>
      </w:r>
    </w:p>
  </w:footnote>
  <w:footnote w:id="6">
    <w:p w:rsidR="000C6D03" w:rsidRDefault="00873433">
      <w:pPr>
        <w:pStyle w:val="FootnoteText"/>
        <w:rPr>
          <w:lang w:val="fr-BE"/>
        </w:rPr>
      </w:pPr>
      <w:r>
        <w:rPr>
          <w:vertAlign w:val="superscript"/>
          <w:lang w:val="fr-BE"/>
        </w:rPr>
        <w:t>(</w:t>
      </w:r>
      <w:r>
        <w:rPr>
          <w:rStyle w:val="FootnoteReference"/>
        </w:rPr>
        <w:footnoteRef/>
      </w:r>
      <w:r>
        <w:rPr>
          <w:vertAlign w:val="superscript"/>
          <w:lang w:val="fr-BE"/>
        </w:rPr>
        <w:t>)</w:t>
      </w:r>
      <w:r>
        <w:rPr>
          <w:lang w:val="fr-BE"/>
        </w:rPr>
        <w:t xml:space="preserve"> </w:t>
      </w:r>
      <w:r>
        <w:rPr>
          <w:lang w:val="fr-BE"/>
        </w:rPr>
        <w:tab/>
        <w:t>Entité légale de compensation (ELC).</w:t>
      </w:r>
    </w:p>
  </w:footnote>
  <w:footnote w:id="7">
    <w:p w:rsidR="000C6D03" w:rsidRDefault="00873433">
      <w:pPr>
        <w:pStyle w:val="FootnoteText"/>
      </w:pPr>
      <w:r>
        <w:rPr>
          <w:vertAlign w:val="superscript"/>
        </w:rPr>
        <w:t>(</w:t>
      </w:r>
      <w:r>
        <w:rPr>
          <w:rStyle w:val="FootnoteReference"/>
        </w:rPr>
        <w:footnoteRef/>
      </w:r>
      <w:r>
        <w:rPr>
          <w:vertAlign w:val="superscript"/>
        </w:rPr>
        <w:t>)</w:t>
      </w:r>
      <w:r>
        <w:t xml:space="preserve"> </w:t>
      </w:r>
      <w:r>
        <w:tab/>
        <w:t xml:space="preserve">SUMMA is a platform being developed by the Commission to replace ABAC (Accrual Based Accounting System). ABAC is the central accounting, budgetary and treasury system set </w:t>
      </w:r>
      <w:r>
        <w:t>up by the Commission to implement its budget and prepare its annual accounts.</w:t>
      </w:r>
    </w:p>
  </w:footnote>
  <w:footnote w:id="8">
    <w:p w:rsidR="000C6D03" w:rsidRDefault="00873433">
      <w:pPr>
        <w:pStyle w:val="FootnoteText"/>
      </w:pPr>
      <w:r>
        <w:rPr>
          <w:vertAlign w:val="superscript"/>
        </w:rPr>
        <w:t>(</w:t>
      </w:r>
      <w:r>
        <w:rPr>
          <w:rStyle w:val="FootnoteReference"/>
        </w:rPr>
        <w:footnoteRef/>
      </w:r>
      <w:r>
        <w:rPr>
          <w:vertAlign w:val="superscript"/>
        </w:rPr>
        <w:t>)</w:t>
      </w:r>
      <w:r>
        <w:tab/>
        <w:t>DG AGRI 2017 Annual Activity Report.</w:t>
      </w:r>
    </w:p>
  </w:footnote>
  <w:footnote w:id="9">
    <w:p w:rsidR="000C6D03" w:rsidRDefault="00873433">
      <w:pPr>
        <w:pStyle w:val="FootnoteText"/>
      </w:pPr>
      <w:r>
        <w:rPr>
          <w:vertAlign w:val="superscript"/>
        </w:rPr>
        <w:t>(</w:t>
      </w:r>
      <w:r>
        <w:rPr>
          <w:rStyle w:val="FootnoteReference"/>
        </w:rPr>
        <w:footnoteRef/>
      </w:r>
      <w:r>
        <w:rPr>
          <w:vertAlign w:val="superscript"/>
        </w:rPr>
        <w:t>)</w:t>
      </w:r>
      <w:r>
        <w:tab/>
        <w:t>DG AGRI 2018 Annual Activity Report.</w:t>
      </w:r>
    </w:p>
  </w:footnote>
  <w:footnote w:id="10">
    <w:p w:rsidR="000C6D03" w:rsidRDefault="00873433">
      <w:pPr>
        <w:pStyle w:val="FootnoteText"/>
        <w:rPr>
          <w:rFonts w:ascii="Calibri" w:hAnsi="Calibri"/>
        </w:rPr>
      </w:pPr>
      <w:r>
        <w:rPr>
          <w:vertAlign w:val="superscript"/>
        </w:rPr>
        <w:t>(</w:t>
      </w:r>
      <w:r>
        <w:rPr>
          <w:rStyle w:val="FootnoteReference"/>
          <w:sz w:val="18"/>
          <w:szCs w:val="18"/>
        </w:rPr>
        <w:footnoteRef/>
      </w:r>
      <w:r>
        <w:rPr>
          <w:vertAlign w:val="superscript"/>
        </w:rPr>
        <w:t>)</w:t>
      </w:r>
      <w:r>
        <w:rPr>
          <w:vertAlign w:val="superscript"/>
        </w:rPr>
        <w:tab/>
      </w:r>
      <w:r>
        <w:t xml:space="preserve">The IAS collected information for this audit through an online survey sent to colleagues in </w:t>
      </w:r>
      <w:r>
        <w:t>DG SANTE, DG AGRI and DG GROW who are in contact with DG SANTE.F’s work. The purpose was to collect their views on the main reports produced by DG SANTE.F, as well as on the overall working relationship with DG SANTE.F, through a series of open or closed q</w:t>
      </w:r>
      <w:r>
        <w:t>uestions.</w:t>
      </w:r>
    </w:p>
  </w:footnote>
  <w:footnote w:id="11">
    <w:p w:rsidR="000C6D03" w:rsidRDefault="00873433">
      <w:pPr>
        <w:pStyle w:val="FootnoteText"/>
      </w:pPr>
      <w:r>
        <w:rPr>
          <w:vertAlign w:val="superscript"/>
        </w:rPr>
        <w:t>(</w:t>
      </w:r>
      <w:r>
        <w:rPr>
          <w:rStyle w:val="FootnoteReference"/>
        </w:rPr>
        <w:footnoteRef/>
      </w:r>
      <w:r>
        <w:rPr>
          <w:vertAlign w:val="superscript"/>
        </w:rPr>
        <w:t>)</w:t>
      </w:r>
      <w:r>
        <w:t xml:space="preserve"> </w:t>
      </w:r>
      <w:r>
        <w:tab/>
        <w:t>Almost 90% of the respondents rated cooperation with DG SANTE.F from good to excellent.</w:t>
      </w:r>
    </w:p>
  </w:footnote>
  <w:footnote w:id="12">
    <w:p w:rsidR="000C6D03" w:rsidRDefault="00873433">
      <w:pPr>
        <w:pStyle w:val="FootnoteText"/>
      </w:pPr>
      <w:r>
        <w:rPr>
          <w:rStyle w:val="FootnoteReference"/>
        </w:rPr>
        <w:footnoteRef/>
      </w:r>
      <w:r>
        <w:t xml:space="preserve"> IAS audit on H2020 Grant Management in ERCEA: from the evaluation of proposals to the signature of the Grant Agreements (2016) and IAS Audit on H2020 G</w:t>
      </w:r>
      <w:r>
        <w:t>rant management (phase 2) in ERCEA (2018).</w:t>
      </w:r>
    </w:p>
  </w:footnote>
  <w:footnote w:id="13">
    <w:p w:rsidR="000C6D03" w:rsidRDefault="00873433">
      <w:pPr>
        <w:pStyle w:val="FootnoteText"/>
      </w:pPr>
      <w:r>
        <w:rPr>
          <w:vertAlign w:val="superscript"/>
        </w:rPr>
        <w:t>(</w:t>
      </w:r>
      <w:r>
        <w:rPr>
          <w:rStyle w:val="FootnoteReference"/>
        </w:rPr>
        <w:footnoteRef/>
      </w:r>
      <w:r>
        <w:rPr>
          <w:vertAlign w:val="superscript"/>
        </w:rPr>
        <w:t>)</w:t>
      </w:r>
      <w:r>
        <w:tab/>
      </w:r>
      <w:r>
        <w:rPr>
          <w:lang w:val="en-IE"/>
        </w:rPr>
        <w:t>The Control Board is the forum for senior management to discuss and decide on issues related to budget, finance and internal control. The Control Board is chaired by the Director-General, with all the Director</w:t>
      </w:r>
      <w:r>
        <w:rPr>
          <w:lang w:val="en-IE"/>
        </w:rPr>
        <w:t>s attending, as well as the Director of the shared resource directorate and the Heads of Units of SRD.1 and SRD.3.</w:t>
      </w:r>
    </w:p>
  </w:footnote>
  <w:footnote w:id="14">
    <w:p w:rsidR="000C6D03" w:rsidRDefault="00873433">
      <w:pPr>
        <w:pStyle w:val="FootnoteText"/>
      </w:pPr>
      <w:r>
        <w:rPr>
          <w:vertAlign w:val="superscript"/>
        </w:rPr>
        <w:t>(</w:t>
      </w:r>
      <w:r>
        <w:rPr>
          <w:rStyle w:val="FootnoteReference"/>
        </w:rPr>
        <w:footnoteRef/>
      </w:r>
      <w:r>
        <w:rPr>
          <w:vertAlign w:val="superscript"/>
        </w:rPr>
        <w:t>)</w:t>
      </w:r>
      <w:r>
        <w:t xml:space="preserve"> </w:t>
      </w:r>
      <w:r>
        <w:tab/>
        <w:t>The Audit Module is a database that contains information on all audits and audit-related engagements carried out on contracts managed by</w:t>
      </w:r>
      <w:r>
        <w:t xml:space="preserve"> DG DEVCO, DG NEAR and FPI (including those performed by the European Court of Auditors and other external entities).</w:t>
      </w:r>
    </w:p>
  </w:footnote>
  <w:footnote w:id="15">
    <w:p w:rsidR="000C6D03" w:rsidRDefault="00873433">
      <w:pPr>
        <w:pStyle w:val="FootnoteText"/>
        <w:rPr>
          <w:lang w:val="en-US"/>
        </w:rPr>
      </w:pPr>
      <w:r>
        <w:rPr>
          <w:vertAlign w:val="superscript"/>
        </w:rPr>
        <w:t>(</w:t>
      </w:r>
      <w:r>
        <w:rPr>
          <w:rStyle w:val="FootnoteReference"/>
        </w:rPr>
        <w:footnoteRef/>
      </w:r>
      <w:r>
        <w:rPr>
          <w:vertAlign w:val="superscript"/>
        </w:rPr>
        <w:t>)</w:t>
      </w:r>
      <w:r>
        <w:t xml:space="preserve"> </w:t>
      </w:r>
      <w:r>
        <w:rPr>
          <w:lang w:val="en-US"/>
        </w:rPr>
        <w:tab/>
      </w:r>
      <w:hyperlink r:id="rId1" w:history="1">
        <w:r>
          <w:rPr>
            <w:rStyle w:val="Hyperlink"/>
            <w:lang w:val="en-US"/>
          </w:rPr>
          <w:t>http://dgecho-partners-helpdesk.eu/</w:t>
        </w:r>
      </w:hyperlink>
      <w:r>
        <w:rPr>
          <w:lang w:val="en-US"/>
        </w:rPr>
        <w:t xml:space="preserve"> </w:t>
      </w:r>
    </w:p>
  </w:footnote>
  <w:footnote w:id="16">
    <w:p w:rsidR="000C6D03" w:rsidRDefault="00873433">
      <w:pPr>
        <w:pStyle w:val="FootnoteText"/>
      </w:pPr>
      <w:r>
        <w:rPr>
          <w:vertAlign w:val="superscript"/>
        </w:rPr>
        <w:t>(</w:t>
      </w:r>
      <w:r>
        <w:rPr>
          <w:rStyle w:val="FootnoteReference"/>
        </w:rPr>
        <w:footnoteRef/>
      </w:r>
      <w:r>
        <w:rPr>
          <w:vertAlign w:val="superscript"/>
        </w:rPr>
        <w:t>)</w:t>
      </w:r>
      <w:r>
        <w:t xml:space="preserve"> </w:t>
      </w:r>
      <w:r>
        <w:tab/>
      </w:r>
      <w:r>
        <w:t>The Audit Module tool is a database that contains information on all audits and audit-related engagements carried out on contracts managed by DG DEVCO, DG NEAR and FPI (including those performed by the European Court of Auditors and other external entities</w:t>
      </w:r>
      <w:r>
        <w:t xml:space="preserve">). </w:t>
      </w:r>
    </w:p>
  </w:footnote>
  <w:footnote w:id="17">
    <w:p w:rsidR="000C6D03" w:rsidRDefault="00873433">
      <w:pPr>
        <w:pStyle w:val="FootnoteText"/>
      </w:pPr>
      <w:r>
        <w:rPr>
          <w:vertAlign w:val="superscript"/>
        </w:rPr>
        <w:t>(</w:t>
      </w:r>
      <w:r>
        <w:rPr>
          <w:rStyle w:val="FootnoteReference"/>
        </w:rPr>
        <w:footnoteRef/>
      </w:r>
      <w:r>
        <w:rPr>
          <w:vertAlign w:val="superscript"/>
        </w:rPr>
        <w:t>)</w:t>
      </w:r>
      <w:r>
        <w:t xml:space="preserve"> </w:t>
      </w:r>
      <w:r>
        <w:tab/>
        <w:t>RDIS2 (Rural Development Information System).</w:t>
      </w:r>
    </w:p>
  </w:footnote>
  <w:footnote w:id="18">
    <w:p w:rsidR="000C6D03" w:rsidRDefault="00873433">
      <w:pPr>
        <w:pStyle w:val="FootnoteText"/>
      </w:pPr>
      <w:r>
        <w:rPr>
          <w:vertAlign w:val="superscript"/>
        </w:rPr>
        <w:t>(</w:t>
      </w:r>
      <w:r>
        <w:rPr>
          <w:rStyle w:val="FootnoteReference"/>
        </w:rPr>
        <w:footnoteRef/>
      </w:r>
      <w:r>
        <w:rPr>
          <w:vertAlign w:val="superscript"/>
        </w:rPr>
        <w:t>)</w:t>
      </w:r>
      <w:r>
        <w:rPr>
          <w:rStyle w:val="FootnoteReference"/>
        </w:rPr>
        <w:t xml:space="preserve"> </w:t>
      </w:r>
      <w:r>
        <w:rPr>
          <w:rStyle w:val="FootnoteReference"/>
        </w:rPr>
        <w:tab/>
      </w:r>
      <w:r>
        <w:t>According to the 2017 Regulatory Scrutiny Board report, the Board developed its advisory function in 2017. This included ‘upstream meetings’ with Commission departments.</w:t>
      </w:r>
    </w:p>
  </w:footnote>
  <w:footnote w:id="19">
    <w:p w:rsidR="000C6D03" w:rsidRDefault="00873433">
      <w:pPr>
        <w:pStyle w:val="FootnoteText"/>
      </w:pPr>
      <w:r>
        <w:rPr>
          <w:vertAlign w:val="superscript"/>
        </w:rPr>
        <w:t>(</w:t>
      </w:r>
      <w:r>
        <w:rPr>
          <w:rStyle w:val="FootnoteReference"/>
        </w:rPr>
        <w:footnoteRef/>
      </w:r>
      <w:r>
        <w:rPr>
          <w:vertAlign w:val="superscript"/>
        </w:rPr>
        <w:t>)</w:t>
      </w:r>
      <w:r>
        <w:t xml:space="preserve"> </w:t>
      </w:r>
      <w:r>
        <w:tab/>
        <w:t>Estimated 0.36% multi</w:t>
      </w:r>
      <w:r>
        <w:t>-annual residual error rate for the LIFE programme in the 2018 annual activity report.</w:t>
      </w:r>
    </w:p>
  </w:footnote>
  <w:footnote w:id="20">
    <w:p w:rsidR="000C6D03" w:rsidRDefault="00873433">
      <w:pPr>
        <w:pStyle w:val="FootnoteText"/>
      </w:pPr>
      <w:r>
        <w:rPr>
          <w:vertAlign w:val="superscript"/>
        </w:rPr>
        <w:t>(</w:t>
      </w:r>
      <w:r>
        <w:rPr>
          <w:rStyle w:val="FootnoteReference"/>
        </w:rPr>
        <w:footnoteRef/>
      </w:r>
      <w:r>
        <w:rPr>
          <w:vertAlign w:val="superscript"/>
        </w:rPr>
        <w:t>)</w:t>
      </w:r>
      <w:r>
        <w:t xml:space="preserve"> </w:t>
      </w:r>
      <w:r>
        <w:tab/>
        <w:t>E.g. cases with no practical effect or cases, which go against a Commission policy.</w:t>
      </w:r>
    </w:p>
  </w:footnote>
  <w:footnote w:id="21">
    <w:p w:rsidR="000C6D03" w:rsidRDefault="00873433">
      <w:pPr>
        <w:pStyle w:val="FootnoteText"/>
      </w:pPr>
      <w:r>
        <w:rPr>
          <w:vertAlign w:val="superscript"/>
        </w:rPr>
        <w:t>(</w:t>
      </w:r>
      <w:r>
        <w:rPr>
          <w:rStyle w:val="FootnoteReference"/>
        </w:rPr>
        <w:footnoteRef/>
      </w:r>
      <w:r>
        <w:rPr>
          <w:vertAlign w:val="superscript"/>
        </w:rPr>
        <w:t>)</w:t>
      </w:r>
      <w:r>
        <w:t xml:space="preserve"> </w:t>
      </w:r>
      <w:r>
        <w:tab/>
        <w:t>ATLAS is the Commission’s corporate tool for mapping tasks and linking jobs</w:t>
      </w:r>
      <w:r>
        <w:t xml:space="preserve"> to political priorities.</w:t>
      </w:r>
    </w:p>
  </w:footnote>
  <w:footnote w:id="22">
    <w:p w:rsidR="000C6D03" w:rsidRDefault="00873433">
      <w:pPr>
        <w:pStyle w:val="FootnoteText"/>
      </w:pPr>
      <w:r>
        <w:rPr>
          <w:vertAlign w:val="superscript"/>
        </w:rPr>
        <w:t>(</w:t>
      </w:r>
      <w:r>
        <w:rPr>
          <w:rStyle w:val="FootnoteReference"/>
        </w:rPr>
        <w:footnoteRef/>
      </w:r>
      <w:r>
        <w:rPr>
          <w:vertAlign w:val="superscript"/>
        </w:rPr>
        <w:t>)</w:t>
      </w:r>
      <w:r>
        <w:t xml:space="preserve"> </w:t>
      </w:r>
      <w:r>
        <w:tab/>
        <w:t>GovIS2 is the European Commission's corporate IT portfolio management tool that provides IT governance capabilities at local (DGs) and corporate (Commission) levels, by acting as a central repository for IT projects, operatio</w:t>
      </w:r>
      <w:r>
        <w:t>ns, information systems and services.</w:t>
      </w:r>
    </w:p>
  </w:footnote>
  <w:footnote w:id="23">
    <w:p w:rsidR="000C6D03" w:rsidRDefault="00873433">
      <w:pPr>
        <w:pStyle w:val="FootnoteText"/>
      </w:pPr>
      <w:r>
        <w:t>(</w:t>
      </w:r>
      <w:r>
        <w:rPr>
          <w:rStyle w:val="FootnoteReference"/>
        </w:rPr>
        <w:footnoteRef/>
      </w:r>
      <w:r>
        <w:t xml:space="preserve">) </w:t>
      </w:r>
      <w:r>
        <w:tab/>
        <w:t>An Agile framework is a set of principles and practices for managing projects, which promotes adaptive planning, evolutionary development, early delivery, continuous improvement and encourages rapid and flexible r</w:t>
      </w:r>
      <w:r>
        <w:t>esponse to changes.</w:t>
      </w:r>
    </w:p>
  </w:footnote>
  <w:footnote w:id="24">
    <w:p w:rsidR="000C6D03" w:rsidRDefault="00873433">
      <w:pPr>
        <w:pStyle w:val="FootnoteText"/>
      </w:pPr>
      <w:r>
        <w:rPr>
          <w:vertAlign w:val="superscript"/>
        </w:rPr>
        <w:t>(</w:t>
      </w:r>
      <w:r>
        <w:rPr>
          <w:rStyle w:val="FootnoteReference"/>
        </w:rPr>
        <w:footnoteRef/>
      </w:r>
      <w:r>
        <w:rPr>
          <w:vertAlign w:val="superscript"/>
        </w:rPr>
        <w:t>)</w:t>
      </w:r>
      <w:r>
        <w:t xml:space="preserve"> </w:t>
      </w:r>
      <w:r>
        <w:tab/>
        <w:t>As laid down in the IT Board mandate from 30 April 2015, ‘the TCO [total cost of ownership] is calculated as the total of all IT investments and costs, internal or external, foreseen for the design, construction and operation phase</w:t>
      </w:r>
      <w:r>
        <w:t>s (development, deployment, maintenance, support, training and infrastructure including hosting and licenses)’. The guidelines on financing of ICT (adopted by the ABM Steering Group on 16 June 2016 and updated by the Corporate Management Board on 14 Decemb</w:t>
      </w:r>
      <w:r>
        <w:t>er 2017) state that: ‘When planning a new system, DGs should not just focus on the short-term development costs, but properly forecast the total cost including maintenance, support and infrastructure costs across the entire lifespan of the system’.</w:t>
      </w:r>
    </w:p>
  </w:footnote>
  <w:footnote w:id="25">
    <w:p w:rsidR="000C6D03" w:rsidRDefault="00873433">
      <w:pPr>
        <w:pStyle w:val="FootnoteText"/>
      </w:pPr>
      <w:r>
        <w:rPr>
          <w:vertAlign w:val="superscript"/>
        </w:rPr>
        <w:t>(</w:t>
      </w:r>
      <w:r>
        <w:rPr>
          <w:rStyle w:val="FootnoteReference"/>
        </w:rPr>
        <w:footnoteRef/>
      </w:r>
      <w:r>
        <w:rPr>
          <w:vertAlign w:val="superscript"/>
        </w:rPr>
        <w:t>)</w:t>
      </w:r>
      <w:r>
        <w:tab/>
      </w:r>
      <w:hyperlink r:id="rId2">
        <w:r>
          <w:rPr>
            <w:color w:val="0462C1"/>
            <w:spacing w:val="1"/>
            <w:position w:val="-1"/>
            <w:u w:val="single" w:color="0462C1"/>
          </w:rPr>
          <w:t>B</w:t>
        </w:r>
        <w:r>
          <w:rPr>
            <w:color w:val="0462C1"/>
            <w:spacing w:val="2"/>
            <w:position w:val="-1"/>
            <w:u w:val="single" w:color="0462C1"/>
          </w:rPr>
          <w:t>P</w:t>
        </w:r>
        <w:r>
          <w:rPr>
            <w:color w:val="0462C1"/>
            <w:position w:val="-1"/>
            <w:u w:val="single" w:color="0462C1"/>
          </w:rPr>
          <w:t>M@EC</w:t>
        </w:r>
      </w:hyperlink>
    </w:p>
  </w:footnote>
  <w:footnote w:id="26">
    <w:p w:rsidR="000C6D03" w:rsidRDefault="00873433">
      <w:pPr>
        <w:pStyle w:val="FootnoteText"/>
      </w:pPr>
      <w:r>
        <w:rPr>
          <w:vertAlign w:val="superscript"/>
        </w:rPr>
        <w:t>(</w:t>
      </w:r>
      <w:r>
        <w:rPr>
          <w:rStyle w:val="FootnoteReference"/>
        </w:rPr>
        <w:footnoteRef/>
      </w:r>
      <w:r>
        <w:rPr>
          <w:vertAlign w:val="superscript"/>
        </w:rPr>
        <w:t>)</w:t>
      </w:r>
      <w:r>
        <w:t xml:space="preserve"> </w:t>
      </w:r>
      <w:r>
        <w:tab/>
        <w:t>Except for four recommendations (from the audits on: (1) the design of DG AGRI’s performance measurement system for the 2014-2020 com</w:t>
      </w:r>
      <w:r>
        <w:t>mon agricultural policy; and (2) payment suspensions and interruptions in the 2014-2020 common agricultural policy framework), where DG AGRI accepted the related residual risk, which was lower than initially identified.</w:t>
      </w:r>
    </w:p>
  </w:footnote>
  <w:footnote w:id="27">
    <w:p w:rsidR="000C6D03" w:rsidRDefault="00873433">
      <w:pPr>
        <w:pStyle w:val="FootnoteText"/>
      </w:pPr>
      <w:r>
        <w:rPr>
          <w:vertAlign w:val="superscript"/>
        </w:rPr>
        <w:t>(</w:t>
      </w:r>
      <w:r>
        <w:rPr>
          <w:rStyle w:val="FootnoteReference"/>
        </w:rPr>
        <w:footnoteRef/>
      </w:r>
      <w:r>
        <w:rPr>
          <w:vertAlign w:val="superscript"/>
        </w:rPr>
        <w:t>)</w:t>
      </w:r>
      <w:r>
        <w:t xml:space="preserve"> </w:t>
      </w:r>
      <w:r>
        <w:tab/>
        <w:t>Pro-memory: Follow-up audit alr</w:t>
      </w:r>
      <w:r>
        <w:t xml:space="preserve">eady mentioned before. During this audit, recommendations from several audits were followed-up. In only some of these audits did this result in the closure of all recommendations.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pPr>
    <w:r>
      <w:rPr>
        <w:noProof/>
        <w:color w:val="F68A42"/>
        <w:lang w:eastAsia="en-GB"/>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59" name="Rectangle 59"/>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4CFD1" id="Rectangle 59" o:spid="_x0000_s1026" style="position:absolute;margin-left:-3.7pt;margin-top:-116.05pt;width:8.8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" fillcolor="#3fb296" stroked="f" strokeweight="2p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pPr>
    <w:r>
      <w:rPr>
        <w:noProof/>
        <w:color w:val="F68A42"/>
        <w:lang w:eastAsia="en-GB"/>
      </w:rPr>
      <mc:AlternateContent>
        <mc:Choice Requires="wps">
          <w:drawing>
            <wp:anchor distT="0" distB="0" distL="114300" distR="114300" simplePos="0" relativeHeight="251661824"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2" name="Rectangle 2"/>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38B3" id="Rectangle 2" o:spid="_x0000_s1026" style="position:absolute;margin-left:-3.7pt;margin-top:-116.05pt;width:8.85pt;height:3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" fillcolor="#3fb296" stroked="f" strokeweight="2p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pPr>
    <w:r>
      <w:rPr>
        <w:noProof/>
        <w:color w:val="F68A42"/>
        <w:lang w:eastAsia="en-GB"/>
      </w:rPr>
      <mc:AlternateContent>
        <mc:Choice Requires="wps">
          <w:drawing>
            <wp:anchor distT="0" distB="0" distL="114300" distR="114300" simplePos="0" relativeHeight="251663872"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3" name="Rectangle 3"/>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800A6" id="Rectangle 3" o:spid="_x0000_s1026" style="position:absolute;margin-left:-3.7pt;margin-top:-116.05pt;width:8.85pt;height:3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" fillcolor="#3fb296" stroked="f" strokeweight="2p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pPr>
    <w:r>
      <w:rPr>
        <w:noProof/>
        <w:color w:val="F68A42"/>
        <w:lang w:eastAsia="en-GB"/>
      </w:rPr>
      <mc:AlternateContent>
        <mc:Choice Requires="wps">
          <w:drawing>
            <wp:anchor distT="0" distB="0" distL="114300" distR="114300" simplePos="0" relativeHeight="251665920"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4" name="Rectangle 4"/>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73C1A" id="Rectangle 4" o:spid="_x0000_s1026" style="position:absolute;margin-left:-3.7pt;margin-top:-116.05pt;width:8.85pt;height:3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" fillcolor="#3fb296" stroked="f" strokeweight="2p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873433">
    <w:pPr>
      <w:jc w:val="center"/>
    </w:pPr>
    <w:r>
      <w:rPr>
        <w:noProof/>
        <w:color w:val="F68A42"/>
        <w:lang w:eastAsia="en-GB"/>
      </w:rPr>
      <mc:AlternateContent>
        <mc:Choice Requires="wps">
          <w:drawing>
            <wp:anchor distT="0" distB="0" distL="114300" distR="114300" simplePos="0" relativeHeight="251658241"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1" name="Rectangle 1"/>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0984" id="Rectangle 1" o:spid="_x0000_s1026" style="position:absolute;margin-left:-3.7pt;margin-top:-116.05pt;width:8.85pt;height:3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" fillcolor="#3fb296" stroked="f" strokeweight="2pt"/>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33" w:rsidRPr="00873433" w:rsidRDefault="00873433" w:rsidP="0087343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3" w:rsidRDefault="000C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A01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B8B6D3F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C75E2D"/>
    <w:multiLevelType w:val="hybridMultilevel"/>
    <w:tmpl w:val="2EC80686"/>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 w15:restartNumberingAfterBreak="0">
    <w:nsid w:val="04323287"/>
    <w:multiLevelType w:val="hybridMultilevel"/>
    <w:tmpl w:val="5758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D3383D"/>
    <w:multiLevelType w:val="hybridMultilevel"/>
    <w:tmpl w:val="D310A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6361B8"/>
    <w:multiLevelType w:val="hybridMultilevel"/>
    <w:tmpl w:val="06DEDC62"/>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05F40991"/>
    <w:multiLevelType w:val="hybridMultilevel"/>
    <w:tmpl w:val="4A9A52E8"/>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06B04E14"/>
    <w:multiLevelType w:val="hybridMultilevel"/>
    <w:tmpl w:val="C2F84B4C"/>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0A2900F7"/>
    <w:multiLevelType w:val="multilevel"/>
    <w:tmpl w:val="D0AACAE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0BF2011F"/>
    <w:multiLevelType w:val="hybridMultilevel"/>
    <w:tmpl w:val="79F05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D2B4CC0"/>
    <w:multiLevelType w:val="multilevel"/>
    <w:tmpl w:val="3D36A3DA"/>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6E783F"/>
    <w:multiLevelType w:val="hybridMultilevel"/>
    <w:tmpl w:val="BDD05DBE"/>
    <w:lvl w:ilvl="0" w:tplc="08090001">
      <w:start w:val="1"/>
      <w:numFmt w:val="bullet"/>
      <w:lvlText w:val=""/>
      <w:lvlJc w:val="left"/>
      <w:pPr>
        <w:ind w:left="1080" w:hanging="360"/>
      </w:pPr>
      <w:rPr>
        <w:rFonts w:ascii="Symbol" w:hAnsi="Symbol" w:hint="default"/>
        <w:b w:val="0"/>
        <w:i w:val="0"/>
        <w:sz w:val="24"/>
        <w:szCs w:val="24"/>
      </w:rPr>
    </w:lvl>
    <w:lvl w:ilvl="1" w:tplc="47305A3C">
      <w:start w:val="1"/>
      <w:numFmt w:val="lowerLetter"/>
      <w:lvlText w:val="%2)"/>
      <w:lvlJc w:val="left"/>
      <w:pPr>
        <w:ind w:left="2052" w:hanging="612"/>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C20D07"/>
    <w:multiLevelType w:val="hybridMultilevel"/>
    <w:tmpl w:val="E64EF3A4"/>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3" w15:restartNumberingAfterBreak="0">
    <w:nsid w:val="1C7B624F"/>
    <w:multiLevelType w:val="multilevel"/>
    <w:tmpl w:val="570E295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F374373"/>
    <w:multiLevelType w:val="hybridMultilevel"/>
    <w:tmpl w:val="B186F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D0044B"/>
    <w:multiLevelType w:val="hybridMultilevel"/>
    <w:tmpl w:val="384AB7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537763"/>
    <w:multiLevelType w:val="hybridMultilevel"/>
    <w:tmpl w:val="3FFE7256"/>
    <w:lvl w:ilvl="0" w:tplc="08090001">
      <w:start w:val="1"/>
      <w:numFmt w:val="bullet"/>
      <w:lvlText w:val=""/>
      <w:lvlJc w:val="left"/>
      <w:pPr>
        <w:ind w:left="360" w:hanging="360"/>
      </w:pPr>
      <w:rPr>
        <w:rFonts w:ascii="Symbol" w:hAnsi="Symbol" w:hint="default"/>
      </w:rPr>
    </w:lvl>
    <w:lvl w:ilvl="1" w:tplc="D798705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97773F"/>
    <w:multiLevelType w:val="hybridMultilevel"/>
    <w:tmpl w:val="01FC6C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283F248B"/>
    <w:multiLevelType w:val="hybridMultilevel"/>
    <w:tmpl w:val="98044DAA"/>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9" w15:restartNumberingAfterBreak="0">
    <w:nsid w:val="298B7316"/>
    <w:multiLevelType w:val="hybridMultilevel"/>
    <w:tmpl w:val="18003E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1E6B3C"/>
    <w:multiLevelType w:val="hybridMultilevel"/>
    <w:tmpl w:val="3060338A"/>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1" w15:restartNumberingAfterBreak="0">
    <w:nsid w:val="2B5220D4"/>
    <w:multiLevelType w:val="hybridMultilevel"/>
    <w:tmpl w:val="2A9C02E4"/>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2" w15:restartNumberingAfterBreak="0">
    <w:nsid w:val="2D293CE3"/>
    <w:multiLevelType w:val="multilevel"/>
    <w:tmpl w:val="73841D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0833FD7"/>
    <w:multiLevelType w:val="hybridMultilevel"/>
    <w:tmpl w:val="B2921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5925DF"/>
    <w:multiLevelType w:val="hybridMultilevel"/>
    <w:tmpl w:val="236AE458"/>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5" w15:restartNumberingAfterBreak="0">
    <w:nsid w:val="36324F1E"/>
    <w:multiLevelType w:val="multilevel"/>
    <w:tmpl w:val="0672B99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7904687"/>
    <w:multiLevelType w:val="hybridMultilevel"/>
    <w:tmpl w:val="DBD041A0"/>
    <w:lvl w:ilvl="0" w:tplc="0816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CB1E1C"/>
    <w:multiLevelType w:val="multilevel"/>
    <w:tmpl w:val="554499B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39022DE2"/>
    <w:multiLevelType w:val="multilevel"/>
    <w:tmpl w:val="E63E8AF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15:restartNumberingAfterBreak="0">
    <w:nsid w:val="3A7730C4"/>
    <w:multiLevelType w:val="multilevel"/>
    <w:tmpl w:val="0A8610C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0757EDA"/>
    <w:multiLevelType w:val="hybridMultilevel"/>
    <w:tmpl w:val="EFE81E16"/>
    <w:lvl w:ilvl="0" w:tplc="91E8FB2C">
      <w:start w:val="1"/>
      <w:numFmt w:val="bullet"/>
      <w:pStyle w:val="StyleRisqueFirstline0cm"/>
      <w:lvlText w:val=""/>
      <w:lvlJc w:val="left"/>
      <w:pPr>
        <w:tabs>
          <w:tab w:val="num" w:pos="432"/>
        </w:tabs>
        <w:ind w:left="43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C92D86"/>
    <w:multiLevelType w:val="hybridMultilevel"/>
    <w:tmpl w:val="179AD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29E662A"/>
    <w:multiLevelType w:val="multilevel"/>
    <w:tmpl w:val="D86400A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4A224E5A"/>
    <w:multiLevelType w:val="hybridMultilevel"/>
    <w:tmpl w:val="DB6A2504"/>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4" w15:restartNumberingAfterBreak="0">
    <w:nsid w:val="4BBB1685"/>
    <w:multiLevelType w:val="hybridMultilevel"/>
    <w:tmpl w:val="3934CBF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072619B"/>
    <w:multiLevelType w:val="multilevel"/>
    <w:tmpl w:val="39E443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6" w15:restartNumberingAfterBreak="0">
    <w:nsid w:val="51CF3158"/>
    <w:multiLevelType w:val="hybridMultilevel"/>
    <w:tmpl w:val="109EF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4611B6"/>
    <w:multiLevelType w:val="hybridMultilevel"/>
    <w:tmpl w:val="59DCBA3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8" w15:restartNumberingAfterBreak="0">
    <w:nsid w:val="5291593A"/>
    <w:multiLevelType w:val="hybridMultilevel"/>
    <w:tmpl w:val="E2BABA4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9" w15:restartNumberingAfterBreak="0">
    <w:nsid w:val="56222C51"/>
    <w:multiLevelType w:val="hybridMultilevel"/>
    <w:tmpl w:val="032E7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CB70C9"/>
    <w:multiLevelType w:val="multilevel"/>
    <w:tmpl w:val="5358EABA"/>
    <w:styleLink w:val="List6"/>
    <w:lvl w:ilvl="0">
      <w:start w:val="1"/>
      <w:numFmt w:val="bullet"/>
      <w:lvlText w:val="➢"/>
      <w:lvlJc w:val="left"/>
      <w:rPr>
        <w:b/>
        <w:bCs/>
        <w:color w:val="000000"/>
        <w:position w:val="0"/>
        <w:u w:color="000000"/>
        <w:rtl w:val="0"/>
      </w:rPr>
    </w:lvl>
    <w:lvl w:ilvl="1">
      <w:start w:val="1"/>
      <w:numFmt w:val="bullet"/>
      <w:lvlText w:val="o"/>
      <w:lvlJc w:val="left"/>
      <w:rPr>
        <w:b/>
        <w:bCs/>
        <w:color w:val="000000"/>
        <w:position w:val="0"/>
        <w:u w:color="000000"/>
        <w:rtl w:val="0"/>
      </w:rPr>
    </w:lvl>
    <w:lvl w:ilvl="2">
      <w:start w:val="1"/>
      <w:numFmt w:val="bullet"/>
      <w:lvlText w:val="▪"/>
      <w:lvlJc w:val="left"/>
      <w:rPr>
        <w:b/>
        <w:bCs/>
        <w:color w:val="000000"/>
        <w:position w:val="0"/>
        <w:u w:color="000000"/>
        <w:rtl w:val="0"/>
      </w:rPr>
    </w:lvl>
    <w:lvl w:ilvl="3">
      <w:start w:val="1"/>
      <w:numFmt w:val="bullet"/>
      <w:lvlText w:val="•"/>
      <w:lvlJc w:val="left"/>
      <w:rPr>
        <w:b/>
        <w:bCs/>
        <w:color w:val="000000"/>
        <w:position w:val="0"/>
        <w:u w:color="000000"/>
        <w:rtl w:val="0"/>
      </w:rPr>
    </w:lvl>
    <w:lvl w:ilvl="4">
      <w:start w:val="1"/>
      <w:numFmt w:val="bullet"/>
      <w:lvlText w:val="o"/>
      <w:lvlJc w:val="left"/>
      <w:rPr>
        <w:b/>
        <w:bCs/>
        <w:color w:val="000000"/>
        <w:position w:val="0"/>
        <w:u w:color="000000"/>
        <w:rtl w:val="0"/>
      </w:rPr>
    </w:lvl>
    <w:lvl w:ilvl="5">
      <w:start w:val="1"/>
      <w:numFmt w:val="bullet"/>
      <w:lvlText w:val="▪"/>
      <w:lvlJc w:val="left"/>
      <w:rPr>
        <w:b/>
        <w:bCs/>
        <w:color w:val="000000"/>
        <w:position w:val="0"/>
        <w:u w:color="000000"/>
        <w:rtl w:val="0"/>
      </w:rPr>
    </w:lvl>
    <w:lvl w:ilvl="6">
      <w:start w:val="1"/>
      <w:numFmt w:val="bullet"/>
      <w:lvlText w:val="•"/>
      <w:lvlJc w:val="left"/>
      <w:rPr>
        <w:b/>
        <w:bCs/>
        <w:color w:val="000000"/>
        <w:position w:val="0"/>
        <w:u w:color="000000"/>
        <w:rtl w:val="0"/>
      </w:rPr>
    </w:lvl>
    <w:lvl w:ilvl="7">
      <w:start w:val="1"/>
      <w:numFmt w:val="bullet"/>
      <w:lvlText w:val="o"/>
      <w:lvlJc w:val="left"/>
      <w:rPr>
        <w:b/>
        <w:bCs/>
        <w:color w:val="000000"/>
        <w:position w:val="0"/>
        <w:u w:color="000000"/>
        <w:rtl w:val="0"/>
      </w:rPr>
    </w:lvl>
    <w:lvl w:ilvl="8">
      <w:start w:val="1"/>
      <w:numFmt w:val="bullet"/>
      <w:lvlText w:val="▪"/>
      <w:lvlJc w:val="left"/>
      <w:rPr>
        <w:b/>
        <w:bCs/>
        <w:color w:val="000000"/>
        <w:position w:val="0"/>
        <w:u w:color="000000"/>
        <w:rtl w:val="0"/>
      </w:rPr>
    </w:lvl>
  </w:abstractNum>
  <w:abstractNum w:abstractNumId="41" w15:restartNumberingAfterBreak="0">
    <w:nsid w:val="5F9362DA"/>
    <w:multiLevelType w:val="multilevel"/>
    <w:tmpl w:val="0862F1D4"/>
    <w:styleLink w:val="List51"/>
    <w:lvl w:ilvl="0">
      <w:start w:val="1"/>
      <w:numFmt w:val="bullet"/>
      <w:lvlText w:val="➢"/>
      <w:lvlJc w:val="left"/>
      <w:rPr>
        <w:b/>
        <w:bCs/>
        <w:i/>
        <w:iCs/>
        <w:color w:val="000000"/>
        <w:position w:val="0"/>
        <w:u w:color="000000"/>
      </w:rPr>
    </w:lvl>
    <w:lvl w:ilvl="1">
      <w:start w:val="1"/>
      <w:numFmt w:val="bullet"/>
      <w:lvlText w:val="o"/>
      <w:lvlJc w:val="left"/>
      <w:rPr>
        <w:b/>
        <w:bCs/>
        <w:i/>
        <w:iCs/>
        <w:color w:val="000000"/>
        <w:position w:val="0"/>
        <w:u w:color="000000"/>
      </w:rPr>
    </w:lvl>
    <w:lvl w:ilvl="2">
      <w:start w:val="1"/>
      <w:numFmt w:val="bullet"/>
      <w:lvlText w:val="▪"/>
      <w:lvlJc w:val="left"/>
      <w:rPr>
        <w:b/>
        <w:bCs/>
        <w:i/>
        <w:iCs/>
        <w:color w:val="000000"/>
        <w:position w:val="0"/>
        <w:u w:color="000000"/>
      </w:rPr>
    </w:lvl>
    <w:lvl w:ilvl="3">
      <w:start w:val="1"/>
      <w:numFmt w:val="bullet"/>
      <w:lvlText w:val="•"/>
      <w:lvlJc w:val="left"/>
      <w:rPr>
        <w:b/>
        <w:bCs/>
        <w:i/>
        <w:iCs/>
        <w:color w:val="000000"/>
        <w:position w:val="0"/>
        <w:u w:color="000000"/>
      </w:rPr>
    </w:lvl>
    <w:lvl w:ilvl="4">
      <w:start w:val="1"/>
      <w:numFmt w:val="bullet"/>
      <w:lvlText w:val="o"/>
      <w:lvlJc w:val="left"/>
      <w:rPr>
        <w:b/>
        <w:bCs/>
        <w:i/>
        <w:iCs/>
        <w:color w:val="000000"/>
        <w:position w:val="0"/>
        <w:u w:color="000000"/>
      </w:rPr>
    </w:lvl>
    <w:lvl w:ilvl="5">
      <w:start w:val="1"/>
      <w:numFmt w:val="bullet"/>
      <w:lvlText w:val="▪"/>
      <w:lvlJc w:val="left"/>
      <w:rPr>
        <w:b/>
        <w:bCs/>
        <w:i/>
        <w:iCs/>
        <w:color w:val="000000"/>
        <w:position w:val="0"/>
        <w:u w:color="000000"/>
      </w:rPr>
    </w:lvl>
    <w:lvl w:ilvl="6">
      <w:start w:val="1"/>
      <w:numFmt w:val="bullet"/>
      <w:lvlText w:val="•"/>
      <w:lvlJc w:val="left"/>
      <w:rPr>
        <w:b/>
        <w:bCs/>
        <w:i/>
        <w:iCs/>
        <w:color w:val="000000"/>
        <w:position w:val="0"/>
        <w:u w:color="000000"/>
      </w:rPr>
    </w:lvl>
    <w:lvl w:ilvl="7">
      <w:start w:val="1"/>
      <w:numFmt w:val="bullet"/>
      <w:lvlText w:val="o"/>
      <w:lvlJc w:val="left"/>
      <w:rPr>
        <w:b/>
        <w:bCs/>
        <w:i/>
        <w:iCs/>
        <w:color w:val="000000"/>
        <w:position w:val="0"/>
        <w:u w:color="000000"/>
      </w:rPr>
    </w:lvl>
    <w:lvl w:ilvl="8">
      <w:start w:val="1"/>
      <w:numFmt w:val="bullet"/>
      <w:lvlText w:val="▪"/>
      <w:lvlJc w:val="left"/>
      <w:rPr>
        <w:b/>
        <w:bCs/>
        <w:i/>
        <w:iCs/>
        <w:color w:val="000000"/>
        <w:position w:val="0"/>
        <w:u w:color="000000"/>
      </w:rPr>
    </w:lvl>
  </w:abstractNum>
  <w:abstractNum w:abstractNumId="42" w15:restartNumberingAfterBreak="0">
    <w:nsid w:val="608D533E"/>
    <w:multiLevelType w:val="hybridMultilevel"/>
    <w:tmpl w:val="6F30F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61055920"/>
    <w:multiLevelType w:val="hybridMultilevel"/>
    <w:tmpl w:val="AF78392E"/>
    <w:lvl w:ilvl="0" w:tplc="08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051782"/>
    <w:multiLevelType w:val="hybridMultilevel"/>
    <w:tmpl w:val="83CCA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487A82"/>
    <w:multiLevelType w:val="hybridMultilevel"/>
    <w:tmpl w:val="597EC60A"/>
    <w:lvl w:ilvl="0" w:tplc="E01C25E0">
      <w:start w:val="1"/>
      <w:numFmt w:val="bullet"/>
      <w:pStyle w:val="BOX2Blue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677288"/>
    <w:multiLevelType w:val="hybridMultilevel"/>
    <w:tmpl w:val="5DDEA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B27DA7"/>
    <w:multiLevelType w:val="multilevel"/>
    <w:tmpl w:val="6E58C7C8"/>
    <w:styleLink w:val="List2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6F0E4DB1"/>
    <w:multiLevelType w:val="hybridMultilevel"/>
    <w:tmpl w:val="9BC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C32139"/>
    <w:multiLevelType w:val="multilevel"/>
    <w:tmpl w:val="73DADA74"/>
    <w:styleLink w:val="List3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0" w15:restartNumberingAfterBreak="0">
    <w:nsid w:val="76394AF3"/>
    <w:multiLevelType w:val="hybridMultilevel"/>
    <w:tmpl w:val="773CB2E2"/>
    <w:lvl w:ilvl="0" w:tplc="F6247552">
      <w:start w:val="1"/>
      <w:numFmt w:val="bullet"/>
      <w:pStyle w:val="BulletsOrange"/>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2D5CD7"/>
    <w:multiLevelType w:val="hybridMultilevel"/>
    <w:tmpl w:val="25E05528"/>
    <w:lvl w:ilvl="0" w:tplc="0809000F">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2" w15:restartNumberingAfterBreak="0">
    <w:nsid w:val="7AC51F3F"/>
    <w:multiLevelType w:val="hybridMultilevel"/>
    <w:tmpl w:val="D85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0"/>
  </w:num>
  <w:num w:numId="4">
    <w:abstractNumId w:val="45"/>
  </w:num>
  <w:num w:numId="5">
    <w:abstractNumId w:val="22"/>
  </w:num>
  <w:num w:numId="6">
    <w:abstractNumId w:val="29"/>
  </w:num>
  <w:num w:numId="7">
    <w:abstractNumId w:val="32"/>
  </w:num>
  <w:num w:numId="8">
    <w:abstractNumId w:val="35"/>
  </w:num>
  <w:num w:numId="9">
    <w:abstractNumId w:val="27"/>
  </w:num>
  <w:num w:numId="10">
    <w:abstractNumId w:val="13"/>
  </w:num>
  <w:num w:numId="11">
    <w:abstractNumId w:val="25"/>
  </w:num>
  <w:num w:numId="12">
    <w:abstractNumId w:val="8"/>
  </w:num>
  <w:num w:numId="13">
    <w:abstractNumId w:val="47"/>
  </w:num>
  <w:num w:numId="14">
    <w:abstractNumId w:val="49"/>
  </w:num>
  <w:num w:numId="15">
    <w:abstractNumId w:val="41"/>
  </w:num>
  <w:num w:numId="16">
    <w:abstractNumId w:val="40"/>
  </w:num>
  <w:num w:numId="17">
    <w:abstractNumId w:val="4"/>
  </w:num>
  <w:num w:numId="18">
    <w:abstractNumId w:val="52"/>
  </w:num>
  <w:num w:numId="19">
    <w:abstractNumId w:val="26"/>
  </w:num>
  <w:num w:numId="20">
    <w:abstractNumId w:val="43"/>
  </w:num>
  <w:num w:numId="21">
    <w:abstractNumId w:val="31"/>
  </w:num>
  <w:num w:numId="22">
    <w:abstractNumId w:val="16"/>
  </w:num>
  <w:num w:numId="23">
    <w:abstractNumId w:val="39"/>
  </w:num>
  <w:num w:numId="24">
    <w:abstractNumId w:val="38"/>
  </w:num>
  <w:num w:numId="25">
    <w:abstractNumId w:val="6"/>
  </w:num>
  <w:num w:numId="26">
    <w:abstractNumId w:val="44"/>
  </w:num>
  <w:num w:numId="27">
    <w:abstractNumId w:val="28"/>
  </w:num>
  <w:num w:numId="28">
    <w:abstractNumId w:val="36"/>
  </w:num>
  <w:num w:numId="29">
    <w:abstractNumId w:val="3"/>
  </w:num>
  <w:num w:numId="30">
    <w:abstractNumId w:val="17"/>
  </w:num>
  <w:num w:numId="31">
    <w:abstractNumId w:val="19"/>
  </w:num>
  <w:num w:numId="32">
    <w:abstractNumId w:val="15"/>
  </w:num>
  <w:num w:numId="33">
    <w:abstractNumId w:val="46"/>
  </w:num>
  <w:num w:numId="34">
    <w:abstractNumId w:val="10"/>
  </w:num>
  <w:num w:numId="35">
    <w:abstractNumId w:val="37"/>
  </w:num>
  <w:num w:numId="36">
    <w:abstractNumId w:val="42"/>
  </w:num>
  <w:num w:numId="37">
    <w:abstractNumId w:val="23"/>
  </w:num>
  <w:num w:numId="38">
    <w:abstractNumId w:val="34"/>
  </w:num>
  <w:num w:numId="39">
    <w:abstractNumId w:val="11"/>
  </w:num>
  <w:num w:numId="40">
    <w:abstractNumId w:val="30"/>
  </w:num>
  <w:num w:numId="41">
    <w:abstractNumId w:val="14"/>
  </w:num>
  <w:num w:numId="42">
    <w:abstractNumId w:val="9"/>
  </w:num>
  <w:num w:numId="43">
    <w:abstractNumId w:val="21"/>
  </w:num>
  <w:num w:numId="44">
    <w:abstractNumId w:val="18"/>
  </w:num>
  <w:num w:numId="45">
    <w:abstractNumId w:val="20"/>
  </w:num>
  <w:num w:numId="46">
    <w:abstractNumId w:val="2"/>
  </w:num>
  <w:num w:numId="47">
    <w:abstractNumId w:val="5"/>
  </w:num>
  <w:num w:numId="48">
    <w:abstractNumId w:val="24"/>
  </w:num>
  <w:num w:numId="49">
    <w:abstractNumId w:val="51"/>
  </w:num>
  <w:num w:numId="50">
    <w:abstractNumId w:val="7"/>
  </w:num>
  <w:num w:numId="51">
    <w:abstractNumId w:val="12"/>
  </w:num>
  <w:num w:numId="52">
    <w:abstractNumId w:val="33"/>
  </w:num>
  <w:num w:numId="53">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removeDateAndTime/>
  <w:hideSpellingErrors/>
  <w:hideGrammaticalErrors/>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799253C-8F1D-42F3-8403-22208D83C516"/>
    <w:docVar w:name="LW_COVERPAGE_TYPE" w:val="1"/>
    <w:docVar w:name="LW_CROSSREFERENCE" w:val="{COM(2020) 268 final}"/>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nnual report to the Discharge Authority on internal audits carried out in 2019"/>
    <w:docVar w:name="LW_PART_NBR" w:val="1"/>
    <w:docVar w:name="LW_PART_NBR_TOTAL" w:val="1"/>
    <w:docVar w:name="LW_REF.INST.NEW" w:val="SWD"/>
    <w:docVar w:name="LW_REF.INST.NEW_ADOPTED" w:val="final"/>
    <w:docVar w:name="LW_REF.INST.NEW_TEXT" w:val="(2020)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report to the Discharge Authority on internal audits carried out in 2019"/>
    <w:docVar w:name="LW_TYPE.DOC.CP" w:val="COMMISSION STAFF WORKING DOCUMENT"/>
    <w:docVar w:name="LW_TYPEACTEPRINCIPAL.CP" w:val="REPORT FROM THE COMMISSION TO THE EUROPEAN PARLIAMENT, THE COUNCIL AND THE COURT OF AUDITORS"/>
  </w:docVars>
  <w:rsids>
    <w:rsidRoot w:val="000C6D03"/>
    <w:rsid w:val="000C6D03"/>
    <w:rsid w:val="008734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942C8D36-5B74-47FF-9503-1E86B61F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EC Square Sans Pro" w:eastAsia="SimHei" w:hAnsi="EC Square Sans Pro" w:cs="Times New Roman"/>
      <w:b/>
      <w:bCs/>
      <w:color w:val="DE5F0A"/>
      <w:sz w:val="28"/>
      <w:szCs w:val="28"/>
      <w:lang w:eastAsia="en-GB"/>
    </w:rPr>
  </w:style>
  <w:style w:type="paragraph" w:styleId="Heading2">
    <w:name w:val="heading 2"/>
    <w:basedOn w:val="Normal"/>
    <w:next w:val="Normal"/>
    <w:link w:val="Heading2Char"/>
    <w:semiHidden/>
    <w:unhideWhenUsed/>
    <w:qFormat/>
    <w:pPr>
      <w:keepNext/>
      <w:keepLines/>
      <w:spacing w:before="40" w:after="0"/>
      <w:outlineLvl w:val="1"/>
    </w:pPr>
    <w:rPr>
      <w:rFonts w:ascii="EC Square Sans Pro" w:eastAsia="SimHei" w:hAnsi="EC Square Sans Pro" w:cs="Times New Roman"/>
      <w:b/>
      <w:bCs/>
      <w:sz w:val="24"/>
      <w:szCs w:val="26"/>
    </w:rPr>
  </w:style>
  <w:style w:type="paragraph" w:styleId="Heading3">
    <w:name w:val="heading 3"/>
    <w:basedOn w:val="Normal"/>
    <w:next w:val="Normal"/>
    <w:link w:val="Heading3Char"/>
    <w:semiHidden/>
    <w:unhideWhenUsed/>
    <w:qFormat/>
    <w:pPr>
      <w:keepNext/>
      <w:keepLines/>
      <w:spacing w:before="40" w:after="0"/>
      <w:outlineLvl w:val="2"/>
    </w:pPr>
    <w:rPr>
      <w:rFonts w:ascii="EC Square Sans Pro" w:eastAsia="SimHei" w:hAnsi="EC Square Sans Pro" w:cs="Times New Roman"/>
      <w:color w:val="943F07"/>
      <w:sz w:val="24"/>
      <w:szCs w:val="24"/>
    </w:rPr>
  </w:style>
  <w:style w:type="paragraph" w:styleId="Heading4">
    <w:name w:val="heading 4"/>
    <w:basedOn w:val="Normal"/>
    <w:next w:val="Normal"/>
    <w:link w:val="Heading4Char"/>
    <w:semiHidden/>
    <w:unhideWhenUsed/>
    <w:qFormat/>
    <w:pPr>
      <w:keepNext/>
      <w:keepLines/>
      <w:spacing w:before="40" w:after="0"/>
      <w:outlineLvl w:val="3"/>
    </w:pPr>
    <w:rPr>
      <w:rFonts w:ascii="EC Square Sans Pro" w:eastAsia="SimHei" w:hAnsi="EC Square Sans Pro" w:cs="Times New Roman"/>
      <w:bCs/>
      <w:iCs/>
      <w:sz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EC Square Sans Pro" w:eastAsia="SimHei" w:hAnsi="EC Square Sans Pro" w:cs="Times New Roman"/>
      <w:color w:val="943F07"/>
      <w:sz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EC Square Sans Pro" w:eastAsia="SimHei" w:hAnsi="EC Square Sans Pro" w:cs="Times New Roman"/>
      <w:i/>
      <w:iCs/>
      <w:color w:val="943F07"/>
      <w:sz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EC Square Sans Pro" w:eastAsia="SimHei" w:hAnsi="EC Square Sans Pro" w:cs="Times New Roman"/>
      <w:i/>
      <w:iCs/>
      <w:color w:val="404040"/>
      <w:sz w:val="2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EC Square Sans Pro" w:eastAsia="SimHei" w:hAnsi="EC Square Sans Pro" w:cs="Times New Roman"/>
      <w:color w:val="404040"/>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EC Square Sans Pro" w:eastAsia="SimHei" w:hAnsi="EC Square Sans Pro"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stuk1">
    <w:name w:val="Hoofdstuk1"/>
    <w:basedOn w:val="Normal"/>
    <w:next w:val="Normal"/>
    <w:qFormat/>
    <w:pPr>
      <w:keepNext/>
      <w:keepLines/>
      <w:widowControl w:val="0"/>
      <w:spacing w:before="480" w:after="0" w:line="240" w:lineRule="auto"/>
      <w:outlineLvl w:val="0"/>
    </w:pPr>
    <w:rPr>
      <w:rFonts w:ascii="EC Square Sans Pro" w:eastAsia="SimHei" w:hAnsi="EC Square Sans Pro" w:cs="Times New Roman"/>
      <w:b/>
      <w:bCs/>
      <w:color w:val="DE5F0A"/>
      <w:sz w:val="28"/>
      <w:szCs w:val="28"/>
      <w:lang w:eastAsia="en-GB"/>
    </w:rPr>
  </w:style>
  <w:style w:type="paragraph" w:customStyle="1" w:styleId="Paragraaf1">
    <w:name w:val="Paragraaf1"/>
    <w:basedOn w:val="Normal"/>
    <w:next w:val="Normal"/>
    <w:unhideWhenUsed/>
    <w:qFormat/>
    <w:pPr>
      <w:keepNext/>
      <w:tabs>
        <w:tab w:val="num" w:pos="850"/>
      </w:tabs>
      <w:spacing w:before="120" w:after="120" w:line="240" w:lineRule="auto"/>
      <w:ind w:left="850" w:hanging="850"/>
      <w:jc w:val="both"/>
      <w:outlineLvl w:val="1"/>
    </w:pPr>
    <w:rPr>
      <w:rFonts w:ascii="EC Square Sans Pro" w:eastAsia="SimHei" w:hAnsi="EC Square Sans Pro" w:cs="Times New Roman"/>
      <w:b/>
      <w:bCs/>
      <w:sz w:val="24"/>
      <w:szCs w:val="26"/>
    </w:rPr>
  </w:style>
  <w:style w:type="paragraph" w:customStyle="1" w:styleId="Heading31">
    <w:name w:val="Heading 31"/>
    <w:basedOn w:val="Normal"/>
    <w:next w:val="Normal"/>
    <w:unhideWhenUsed/>
    <w:qFormat/>
    <w:pPr>
      <w:keepNext/>
      <w:keepLines/>
      <w:spacing w:before="40" w:after="0" w:line="240" w:lineRule="auto"/>
      <w:outlineLvl w:val="2"/>
    </w:pPr>
    <w:rPr>
      <w:rFonts w:ascii="EC Square Sans Pro" w:eastAsia="SimHei" w:hAnsi="EC Square Sans Pro" w:cs="Times New Roman"/>
      <w:color w:val="943F07"/>
      <w:sz w:val="24"/>
      <w:szCs w:val="24"/>
    </w:rPr>
  </w:style>
  <w:style w:type="paragraph" w:customStyle="1" w:styleId="Heading41">
    <w:name w:val="Heading 41"/>
    <w:basedOn w:val="Normal"/>
    <w:next w:val="Normal"/>
    <w:unhideWhenUsed/>
    <w:qFormat/>
    <w:pPr>
      <w:keepNext/>
      <w:tabs>
        <w:tab w:val="num" w:pos="850"/>
      </w:tabs>
      <w:spacing w:before="120" w:after="120" w:line="240" w:lineRule="auto"/>
      <w:ind w:left="850" w:hanging="850"/>
      <w:jc w:val="both"/>
      <w:outlineLvl w:val="3"/>
    </w:pPr>
    <w:rPr>
      <w:rFonts w:ascii="EC Square Sans Pro" w:eastAsia="SimHei" w:hAnsi="EC Square Sans Pro" w:cs="Times New Roman"/>
      <w:bCs/>
      <w:iCs/>
      <w:sz w:val="24"/>
    </w:rPr>
  </w:style>
  <w:style w:type="paragraph" w:customStyle="1" w:styleId="Heading51">
    <w:name w:val="Heading 51"/>
    <w:basedOn w:val="Normal"/>
    <w:next w:val="Normal"/>
    <w:semiHidden/>
    <w:unhideWhenUsed/>
    <w:qFormat/>
    <w:pPr>
      <w:keepNext/>
      <w:keepLines/>
      <w:spacing w:before="200" w:after="0" w:line="240" w:lineRule="auto"/>
      <w:outlineLvl w:val="4"/>
    </w:pPr>
    <w:rPr>
      <w:rFonts w:ascii="EC Square Sans Pro" w:eastAsia="SimHei" w:hAnsi="EC Square Sans Pro" w:cs="Times New Roman"/>
      <w:color w:val="943F07"/>
      <w:sz w:val="20"/>
    </w:rPr>
  </w:style>
  <w:style w:type="paragraph" w:customStyle="1" w:styleId="Heading61">
    <w:name w:val="Heading 61"/>
    <w:basedOn w:val="Normal"/>
    <w:next w:val="Normal"/>
    <w:semiHidden/>
    <w:unhideWhenUsed/>
    <w:qFormat/>
    <w:pPr>
      <w:keepNext/>
      <w:keepLines/>
      <w:spacing w:before="200" w:after="0" w:line="240" w:lineRule="auto"/>
      <w:outlineLvl w:val="5"/>
    </w:pPr>
    <w:rPr>
      <w:rFonts w:ascii="EC Square Sans Pro" w:eastAsia="SimHei" w:hAnsi="EC Square Sans Pro" w:cs="Times New Roman"/>
      <w:i/>
      <w:iCs/>
      <w:color w:val="943F07"/>
      <w:sz w:val="20"/>
    </w:rPr>
  </w:style>
  <w:style w:type="paragraph" w:customStyle="1" w:styleId="Heading71">
    <w:name w:val="Heading 71"/>
    <w:basedOn w:val="Normal"/>
    <w:next w:val="Normal"/>
    <w:semiHidden/>
    <w:unhideWhenUsed/>
    <w:qFormat/>
    <w:pPr>
      <w:keepNext/>
      <w:keepLines/>
      <w:spacing w:before="200" w:after="0" w:line="240" w:lineRule="auto"/>
      <w:outlineLvl w:val="6"/>
    </w:pPr>
    <w:rPr>
      <w:rFonts w:ascii="EC Square Sans Pro" w:eastAsia="SimHei" w:hAnsi="EC Square Sans Pro" w:cs="Times New Roman"/>
      <w:i/>
      <w:iCs/>
      <w:color w:val="404040"/>
      <w:sz w:val="20"/>
    </w:rPr>
  </w:style>
  <w:style w:type="paragraph" w:customStyle="1" w:styleId="Heading81">
    <w:name w:val="Heading 81"/>
    <w:basedOn w:val="Normal"/>
    <w:next w:val="Normal"/>
    <w:semiHidden/>
    <w:unhideWhenUsed/>
    <w:qFormat/>
    <w:pPr>
      <w:keepNext/>
      <w:keepLines/>
      <w:spacing w:before="200" w:after="0" w:line="240" w:lineRule="auto"/>
      <w:outlineLvl w:val="7"/>
    </w:pPr>
    <w:rPr>
      <w:rFonts w:ascii="EC Square Sans Pro" w:eastAsia="SimHei" w:hAnsi="EC Square Sans Pro" w:cs="Times New Roman"/>
      <w:color w:val="404040"/>
      <w:sz w:val="20"/>
      <w:szCs w:val="20"/>
    </w:rPr>
  </w:style>
  <w:style w:type="paragraph" w:customStyle="1" w:styleId="Heading91">
    <w:name w:val="Heading 91"/>
    <w:basedOn w:val="Normal"/>
    <w:next w:val="Normal"/>
    <w:semiHidden/>
    <w:unhideWhenUsed/>
    <w:qFormat/>
    <w:pPr>
      <w:keepNext/>
      <w:keepLines/>
      <w:spacing w:before="200" w:after="0" w:line="240" w:lineRule="auto"/>
      <w:outlineLvl w:val="8"/>
    </w:pPr>
    <w:rPr>
      <w:rFonts w:ascii="EC Square Sans Pro" w:eastAsia="SimHei" w:hAnsi="EC Square Sans Pro" w:cs="Times New Roman"/>
      <w:i/>
      <w:iCs/>
      <w:color w:val="404040"/>
      <w:sz w:val="20"/>
      <w:szCs w:val="20"/>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rPr>
      <w:rFonts w:ascii="EC Square Sans Pro" w:eastAsia="SimHei" w:hAnsi="EC Square Sans Pro" w:cs="Times New Roman"/>
      <w:b/>
      <w:bCs/>
      <w:color w:val="DE5F0A"/>
      <w:sz w:val="28"/>
      <w:szCs w:val="28"/>
      <w:lang w:eastAsia="en-GB"/>
    </w:rPr>
  </w:style>
  <w:style w:type="character" w:customStyle="1" w:styleId="Heading2Char">
    <w:name w:val="Heading 2 Char"/>
    <w:basedOn w:val="DefaultParagraphFont"/>
    <w:link w:val="Heading2"/>
    <w:rPr>
      <w:rFonts w:ascii="EC Square Sans Pro" w:eastAsia="SimHei" w:hAnsi="EC Square Sans Pro" w:cs="Times New Roman"/>
      <w:b/>
      <w:bCs/>
      <w:sz w:val="24"/>
      <w:szCs w:val="26"/>
      <w:lang w:val="en-GB"/>
    </w:rPr>
  </w:style>
  <w:style w:type="character" w:customStyle="1" w:styleId="Heading3Char">
    <w:name w:val="Heading 3 Char"/>
    <w:basedOn w:val="DefaultParagraphFont"/>
    <w:link w:val="Heading3"/>
    <w:rPr>
      <w:rFonts w:ascii="EC Square Sans Pro" w:eastAsia="SimHei" w:hAnsi="EC Square Sans Pro" w:cs="Times New Roman"/>
      <w:color w:val="943F07"/>
      <w:sz w:val="24"/>
      <w:szCs w:val="24"/>
    </w:rPr>
  </w:style>
  <w:style w:type="character" w:customStyle="1" w:styleId="Heading4Char">
    <w:name w:val="Heading 4 Char"/>
    <w:basedOn w:val="DefaultParagraphFont"/>
    <w:link w:val="Heading4"/>
    <w:rPr>
      <w:rFonts w:ascii="EC Square Sans Pro" w:eastAsia="SimHei" w:hAnsi="EC Square Sans Pro" w:cs="Times New Roman"/>
      <w:bCs/>
      <w:iCs/>
      <w:sz w:val="24"/>
      <w:lang w:val="en-GB"/>
    </w:rPr>
  </w:style>
  <w:style w:type="character" w:customStyle="1" w:styleId="Heading5Char">
    <w:name w:val="Heading 5 Char"/>
    <w:basedOn w:val="DefaultParagraphFont"/>
    <w:link w:val="Heading5"/>
    <w:uiPriority w:val="9"/>
    <w:semiHidden/>
    <w:rPr>
      <w:rFonts w:ascii="EC Square Sans Pro" w:eastAsia="SimHei" w:hAnsi="EC Square Sans Pro" w:cs="Times New Roman"/>
      <w:color w:val="943F07"/>
      <w:sz w:val="20"/>
      <w:lang w:val="en-GB"/>
    </w:rPr>
  </w:style>
  <w:style w:type="character" w:customStyle="1" w:styleId="Heading6Char">
    <w:name w:val="Heading 6 Char"/>
    <w:basedOn w:val="DefaultParagraphFont"/>
    <w:link w:val="Heading6"/>
    <w:uiPriority w:val="9"/>
    <w:rPr>
      <w:rFonts w:ascii="EC Square Sans Pro" w:eastAsia="SimHei" w:hAnsi="EC Square Sans Pro" w:cs="Times New Roman"/>
      <w:i/>
      <w:iCs/>
      <w:color w:val="943F07"/>
      <w:sz w:val="20"/>
      <w:lang w:val="en-GB"/>
    </w:rPr>
  </w:style>
  <w:style w:type="character" w:customStyle="1" w:styleId="Heading7Char">
    <w:name w:val="Heading 7 Char"/>
    <w:basedOn w:val="DefaultParagraphFont"/>
    <w:link w:val="Heading7"/>
    <w:uiPriority w:val="9"/>
    <w:semiHidden/>
    <w:rPr>
      <w:rFonts w:ascii="EC Square Sans Pro" w:eastAsia="SimHei" w:hAnsi="EC Square Sans Pro" w:cs="Times New Roman"/>
      <w:i/>
      <w:iCs/>
      <w:color w:val="404040"/>
      <w:sz w:val="20"/>
      <w:lang w:val="en-GB"/>
    </w:rPr>
  </w:style>
  <w:style w:type="character" w:customStyle="1" w:styleId="Heading8Char">
    <w:name w:val="Heading 8 Char"/>
    <w:basedOn w:val="DefaultParagraphFont"/>
    <w:link w:val="Heading8"/>
    <w:uiPriority w:val="9"/>
    <w:semiHidden/>
    <w:rPr>
      <w:rFonts w:ascii="EC Square Sans Pro" w:eastAsia="SimHei" w:hAnsi="EC Square Sans Pro" w:cs="Times New Roman"/>
      <w:color w:val="404040"/>
      <w:sz w:val="20"/>
      <w:szCs w:val="20"/>
      <w:lang w:val="en-GB"/>
    </w:rPr>
  </w:style>
  <w:style w:type="character" w:customStyle="1" w:styleId="Heading9Char">
    <w:name w:val="Heading 9 Char"/>
    <w:basedOn w:val="DefaultParagraphFont"/>
    <w:link w:val="Heading9"/>
    <w:uiPriority w:val="9"/>
    <w:semiHidden/>
    <w:rPr>
      <w:rFonts w:ascii="EC Square Sans Pro" w:eastAsia="SimHei" w:hAnsi="EC Square Sans Pro" w:cs="Times New Roman"/>
      <w:i/>
      <w:iCs/>
      <w:color w:val="404040"/>
      <w:sz w:val="20"/>
      <w:szCs w:val="20"/>
      <w:lang w:val="en-GB"/>
    </w:rPr>
  </w:style>
  <w:style w:type="paragraph" w:styleId="ListParagraph">
    <w:name w:val="List Paragraph"/>
    <w:aliases w:val="Table of contents numbered,Normal bullet 2,Numbered paragraph 1,Paragrafo elenco,1st level - Bullet List Paragraph,Lettre d'introduction,List Paragraph1,Paragraphe de liste1,Medium Grid 1 - Accent 21,2"/>
    <w:basedOn w:val="Normal"/>
    <w:link w:val="ListParagraphChar"/>
    <w:qFormat/>
    <w:pPr>
      <w:spacing w:after="0" w:line="240" w:lineRule="auto"/>
      <w:ind w:left="720"/>
      <w:contextualSpacing/>
    </w:pPr>
    <w:rPr>
      <w:rFonts w:ascii="EC Square Sans Pro" w:hAnsi="EC Square Sans Pro" w:cs="Times New Roman"/>
      <w:sz w:val="20"/>
    </w:rPr>
  </w:style>
  <w:style w:type="paragraph" w:customStyle="1" w:styleId="Subhead3">
    <w:name w:val="Subhead 3"/>
    <w:basedOn w:val="Subhead2"/>
    <w:pPr>
      <w:spacing w:before="240"/>
      <w:ind w:left="340"/>
    </w:pPr>
    <w:rPr>
      <w:color w:val="4E9DD6"/>
    </w:rPr>
  </w:style>
  <w:style w:type="paragraph" w:customStyle="1" w:styleId="Forewordbodytext">
    <w:name w:val="Foreword body text"/>
    <w:basedOn w:val="Normal"/>
    <w:link w:val="ForewordbodytextChar"/>
    <w:pPr>
      <w:spacing w:after="0" w:line="240" w:lineRule="auto"/>
      <w:jc w:val="both"/>
    </w:pPr>
    <w:rPr>
      <w:rFonts w:ascii="EC Square Sans Pro" w:hAnsi="EC Square Sans Pro" w:cs="Times New Roman"/>
      <w:noProof/>
      <w:sz w:val="18"/>
      <w:lang w:eastAsia="fr-BE"/>
    </w:rPr>
  </w:style>
  <w:style w:type="character" w:customStyle="1" w:styleId="ForewordbodytextChar">
    <w:name w:val="Foreword body text Char"/>
    <w:basedOn w:val="DefaultParagraphFont"/>
    <w:link w:val="Forewordbodytext"/>
    <w:rPr>
      <w:rFonts w:ascii="EC Square Sans Pro" w:hAnsi="EC Square Sans Pro" w:cs="Times New Roman"/>
      <w:noProof/>
      <w:sz w:val="18"/>
      <w:lang w:eastAsia="fr-BE"/>
    </w:rPr>
  </w:style>
  <w:style w:type="table" w:styleId="TableGrid">
    <w:name w:val="Table Grid"/>
    <w:aliases w:val="Document Table,CV1,Standard table format,Simple table"/>
    <w:basedOn w:val="TableNormal"/>
    <w:uiPriority w:val="59"/>
    <w:pPr>
      <w:spacing w:after="0" w:line="240" w:lineRule="auto"/>
    </w:pPr>
    <w:rPr>
      <w:rFonts w:ascii="Calibri" w:eastAsia="Calibri" w:hAnsi="Calibri" w:cs="Times New Roman"/>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Char,Footnote symbol,Footnote reference number,Footnote,Times 10 Point,Exposant 3 Point,Ref,de nota al pie,note TESI,SUPERS,EN Footnote Reference,EN Footnote text,-E Fußnotenzeichen, BVI fnr,Footnote number,BVI f,BVI fnr,fr,o"/>
    <w:basedOn w:val="DefaultParagraphFont"/>
    <w:link w:val="footnote"/>
    <w:uiPriority w:val="99"/>
    <w:unhideWhenUsed/>
    <w:qFormat/>
    <w:rPr>
      <w:rFonts w:ascii="EC Square Sans Pro" w:hAnsi="EC Square Sans Pro"/>
      <w:sz w:val="16"/>
      <w:szCs w:val="20"/>
      <w:vertAlign w:val="superscript"/>
    </w:rPr>
  </w:style>
  <w:style w:type="paragraph" w:customStyle="1" w:styleId="footnote">
    <w:name w:val="footnote"/>
    <w:basedOn w:val="Normal"/>
    <w:next w:val="Normal"/>
    <w:link w:val="FootnoteReference"/>
    <w:uiPriority w:val="99"/>
    <w:pPr>
      <w:spacing w:after="0" w:line="240" w:lineRule="auto"/>
      <w:ind w:left="720" w:hanging="360"/>
      <w:jc w:val="both"/>
    </w:pPr>
    <w:rPr>
      <w:rFonts w:ascii="EC Square Sans Pro" w:hAnsi="EC Square Sans Pro"/>
      <w:sz w:val="16"/>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EC Square Sans Pro" w:hAnsi="EC Square Sans Pro" w:cs="Segoe UI"/>
      <w:sz w:val="18"/>
      <w:szCs w:val="18"/>
    </w:rPr>
  </w:style>
  <w:style w:type="character" w:customStyle="1" w:styleId="BalloonTextChar">
    <w:name w:val="Balloon Text Char"/>
    <w:basedOn w:val="DefaultParagraphFont"/>
    <w:link w:val="BalloonText"/>
    <w:uiPriority w:val="99"/>
    <w:semiHidden/>
    <w:rPr>
      <w:rFonts w:ascii="EC Square Sans Pro" w:hAnsi="EC Square Sans Pro"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rPr>
      <w:rFonts w:ascii="EC Square Sans Pro" w:hAnsi="EC Square Sans Pro" w:cs="Times New Roman"/>
      <w:sz w:val="20"/>
    </w:rPr>
  </w:style>
  <w:style w:type="character" w:customStyle="1" w:styleId="FooterChar">
    <w:name w:val="Footer Char"/>
    <w:basedOn w:val="DefaultParagraphFont"/>
    <w:link w:val="Footer"/>
    <w:uiPriority w:val="99"/>
    <w:rPr>
      <w:rFonts w:ascii="EC Square Sans Pro" w:hAnsi="EC Square Sans Pro" w:cs="Times New Roman"/>
      <w:sz w:val="20"/>
    </w:rPr>
  </w:style>
  <w:style w:type="paragraph" w:customStyle="1" w:styleId="CommentSubject1">
    <w:name w:val="Comment Subject1"/>
    <w:basedOn w:val="Normal"/>
    <w:next w:val="Normal"/>
    <w:uiPriority w:val="99"/>
    <w:semiHidden/>
    <w:unhideWhenUsed/>
    <w:pPr>
      <w:spacing w:after="200" w:line="240" w:lineRule="auto"/>
    </w:pPr>
    <w:rPr>
      <w:rFonts w:ascii="EC Square Sans Pro" w:hAnsi="EC Square Sans Pro"/>
      <w:b/>
      <w:bCs/>
      <w:sz w:val="20"/>
      <w:szCs w:val="20"/>
    </w:rPr>
  </w:style>
  <w:style w:type="character" w:customStyle="1" w:styleId="CommentSubjectChar">
    <w:name w:val="Comment Subject Char"/>
    <w:basedOn w:val="DefaultParagraphFont"/>
    <w:link w:val="CommentSubject"/>
    <w:uiPriority w:val="99"/>
    <w:semiHidden/>
    <w:rPr>
      <w:rFonts w:ascii="EC Square Sans Pro" w:hAnsi="EC Square Sans Pro"/>
      <w:b/>
      <w:bCs/>
      <w:sz w:val="20"/>
      <w:szCs w:val="20"/>
      <w:lang w:val="en-GB"/>
    </w:rPr>
  </w:style>
  <w:style w:type="paragraph" w:styleId="Revision">
    <w:name w:val="Revision"/>
    <w:hidden/>
    <w:uiPriority w:val="99"/>
    <w:semiHidden/>
    <w:pPr>
      <w:spacing w:after="0" w:line="240" w:lineRule="auto"/>
    </w:pPr>
    <w:rPr>
      <w:lang w:val="fr-BE"/>
    </w:rPr>
  </w:style>
  <w:style w:type="paragraph" w:customStyle="1" w:styleId="BulletsOrange">
    <w:name w:val="Bullets Orange"/>
    <w:basedOn w:val="BodyText"/>
    <w:pPr>
      <w:numPr>
        <w:numId w:val="3"/>
      </w:numPr>
      <w:spacing w:after="0" w:line="240" w:lineRule="auto"/>
      <w:jc w:val="both"/>
    </w:pPr>
    <w:rPr>
      <w:rFonts w:ascii="EC Square Sans Pro" w:hAnsi="EC Square Sans Pro" w:cs="Times New Roman"/>
      <w:color w:val="000000"/>
      <w:sz w:val="20"/>
    </w:rPr>
  </w:style>
  <w:style w:type="character" w:styleId="Hyperlink">
    <w:name w:val="Hyperlink"/>
    <w:basedOn w:val="DefaultParagraphFont"/>
    <w:uiPriority w:val="99"/>
    <w:unhideWhenUsed/>
    <w:rPr>
      <w:rFonts w:ascii="EC Square Sans Pro" w:hAnsi="EC Square Sans Pro"/>
      <w:strike w:val="0"/>
      <w:dstrike w:val="0"/>
      <w:color w:val="auto"/>
      <w:u w:val="none" w:color="65BBC8"/>
      <w:effect w:val="none"/>
      <w:shd w:val="clear" w:color="auto" w:fill="auto"/>
      <w:lang w:val="en-GB"/>
    </w:rPr>
  </w:style>
  <w:style w:type="table" w:customStyle="1" w:styleId="LightShading-Accent61">
    <w:name w:val="Light Shading - Accent 61"/>
    <w:basedOn w:val="TableNormal"/>
    <w:next w:val="LightShading-Accent6"/>
    <w:uiPriority w:val="60"/>
    <w:pPr>
      <w:spacing w:after="0" w:line="240" w:lineRule="auto"/>
    </w:pPr>
    <w:rPr>
      <w:color w:val="413B78"/>
      <w:sz w:val="20"/>
      <w:szCs w:val="20"/>
      <w:lang w:val="fr-BE" w:eastAsia="en-GB"/>
    </w:rPr>
    <w:tblPr>
      <w:tblStyleRowBandSize w:val="1"/>
      <w:tblStyleColBandSize w:val="1"/>
      <w:tblBorders>
        <w:top w:val="single" w:sz="8" w:space="0" w:color="584FA1"/>
        <w:bottom w:val="single" w:sz="8" w:space="0" w:color="584FA1"/>
      </w:tblBorders>
    </w:tblPr>
    <w:tblStylePr w:type="firstRow">
      <w:pPr>
        <w:spacing w:before="0" w:after="0" w:line="240" w:lineRule="auto"/>
      </w:pPr>
      <w:rPr>
        <w:b/>
        <w:bCs/>
      </w:rPr>
      <w:tblPr/>
      <w:tcPr>
        <w:tcBorders>
          <w:top w:val="single" w:sz="8" w:space="0" w:color="584FA1"/>
          <w:left w:val="nil"/>
          <w:bottom w:val="single" w:sz="8" w:space="0" w:color="584FA1"/>
          <w:right w:val="nil"/>
          <w:insideH w:val="nil"/>
          <w:insideV w:val="nil"/>
        </w:tcBorders>
      </w:tcPr>
    </w:tblStylePr>
    <w:tblStylePr w:type="lastRow">
      <w:pPr>
        <w:spacing w:before="0" w:after="0" w:line="240" w:lineRule="auto"/>
      </w:pPr>
      <w:rPr>
        <w:b/>
        <w:bCs/>
      </w:rPr>
      <w:tblPr/>
      <w:tcPr>
        <w:tcBorders>
          <w:top w:val="single" w:sz="8" w:space="0" w:color="584FA1"/>
          <w:left w:val="nil"/>
          <w:bottom w:val="single" w:sz="8" w:space="0" w:color="584F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2E9"/>
      </w:tcPr>
    </w:tblStylePr>
    <w:tblStylePr w:type="band1Horz">
      <w:tblPr/>
      <w:tcPr>
        <w:tcBorders>
          <w:left w:val="nil"/>
          <w:right w:val="nil"/>
          <w:insideH w:val="nil"/>
          <w:insideV w:val="nil"/>
        </w:tcBorders>
        <w:shd w:val="clear" w:color="auto" w:fill="D4D2E9"/>
      </w:tcPr>
    </w:tblStylePr>
  </w:style>
  <w:style w:type="paragraph" w:customStyle="1" w:styleId="EndnoteText1">
    <w:name w:val="Endnote Text1"/>
    <w:basedOn w:val="Normal"/>
    <w:next w:val="EndnoteText"/>
    <w:link w:val="EndnoteTextChar"/>
    <w:uiPriority w:val="99"/>
    <w:unhideWhenUsed/>
    <w:pPr>
      <w:spacing w:after="0" w:line="240" w:lineRule="auto"/>
    </w:pPr>
    <w:rPr>
      <w:rFonts w:ascii="Calibri" w:eastAsia="Calibri" w:hAnsi="Calibri"/>
      <w:sz w:val="20"/>
      <w:szCs w:val="20"/>
    </w:rPr>
  </w:style>
  <w:style w:type="character" w:customStyle="1" w:styleId="EndnoteTextChar">
    <w:name w:val="Endnote Text Char"/>
    <w:basedOn w:val="DefaultParagraphFont"/>
    <w:link w:val="EndnoteText1"/>
    <w:uiPriority w:val="99"/>
    <w:rPr>
      <w:rFonts w:ascii="Calibri" w:eastAsia="Calibri" w:hAnsi="Calibri"/>
      <w:sz w:val="20"/>
      <w:szCs w:val="20"/>
    </w:rPr>
  </w:style>
  <w:style w:type="character" w:styleId="EndnoteReference">
    <w:name w:val="endnote reference"/>
    <w:basedOn w:val="DefaultParagraphFont"/>
    <w:unhideWhenUsed/>
    <w:rPr>
      <w:rFonts w:ascii="EC Square Sans Pro" w:hAnsi="EC Square Sans Pro"/>
      <w:vertAlign w:val="superscript"/>
      <w:lang w:val="en-GB"/>
    </w:rPr>
  </w:style>
  <w:style w:type="paragraph" w:styleId="ListBullet">
    <w:name w:val="List Bullet"/>
    <w:basedOn w:val="Normal"/>
    <w:unhideWhenUsed/>
    <w:pPr>
      <w:tabs>
        <w:tab w:val="num" w:pos="360"/>
      </w:tabs>
      <w:spacing w:before="120" w:after="120" w:line="240" w:lineRule="auto"/>
      <w:ind w:left="360" w:hanging="360"/>
      <w:contextualSpacing/>
      <w:jc w:val="both"/>
    </w:pPr>
    <w:rPr>
      <w:rFonts w:ascii="EC Square Sans Pro" w:hAnsi="EC Square Sans Pro" w:cs="Times New Roman"/>
      <w:sz w:val="24"/>
    </w:rPr>
  </w:style>
  <w:style w:type="paragraph" w:styleId="ListBullet2">
    <w:name w:val="List Bullet 2"/>
    <w:basedOn w:val="Normal"/>
    <w:unhideWhenUsed/>
    <w:pPr>
      <w:tabs>
        <w:tab w:val="num" w:pos="643"/>
      </w:tabs>
      <w:spacing w:before="120" w:after="120" w:line="240" w:lineRule="auto"/>
      <w:ind w:left="643" w:hanging="360"/>
      <w:contextualSpacing/>
      <w:jc w:val="both"/>
    </w:pPr>
    <w:rPr>
      <w:rFonts w:ascii="EC Square Sans Pro" w:hAnsi="EC Square Sans Pro" w:cs="Times New Roman"/>
      <w:sz w:val="24"/>
    </w:rPr>
  </w:style>
  <w:style w:type="paragraph" w:styleId="ListBullet3">
    <w:name w:val="List Bullet 3"/>
    <w:basedOn w:val="Normal"/>
    <w:unhideWhenUsed/>
    <w:pPr>
      <w:tabs>
        <w:tab w:val="num" w:pos="926"/>
      </w:tabs>
      <w:spacing w:before="120" w:after="120" w:line="240" w:lineRule="auto"/>
      <w:ind w:left="926" w:hanging="360"/>
      <w:contextualSpacing/>
      <w:jc w:val="both"/>
    </w:pPr>
    <w:rPr>
      <w:rFonts w:ascii="EC Square Sans Pro" w:hAnsi="EC Square Sans Pro" w:cs="Times New Roman"/>
      <w:sz w:val="24"/>
    </w:rPr>
  </w:style>
  <w:style w:type="paragraph" w:styleId="ListBullet4">
    <w:name w:val="List Bullet 4"/>
    <w:basedOn w:val="Normal"/>
    <w:unhideWhenUsed/>
    <w:pPr>
      <w:tabs>
        <w:tab w:val="num" w:pos="1209"/>
      </w:tabs>
      <w:spacing w:before="120" w:after="120" w:line="240" w:lineRule="auto"/>
      <w:ind w:left="1209" w:hanging="360"/>
      <w:contextualSpacing/>
      <w:jc w:val="both"/>
    </w:pPr>
    <w:rPr>
      <w:rFonts w:ascii="EC Square Sans Pro" w:hAnsi="EC Square Sans Pro" w:cs="Times New Roman"/>
      <w:sz w:val="24"/>
    </w:rPr>
  </w:style>
  <w:style w:type="table" w:customStyle="1" w:styleId="LightShading-Accent51">
    <w:name w:val="Light Shading - Accent 51"/>
    <w:basedOn w:val="TableNormal"/>
    <w:next w:val="LightShading-Accent5"/>
    <w:uiPriority w:val="60"/>
    <w:pPr>
      <w:spacing w:after="0" w:line="240" w:lineRule="auto"/>
    </w:pPr>
    <w:rPr>
      <w:color w:val="00456F"/>
      <w:sz w:val="20"/>
      <w:szCs w:val="20"/>
      <w:lang w:val="fr-BE" w:eastAsia="en-GB"/>
    </w:rPr>
    <w:tblPr>
      <w:tblStyleRowBandSize w:val="1"/>
      <w:tblStyleColBandSize w:val="1"/>
      <w:tblBorders>
        <w:top w:val="single" w:sz="8" w:space="0" w:color="005D95"/>
        <w:bottom w:val="single" w:sz="8" w:space="0" w:color="005D95"/>
      </w:tblBorders>
    </w:tblPr>
    <w:tblStylePr w:type="firstRow">
      <w:pPr>
        <w:spacing w:before="0" w:after="0" w:line="240" w:lineRule="auto"/>
      </w:pPr>
      <w:rPr>
        <w:b/>
        <w:bCs/>
      </w:rPr>
      <w:tblPr/>
      <w:tcPr>
        <w:tcBorders>
          <w:top w:val="single" w:sz="8" w:space="0" w:color="005D95"/>
          <w:left w:val="nil"/>
          <w:bottom w:val="single" w:sz="8" w:space="0" w:color="005D95"/>
          <w:right w:val="nil"/>
          <w:insideH w:val="nil"/>
          <w:insideV w:val="nil"/>
        </w:tcBorders>
      </w:tcPr>
    </w:tblStylePr>
    <w:tblStylePr w:type="lastRow">
      <w:pPr>
        <w:spacing w:before="0" w:after="0" w:line="240" w:lineRule="auto"/>
      </w:pPr>
      <w:rPr>
        <w:b/>
        <w:bCs/>
      </w:rPr>
      <w:tblPr/>
      <w:tcPr>
        <w:tcBorders>
          <w:top w:val="single" w:sz="8" w:space="0" w:color="005D95"/>
          <w:left w:val="nil"/>
          <w:bottom w:val="single" w:sz="8" w:space="0" w:color="005D9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DFF"/>
      </w:tcPr>
    </w:tblStylePr>
    <w:tblStylePr w:type="band1Horz">
      <w:tblPr/>
      <w:tcPr>
        <w:tcBorders>
          <w:left w:val="nil"/>
          <w:right w:val="nil"/>
          <w:insideH w:val="nil"/>
          <w:insideV w:val="nil"/>
        </w:tcBorders>
        <w:shd w:val="clear" w:color="auto" w:fill="A5DDFF"/>
      </w:tcPr>
    </w:tblStylePr>
  </w:style>
  <w:style w:type="paragraph" w:styleId="TableofFigures">
    <w:name w:val="table of figures"/>
    <w:basedOn w:val="Normal"/>
    <w:next w:val="Normal"/>
    <w:uiPriority w:val="99"/>
    <w:semiHidden/>
    <w:unhideWhenUsed/>
    <w:pPr>
      <w:spacing w:before="120" w:after="0" w:line="240" w:lineRule="auto"/>
      <w:jc w:val="both"/>
    </w:pPr>
    <w:rPr>
      <w:rFonts w:ascii="EC Square Sans Pro" w:hAnsi="EC Square Sans Pro" w:cs="Times New Roman"/>
      <w:sz w:val="24"/>
    </w:rPr>
  </w:style>
  <w:style w:type="paragraph" w:styleId="ListNumber">
    <w:name w:val="List Number"/>
    <w:basedOn w:val="Normal"/>
    <w:unhideWhenUsed/>
    <w:pPr>
      <w:tabs>
        <w:tab w:val="num" w:pos="360"/>
      </w:tabs>
      <w:spacing w:before="120" w:after="120" w:line="240" w:lineRule="auto"/>
      <w:ind w:left="360" w:hanging="360"/>
      <w:contextualSpacing/>
      <w:jc w:val="both"/>
    </w:pPr>
    <w:rPr>
      <w:rFonts w:ascii="EC Square Sans Pro" w:hAnsi="EC Square Sans Pro" w:cs="Times New Roman"/>
      <w:sz w:val="24"/>
    </w:rPr>
  </w:style>
  <w:style w:type="paragraph" w:styleId="ListNumber2">
    <w:name w:val="List Number 2"/>
    <w:basedOn w:val="Normal"/>
    <w:unhideWhenUsed/>
    <w:pPr>
      <w:tabs>
        <w:tab w:val="num" w:pos="643"/>
      </w:tabs>
      <w:spacing w:before="120" w:after="120" w:line="240" w:lineRule="auto"/>
      <w:ind w:left="643" w:hanging="360"/>
      <w:contextualSpacing/>
      <w:jc w:val="both"/>
    </w:pPr>
    <w:rPr>
      <w:rFonts w:ascii="EC Square Sans Pro" w:hAnsi="EC Square Sans Pro" w:cs="Times New Roman"/>
      <w:sz w:val="24"/>
    </w:rPr>
  </w:style>
  <w:style w:type="paragraph" w:styleId="ListNumber3">
    <w:name w:val="List Number 3"/>
    <w:basedOn w:val="Normal"/>
    <w:unhideWhenUsed/>
    <w:pPr>
      <w:tabs>
        <w:tab w:val="num" w:pos="926"/>
      </w:tabs>
      <w:spacing w:before="120" w:after="120" w:line="240" w:lineRule="auto"/>
      <w:ind w:left="926" w:hanging="360"/>
      <w:contextualSpacing/>
      <w:jc w:val="both"/>
    </w:pPr>
    <w:rPr>
      <w:rFonts w:ascii="EC Square Sans Pro" w:hAnsi="EC Square Sans Pro" w:cs="Times New Roman"/>
      <w:sz w:val="24"/>
    </w:rPr>
  </w:style>
  <w:style w:type="paragraph" w:styleId="ListNumber4">
    <w:name w:val="List Number 4"/>
    <w:basedOn w:val="Normal"/>
    <w:unhideWhenUsed/>
    <w:pPr>
      <w:tabs>
        <w:tab w:val="num" w:pos="1209"/>
      </w:tabs>
      <w:spacing w:before="120" w:after="120" w:line="240" w:lineRule="auto"/>
      <w:ind w:left="1209" w:hanging="360"/>
      <w:contextualSpacing/>
      <w:jc w:val="both"/>
    </w:pPr>
    <w:rPr>
      <w:rFonts w:ascii="EC Square Sans Pro" w:hAnsi="EC Square Sans Pro" w:cs="Times New Roman"/>
      <w:sz w:val="24"/>
    </w:rPr>
  </w:style>
  <w:style w:type="table" w:customStyle="1" w:styleId="LightShading1">
    <w:name w:val="Light Shading1"/>
    <w:basedOn w:val="TableNormal"/>
    <w:next w:val="LightShading"/>
    <w:uiPriority w:val="60"/>
    <w:pPr>
      <w:spacing w:after="0" w:line="240" w:lineRule="auto"/>
    </w:pPr>
    <w:rPr>
      <w:color w:val="000000"/>
      <w:lang w:val="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LE1Report">
    <w:name w:val="TITLE 1 / Report"/>
    <w:basedOn w:val="Normal"/>
    <w:link w:val="TITLE1ReportChar"/>
    <w:qFormat/>
    <w:pPr>
      <w:keepNext/>
      <w:keepLines/>
      <w:pageBreakBefore/>
      <w:spacing w:after="120" w:line="240" w:lineRule="auto"/>
      <w:outlineLvl w:val="0"/>
    </w:pPr>
    <w:rPr>
      <w:rFonts w:ascii="EC Square Sans Pro" w:hAnsi="EC Square Sans Pro" w:cs="Times New Roman"/>
      <w:color w:val="005D95"/>
      <w:sz w:val="52"/>
    </w:rPr>
  </w:style>
  <w:style w:type="character" w:customStyle="1" w:styleId="TITLE1ReportChar">
    <w:name w:val="TITLE 1 / Report Char"/>
    <w:basedOn w:val="DefaultParagraphFont"/>
    <w:link w:val="TITLE1Report"/>
    <w:rPr>
      <w:rFonts w:ascii="EC Square Sans Pro" w:hAnsi="EC Square Sans Pro" w:cs="Times New Roman"/>
      <w:color w:val="005D95"/>
      <w:sz w:val="52"/>
    </w:rPr>
  </w:style>
  <w:style w:type="paragraph" w:customStyle="1" w:styleId="BOXtext-blue">
    <w:name w:val="BOX text - blue"/>
    <w:basedOn w:val="BOXtext-orange"/>
    <w:pPr>
      <w:pBdr>
        <w:top w:val="single" w:sz="12" w:space="8" w:color="005D95"/>
        <w:left w:val="single" w:sz="12" w:space="8" w:color="005D95"/>
        <w:bottom w:val="single" w:sz="12" w:space="8" w:color="005D95"/>
        <w:right w:val="single" w:sz="12" w:space="8" w:color="005D95"/>
      </w:pBdr>
      <w:shd w:val="clear" w:color="auto" w:fill="005D95"/>
    </w:pPr>
  </w:style>
  <w:style w:type="paragraph" w:customStyle="1" w:styleId="BodyText1">
    <w:name w:val="Body Text1"/>
    <w:basedOn w:val="Normal"/>
    <w:next w:val="Normal"/>
    <w:link w:val="BodyTextChar"/>
    <w:unhideWhenUsed/>
    <w:qFormat/>
    <w:pPr>
      <w:spacing w:after="0" w:line="240" w:lineRule="auto"/>
      <w:jc w:val="both"/>
    </w:pPr>
    <w:rPr>
      <w:rFonts w:ascii="EC Square Sans Pro" w:hAnsi="EC Square Sans Pro" w:cs="Times New Roman"/>
      <w:color w:val="000000"/>
      <w:sz w:val="20"/>
    </w:rPr>
  </w:style>
  <w:style w:type="character" w:customStyle="1" w:styleId="BodyTextChar">
    <w:name w:val="Body Text Char"/>
    <w:basedOn w:val="DefaultParagraphFont"/>
    <w:link w:val="BodyText1"/>
    <w:rPr>
      <w:rFonts w:ascii="EC Square Sans Pro" w:hAnsi="EC Square Sans Pro" w:cs="Times New Roman"/>
      <w:color w:val="000000"/>
      <w:sz w:val="20"/>
      <w:lang w:val="en-GB"/>
    </w:rPr>
  </w:style>
  <w:style w:type="paragraph" w:customStyle="1" w:styleId="BOXtext-orange">
    <w:name w:val="BOX text - orange"/>
    <w:next w:val="Normal"/>
    <w:link w:val="BOXtext-orangeChar"/>
    <w:qFormat/>
    <w:pPr>
      <w:pBdr>
        <w:top w:val="single" w:sz="12" w:space="8" w:color="F68A42"/>
        <w:left w:val="single" w:sz="12" w:space="8" w:color="F68A42"/>
        <w:bottom w:val="single" w:sz="12" w:space="8" w:color="F68A42"/>
        <w:right w:val="single" w:sz="12" w:space="8" w:color="F68A42"/>
      </w:pBdr>
      <w:shd w:val="clear" w:color="auto" w:fill="F68A42"/>
      <w:spacing w:after="0" w:line="240" w:lineRule="auto"/>
      <w:jc w:val="both"/>
    </w:pPr>
    <w:rPr>
      <w:rFonts w:ascii="EC Square Sans Pro" w:hAnsi="EC Square Sans Pro" w:cs="Times New Roman"/>
      <w:noProof/>
      <w:color w:val="FFFFFF"/>
      <w:sz w:val="20"/>
      <w:lang w:val="en-IE" w:eastAsia="fr-BE"/>
    </w:rPr>
  </w:style>
  <w:style w:type="character" w:customStyle="1" w:styleId="BOXtext-orangeChar">
    <w:name w:val="BOX text - orange Char"/>
    <w:basedOn w:val="DefaultParagraphFont"/>
    <w:link w:val="BOXtext-orange"/>
    <w:rPr>
      <w:rFonts w:ascii="EC Square Sans Pro" w:hAnsi="EC Square Sans Pro" w:cs="Times New Roman"/>
      <w:noProof/>
      <w:color w:val="FFFFFF"/>
      <w:sz w:val="20"/>
      <w:shd w:val="clear" w:color="auto" w:fill="F68A42"/>
      <w:lang w:val="en-IE" w:eastAsia="fr-BE"/>
    </w:rPr>
  </w:style>
  <w:style w:type="paragraph" w:customStyle="1" w:styleId="BOLD-higlight">
    <w:name w:val="BOLD - higlight"/>
    <w:basedOn w:val="Normal"/>
    <w:link w:val="BOLD-higlightChar"/>
    <w:qFormat/>
    <w:pPr>
      <w:spacing w:after="0" w:line="240" w:lineRule="auto"/>
      <w:jc w:val="both"/>
    </w:pPr>
    <w:rPr>
      <w:rFonts w:ascii="EC Square Sans Pro" w:hAnsi="EC Square Sans Pro" w:cs="Times New Roman"/>
      <w:b/>
      <w:noProof/>
      <w:color w:val="F26A47"/>
      <w:sz w:val="20"/>
      <w:lang w:val="en-IE" w:eastAsia="fr-BE"/>
    </w:rPr>
  </w:style>
  <w:style w:type="character" w:customStyle="1" w:styleId="BOLD-higlightChar">
    <w:name w:val="BOLD - higlight Char"/>
    <w:basedOn w:val="DefaultParagraphFont"/>
    <w:link w:val="BOLD-higlight"/>
    <w:rPr>
      <w:rFonts w:ascii="EC Square Sans Pro" w:hAnsi="EC Square Sans Pro" w:cs="Times New Roman"/>
      <w:b/>
      <w:noProof/>
      <w:color w:val="F26A47"/>
      <w:sz w:val="20"/>
      <w:lang w:val="en-IE" w:eastAsia="fr-BE"/>
    </w:rPr>
  </w:style>
  <w:style w:type="table" w:customStyle="1" w:styleId="BOXBullets">
    <w:name w:val="BOX Bullets"/>
    <w:basedOn w:val="TableNormal"/>
    <w:uiPriority w:val="99"/>
    <w:pPr>
      <w:spacing w:after="0" w:line="240" w:lineRule="auto"/>
    </w:pPr>
    <w:rPr>
      <w:sz w:val="20"/>
      <w:lang w:val="fr-BE"/>
    </w:rPr>
    <w:tblPr/>
    <w:tcPr>
      <w:vAlign w:val="center"/>
    </w:tcPr>
  </w:style>
  <w:style w:type="table" w:customStyle="1" w:styleId="Tablegreen">
    <w:name w:val="Table green"/>
    <w:basedOn w:val="TableNormal"/>
    <w:uiPriority w:val="99"/>
    <w:pPr>
      <w:spacing w:after="0" w:line="240" w:lineRule="auto"/>
    </w:pPr>
    <w:rPr>
      <w:lang w:val="fr-BE"/>
    </w:rPr>
    <w:tblPr/>
  </w:style>
  <w:style w:type="table" w:customStyle="1" w:styleId="GridTable6Colorful-Accent51">
    <w:name w:val="Grid Table 6 Colorful - Accent 51"/>
    <w:basedOn w:val="TableNormal"/>
    <w:uiPriority w:val="51"/>
    <w:pPr>
      <w:spacing w:after="0" w:line="240" w:lineRule="auto"/>
    </w:pPr>
    <w:rPr>
      <w:color w:val="00456F"/>
    </w:rPr>
    <w:tblPr>
      <w:tblStyleRowBandSize w:val="1"/>
      <w:tblStyleColBandSize w:val="1"/>
      <w:tblBorders>
        <w:top w:val="single" w:sz="4" w:space="0" w:color="26ADFF"/>
        <w:left w:val="single" w:sz="4" w:space="0" w:color="26ADFF"/>
        <w:bottom w:val="single" w:sz="4" w:space="0" w:color="26ADFF"/>
        <w:right w:val="single" w:sz="4" w:space="0" w:color="26ADFF"/>
        <w:insideH w:val="single" w:sz="4" w:space="0" w:color="26ADFF"/>
        <w:insideV w:val="single" w:sz="4" w:space="0" w:color="26ADFF"/>
      </w:tblBorders>
    </w:tblPr>
    <w:tblStylePr w:type="firstRow">
      <w:rPr>
        <w:b/>
        <w:bCs/>
      </w:rPr>
      <w:tblPr/>
      <w:tcPr>
        <w:tcBorders>
          <w:bottom w:val="single" w:sz="12" w:space="0" w:color="26ADFF"/>
        </w:tcBorders>
      </w:tcPr>
    </w:tblStylePr>
    <w:tblStylePr w:type="lastRow">
      <w:rPr>
        <w:b/>
        <w:bCs/>
      </w:rPr>
      <w:tblPr/>
      <w:tcPr>
        <w:tcBorders>
          <w:top w:val="double" w:sz="4" w:space="0" w:color="26ADFF"/>
        </w:tcBorders>
      </w:tcPr>
    </w:tblStylePr>
    <w:tblStylePr w:type="firstCol">
      <w:rPr>
        <w:b/>
        <w:bCs/>
      </w:rPr>
    </w:tblStylePr>
    <w:tblStylePr w:type="lastCol">
      <w:rPr>
        <w:b/>
        <w:bCs/>
      </w:rPr>
    </w:tblStylePr>
    <w:tblStylePr w:type="band1Vert">
      <w:tblPr/>
      <w:tcPr>
        <w:shd w:val="clear" w:color="auto" w:fill="B6E3FF"/>
      </w:tcPr>
    </w:tblStylePr>
    <w:tblStylePr w:type="band1Horz">
      <w:tblPr/>
      <w:tcPr>
        <w:shd w:val="clear" w:color="auto" w:fill="B6E3FF"/>
      </w:tcPr>
    </w:tblStylePr>
  </w:style>
  <w:style w:type="paragraph" w:customStyle="1" w:styleId="TITLE1EXECUTIVESUMMARY">
    <w:name w:val="TITLE 1 / EXECUTIVE SUMMARY"/>
    <w:basedOn w:val="TITLE1Report"/>
    <w:link w:val="TITLE1EXECUTIVESUMMARYChar"/>
    <w:qFormat/>
    <w:rPr>
      <w:color w:val="EE6A44"/>
      <w:lang w:val="en-IE"/>
    </w:rPr>
  </w:style>
  <w:style w:type="character" w:customStyle="1" w:styleId="TITLE1EXECUTIVESUMMARYChar">
    <w:name w:val="TITLE 1 / EXECUTIVE SUMMARY Char"/>
    <w:basedOn w:val="TITLE1ReportChar"/>
    <w:link w:val="TITLE1EXECUTIVESUMMARY"/>
    <w:rPr>
      <w:rFonts w:ascii="EC Square Sans Pro" w:hAnsi="EC Square Sans Pro" w:cs="Times New Roman"/>
      <w:color w:val="EE6A44"/>
      <w:sz w:val="52"/>
      <w:lang w:val="en-IE"/>
    </w:rPr>
  </w:style>
  <w:style w:type="paragraph" w:customStyle="1" w:styleId="Title2Report">
    <w:name w:val="Title 2 / Report"/>
    <w:basedOn w:val="Normal"/>
    <w:link w:val="Title2ReportChar"/>
    <w:qFormat/>
    <w:pPr>
      <w:keepNext/>
      <w:keepLines/>
      <w:pBdr>
        <w:top w:val="single" w:sz="12" w:space="1" w:color="F26A47"/>
        <w:bottom w:val="single" w:sz="12" w:space="1" w:color="F26A47"/>
      </w:pBdr>
      <w:spacing w:before="480" w:after="240" w:line="276" w:lineRule="auto"/>
      <w:outlineLvl w:val="1"/>
    </w:pPr>
    <w:rPr>
      <w:rFonts w:ascii="EC Square Sans Pro" w:eastAsia="EC Square Sans Pro" w:hAnsi="EC Square Sans Pro" w:cs="Times New Roman"/>
      <w:b/>
      <w:color w:val="005D95"/>
      <w:sz w:val="28"/>
      <w:szCs w:val="21"/>
      <w:lang w:eastAsia="zh-CN"/>
    </w:rPr>
  </w:style>
  <w:style w:type="character" w:customStyle="1" w:styleId="Title2ReportChar">
    <w:name w:val="Title 2 / Report Char"/>
    <w:basedOn w:val="DefaultParagraphFont"/>
    <w:link w:val="Title2Report"/>
    <w:rPr>
      <w:rFonts w:ascii="EC Square Sans Pro" w:eastAsia="EC Square Sans Pro" w:hAnsi="EC Square Sans Pro" w:cs="Times New Roman"/>
      <w:b/>
      <w:color w:val="005D95"/>
      <w:sz w:val="28"/>
      <w:szCs w:val="21"/>
      <w:lang w:eastAsia="zh-CN"/>
    </w:rPr>
  </w:style>
  <w:style w:type="paragraph" w:customStyle="1" w:styleId="Quotes">
    <w:name w:val="Quotes"/>
    <w:basedOn w:val="Normal"/>
    <w:link w:val="QuotesChar"/>
    <w:qFormat/>
    <w:pPr>
      <w:spacing w:before="120" w:after="120" w:line="240" w:lineRule="auto"/>
      <w:ind w:left="41"/>
      <w:jc w:val="center"/>
    </w:pPr>
    <w:rPr>
      <w:rFonts w:ascii="EC Square Sans Pro" w:eastAsia="Calibri" w:hAnsi="EC Square Sans Pro" w:cs="Times New Roman"/>
      <w:i/>
      <w:color w:val="F26A47"/>
      <w:sz w:val="28"/>
      <w:lang w:val="en-IE" w:eastAsia="zh-CN"/>
    </w:rPr>
  </w:style>
  <w:style w:type="character" w:customStyle="1" w:styleId="QuotesChar">
    <w:name w:val="Quotes Char"/>
    <w:basedOn w:val="DefaultParagraphFont"/>
    <w:link w:val="Quotes"/>
    <w:rPr>
      <w:rFonts w:ascii="EC Square Sans Pro" w:eastAsia="Calibri" w:hAnsi="EC Square Sans Pro" w:cs="Times New Roman"/>
      <w:i/>
      <w:color w:val="F26A47"/>
      <w:sz w:val="28"/>
      <w:lang w:val="en-IE" w:eastAsia="zh-CN"/>
    </w:rPr>
  </w:style>
  <w:style w:type="paragraph" w:customStyle="1" w:styleId="BOX3Blue">
    <w:name w:val="BOX 3 / Blue"/>
    <w:basedOn w:val="Normal"/>
    <w:link w:val="BOX3BlueChar"/>
    <w:qFormat/>
    <w:pPr>
      <w:pBdr>
        <w:top w:val="dashSmallGap" w:sz="12" w:space="8" w:color="F68A42"/>
        <w:left w:val="dashSmallGap" w:sz="12" w:space="8" w:color="F68A42"/>
        <w:bottom w:val="dashSmallGap" w:sz="12" w:space="8" w:color="F68A42"/>
        <w:right w:val="dashSmallGap" w:sz="12" w:space="8" w:color="F68A42"/>
      </w:pBdr>
      <w:spacing w:after="120" w:line="240" w:lineRule="auto"/>
      <w:jc w:val="both"/>
    </w:pPr>
    <w:rPr>
      <w:rFonts w:ascii="EC Square Sans Pro" w:hAnsi="EC Square Sans Pro" w:cs="Times New Roman"/>
      <w:noProof/>
      <w:color w:val="005D95"/>
      <w:sz w:val="20"/>
      <w:lang w:eastAsia="fr-BE"/>
    </w:rPr>
  </w:style>
  <w:style w:type="character" w:customStyle="1" w:styleId="BOX3BlueChar">
    <w:name w:val="BOX 3 / Blue Char"/>
    <w:basedOn w:val="DefaultParagraphFont"/>
    <w:link w:val="BOX3Blue"/>
    <w:rPr>
      <w:rFonts w:ascii="EC Square Sans Pro" w:hAnsi="EC Square Sans Pro" w:cs="Times New Roman"/>
      <w:noProof/>
      <w:color w:val="005D95"/>
      <w:sz w:val="20"/>
      <w:lang w:eastAsia="fr-BE"/>
    </w:rPr>
  </w:style>
  <w:style w:type="paragraph" w:customStyle="1" w:styleId="ES-Title2">
    <w:name w:val="ES - Title 2"/>
    <w:basedOn w:val="Normal"/>
    <w:link w:val="ES-Title2Char"/>
    <w:qFormat/>
    <w:pPr>
      <w:pBdr>
        <w:top w:val="single" w:sz="12" w:space="1" w:color="005D95"/>
        <w:bottom w:val="single" w:sz="12" w:space="1" w:color="005D95"/>
      </w:pBdr>
      <w:spacing w:before="240" w:after="240" w:line="240" w:lineRule="auto"/>
      <w:ind w:left="-6" w:right="1"/>
      <w:outlineLvl w:val="1"/>
    </w:pPr>
    <w:rPr>
      <w:rFonts w:ascii="EC Square Sans Pro" w:eastAsia="EC Square Sans Pro" w:hAnsi="EC Square Sans Pro" w:cs="Times New Roman"/>
      <w:b/>
      <w:color w:val="F26A47"/>
      <w:sz w:val="28"/>
      <w:szCs w:val="21"/>
      <w:lang w:val="en-IE" w:eastAsia="zh-CN"/>
    </w:rPr>
  </w:style>
  <w:style w:type="character" w:customStyle="1" w:styleId="ES-Title2Char">
    <w:name w:val="ES - Title 2 Char"/>
    <w:basedOn w:val="DefaultParagraphFont"/>
    <w:link w:val="ES-Title2"/>
    <w:rPr>
      <w:rFonts w:ascii="EC Square Sans Pro" w:eastAsia="EC Square Sans Pro" w:hAnsi="EC Square Sans Pro" w:cs="Times New Roman"/>
      <w:b/>
      <w:color w:val="F26A47"/>
      <w:sz w:val="28"/>
      <w:szCs w:val="21"/>
      <w:lang w:val="en-IE" w:eastAsia="zh-CN"/>
    </w:rPr>
  </w:style>
  <w:style w:type="paragraph" w:styleId="TOC1">
    <w:name w:val="toc 1"/>
    <w:basedOn w:val="Normal"/>
    <w:next w:val="Normal"/>
    <w:autoRedefine/>
    <w:uiPriority w:val="39"/>
    <w:unhideWhenUsed/>
    <w:pPr>
      <w:tabs>
        <w:tab w:val="left" w:pos="400"/>
        <w:tab w:val="right" w:leader="dot" w:pos="8931"/>
      </w:tabs>
      <w:spacing w:after="100" w:line="240" w:lineRule="auto"/>
    </w:pPr>
    <w:rPr>
      <w:rFonts w:ascii="EC Square Sans Pro" w:eastAsia="Times New Roman" w:hAnsi="EC Square Sans Pro" w:cs="Times New Roman"/>
      <w:smallCaps/>
      <w:noProof/>
      <w:color w:val="005D95"/>
      <w:sz w:val="20"/>
      <w:lang w:eastAsia="en-GB"/>
    </w:rPr>
  </w:style>
  <w:style w:type="table" w:customStyle="1" w:styleId="TableGrid1">
    <w:name w:val="Table Grid1"/>
    <w:basedOn w:val="TableNormal"/>
    <w:next w:val="TableGrid"/>
    <w:uiPriority w:val="59"/>
    <w:pPr>
      <w:spacing w:after="200" w:line="276" w:lineRule="auto"/>
    </w:pPr>
    <w:rPr>
      <w:rFonts w:ascii="Calibri" w:eastAsia="Calibri" w:hAnsi="Calibri" w:cs="Times New Roman"/>
      <w:lang w:val="fr-B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Pr>
      <w:rFonts w:ascii="EC Square Sans Pro" w:hAnsi="EC Square Sans Pro"/>
      <w:color w:val="800080"/>
      <w:u w:val="single"/>
      <w:lang w:val="en-GB"/>
    </w:rPr>
  </w:style>
  <w:style w:type="table" w:customStyle="1" w:styleId="GridTable6Colorful-Accent41">
    <w:name w:val="Grid Table 6 Colorful - Accent 41"/>
    <w:basedOn w:val="TableNormal"/>
    <w:uiPriority w:val="51"/>
    <w:pPr>
      <w:spacing w:after="0" w:line="240" w:lineRule="auto"/>
    </w:pPr>
    <w:rPr>
      <w:color w:val="2978B1"/>
      <w:lang w:val="fr-BE"/>
    </w:rPr>
    <w:tblPr>
      <w:tblStyleRowBandSize w:val="1"/>
      <w:tblStyleColBandSize w:val="1"/>
      <w:tblBorders>
        <w:top w:val="single" w:sz="4" w:space="0" w:color="94C4E6"/>
        <w:left w:val="single" w:sz="4" w:space="0" w:color="94C4E6"/>
        <w:bottom w:val="single" w:sz="4" w:space="0" w:color="94C4E6"/>
        <w:right w:val="single" w:sz="4" w:space="0" w:color="94C4E6"/>
        <w:insideH w:val="single" w:sz="4" w:space="0" w:color="94C4E6"/>
        <w:insideV w:val="single" w:sz="4" w:space="0" w:color="94C4E6"/>
      </w:tblBorders>
    </w:tblPr>
    <w:tblStylePr w:type="firstRow">
      <w:rPr>
        <w:b/>
        <w:bCs/>
      </w:rPr>
      <w:tblPr/>
      <w:tcPr>
        <w:tcBorders>
          <w:bottom w:val="single" w:sz="12" w:space="0" w:color="94C4E6"/>
        </w:tcBorders>
      </w:tcPr>
    </w:tblStylePr>
    <w:tblStylePr w:type="lastRow">
      <w:rPr>
        <w:b/>
        <w:bCs/>
      </w:rPr>
      <w:tblPr/>
      <w:tcPr>
        <w:tcBorders>
          <w:top w:val="double" w:sz="4" w:space="0" w:color="94C4E6"/>
        </w:tcBorders>
      </w:tcPr>
    </w:tblStylePr>
    <w:tblStylePr w:type="firstCol">
      <w:rPr>
        <w:b/>
        <w:bCs/>
      </w:rPr>
    </w:tblStylePr>
    <w:tblStylePr w:type="lastCol">
      <w:rPr>
        <w:b/>
        <w:bCs/>
      </w:rPr>
    </w:tblStylePr>
    <w:tblStylePr w:type="band1Vert">
      <w:tblPr/>
      <w:tcPr>
        <w:shd w:val="clear" w:color="auto" w:fill="DBEBF6"/>
      </w:tcPr>
    </w:tblStylePr>
    <w:tblStylePr w:type="band1Horz">
      <w:tblPr/>
      <w:tcPr>
        <w:shd w:val="clear" w:color="auto" w:fill="DBEBF6"/>
      </w:tcPr>
    </w:tblStylePr>
  </w:style>
  <w:style w:type="table" w:customStyle="1" w:styleId="GridTable4-Accent41">
    <w:name w:val="Grid Table 4 - Accent 41"/>
    <w:basedOn w:val="TableNormal"/>
    <w:uiPriority w:val="49"/>
    <w:pPr>
      <w:spacing w:after="0" w:line="240" w:lineRule="auto"/>
      <w:jc w:val="center"/>
    </w:pPr>
    <w:rPr>
      <w:sz w:val="20"/>
      <w:lang w:val="fr-BE"/>
    </w:rPr>
    <w:tblPr>
      <w:tblStyleRowBandSize w:val="1"/>
      <w:tblStyleColBandSize w:val="1"/>
      <w:tblBorders>
        <w:top w:val="single" w:sz="4" w:space="0" w:color="94C4E6"/>
        <w:left w:val="single" w:sz="4" w:space="0" w:color="94C4E6"/>
        <w:bottom w:val="single" w:sz="4" w:space="0" w:color="94C4E6"/>
        <w:right w:val="single" w:sz="4" w:space="0" w:color="94C4E6"/>
        <w:insideH w:val="single" w:sz="4" w:space="0" w:color="94C4E6"/>
        <w:insideV w:val="single" w:sz="4" w:space="0" w:color="94C4E6"/>
      </w:tblBorders>
    </w:tblPr>
    <w:tcPr>
      <w:vAlign w:val="center"/>
    </w:tcPr>
    <w:tblStylePr w:type="firstRow">
      <w:rPr>
        <w:b/>
        <w:bCs/>
        <w:color w:val="FFFFFF"/>
      </w:rPr>
      <w:tblPr/>
      <w:tcPr>
        <w:tcBorders>
          <w:top w:val="single" w:sz="4" w:space="0" w:color="4E9DD6"/>
          <w:left w:val="single" w:sz="4" w:space="0" w:color="4E9DD6"/>
          <w:bottom w:val="single" w:sz="4" w:space="0" w:color="4E9DD6"/>
          <w:right w:val="single" w:sz="4" w:space="0" w:color="4E9DD6"/>
          <w:insideH w:val="nil"/>
          <w:insideV w:val="nil"/>
        </w:tcBorders>
        <w:shd w:val="clear" w:color="auto" w:fill="4E9DD6"/>
      </w:tcPr>
    </w:tblStylePr>
    <w:tblStylePr w:type="lastRow">
      <w:rPr>
        <w:b/>
        <w:bCs/>
      </w:rPr>
      <w:tblPr/>
      <w:tcPr>
        <w:tcBorders>
          <w:top w:val="double" w:sz="4" w:space="0" w:color="4E9DD6"/>
        </w:tcBorders>
      </w:tcPr>
    </w:tblStylePr>
    <w:tblStylePr w:type="firstCol">
      <w:rPr>
        <w:b/>
        <w:bCs/>
      </w:rPr>
    </w:tblStylePr>
    <w:tblStylePr w:type="lastCol">
      <w:rPr>
        <w:b/>
        <w:bCs/>
      </w:rPr>
    </w:tblStylePr>
    <w:tblStylePr w:type="band1Vert">
      <w:tblPr/>
      <w:tcPr>
        <w:shd w:val="clear" w:color="auto" w:fill="DBEBF6"/>
      </w:tcPr>
    </w:tblStylePr>
    <w:tblStylePr w:type="band1Horz">
      <w:tblPr/>
      <w:tcPr>
        <w:shd w:val="clear" w:color="auto" w:fill="DBEBF6"/>
      </w:tcPr>
    </w:tblStylePr>
  </w:style>
  <w:style w:type="table" w:customStyle="1" w:styleId="GridTable4-Accent11">
    <w:name w:val="Grid Table 4 - Accent 11"/>
    <w:basedOn w:val="TableNormal"/>
    <w:uiPriority w:val="49"/>
    <w:pPr>
      <w:spacing w:after="0" w:line="240" w:lineRule="auto"/>
    </w:pPr>
    <w:rPr>
      <w:lang w:val="fr-BE"/>
    </w:rPr>
    <w:tblPr>
      <w:tblStyleRowBandSize w:val="1"/>
      <w:tblStyleColBandSize w:val="1"/>
      <w:tblBorders>
        <w:top w:val="single" w:sz="4" w:space="0" w:color="F9B88D"/>
        <w:left w:val="single" w:sz="4" w:space="0" w:color="F9B88D"/>
        <w:bottom w:val="single" w:sz="4" w:space="0" w:color="F9B88D"/>
        <w:right w:val="single" w:sz="4" w:space="0" w:color="F9B88D"/>
        <w:insideH w:val="single" w:sz="4" w:space="0" w:color="F9B88D"/>
        <w:insideV w:val="single" w:sz="4" w:space="0" w:color="F9B88D"/>
      </w:tblBorders>
    </w:tblPr>
    <w:tblStylePr w:type="firstRow">
      <w:rPr>
        <w:b/>
        <w:bCs/>
        <w:color w:val="FFFFFF"/>
      </w:rPr>
      <w:tblPr/>
      <w:tcPr>
        <w:tcBorders>
          <w:top w:val="single" w:sz="4" w:space="0" w:color="F68A42"/>
          <w:left w:val="single" w:sz="4" w:space="0" w:color="F68A42"/>
          <w:bottom w:val="single" w:sz="4" w:space="0" w:color="F68A42"/>
          <w:right w:val="single" w:sz="4" w:space="0" w:color="F68A42"/>
          <w:insideH w:val="nil"/>
          <w:insideV w:val="nil"/>
        </w:tcBorders>
        <w:shd w:val="clear" w:color="auto" w:fill="F68A42"/>
      </w:tcPr>
    </w:tblStylePr>
    <w:tblStylePr w:type="lastRow">
      <w:rPr>
        <w:b/>
        <w:bCs/>
      </w:rPr>
      <w:tblPr/>
      <w:tcPr>
        <w:tcBorders>
          <w:top w:val="double" w:sz="4" w:space="0" w:color="F68A42"/>
        </w:tcBorders>
      </w:tcPr>
    </w:tblStylePr>
    <w:tblStylePr w:type="firstCol">
      <w:rPr>
        <w:b/>
        <w:bCs/>
      </w:rPr>
    </w:tblStylePr>
    <w:tblStylePr w:type="lastCol">
      <w:rPr>
        <w:b/>
        <w:bCs/>
      </w:rPr>
    </w:tblStylePr>
    <w:tblStylePr w:type="band1Vert">
      <w:tblPr/>
      <w:tcPr>
        <w:shd w:val="clear" w:color="auto" w:fill="FDE7D9"/>
      </w:tcPr>
    </w:tblStylePr>
    <w:tblStylePr w:type="band1Horz">
      <w:tblPr/>
      <w:tcPr>
        <w:shd w:val="clear" w:color="auto" w:fill="FDE7D9"/>
      </w:tcPr>
    </w:tblStylePr>
  </w:style>
  <w:style w:type="table" w:customStyle="1" w:styleId="ListTable6Colorful-Accent11">
    <w:name w:val="List Table 6 Colorful - Accent 11"/>
    <w:basedOn w:val="TableNormal"/>
    <w:uiPriority w:val="51"/>
    <w:pPr>
      <w:spacing w:after="0" w:line="240" w:lineRule="auto"/>
    </w:pPr>
    <w:rPr>
      <w:color w:val="DE5F0A"/>
      <w:lang w:val="fr-BE"/>
    </w:rPr>
    <w:tblPr>
      <w:tblStyleRowBandSize w:val="1"/>
      <w:tblStyleColBandSize w:val="1"/>
      <w:tblBorders>
        <w:top w:val="single" w:sz="4" w:space="0" w:color="F68A42"/>
        <w:bottom w:val="single" w:sz="4" w:space="0" w:color="F68A42"/>
      </w:tblBorders>
    </w:tblPr>
    <w:tblStylePr w:type="firstRow">
      <w:rPr>
        <w:b/>
        <w:bCs/>
      </w:rPr>
      <w:tblPr/>
      <w:tcPr>
        <w:tcBorders>
          <w:bottom w:val="single" w:sz="4" w:space="0" w:color="F68A42"/>
        </w:tcBorders>
      </w:tcPr>
    </w:tblStylePr>
    <w:tblStylePr w:type="lastRow">
      <w:rPr>
        <w:b/>
        <w:bCs/>
      </w:rPr>
      <w:tblPr/>
      <w:tcPr>
        <w:tcBorders>
          <w:top w:val="double" w:sz="4" w:space="0" w:color="F68A42"/>
        </w:tcBorders>
      </w:tcPr>
    </w:tblStylePr>
    <w:tblStylePr w:type="firstCol">
      <w:rPr>
        <w:b/>
        <w:bCs/>
      </w:rPr>
    </w:tblStylePr>
    <w:tblStylePr w:type="lastCol">
      <w:rPr>
        <w:b/>
        <w:bCs/>
      </w:rPr>
    </w:tblStylePr>
    <w:tblStylePr w:type="band1Vert">
      <w:tblPr/>
      <w:tcPr>
        <w:shd w:val="clear" w:color="auto" w:fill="FDE7D9"/>
      </w:tcPr>
    </w:tblStylePr>
    <w:tblStylePr w:type="band1Horz">
      <w:tblPr/>
      <w:tcPr>
        <w:shd w:val="clear" w:color="auto" w:fill="FDE7D9"/>
      </w:tcPr>
    </w:tblStylePr>
  </w:style>
  <w:style w:type="table" w:customStyle="1" w:styleId="ListTable2-Accent11">
    <w:name w:val="List Table 2 - Accent 11"/>
    <w:basedOn w:val="TableNormal"/>
    <w:uiPriority w:val="47"/>
    <w:pPr>
      <w:spacing w:after="0" w:line="240" w:lineRule="auto"/>
    </w:pPr>
    <w:rPr>
      <w:lang w:val="fr-BE"/>
    </w:rPr>
    <w:tblPr>
      <w:tblStyleRowBandSize w:val="1"/>
      <w:tblStyleColBandSize w:val="1"/>
      <w:tblBorders>
        <w:top w:val="single" w:sz="4" w:space="0" w:color="F9B88D"/>
        <w:bottom w:val="single" w:sz="4" w:space="0" w:color="F9B88D"/>
        <w:insideH w:val="single" w:sz="4" w:space="0" w:color="F9B8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7D9"/>
      </w:tcPr>
    </w:tblStylePr>
    <w:tblStylePr w:type="band1Horz">
      <w:tblPr/>
      <w:tcPr>
        <w:shd w:val="clear" w:color="auto" w:fill="FDE7D9"/>
      </w:tcPr>
    </w:tblStylePr>
  </w:style>
  <w:style w:type="table" w:customStyle="1" w:styleId="GridTable2-Accent11">
    <w:name w:val="Grid Table 2 - Accent 11"/>
    <w:basedOn w:val="TableNormal"/>
    <w:uiPriority w:val="47"/>
    <w:pPr>
      <w:spacing w:after="0" w:line="240" w:lineRule="auto"/>
    </w:pPr>
    <w:rPr>
      <w:lang w:val="fr-BE"/>
    </w:rPr>
    <w:tblPr>
      <w:tblStyleRowBandSize w:val="1"/>
      <w:tblStyleColBandSize w:val="1"/>
      <w:tblBorders>
        <w:top w:val="single" w:sz="2" w:space="0" w:color="F9B88D"/>
        <w:bottom w:val="single" w:sz="2" w:space="0" w:color="F9B88D"/>
        <w:insideH w:val="single" w:sz="2" w:space="0" w:color="F9B88D"/>
        <w:insideV w:val="single" w:sz="2" w:space="0" w:color="F9B88D"/>
      </w:tblBorders>
    </w:tblPr>
    <w:tcPr>
      <w:vAlign w:val="center"/>
    </w:tcPr>
    <w:tblStylePr w:type="firstRow">
      <w:rPr>
        <w:b/>
        <w:bCs/>
      </w:rPr>
      <w:tblPr/>
      <w:tcPr>
        <w:tcBorders>
          <w:top w:val="nil"/>
          <w:bottom w:val="single" w:sz="12" w:space="0" w:color="F9B88D"/>
          <w:insideH w:val="nil"/>
          <w:insideV w:val="nil"/>
        </w:tcBorders>
        <w:shd w:val="clear" w:color="auto" w:fill="FFFFFF"/>
      </w:tcPr>
    </w:tblStylePr>
    <w:tblStylePr w:type="lastRow">
      <w:rPr>
        <w:b/>
        <w:bCs/>
      </w:rPr>
      <w:tblPr/>
      <w:tcPr>
        <w:tcBorders>
          <w:top w:val="double" w:sz="2" w:space="0" w:color="F9B8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7D9"/>
      </w:tcPr>
    </w:tblStylePr>
    <w:tblStylePr w:type="band1Horz">
      <w:tblPr/>
      <w:tcPr>
        <w:shd w:val="clear" w:color="auto" w:fill="FDE7D9"/>
      </w:tcPr>
    </w:tblStylePr>
  </w:style>
  <w:style w:type="table" w:customStyle="1" w:styleId="MediumShading2-Accent11">
    <w:name w:val="Medium Shading 2 - Accent 11"/>
    <w:basedOn w:val="TableNormal"/>
    <w:next w:val="MediumShading2-Accent1"/>
    <w:uiPriority w:val="64"/>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68A4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68A42"/>
      </w:tcPr>
    </w:tblStylePr>
    <w:tblStylePr w:type="lastCol">
      <w:rPr>
        <w:b/>
        <w:bCs/>
        <w:color w:val="FFFFFF"/>
      </w:rPr>
      <w:tblPr/>
      <w:tcPr>
        <w:tcBorders>
          <w:left w:val="nil"/>
          <w:right w:val="nil"/>
          <w:insideH w:val="nil"/>
          <w:insideV w:val="nil"/>
        </w:tcBorders>
        <w:shd w:val="clear" w:color="auto" w:fill="F68A4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1Light-Accent11">
    <w:name w:val="Grid Table 1 Light - Accent 11"/>
    <w:basedOn w:val="TableNormal"/>
    <w:uiPriority w:val="46"/>
    <w:pPr>
      <w:spacing w:after="0" w:line="240" w:lineRule="auto"/>
    </w:pPr>
    <w:rPr>
      <w:lang w:val="fr-BE"/>
    </w:rPr>
    <w:tblPr>
      <w:tblStyleRowBandSize w:val="1"/>
      <w:tblStyleColBandSize w:val="1"/>
      <w:tblBorders>
        <w:top w:val="single" w:sz="4" w:space="0" w:color="FBD0B3"/>
        <w:left w:val="single" w:sz="4" w:space="0" w:color="FBD0B3"/>
        <w:bottom w:val="single" w:sz="4" w:space="0" w:color="FBD0B3"/>
        <w:right w:val="single" w:sz="4" w:space="0" w:color="FBD0B3"/>
        <w:insideH w:val="single" w:sz="4" w:space="0" w:color="FBD0B3"/>
        <w:insideV w:val="single" w:sz="4" w:space="0" w:color="FBD0B3"/>
      </w:tblBorders>
    </w:tblPr>
    <w:tblStylePr w:type="firstRow">
      <w:rPr>
        <w:b/>
        <w:bCs/>
      </w:rPr>
      <w:tblPr/>
      <w:tcPr>
        <w:tcBorders>
          <w:bottom w:val="single" w:sz="12" w:space="0" w:color="F9B88D"/>
        </w:tcBorders>
      </w:tcPr>
    </w:tblStylePr>
    <w:tblStylePr w:type="lastRow">
      <w:rPr>
        <w:b/>
        <w:bCs/>
      </w:rPr>
      <w:tblPr/>
      <w:tcPr>
        <w:tcBorders>
          <w:top w:val="double" w:sz="2" w:space="0" w:color="F9B88D"/>
        </w:tcBorders>
      </w:tcPr>
    </w:tblStylePr>
    <w:tblStylePr w:type="firstCol">
      <w:rPr>
        <w:b/>
        <w:bCs/>
      </w:rPr>
    </w:tblStylePr>
    <w:tblStylePr w:type="lastCol">
      <w:rPr>
        <w:b/>
        <w:bCs/>
      </w:rPr>
    </w:tblStylePr>
  </w:style>
  <w:style w:type="paragraph" w:styleId="Bibliography">
    <w:name w:val="Bibliography"/>
    <w:basedOn w:val="Normal"/>
    <w:next w:val="Normal"/>
    <w:uiPriority w:val="37"/>
    <w:semiHidden/>
    <w:unhideWhenUsed/>
    <w:pPr>
      <w:spacing w:after="0" w:line="240" w:lineRule="auto"/>
    </w:pPr>
    <w:rPr>
      <w:rFonts w:ascii="EC Square Sans Pro" w:hAnsi="EC Square Sans Pro" w:cs="Times New Roman"/>
      <w:sz w:val="20"/>
    </w:rPr>
  </w:style>
  <w:style w:type="paragraph" w:customStyle="1" w:styleId="BlockText1">
    <w:name w:val="Block Text1"/>
    <w:basedOn w:val="Normal"/>
    <w:next w:val="BlockText"/>
    <w:uiPriority w:val="99"/>
    <w:semiHidden/>
    <w:unhideWhenUsed/>
    <w:pPr>
      <w:pBdr>
        <w:top w:val="single" w:sz="2" w:space="10" w:color="F68A42" w:shadow="1" w:frame="1"/>
        <w:left w:val="single" w:sz="2" w:space="10" w:color="F68A42" w:shadow="1" w:frame="1"/>
        <w:bottom w:val="single" w:sz="2" w:space="10" w:color="F68A42" w:shadow="1" w:frame="1"/>
        <w:right w:val="single" w:sz="2" w:space="10" w:color="F68A42" w:shadow="1" w:frame="1"/>
      </w:pBdr>
      <w:spacing w:after="0" w:line="240" w:lineRule="auto"/>
      <w:ind w:left="1152" w:right="1152"/>
    </w:pPr>
    <w:rPr>
      <w:rFonts w:ascii="EC Square Sans Pro" w:eastAsia="SimSun" w:hAnsi="EC Square Sans Pro"/>
      <w:i/>
      <w:iCs/>
      <w:color w:val="F68A42"/>
      <w:sz w:val="20"/>
    </w:rPr>
  </w:style>
  <w:style w:type="paragraph" w:styleId="BodyText2">
    <w:name w:val="Body Text 2"/>
    <w:basedOn w:val="Normal"/>
    <w:link w:val="BodyText2Char"/>
    <w:uiPriority w:val="99"/>
    <w:semiHidden/>
    <w:unhideWhenUsed/>
    <w:pPr>
      <w:spacing w:after="120" w:line="480" w:lineRule="auto"/>
    </w:pPr>
    <w:rPr>
      <w:rFonts w:ascii="EC Square Sans Pro" w:hAnsi="EC Square Sans Pro" w:cs="Times New Roman"/>
      <w:sz w:val="20"/>
    </w:rPr>
  </w:style>
  <w:style w:type="character" w:customStyle="1" w:styleId="BodyText2Char">
    <w:name w:val="Body Text 2 Char"/>
    <w:basedOn w:val="DefaultParagraphFont"/>
    <w:link w:val="BodyText2"/>
    <w:uiPriority w:val="99"/>
    <w:semiHidden/>
    <w:rPr>
      <w:rFonts w:ascii="EC Square Sans Pro" w:hAnsi="EC Square Sans Pro" w:cs="Times New Roman"/>
      <w:sz w:val="20"/>
    </w:rPr>
  </w:style>
  <w:style w:type="paragraph" w:styleId="BodyText3">
    <w:name w:val="Body Text 3"/>
    <w:basedOn w:val="Normal"/>
    <w:link w:val="BodyText3Char"/>
    <w:uiPriority w:val="99"/>
    <w:semiHidden/>
    <w:unhideWhenUsed/>
    <w:pPr>
      <w:spacing w:after="120" w:line="240" w:lineRule="auto"/>
    </w:pPr>
    <w:rPr>
      <w:rFonts w:ascii="EC Square Sans Pro" w:hAnsi="EC Square Sans Pro" w:cs="Times New Roman"/>
      <w:sz w:val="16"/>
      <w:szCs w:val="16"/>
    </w:rPr>
  </w:style>
  <w:style w:type="character" w:customStyle="1" w:styleId="BodyText3Char">
    <w:name w:val="Body Text 3 Char"/>
    <w:basedOn w:val="DefaultParagraphFont"/>
    <w:link w:val="BodyText3"/>
    <w:uiPriority w:val="99"/>
    <w:semiHidden/>
    <w:rPr>
      <w:rFonts w:ascii="EC Square Sans Pro" w:hAnsi="EC Square Sans Pro" w:cs="Times New Roman"/>
      <w:sz w:val="16"/>
      <w:szCs w:val="16"/>
    </w:rPr>
  </w:style>
  <w:style w:type="paragraph" w:styleId="BodyText">
    <w:name w:val="Body Text"/>
    <w:basedOn w:val="Normal"/>
    <w:link w:val="BodyTextChar1"/>
    <w:uiPriority w:val="99"/>
    <w:semiHidden/>
    <w:unhideWhenUsed/>
    <w:pPr>
      <w:spacing w:after="120"/>
    </w:pPr>
  </w:style>
  <w:style w:type="character" w:customStyle="1" w:styleId="BodyTextChar1">
    <w:name w:val="Body Text Char1"/>
    <w:basedOn w:val="DefaultParagraphFont"/>
    <w:link w:val="BodyText"/>
    <w:uiPriority w:val="99"/>
    <w:semiHidden/>
  </w:style>
  <w:style w:type="paragraph" w:styleId="BodyTextFirstIndent">
    <w:name w:val="Body Text First Indent"/>
    <w:basedOn w:val="BodyText"/>
    <w:link w:val="BodyTextFirstIndentChar"/>
    <w:uiPriority w:val="99"/>
    <w:semiHidden/>
    <w:unhideWhenUsed/>
    <w:pPr>
      <w:spacing w:after="0" w:line="240" w:lineRule="auto"/>
      <w:ind w:firstLine="360"/>
      <w:jc w:val="both"/>
    </w:pPr>
    <w:rPr>
      <w:rFonts w:ascii="EC Square Sans Pro" w:hAnsi="EC Square Sans Pro" w:cs="Times New Roman"/>
      <w:color w:val="000000"/>
      <w:sz w:val="20"/>
    </w:rPr>
  </w:style>
  <w:style w:type="character" w:customStyle="1" w:styleId="BodyTextFirstIndentChar">
    <w:name w:val="Body Text First Indent Char"/>
    <w:basedOn w:val="BodyTextChar1"/>
    <w:link w:val="BodyTextFirstIndent"/>
    <w:uiPriority w:val="99"/>
    <w:semiHidden/>
    <w:rPr>
      <w:rFonts w:ascii="EC Square Sans Pro" w:hAnsi="EC Square Sans Pro" w:cs="Times New Roman"/>
      <w:color w:val="000000"/>
      <w:sz w:val="20"/>
    </w:rPr>
  </w:style>
  <w:style w:type="paragraph" w:styleId="BodyTextIndent">
    <w:name w:val="Body Text Indent"/>
    <w:basedOn w:val="Normal"/>
    <w:link w:val="BodyTextIndentChar"/>
    <w:uiPriority w:val="99"/>
    <w:semiHidden/>
    <w:unhideWhenUsed/>
    <w:pPr>
      <w:spacing w:after="120" w:line="240" w:lineRule="auto"/>
      <w:ind w:left="283"/>
    </w:pPr>
    <w:rPr>
      <w:rFonts w:ascii="EC Square Sans Pro" w:hAnsi="EC Square Sans Pro" w:cs="Times New Roman"/>
      <w:sz w:val="20"/>
    </w:rPr>
  </w:style>
  <w:style w:type="character" w:customStyle="1" w:styleId="BodyTextIndentChar">
    <w:name w:val="Body Text Indent Char"/>
    <w:basedOn w:val="DefaultParagraphFont"/>
    <w:link w:val="BodyTextIndent"/>
    <w:uiPriority w:val="99"/>
    <w:semiHidden/>
    <w:rPr>
      <w:rFonts w:ascii="EC Square Sans Pro" w:hAnsi="EC Square Sans Pro" w:cs="Times New Roman"/>
      <w:sz w:val="20"/>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EC Square Sans Pro" w:hAnsi="EC Square Sans Pro" w:cs="Times New Roman"/>
      <w:sz w:val="20"/>
    </w:rPr>
  </w:style>
  <w:style w:type="paragraph" w:styleId="BodyTextIndent2">
    <w:name w:val="Body Text Indent 2"/>
    <w:basedOn w:val="Normal"/>
    <w:link w:val="BodyTextIndent2Char"/>
    <w:uiPriority w:val="99"/>
    <w:semiHidden/>
    <w:unhideWhenUsed/>
    <w:pPr>
      <w:spacing w:after="120" w:line="480" w:lineRule="auto"/>
      <w:ind w:left="283"/>
    </w:pPr>
    <w:rPr>
      <w:rFonts w:ascii="EC Square Sans Pro" w:hAnsi="EC Square Sans Pro" w:cs="Times New Roman"/>
      <w:sz w:val="20"/>
    </w:rPr>
  </w:style>
  <w:style w:type="character" w:customStyle="1" w:styleId="BodyTextIndent2Char">
    <w:name w:val="Body Text Indent 2 Char"/>
    <w:basedOn w:val="DefaultParagraphFont"/>
    <w:link w:val="BodyTextIndent2"/>
    <w:uiPriority w:val="99"/>
    <w:semiHidden/>
    <w:rPr>
      <w:rFonts w:ascii="EC Square Sans Pro" w:hAnsi="EC Square Sans Pro" w:cs="Times New Roman"/>
      <w:sz w:val="20"/>
    </w:rPr>
  </w:style>
  <w:style w:type="paragraph" w:styleId="BodyTextIndent3">
    <w:name w:val="Body Text Indent 3"/>
    <w:basedOn w:val="Normal"/>
    <w:link w:val="BodyTextIndent3Char"/>
    <w:uiPriority w:val="99"/>
    <w:semiHidden/>
    <w:unhideWhenUsed/>
    <w:pPr>
      <w:spacing w:after="120" w:line="240" w:lineRule="auto"/>
      <w:ind w:left="283"/>
    </w:pPr>
    <w:rPr>
      <w:rFonts w:ascii="EC Square Sans Pro" w:hAnsi="EC Square Sans Pro" w:cs="Times New Roman"/>
      <w:sz w:val="16"/>
      <w:szCs w:val="16"/>
    </w:rPr>
  </w:style>
  <w:style w:type="character" w:customStyle="1" w:styleId="BodyTextIndent3Char">
    <w:name w:val="Body Text Indent 3 Char"/>
    <w:basedOn w:val="DefaultParagraphFont"/>
    <w:link w:val="BodyTextIndent3"/>
    <w:uiPriority w:val="99"/>
    <w:semiHidden/>
    <w:rPr>
      <w:rFonts w:ascii="EC Square Sans Pro" w:hAnsi="EC Square Sans Pro" w:cs="Times New Roman"/>
      <w:sz w:val="16"/>
      <w:szCs w:val="16"/>
    </w:rPr>
  </w:style>
  <w:style w:type="paragraph" w:styleId="Closing">
    <w:name w:val="Closing"/>
    <w:basedOn w:val="Normal"/>
    <w:link w:val="ClosingChar"/>
    <w:uiPriority w:val="99"/>
    <w:semiHidden/>
    <w:unhideWhenUsed/>
    <w:pPr>
      <w:spacing w:after="0" w:line="240" w:lineRule="auto"/>
      <w:ind w:left="4252"/>
    </w:pPr>
    <w:rPr>
      <w:rFonts w:ascii="EC Square Sans Pro" w:hAnsi="EC Square Sans Pro" w:cs="Times New Roman"/>
      <w:sz w:val="20"/>
    </w:rPr>
  </w:style>
  <w:style w:type="character" w:customStyle="1" w:styleId="ClosingChar">
    <w:name w:val="Closing Char"/>
    <w:basedOn w:val="DefaultParagraphFont"/>
    <w:link w:val="Closing"/>
    <w:uiPriority w:val="99"/>
    <w:semiHidden/>
    <w:rPr>
      <w:rFonts w:ascii="EC Square Sans Pro" w:hAnsi="EC Square Sans Pro" w:cs="Times New Roman"/>
      <w:sz w:val="20"/>
    </w:rPr>
  </w:style>
  <w:style w:type="paragraph" w:styleId="Date">
    <w:name w:val="Date"/>
    <w:basedOn w:val="Normal"/>
    <w:next w:val="Normal"/>
    <w:link w:val="DateChar"/>
    <w:unhideWhenUsed/>
    <w:pPr>
      <w:spacing w:after="0" w:line="240" w:lineRule="auto"/>
    </w:pPr>
    <w:rPr>
      <w:rFonts w:ascii="EC Square Sans Pro" w:hAnsi="EC Square Sans Pro" w:cs="Times New Roman"/>
      <w:sz w:val="20"/>
    </w:rPr>
  </w:style>
  <w:style w:type="character" w:customStyle="1" w:styleId="DateChar">
    <w:name w:val="Date Char"/>
    <w:basedOn w:val="DefaultParagraphFont"/>
    <w:link w:val="Date"/>
    <w:rPr>
      <w:rFonts w:ascii="EC Square Sans Pro" w:hAnsi="EC Square Sans Pro" w:cs="Times New Roman"/>
      <w:sz w:val="20"/>
    </w:rPr>
  </w:style>
  <w:style w:type="paragraph" w:styleId="DocumentMap">
    <w:name w:val="Document Map"/>
    <w:basedOn w:val="Normal"/>
    <w:link w:val="DocumentMapChar"/>
    <w:uiPriority w:val="99"/>
    <w:semiHidden/>
    <w:unhideWhenUsed/>
    <w:pPr>
      <w:spacing w:after="0" w:line="240" w:lineRule="auto"/>
    </w:pPr>
    <w:rPr>
      <w:rFonts w:ascii="EC Square Sans Pro" w:hAnsi="EC Square Sans Pro" w:cs="Tahoma"/>
      <w:sz w:val="16"/>
      <w:szCs w:val="16"/>
    </w:rPr>
  </w:style>
  <w:style w:type="character" w:customStyle="1" w:styleId="DocumentMapChar">
    <w:name w:val="Document Map Char"/>
    <w:basedOn w:val="DefaultParagraphFont"/>
    <w:link w:val="DocumentMap"/>
    <w:uiPriority w:val="99"/>
    <w:semiHidden/>
    <w:rPr>
      <w:rFonts w:ascii="EC Square Sans Pro" w:hAnsi="EC Square Sans Pro" w:cs="Tahoma"/>
      <w:sz w:val="16"/>
      <w:szCs w:val="16"/>
    </w:rPr>
  </w:style>
  <w:style w:type="paragraph" w:styleId="E-mailSignature">
    <w:name w:val="E-mail Signature"/>
    <w:basedOn w:val="Normal"/>
    <w:link w:val="E-mailSignatureChar"/>
    <w:uiPriority w:val="99"/>
    <w:semiHidden/>
    <w:unhideWhenUsed/>
    <w:pPr>
      <w:spacing w:after="0" w:line="240" w:lineRule="auto"/>
    </w:pPr>
    <w:rPr>
      <w:rFonts w:ascii="EC Square Sans Pro" w:hAnsi="EC Square Sans Pro" w:cs="Times New Roman"/>
      <w:sz w:val="20"/>
    </w:rPr>
  </w:style>
  <w:style w:type="character" w:customStyle="1" w:styleId="E-mailSignatureChar">
    <w:name w:val="E-mail Signature Char"/>
    <w:basedOn w:val="DefaultParagraphFont"/>
    <w:link w:val="E-mailSignature"/>
    <w:uiPriority w:val="99"/>
    <w:semiHidden/>
    <w:rPr>
      <w:rFonts w:ascii="EC Square Sans Pro" w:hAnsi="EC Square Sans Pro" w:cs="Times New Roman"/>
      <w:sz w:val="20"/>
    </w:rPr>
  </w:style>
  <w:style w:type="paragraph" w:customStyle="1" w:styleId="EnvelopeAddress1">
    <w:name w:val="Envelope Address1"/>
    <w:basedOn w:val="Normal"/>
    <w:next w:val="EnvelopeAddress"/>
    <w:uiPriority w:val="99"/>
    <w:semiHidden/>
    <w:unhideWhenUsed/>
    <w:pPr>
      <w:framePr w:w="7920" w:h="1980" w:hRule="exact" w:hSpace="180" w:wrap="auto" w:hAnchor="page" w:xAlign="center" w:yAlign="bottom"/>
      <w:spacing w:after="0" w:line="240" w:lineRule="auto"/>
      <w:ind w:left="2880"/>
    </w:pPr>
    <w:rPr>
      <w:rFonts w:ascii="EC Square Sans Pro" w:eastAsia="SimHei" w:hAnsi="EC Square Sans Pro" w:cs="Times New Roman"/>
      <w:sz w:val="24"/>
      <w:szCs w:val="24"/>
    </w:rPr>
  </w:style>
  <w:style w:type="paragraph" w:customStyle="1" w:styleId="EnvelopeReturn1">
    <w:name w:val="Envelope Return1"/>
    <w:basedOn w:val="Normal"/>
    <w:next w:val="EnvelopeReturn"/>
    <w:uiPriority w:val="99"/>
    <w:semiHidden/>
    <w:unhideWhenUsed/>
    <w:pPr>
      <w:spacing w:after="0" w:line="240" w:lineRule="auto"/>
    </w:pPr>
    <w:rPr>
      <w:rFonts w:ascii="EC Square Sans Pro" w:eastAsia="SimHei" w:hAnsi="EC Square Sans Pro" w:cs="Times New Roman"/>
      <w:sz w:val="20"/>
      <w:szCs w:val="20"/>
    </w:rPr>
  </w:style>
  <w:style w:type="character" w:styleId="HTMLAcronym">
    <w:name w:val="HTML Acronym"/>
    <w:basedOn w:val="DefaultParagraphFont"/>
    <w:uiPriority w:val="99"/>
    <w:semiHidden/>
    <w:unhideWhenUsed/>
    <w:rPr>
      <w:rFonts w:ascii="EC Square Sans Pro" w:hAnsi="EC Square Sans Pro"/>
      <w:lang w:val="en-GB"/>
    </w:rPr>
  </w:style>
  <w:style w:type="paragraph" w:styleId="HTMLAddress">
    <w:name w:val="HTML Address"/>
    <w:basedOn w:val="Normal"/>
    <w:link w:val="HTMLAddressChar"/>
    <w:uiPriority w:val="99"/>
    <w:semiHidden/>
    <w:unhideWhenUsed/>
    <w:pPr>
      <w:spacing w:after="0" w:line="240" w:lineRule="auto"/>
    </w:pPr>
    <w:rPr>
      <w:rFonts w:ascii="EC Square Sans Pro" w:hAnsi="EC Square Sans Pro" w:cs="Times New Roman"/>
      <w:i/>
      <w:iCs/>
      <w:sz w:val="20"/>
    </w:rPr>
  </w:style>
  <w:style w:type="character" w:customStyle="1" w:styleId="HTMLAddressChar">
    <w:name w:val="HTML Address Char"/>
    <w:basedOn w:val="DefaultParagraphFont"/>
    <w:link w:val="HTMLAddress"/>
    <w:uiPriority w:val="99"/>
    <w:semiHidden/>
    <w:rPr>
      <w:rFonts w:ascii="EC Square Sans Pro" w:hAnsi="EC Square Sans Pro" w:cs="Times New Roman"/>
      <w:i/>
      <w:iCs/>
      <w:sz w:val="20"/>
    </w:rPr>
  </w:style>
  <w:style w:type="character" w:styleId="HTMLCite">
    <w:name w:val="HTML Cite"/>
    <w:basedOn w:val="DefaultParagraphFont"/>
    <w:uiPriority w:val="99"/>
    <w:semiHidden/>
    <w:unhideWhenUsed/>
    <w:rPr>
      <w:rFonts w:ascii="EC Square Sans Pro" w:hAnsi="EC Square Sans Pro"/>
      <w:i/>
      <w:iCs/>
      <w:lang w:val="en-GB"/>
    </w:rPr>
  </w:style>
  <w:style w:type="character" w:styleId="HTMLCode">
    <w:name w:val="HTML Code"/>
    <w:basedOn w:val="DefaultParagraphFont"/>
    <w:uiPriority w:val="99"/>
    <w:semiHidden/>
    <w:unhideWhenUsed/>
    <w:rPr>
      <w:rFonts w:ascii="EC Square Sans Pro" w:hAnsi="EC Square Sans Pro" w:cs="Consolas"/>
      <w:sz w:val="20"/>
      <w:szCs w:val="20"/>
      <w:lang w:val="en-GB"/>
    </w:rPr>
  </w:style>
  <w:style w:type="character" w:styleId="HTMLDefinition">
    <w:name w:val="HTML Definition"/>
    <w:basedOn w:val="DefaultParagraphFont"/>
    <w:uiPriority w:val="99"/>
    <w:semiHidden/>
    <w:unhideWhenUsed/>
    <w:rPr>
      <w:rFonts w:ascii="EC Square Sans Pro" w:hAnsi="EC Square Sans Pro"/>
      <w:i/>
      <w:iCs/>
      <w:lang w:val="en-GB"/>
    </w:rPr>
  </w:style>
  <w:style w:type="character" w:styleId="HTMLKeyboard">
    <w:name w:val="HTML Keyboard"/>
    <w:basedOn w:val="DefaultParagraphFont"/>
    <w:uiPriority w:val="99"/>
    <w:semiHidden/>
    <w:unhideWhenUsed/>
    <w:rPr>
      <w:rFonts w:ascii="EC Square Sans Pro" w:hAnsi="EC Square Sans Pro" w:cs="Consolas"/>
      <w:sz w:val="20"/>
      <w:szCs w:val="20"/>
      <w:lang w:val="en-GB"/>
    </w:rPr>
  </w:style>
  <w:style w:type="paragraph" w:styleId="HTMLPreformatted">
    <w:name w:val="HTML Preformatted"/>
    <w:basedOn w:val="Normal"/>
    <w:link w:val="HTMLPreformattedChar"/>
    <w:uiPriority w:val="99"/>
    <w:semiHidden/>
    <w:unhideWhenUsed/>
    <w:pPr>
      <w:spacing w:after="0" w:line="240" w:lineRule="auto"/>
    </w:pPr>
    <w:rPr>
      <w:rFonts w:ascii="EC Square Sans Pro" w:hAnsi="EC Square Sans Pro" w:cs="Consolas"/>
      <w:sz w:val="20"/>
      <w:szCs w:val="20"/>
    </w:rPr>
  </w:style>
  <w:style w:type="character" w:customStyle="1" w:styleId="HTMLPreformattedChar">
    <w:name w:val="HTML Preformatted Char"/>
    <w:basedOn w:val="DefaultParagraphFont"/>
    <w:link w:val="HTMLPreformatted"/>
    <w:uiPriority w:val="99"/>
    <w:semiHidden/>
    <w:rPr>
      <w:rFonts w:ascii="EC Square Sans Pro" w:hAnsi="EC Square Sans Pro" w:cs="Consolas"/>
      <w:sz w:val="20"/>
      <w:szCs w:val="20"/>
    </w:rPr>
  </w:style>
  <w:style w:type="character" w:styleId="HTMLSample">
    <w:name w:val="HTML Sample"/>
    <w:basedOn w:val="DefaultParagraphFont"/>
    <w:uiPriority w:val="99"/>
    <w:semiHidden/>
    <w:unhideWhenUsed/>
    <w:rPr>
      <w:rFonts w:ascii="EC Square Sans Pro" w:hAnsi="EC Square Sans Pro" w:cs="Consolas"/>
      <w:sz w:val="24"/>
      <w:szCs w:val="24"/>
      <w:lang w:val="en-GB"/>
    </w:rPr>
  </w:style>
  <w:style w:type="character" w:styleId="HTMLTypewriter">
    <w:name w:val="HTML Typewriter"/>
    <w:basedOn w:val="DefaultParagraphFont"/>
    <w:uiPriority w:val="99"/>
    <w:semiHidden/>
    <w:unhideWhenUsed/>
    <w:rPr>
      <w:rFonts w:ascii="EC Square Sans Pro" w:hAnsi="EC Square Sans Pro" w:cs="Consolas"/>
      <w:sz w:val="20"/>
      <w:szCs w:val="20"/>
      <w:lang w:val="en-GB"/>
    </w:rPr>
  </w:style>
  <w:style w:type="character" w:styleId="HTMLVariable">
    <w:name w:val="HTML Variable"/>
    <w:basedOn w:val="DefaultParagraphFont"/>
    <w:uiPriority w:val="99"/>
    <w:semiHidden/>
    <w:unhideWhenUsed/>
    <w:rPr>
      <w:rFonts w:ascii="EC Square Sans Pro" w:hAnsi="EC Square Sans Pro"/>
      <w:i/>
      <w:iCs/>
      <w:lang w:val="en-GB"/>
    </w:rPr>
  </w:style>
  <w:style w:type="paragraph" w:styleId="Index1">
    <w:name w:val="index 1"/>
    <w:basedOn w:val="Normal"/>
    <w:next w:val="Normal"/>
    <w:autoRedefine/>
    <w:uiPriority w:val="99"/>
    <w:semiHidden/>
    <w:unhideWhenUsed/>
    <w:pPr>
      <w:spacing w:after="0" w:line="240" w:lineRule="auto"/>
      <w:ind w:left="200" w:hanging="200"/>
    </w:pPr>
    <w:rPr>
      <w:rFonts w:ascii="EC Square Sans Pro" w:hAnsi="EC Square Sans Pro" w:cs="Times New Roman"/>
      <w:sz w:val="20"/>
    </w:rPr>
  </w:style>
  <w:style w:type="paragraph" w:styleId="Index2">
    <w:name w:val="index 2"/>
    <w:basedOn w:val="Normal"/>
    <w:next w:val="Normal"/>
    <w:autoRedefine/>
    <w:uiPriority w:val="99"/>
    <w:semiHidden/>
    <w:unhideWhenUsed/>
    <w:pPr>
      <w:spacing w:after="0" w:line="240" w:lineRule="auto"/>
      <w:ind w:left="400" w:hanging="200"/>
    </w:pPr>
    <w:rPr>
      <w:rFonts w:ascii="EC Square Sans Pro" w:hAnsi="EC Square Sans Pro" w:cs="Times New Roman"/>
      <w:sz w:val="20"/>
    </w:rPr>
  </w:style>
  <w:style w:type="paragraph" w:styleId="Index3">
    <w:name w:val="index 3"/>
    <w:basedOn w:val="Normal"/>
    <w:next w:val="Normal"/>
    <w:autoRedefine/>
    <w:uiPriority w:val="99"/>
    <w:semiHidden/>
    <w:unhideWhenUsed/>
    <w:pPr>
      <w:spacing w:after="0" w:line="240" w:lineRule="auto"/>
      <w:ind w:left="600" w:hanging="200"/>
    </w:pPr>
    <w:rPr>
      <w:rFonts w:ascii="EC Square Sans Pro" w:hAnsi="EC Square Sans Pro" w:cs="Times New Roman"/>
      <w:sz w:val="20"/>
    </w:rPr>
  </w:style>
  <w:style w:type="paragraph" w:styleId="Index4">
    <w:name w:val="index 4"/>
    <w:basedOn w:val="Normal"/>
    <w:next w:val="Normal"/>
    <w:autoRedefine/>
    <w:uiPriority w:val="99"/>
    <w:semiHidden/>
    <w:unhideWhenUsed/>
    <w:pPr>
      <w:spacing w:after="0" w:line="240" w:lineRule="auto"/>
      <w:ind w:left="800" w:hanging="200"/>
    </w:pPr>
    <w:rPr>
      <w:rFonts w:ascii="EC Square Sans Pro" w:hAnsi="EC Square Sans Pro" w:cs="Times New Roman"/>
      <w:sz w:val="20"/>
    </w:rPr>
  </w:style>
  <w:style w:type="paragraph" w:styleId="Index5">
    <w:name w:val="index 5"/>
    <w:basedOn w:val="Normal"/>
    <w:next w:val="Normal"/>
    <w:autoRedefine/>
    <w:uiPriority w:val="99"/>
    <w:semiHidden/>
    <w:unhideWhenUsed/>
    <w:pPr>
      <w:spacing w:after="0" w:line="240" w:lineRule="auto"/>
      <w:ind w:left="1000" w:hanging="200"/>
    </w:pPr>
    <w:rPr>
      <w:rFonts w:ascii="EC Square Sans Pro" w:hAnsi="EC Square Sans Pro" w:cs="Times New Roman"/>
      <w:sz w:val="20"/>
    </w:rPr>
  </w:style>
  <w:style w:type="paragraph" w:styleId="Index6">
    <w:name w:val="index 6"/>
    <w:basedOn w:val="Normal"/>
    <w:next w:val="Normal"/>
    <w:autoRedefine/>
    <w:uiPriority w:val="99"/>
    <w:semiHidden/>
    <w:unhideWhenUsed/>
    <w:pPr>
      <w:spacing w:after="0" w:line="240" w:lineRule="auto"/>
      <w:ind w:left="1200" w:hanging="200"/>
    </w:pPr>
    <w:rPr>
      <w:rFonts w:ascii="EC Square Sans Pro" w:hAnsi="EC Square Sans Pro" w:cs="Times New Roman"/>
      <w:sz w:val="20"/>
    </w:rPr>
  </w:style>
  <w:style w:type="paragraph" w:styleId="Index7">
    <w:name w:val="index 7"/>
    <w:basedOn w:val="Normal"/>
    <w:next w:val="Normal"/>
    <w:autoRedefine/>
    <w:uiPriority w:val="99"/>
    <w:semiHidden/>
    <w:unhideWhenUsed/>
    <w:pPr>
      <w:spacing w:after="0" w:line="240" w:lineRule="auto"/>
      <w:ind w:left="1400" w:hanging="200"/>
    </w:pPr>
    <w:rPr>
      <w:rFonts w:ascii="EC Square Sans Pro" w:hAnsi="EC Square Sans Pro" w:cs="Times New Roman"/>
      <w:sz w:val="20"/>
    </w:rPr>
  </w:style>
  <w:style w:type="paragraph" w:styleId="Index8">
    <w:name w:val="index 8"/>
    <w:basedOn w:val="Normal"/>
    <w:next w:val="Normal"/>
    <w:autoRedefine/>
    <w:uiPriority w:val="99"/>
    <w:semiHidden/>
    <w:unhideWhenUsed/>
    <w:pPr>
      <w:spacing w:after="0" w:line="240" w:lineRule="auto"/>
      <w:ind w:left="1600" w:hanging="200"/>
    </w:pPr>
    <w:rPr>
      <w:rFonts w:ascii="EC Square Sans Pro" w:hAnsi="EC Square Sans Pro" w:cs="Times New Roman"/>
      <w:sz w:val="20"/>
    </w:rPr>
  </w:style>
  <w:style w:type="paragraph" w:styleId="Index9">
    <w:name w:val="index 9"/>
    <w:basedOn w:val="Normal"/>
    <w:next w:val="Normal"/>
    <w:autoRedefine/>
    <w:uiPriority w:val="99"/>
    <w:semiHidden/>
    <w:unhideWhenUsed/>
    <w:pPr>
      <w:spacing w:after="0" w:line="240" w:lineRule="auto"/>
      <w:ind w:left="1800" w:hanging="200"/>
    </w:pPr>
    <w:rPr>
      <w:rFonts w:ascii="EC Square Sans Pro" w:hAnsi="EC Square Sans Pro" w:cs="Times New Roman"/>
      <w:sz w:val="20"/>
    </w:rPr>
  </w:style>
  <w:style w:type="paragraph" w:customStyle="1" w:styleId="IndexHeading1">
    <w:name w:val="Index Heading1"/>
    <w:basedOn w:val="Normal"/>
    <w:next w:val="Index1"/>
    <w:uiPriority w:val="99"/>
    <w:semiHidden/>
    <w:unhideWhenUsed/>
    <w:pPr>
      <w:spacing w:after="0" w:line="240" w:lineRule="auto"/>
    </w:pPr>
    <w:rPr>
      <w:rFonts w:ascii="EC Square Sans Pro" w:eastAsia="SimHei" w:hAnsi="EC Square Sans Pro" w:cs="Times New Roman"/>
      <w:b/>
      <w:bCs/>
      <w:sz w:val="20"/>
    </w:rPr>
  </w:style>
  <w:style w:type="character" w:styleId="LineNumber">
    <w:name w:val="line number"/>
    <w:basedOn w:val="DefaultParagraphFont"/>
    <w:uiPriority w:val="99"/>
    <w:semiHidden/>
    <w:unhideWhenUsed/>
    <w:rPr>
      <w:rFonts w:ascii="EC Square Sans Pro" w:hAnsi="EC Square Sans Pro"/>
      <w:lang w:val="en-GB"/>
    </w:rPr>
  </w:style>
  <w:style w:type="paragraph" w:styleId="List">
    <w:name w:val="List"/>
    <w:basedOn w:val="Normal"/>
    <w:uiPriority w:val="99"/>
    <w:semiHidden/>
    <w:unhideWhenUsed/>
    <w:pPr>
      <w:spacing w:after="0" w:line="240" w:lineRule="auto"/>
      <w:ind w:left="283" w:hanging="283"/>
      <w:contextualSpacing/>
    </w:pPr>
    <w:rPr>
      <w:rFonts w:ascii="EC Square Sans Pro" w:hAnsi="EC Square Sans Pro" w:cs="Times New Roman"/>
      <w:sz w:val="20"/>
    </w:rPr>
  </w:style>
  <w:style w:type="paragraph" w:styleId="List2">
    <w:name w:val="List 2"/>
    <w:basedOn w:val="Normal"/>
    <w:uiPriority w:val="99"/>
    <w:semiHidden/>
    <w:unhideWhenUsed/>
    <w:pPr>
      <w:spacing w:after="0" w:line="240" w:lineRule="auto"/>
      <w:ind w:left="566" w:hanging="283"/>
      <w:contextualSpacing/>
    </w:pPr>
    <w:rPr>
      <w:rFonts w:ascii="EC Square Sans Pro" w:hAnsi="EC Square Sans Pro" w:cs="Times New Roman"/>
      <w:sz w:val="20"/>
    </w:rPr>
  </w:style>
  <w:style w:type="paragraph" w:styleId="List3">
    <w:name w:val="List 3"/>
    <w:basedOn w:val="Normal"/>
    <w:uiPriority w:val="99"/>
    <w:semiHidden/>
    <w:unhideWhenUsed/>
    <w:pPr>
      <w:spacing w:after="0" w:line="240" w:lineRule="auto"/>
      <w:ind w:left="849" w:hanging="283"/>
      <w:contextualSpacing/>
    </w:pPr>
    <w:rPr>
      <w:rFonts w:ascii="EC Square Sans Pro" w:hAnsi="EC Square Sans Pro" w:cs="Times New Roman"/>
      <w:sz w:val="20"/>
    </w:rPr>
  </w:style>
  <w:style w:type="paragraph" w:styleId="List4">
    <w:name w:val="List 4"/>
    <w:basedOn w:val="Normal"/>
    <w:uiPriority w:val="99"/>
    <w:semiHidden/>
    <w:unhideWhenUsed/>
    <w:pPr>
      <w:spacing w:after="0" w:line="240" w:lineRule="auto"/>
      <w:ind w:left="1132" w:hanging="283"/>
      <w:contextualSpacing/>
    </w:pPr>
    <w:rPr>
      <w:rFonts w:ascii="EC Square Sans Pro" w:hAnsi="EC Square Sans Pro" w:cs="Times New Roman"/>
      <w:sz w:val="20"/>
    </w:rPr>
  </w:style>
  <w:style w:type="paragraph" w:styleId="List5">
    <w:name w:val="List 5"/>
    <w:basedOn w:val="Normal"/>
    <w:uiPriority w:val="99"/>
    <w:semiHidden/>
    <w:unhideWhenUsed/>
    <w:pPr>
      <w:spacing w:after="0" w:line="240" w:lineRule="auto"/>
      <w:ind w:left="1415" w:hanging="283"/>
      <w:contextualSpacing/>
    </w:pPr>
    <w:rPr>
      <w:rFonts w:ascii="EC Square Sans Pro" w:hAnsi="EC Square Sans Pro" w:cs="Times New Roman"/>
      <w:sz w:val="20"/>
    </w:rPr>
  </w:style>
  <w:style w:type="paragraph" w:styleId="ListBullet5">
    <w:name w:val="List Bullet 5"/>
    <w:basedOn w:val="Normal"/>
    <w:uiPriority w:val="99"/>
    <w:semiHidden/>
    <w:unhideWhenUsed/>
    <w:pPr>
      <w:numPr>
        <w:numId w:val="1"/>
      </w:numPr>
      <w:spacing w:after="0" w:line="240" w:lineRule="auto"/>
      <w:contextualSpacing/>
    </w:pPr>
    <w:rPr>
      <w:rFonts w:ascii="EC Square Sans Pro" w:hAnsi="EC Square Sans Pro" w:cs="Times New Roman"/>
      <w:sz w:val="20"/>
    </w:rPr>
  </w:style>
  <w:style w:type="paragraph" w:styleId="ListContinue">
    <w:name w:val="List Continue"/>
    <w:basedOn w:val="Normal"/>
    <w:uiPriority w:val="99"/>
    <w:semiHidden/>
    <w:unhideWhenUsed/>
    <w:pPr>
      <w:spacing w:after="120" w:line="240" w:lineRule="auto"/>
      <w:ind w:left="283"/>
      <w:contextualSpacing/>
    </w:pPr>
    <w:rPr>
      <w:rFonts w:ascii="EC Square Sans Pro" w:hAnsi="EC Square Sans Pro" w:cs="Times New Roman"/>
      <w:sz w:val="20"/>
    </w:rPr>
  </w:style>
  <w:style w:type="paragraph" w:styleId="ListContinue2">
    <w:name w:val="List Continue 2"/>
    <w:basedOn w:val="Normal"/>
    <w:uiPriority w:val="99"/>
    <w:semiHidden/>
    <w:unhideWhenUsed/>
    <w:pPr>
      <w:spacing w:after="120" w:line="240" w:lineRule="auto"/>
      <w:ind w:left="566"/>
      <w:contextualSpacing/>
    </w:pPr>
    <w:rPr>
      <w:rFonts w:ascii="EC Square Sans Pro" w:hAnsi="EC Square Sans Pro" w:cs="Times New Roman"/>
      <w:sz w:val="20"/>
    </w:rPr>
  </w:style>
  <w:style w:type="paragraph" w:styleId="ListContinue3">
    <w:name w:val="List Continue 3"/>
    <w:basedOn w:val="Normal"/>
    <w:uiPriority w:val="99"/>
    <w:semiHidden/>
    <w:unhideWhenUsed/>
    <w:pPr>
      <w:spacing w:after="120" w:line="240" w:lineRule="auto"/>
      <w:ind w:left="849"/>
      <w:contextualSpacing/>
    </w:pPr>
    <w:rPr>
      <w:rFonts w:ascii="EC Square Sans Pro" w:hAnsi="EC Square Sans Pro" w:cs="Times New Roman"/>
      <w:sz w:val="20"/>
    </w:rPr>
  </w:style>
  <w:style w:type="paragraph" w:styleId="ListContinue4">
    <w:name w:val="List Continue 4"/>
    <w:basedOn w:val="Normal"/>
    <w:uiPriority w:val="99"/>
    <w:semiHidden/>
    <w:unhideWhenUsed/>
    <w:pPr>
      <w:spacing w:after="120" w:line="240" w:lineRule="auto"/>
      <w:ind w:left="1132"/>
      <w:contextualSpacing/>
    </w:pPr>
    <w:rPr>
      <w:rFonts w:ascii="EC Square Sans Pro" w:hAnsi="EC Square Sans Pro" w:cs="Times New Roman"/>
      <w:sz w:val="20"/>
    </w:rPr>
  </w:style>
  <w:style w:type="paragraph" w:styleId="ListContinue5">
    <w:name w:val="List Continue 5"/>
    <w:basedOn w:val="Normal"/>
    <w:uiPriority w:val="99"/>
    <w:semiHidden/>
    <w:unhideWhenUsed/>
    <w:pPr>
      <w:spacing w:after="120" w:line="240" w:lineRule="auto"/>
      <w:ind w:left="1415"/>
      <w:contextualSpacing/>
    </w:pPr>
    <w:rPr>
      <w:rFonts w:ascii="EC Square Sans Pro" w:hAnsi="EC Square Sans Pro" w:cs="Times New Roman"/>
      <w:sz w:val="20"/>
    </w:rPr>
  </w:style>
  <w:style w:type="paragraph" w:styleId="ListNumber5">
    <w:name w:val="List Number 5"/>
    <w:basedOn w:val="Normal"/>
    <w:unhideWhenUsed/>
    <w:pPr>
      <w:numPr>
        <w:numId w:val="2"/>
      </w:numPr>
      <w:spacing w:after="0" w:line="240" w:lineRule="auto"/>
      <w:contextualSpacing/>
    </w:pPr>
    <w:rPr>
      <w:rFonts w:ascii="EC Square Sans Pro" w:hAnsi="EC Square Sans Pro" w:cs="Times New Roman"/>
      <w:sz w:val="20"/>
    </w:rPr>
  </w:style>
  <w:style w:type="paragraph" w:styleId="MacroText">
    <w:name w:val="macro"/>
    <w:link w:val="MacroTextChar"/>
    <w:uiPriority w:val="90"/>
    <w:unhideWhenUsed/>
    <w:qFormat/>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C Square Sans Pro" w:hAnsi="EC Square Sans Pro" w:cs="Consolas"/>
      <w:sz w:val="20"/>
      <w:szCs w:val="20"/>
    </w:rPr>
  </w:style>
  <w:style w:type="character" w:customStyle="1" w:styleId="MacroTextChar">
    <w:name w:val="Macro Text Char"/>
    <w:basedOn w:val="DefaultParagraphFont"/>
    <w:link w:val="MacroText"/>
    <w:uiPriority w:val="90"/>
    <w:rPr>
      <w:rFonts w:ascii="EC Square Sans Pro" w:hAnsi="EC Square Sans Pro" w:cs="Consolas"/>
      <w:sz w:val="20"/>
      <w:szCs w:val="20"/>
    </w:rPr>
  </w:style>
  <w:style w:type="paragraph" w:customStyle="1" w:styleId="MessageHeader1">
    <w:name w:val="Message Header1"/>
    <w:basedOn w:val="Normal"/>
    <w:next w:val="MessageHeader"/>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EC Square Sans Pro" w:eastAsia="SimHei" w:hAnsi="EC Square Sans Pro" w:cs="Times New Roman"/>
      <w:sz w:val="24"/>
      <w:szCs w:val="24"/>
    </w:rPr>
  </w:style>
  <w:style w:type="character" w:customStyle="1" w:styleId="MessageHeaderChar">
    <w:name w:val="Message Header Char"/>
    <w:basedOn w:val="DefaultParagraphFont"/>
    <w:link w:val="MessageHeader1"/>
    <w:uiPriority w:val="99"/>
    <w:semiHidden/>
    <w:rPr>
      <w:rFonts w:ascii="EC Square Sans Pro" w:eastAsia="SimHei" w:hAnsi="EC Square Sans Pro" w:cs="Times New Roman"/>
      <w:sz w:val="24"/>
      <w:szCs w:val="24"/>
      <w:shd w:val="pct20" w:color="auto" w:fill="auto"/>
      <w:lang w:val="en-GB"/>
    </w:rPr>
  </w:style>
  <w:style w:type="paragraph" w:styleId="NormalIndent">
    <w:name w:val="Normal Indent"/>
    <w:basedOn w:val="Normal"/>
    <w:unhideWhenUsed/>
    <w:pPr>
      <w:spacing w:after="0" w:line="240" w:lineRule="auto"/>
      <w:ind w:left="720"/>
    </w:pPr>
    <w:rPr>
      <w:rFonts w:ascii="EC Square Sans Pro" w:hAnsi="EC Square Sans Pro" w:cs="Times New Roman"/>
      <w:sz w:val="20"/>
    </w:rPr>
  </w:style>
  <w:style w:type="paragraph" w:styleId="NoteHeading">
    <w:name w:val="Note Heading"/>
    <w:basedOn w:val="Normal"/>
    <w:next w:val="Normal"/>
    <w:link w:val="NoteHeadingChar"/>
    <w:uiPriority w:val="99"/>
    <w:semiHidden/>
    <w:unhideWhenUsed/>
    <w:pPr>
      <w:spacing w:after="0" w:line="240" w:lineRule="auto"/>
    </w:pPr>
    <w:rPr>
      <w:rFonts w:ascii="EC Square Sans Pro" w:hAnsi="EC Square Sans Pro" w:cs="Times New Roman"/>
      <w:sz w:val="20"/>
    </w:rPr>
  </w:style>
  <w:style w:type="character" w:customStyle="1" w:styleId="NoteHeadingChar">
    <w:name w:val="Note Heading Char"/>
    <w:basedOn w:val="DefaultParagraphFont"/>
    <w:link w:val="NoteHeading"/>
    <w:uiPriority w:val="99"/>
    <w:semiHidden/>
    <w:rPr>
      <w:rFonts w:ascii="EC Square Sans Pro" w:hAnsi="EC Square Sans Pro" w:cs="Times New Roman"/>
      <w:sz w:val="20"/>
    </w:rPr>
  </w:style>
  <w:style w:type="character" w:styleId="PageNumber">
    <w:name w:val="page number"/>
    <w:basedOn w:val="DefaultParagraphFont"/>
    <w:uiPriority w:val="99"/>
    <w:semiHidden/>
    <w:unhideWhenUsed/>
    <w:rPr>
      <w:rFonts w:ascii="EC Square Sans Pro" w:hAnsi="EC Square Sans Pro"/>
      <w:lang w:val="en-GB"/>
    </w:rPr>
  </w:style>
  <w:style w:type="character" w:styleId="PlaceholderText">
    <w:name w:val="Placeholder Text"/>
    <w:basedOn w:val="DefaultParagraphFont"/>
    <w:uiPriority w:val="99"/>
    <w:semiHidden/>
    <w:rPr>
      <w:rFonts w:ascii="EC Square Sans Pro" w:hAnsi="EC Square Sans Pro"/>
      <w:color w:val="808080"/>
      <w:lang w:val="en-GB"/>
    </w:rPr>
  </w:style>
  <w:style w:type="paragraph" w:styleId="PlainText">
    <w:name w:val="Plain Text"/>
    <w:basedOn w:val="Normal"/>
    <w:link w:val="PlainTextChar"/>
    <w:uiPriority w:val="99"/>
    <w:semiHidden/>
    <w:unhideWhenUsed/>
    <w:pPr>
      <w:spacing w:after="0" w:line="240" w:lineRule="auto"/>
    </w:pPr>
    <w:rPr>
      <w:rFonts w:ascii="EC Square Sans Pro" w:hAnsi="EC Square Sans Pro" w:cs="Consolas"/>
      <w:sz w:val="21"/>
      <w:szCs w:val="21"/>
    </w:rPr>
  </w:style>
  <w:style w:type="character" w:customStyle="1" w:styleId="PlainTextChar">
    <w:name w:val="Plain Text Char"/>
    <w:basedOn w:val="DefaultParagraphFont"/>
    <w:link w:val="PlainText"/>
    <w:uiPriority w:val="99"/>
    <w:semiHidden/>
    <w:rPr>
      <w:rFonts w:ascii="EC Square Sans Pro" w:hAnsi="EC Square Sans Pro" w:cs="Consolas"/>
      <w:sz w:val="21"/>
      <w:szCs w:val="21"/>
    </w:rPr>
  </w:style>
  <w:style w:type="paragraph" w:styleId="Salutation">
    <w:name w:val="Salutation"/>
    <w:basedOn w:val="Normal"/>
    <w:next w:val="Normal"/>
    <w:link w:val="SalutationChar"/>
    <w:uiPriority w:val="99"/>
    <w:semiHidden/>
    <w:unhideWhenUsed/>
    <w:pPr>
      <w:spacing w:after="0" w:line="240" w:lineRule="auto"/>
    </w:pPr>
    <w:rPr>
      <w:rFonts w:ascii="EC Square Sans Pro" w:hAnsi="EC Square Sans Pro" w:cs="Times New Roman"/>
      <w:sz w:val="20"/>
    </w:rPr>
  </w:style>
  <w:style w:type="character" w:customStyle="1" w:styleId="SalutationChar">
    <w:name w:val="Salutation Char"/>
    <w:basedOn w:val="DefaultParagraphFont"/>
    <w:link w:val="Salutation"/>
    <w:uiPriority w:val="99"/>
    <w:semiHidden/>
    <w:rPr>
      <w:rFonts w:ascii="EC Square Sans Pro" w:hAnsi="EC Square Sans Pro" w:cs="Times New Roman"/>
      <w:sz w:val="20"/>
    </w:rPr>
  </w:style>
  <w:style w:type="paragraph" w:styleId="Signature">
    <w:name w:val="Signature"/>
    <w:basedOn w:val="Normal"/>
    <w:link w:val="SignatureChar"/>
    <w:unhideWhenUsed/>
    <w:pPr>
      <w:spacing w:after="0" w:line="240" w:lineRule="auto"/>
      <w:ind w:left="4252"/>
    </w:pPr>
    <w:rPr>
      <w:rFonts w:ascii="EC Square Sans Pro" w:hAnsi="EC Square Sans Pro" w:cs="Times New Roman"/>
      <w:sz w:val="20"/>
    </w:rPr>
  </w:style>
  <w:style w:type="character" w:customStyle="1" w:styleId="SignatureChar">
    <w:name w:val="Signature Char"/>
    <w:basedOn w:val="DefaultParagraphFont"/>
    <w:link w:val="Signature"/>
    <w:rPr>
      <w:rFonts w:ascii="EC Square Sans Pro" w:hAnsi="EC Square Sans Pro" w:cs="Times New Roman"/>
      <w:sz w:val="20"/>
    </w:rPr>
  </w:style>
  <w:style w:type="paragraph" w:styleId="TableofAuthorities">
    <w:name w:val="table of authorities"/>
    <w:basedOn w:val="Normal"/>
    <w:next w:val="Normal"/>
    <w:uiPriority w:val="99"/>
    <w:semiHidden/>
    <w:unhideWhenUsed/>
    <w:pPr>
      <w:spacing w:after="0" w:line="240" w:lineRule="auto"/>
      <w:ind w:left="200" w:hanging="200"/>
    </w:pPr>
    <w:rPr>
      <w:rFonts w:ascii="EC Square Sans Pro" w:hAnsi="EC Square Sans Pro" w:cs="Times New Roman"/>
      <w:sz w:val="20"/>
    </w:rPr>
  </w:style>
  <w:style w:type="paragraph" w:customStyle="1" w:styleId="TOAHeading1">
    <w:name w:val="TOA Heading1"/>
    <w:basedOn w:val="Normal"/>
    <w:next w:val="Normal"/>
    <w:uiPriority w:val="99"/>
    <w:semiHidden/>
    <w:unhideWhenUsed/>
    <w:pPr>
      <w:spacing w:before="120" w:after="0" w:line="240" w:lineRule="auto"/>
    </w:pPr>
    <w:rPr>
      <w:rFonts w:ascii="EC Square Sans Pro" w:eastAsia="SimHei" w:hAnsi="EC Square Sans Pro" w:cs="Times New Roman"/>
      <w:b/>
      <w:bCs/>
      <w:sz w:val="24"/>
      <w:szCs w:val="24"/>
    </w:rPr>
  </w:style>
  <w:style w:type="character" w:customStyle="1" w:styleId="BOLDBLUE">
    <w:name w:val="BOLD BLUE"/>
    <w:basedOn w:val="BodyTextChar"/>
    <w:qFormat/>
    <w:rPr>
      <w:rFonts w:ascii="EC Square Sans Pro" w:hAnsi="EC Square Sans Pro" w:cs="Times New Roman"/>
      <w:b/>
      <w:color w:val="005D95"/>
      <w:sz w:val="20"/>
      <w:lang w:val="en-GB" w:eastAsia="fr-BE"/>
    </w:rPr>
  </w:style>
  <w:style w:type="paragraph" w:customStyle="1" w:styleId="Title1-NoTOClink">
    <w:name w:val="Title 1 - No TOC link"/>
    <w:basedOn w:val="Normal"/>
    <w:next w:val="Normal"/>
    <w:pPr>
      <w:keepNext/>
      <w:keepLines/>
      <w:pageBreakBefore/>
      <w:spacing w:after="120" w:line="240" w:lineRule="auto"/>
      <w:outlineLvl w:val="0"/>
    </w:pPr>
    <w:rPr>
      <w:rFonts w:ascii="EC Square Sans Pro" w:hAnsi="EC Square Sans Pro" w:cs="Times New Roman"/>
      <w:color w:val="005D95"/>
      <w:sz w:val="52"/>
    </w:rPr>
  </w:style>
  <w:style w:type="character" w:customStyle="1" w:styleId="fnRefNo">
    <w:name w:val="fnRefNo"/>
    <w:uiPriority w:val="1"/>
    <w:qFormat/>
    <w:rPr>
      <w:rFonts w:ascii="EC Square Sans Pro" w:hAnsi="EC Square Sans Pro"/>
      <w:b w:val="0"/>
      <w:i w:val="0"/>
      <w:bdr w:val="none" w:sz="0" w:space="0" w:color="auto"/>
      <w:shd w:val="clear" w:color="auto" w:fill="auto"/>
      <w:vertAlign w:val="superscript"/>
    </w:rPr>
  </w:style>
  <w:style w:type="paragraph" w:customStyle="1" w:styleId="Subhead1">
    <w:name w:val="Subhead 1"/>
    <w:next w:val="Normal"/>
    <w:pPr>
      <w:keepNext/>
      <w:keepLines/>
      <w:spacing w:before="480" w:after="240" w:line="240" w:lineRule="auto"/>
    </w:pPr>
    <w:rPr>
      <w:rFonts w:ascii="EC Square Sans Pro" w:hAnsi="EC Square Sans Pro" w:cs="Times New Roman"/>
      <w:b/>
      <w:color w:val="F26A47"/>
      <w:sz w:val="24"/>
      <w:lang w:eastAsia="zh-CN"/>
    </w:rPr>
  </w:style>
  <w:style w:type="paragraph" w:customStyle="1" w:styleId="QuoteReportRef">
    <w:name w:val="Quote Report Ref"/>
    <w:basedOn w:val="Quotes"/>
    <w:pPr>
      <w:jc w:val="right"/>
    </w:pPr>
    <w:rPr>
      <w:i w:val="0"/>
      <w:sz w:val="16"/>
      <w:szCs w:val="16"/>
    </w:rPr>
  </w:style>
  <w:style w:type="paragraph" w:customStyle="1" w:styleId="Subhead2">
    <w:name w:val="Subhead 2"/>
    <w:next w:val="BodyText"/>
    <w:link w:val="Subhead2Char"/>
    <w:qFormat/>
    <w:pPr>
      <w:keepNext/>
      <w:keepLines/>
      <w:spacing w:before="480" w:after="240" w:line="240" w:lineRule="auto"/>
    </w:pPr>
    <w:rPr>
      <w:rFonts w:ascii="EC Square Sans Pro" w:hAnsi="EC Square Sans Pro" w:cs="Times New Roman"/>
      <w:b/>
      <w:color w:val="005D95"/>
      <w:sz w:val="24"/>
      <w:lang w:eastAsia="zh-CN"/>
    </w:rPr>
  </w:style>
  <w:style w:type="character" w:customStyle="1" w:styleId="Subhead2Char">
    <w:name w:val="Subhead 2 Char"/>
    <w:basedOn w:val="DefaultParagraphFont"/>
    <w:link w:val="Subhead2"/>
    <w:rPr>
      <w:rFonts w:ascii="EC Square Sans Pro" w:hAnsi="EC Square Sans Pro" w:cs="Times New Roman"/>
      <w:b/>
      <w:color w:val="005D95"/>
      <w:sz w:val="24"/>
      <w:lang w:eastAsia="zh-CN"/>
    </w:rPr>
  </w:style>
  <w:style w:type="table" w:customStyle="1" w:styleId="Simpletable1">
    <w:name w:val="Simple tab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2">
    <w:name w:val="Simple table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3">
    <w:name w:val="Simple table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4">
    <w:name w:val="Simple table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3BluedashedborderBlacktext">
    <w:name w:val="BOX 3 / Blue dashed border / Black text"/>
    <w:pPr>
      <w:pBdr>
        <w:top w:val="dashSmallGap" w:sz="12" w:space="8" w:color="4E9DD6"/>
        <w:left w:val="dashSmallGap" w:sz="12" w:space="8" w:color="4E9DD6"/>
        <w:bottom w:val="dashSmallGap" w:sz="12" w:space="8" w:color="4E9DD6"/>
        <w:right w:val="dashSmallGap" w:sz="12" w:space="8" w:color="4E9DD6"/>
      </w:pBdr>
      <w:spacing w:after="120" w:line="240" w:lineRule="auto"/>
      <w:jc w:val="both"/>
    </w:pPr>
    <w:rPr>
      <w:rFonts w:ascii="EC Square Sans Pro" w:hAnsi="EC Square Sans Pro" w:cs="Times New Roman"/>
      <w:noProof/>
      <w:sz w:val="20"/>
      <w:lang w:eastAsia="fr-BE"/>
    </w:rPr>
  </w:style>
  <w:style w:type="table" w:customStyle="1" w:styleId="DocumentTable2">
    <w:name w:val="Document Table2"/>
    <w:basedOn w:val="TableNormal"/>
    <w:next w:val="TableGrid"/>
    <w:uiPriority w:val="59"/>
    <w:pPr>
      <w:spacing w:after="0" w:line="240" w:lineRule="auto"/>
    </w:pPr>
    <w:rPr>
      <w:rFonts w:ascii="Verdana" w:eastAsia="SimSu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impletable5">
    <w:name w:val="Simple table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6">
    <w:name w:val="Simple table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7">
    <w:name w:val="Simple table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8">
    <w:name w:val="Simple table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Table-Chart-PhotoCaption">
    <w:name w:val="Source-Table-Chart-PhotoCaption"/>
    <w:pPr>
      <w:spacing w:before="40" w:after="0" w:line="240" w:lineRule="auto"/>
    </w:pPr>
    <w:rPr>
      <w:rFonts w:ascii="EC Square Sans Pro" w:eastAsia="Calibri" w:hAnsi="EC Square Sans Pro" w:cs="Times New Roman"/>
      <w:iCs/>
      <w:sz w:val="16"/>
      <w:szCs w:val="16"/>
      <w:lang w:eastAsia="fr-BE"/>
    </w:rPr>
  </w:style>
  <w:style w:type="paragraph" w:customStyle="1" w:styleId="BulletsblueNew-consecutive">
    <w:name w:val="Bullets blue New - consecutive"/>
    <w:basedOn w:val="Normal"/>
    <w:pPr>
      <w:spacing w:before="60" w:after="60" w:line="240" w:lineRule="auto"/>
      <w:ind w:left="709"/>
      <w:jc w:val="both"/>
    </w:pPr>
    <w:rPr>
      <w:rFonts w:ascii="EC Square Sans Pro" w:eastAsia="Calibri" w:hAnsi="EC Square Sans Pro" w:cs="Times New Roman"/>
      <w:noProof/>
      <w:sz w:val="20"/>
      <w:lang w:eastAsia="fr-BE"/>
    </w:rPr>
  </w:style>
  <w:style w:type="table" w:customStyle="1" w:styleId="TableGrid41">
    <w:name w:val="Table Grid4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name">
    <w:name w:val="ep_nam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
    <w:autoRedefine/>
    <w:unhideWhenUsed/>
    <w:qFormat/>
    <w:pPr>
      <w:spacing w:after="0" w:line="240" w:lineRule="auto"/>
      <w:ind w:left="681" w:hanging="284"/>
    </w:pPr>
    <w:rPr>
      <w:rFonts w:ascii="EC Square Sans Pro" w:eastAsia="Calibri" w:hAnsi="EC Square Sans Pro" w:cs="Times New Roman"/>
      <w:noProof/>
      <w:sz w:val="16"/>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qFormat/>
    <w:rPr>
      <w:rFonts w:ascii="EC Square Sans Pro" w:eastAsia="Calibri" w:hAnsi="EC Square Sans Pro" w:cs="Times New Roman"/>
      <w:noProof/>
      <w:sz w:val="16"/>
      <w:szCs w:val="20"/>
      <w:lang w:eastAsia="zh-CN"/>
    </w:rPr>
  </w:style>
  <w:style w:type="paragraph" w:customStyle="1" w:styleId="BodyText10">
    <w:name w:val="Body Text 1"/>
    <w:basedOn w:val="Forewordbodytext"/>
    <w:next w:val="BodyText"/>
    <w:link w:val="BodyText1Char"/>
    <w:qFormat/>
    <w:rPr>
      <w:color w:val="000000"/>
      <w:sz w:val="20"/>
      <w:lang w:val="en-IE"/>
    </w:rPr>
  </w:style>
  <w:style w:type="character" w:customStyle="1" w:styleId="BodyText1Char">
    <w:name w:val="Body Text 1 Char"/>
    <w:basedOn w:val="ForewordbodytextChar"/>
    <w:link w:val="BodyText10"/>
    <w:rPr>
      <w:rFonts w:ascii="EC Square Sans Pro" w:hAnsi="EC Square Sans Pro" w:cs="Times New Roman"/>
      <w:noProof/>
      <w:color w:val="000000"/>
      <w:sz w:val="20"/>
      <w:lang w:val="en-IE" w:eastAsia="fr-BE"/>
    </w:rPr>
  </w:style>
  <w:style w:type="character" w:customStyle="1" w:styleId="BOLDGREENExecutiveSummary">
    <w:name w:val="BOLD GREEN / Executive Summary"/>
    <w:rPr>
      <w:rFonts w:ascii="EC Square Sans Pro" w:hAnsi="EC Square Sans Pro"/>
      <w:b/>
      <w:color w:val="08AA74"/>
      <w:lang w:val="en-GB" w:eastAsia="fr-BE"/>
    </w:rPr>
  </w:style>
  <w:style w:type="paragraph" w:customStyle="1" w:styleId="BodyText1spaceafter">
    <w:name w:val="Body Text 1 (space after)"/>
    <w:basedOn w:val="BodyText10"/>
    <w:next w:val="BodyText10"/>
    <w:pPr>
      <w:spacing w:after="240"/>
    </w:pPr>
    <w:rPr>
      <w:rFonts w:eastAsia="Calibri"/>
      <w:lang w:val="en-GB"/>
    </w:rPr>
  </w:style>
  <w:style w:type="paragraph" w:customStyle="1" w:styleId="BodyText1spacebeforeandafter">
    <w:name w:val="Body Text 1 (space before and after)"/>
    <w:basedOn w:val="BodyText10"/>
    <w:pPr>
      <w:spacing w:before="240" w:after="240"/>
    </w:pPr>
    <w:rPr>
      <w:rFonts w:eastAsia="Calibri"/>
      <w:lang w:val="en-GB"/>
    </w:rPr>
  </w:style>
  <w:style w:type="paragraph" w:customStyle="1" w:styleId="SubtitleGreenExecutiveSummary">
    <w:name w:val="Subtitle Green / Executive Summary"/>
    <w:next w:val="BodyText1spaceafter"/>
    <w:pPr>
      <w:keepNext/>
      <w:keepLines/>
      <w:spacing w:before="720" w:after="240" w:line="240" w:lineRule="auto"/>
      <w:ind w:left="357"/>
    </w:pPr>
    <w:rPr>
      <w:rFonts w:ascii="EC Square Sans Pro" w:hAnsi="EC Square Sans Pro" w:cs="Times New Roman"/>
      <w:b/>
      <w:color w:val="08AA74"/>
      <w:sz w:val="24"/>
      <w:lang w:eastAsia="zh-CN"/>
    </w:rPr>
  </w:style>
  <w:style w:type="paragraph" w:customStyle="1" w:styleId="BOXE2GREENtabletext">
    <w:name w:val="BOXE 2 / GREEN table text"/>
    <w:pPr>
      <w:spacing w:after="0" w:line="288" w:lineRule="auto"/>
      <w:ind w:left="113" w:right="113"/>
    </w:pPr>
    <w:rPr>
      <w:rFonts w:ascii="EC Square Sans Pro" w:hAnsi="EC Square Sans Pro" w:cs="Times New Roman"/>
      <w:noProof/>
      <w:sz w:val="20"/>
      <w:lang w:val="en-IE" w:eastAsia="fr-BE"/>
    </w:rPr>
  </w:style>
  <w:style w:type="character" w:customStyle="1" w:styleId="fnRef">
    <w:name w:val="fnRef"/>
    <w:uiPriority w:val="1"/>
    <w:rPr>
      <w:rFonts w:ascii="EC Square Sans Pro" w:hAnsi="EC Square Sans Pro"/>
      <w:b w:val="0"/>
      <w:i w:val="0"/>
      <w:bdr w:val="none" w:sz="0" w:space="0" w:color="auto"/>
      <w:shd w:val="clear" w:color="auto" w:fill="auto"/>
      <w:vertAlign w:val="baseline"/>
    </w:rPr>
  </w:style>
  <w:style w:type="paragraph" w:customStyle="1" w:styleId="BOX2Blue">
    <w:name w:val="BOX 2 /Blue"/>
    <w:basedOn w:val="Normal"/>
    <w:link w:val="BOX2BlueChar"/>
    <w:qFormat/>
    <w:pPr>
      <w:pBdr>
        <w:top w:val="single" w:sz="4" w:space="4" w:color="FCE0D9"/>
        <w:left w:val="single" w:sz="4" w:space="4" w:color="FCE0D9"/>
        <w:bottom w:val="single" w:sz="4" w:space="4" w:color="FCE0D9"/>
        <w:right w:val="single" w:sz="4" w:space="4" w:color="FCE0D9"/>
      </w:pBdr>
      <w:shd w:val="clear" w:color="auto" w:fill="FCE0D9"/>
      <w:spacing w:after="0" w:line="240" w:lineRule="auto"/>
      <w:jc w:val="both"/>
    </w:pPr>
    <w:rPr>
      <w:rFonts w:ascii="EC Square Sans Pro" w:hAnsi="EC Square Sans Pro" w:cs="Times New Roman"/>
      <w:noProof/>
      <w:color w:val="000000"/>
      <w:sz w:val="20"/>
      <w:lang w:eastAsia="fr-BE"/>
    </w:rPr>
  </w:style>
  <w:style w:type="character" w:customStyle="1" w:styleId="BOX2BlueChar">
    <w:name w:val="BOX 2 /Blue Char"/>
    <w:basedOn w:val="DefaultParagraphFont"/>
    <w:link w:val="BOX2Blue"/>
    <w:rPr>
      <w:rFonts w:ascii="EC Square Sans Pro" w:hAnsi="EC Square Sans Pro" w:cs="Times New Roman"/>
      <w:noProof/>
      <w:color w:val="000000"/>
      <w:sz w:val="20"/>
      <w:shd w:val="clear" w:color="auto" w:fill="FCE0D9"/>
      <w:lang w:eastAsia="fr-BE"/>
    </w:rPr>
  </w:style>
  <w:style w:type="paragraph" w:customStyle="1" w:styleId="BOX2BlueBullet">
    <w:name w:val="BOX 2 / Blue Bullet"/>
    <w:basedOn w:val="BOX2Blue"/>
    <w:pPr>
      <w:framePr w:hSpace="170" w:wrap="around" w:vAnchor="text" w:hAnchor="text" w:y="1"/>
      <w:numPr>
        <w:numId w:val="4"/>
      </w:numPr>
      <w:pBdr>
        <w:top w:val="single" w:sz="8" w:space="1" w:color="FCE0D9"/>
        <w:left w:val="single" w:sz="8" w:space="4" w:color="FCE0D9"/>
        <w:bottom w:val="single" w:sz="8" w:space="1" w:color="FCE0D9"/>
        <w:right w:val="single" w:sz="8" w:space="4" w:color="FCE0D9"/>
      </w:pBdr>
      <w:spacing w:after="120"/>
      <w:contextualSpacing/>
    </w:pPr>
    <w:rPr>
      <w:rFonts w:eastAsia="EC Square Sans Pro"/>
      <w:noProof w:val="0"/>
      <w:szCs w:val="20"/>
    </w:rPr>
  </w:style>
  <w:style w:type="character" w:customStyle="1" w:styleId="BOLDLIGHTBLUEReport">
    <w:name w:val="BOLD LIGHT BLUE / Report"/>
    <w:basedOn w:val="DefaultParagraphFont"/>
    <w:rPr>
      <w:rFonts w:ascii="EC Square Sans Pro" w:eastAsia="Times New Roman" w:hAnsi="EC Square Sans Pro"/>
      <w:b/>
      <w:noProof/>
      <w:color w:val="65BBC8"/>
      <w:szCs w:val="20"/>
      <w:lang w:val="en-GB" w:eastAsia="en-GB"/>
    </w:rPr>
  </w:style>
  <w:style w:type="paragraph" w:styleId="Header">
    <w:name w:val="header"/>
    <w:basedOn w:val="Normal"/>
    <w:link w:val="HeaderChar"/>
    <w:uiPriority w:val="99"/>
    <w:unhideWhenUsed/>
    <w:pPr>
      <w:tabs>
        <w:tab w:val="center" w:pos="4513"/>
        <w:tab w:val="right" w:pos="9026"/>
      </w:tabs>
      <w:spacing w:after="0" w:line="240" w:lineRule="auto"/>
    </w:pPr>
    <w:rPr>
      <w:rFonts w:ascii="EC Square Sans Pro" w:hAnsi="EC Square Sans Pro" w:cs="Times New Roman"/>
      <w:sz w:val="20"/>
    </w:rPr>
  </w:style>
  <w:style w:type="character" w:customStyle="1" w:styleId="HeaderChar">
    <w:name w:val="Header Char"/>
    <w:basedOn w:val="DefaultParagraphFont"/>
    <w:link w:val="Header"/>
    <w:uiPriority w:val="99"/>
    <w:rPr>
      <w:rFonts w:ascii="EC Square Sans Pro" w:hAnsi="EC Square Sans Pro" w:cs="Times New Roman"/>
      <w:sz w:val="20"/>
    </w:rPr>
  </w:style>
  <w:style w:type="paragraph" w:customStyle="1" w:styleId="AARHeadingalike">
    <w:name w:val="AAR Heading alike"/>
    <w:basedOn w:val="Normal"/>
    <w:next w:val="Normal"/>
    <w:qFormat/>
    <w:pPr>
      <w:keepNext/>
      <w:widowControl w:val="0"/>
      <w:autoSpaceDE w:val="0"/>
      <w:autoSpaceDN w:val="0"/>
      <w:adjustRightInd w:val="0"/>
      <w:spacing w:after="240" w:line="240" w:lineRule="auto"/>
      <w:jc w:val="both"/>
    </w:pPr>
    <w:rPr>
      <w:rFonts w:ascii="Verdana" w:eastAsia="Calibri" w:hAnsi="Verdana" w:cs="Times New Roman"/>
      <w:b/>
      <w:bCs/>
      <w:iCs/>
      <w:color w:val="2681B4"/>
      <w:sz w:val="24"/>
      <w:szCs w:val="24"/>
    </w:rPr>
  </w:style>
  <w:style w:type="character" w:styleId="CommentReference">
    <w:name w:val="annotation reference"/>
    <w:basedOn w:val="DefaultParagraphFont"/>
    <w:unhideWhenUsed/>
    <w:rPr>
      <w:sz w:val="16"/>
      <w:szCs w:val="16"/>
    </w:rPr>
  </w:style>
  <w:style w:type="paragraph" w:customStyle="1" w:styleId="CommentText1">
    <w:name w:val="Comment Text1"/>
    <w:basedOn w:val="Normal"/>
    <w:next w:val="CommentText"/>
    <w:link w:val="CommentTextChar"/>
    <w:unhideWhenUsed/>
    <w:pPr>
      <w:spacing w:after="200" w:line="240" w:lineRule="auto"/>
    </w:pPr>
    <w:rPr>
      <w:sz w:val="20"/>
      <w:szCs w:val="20"/>
      <w:lang w:val="sk-SK"/>
    </w:rPr>
  </w:style>
  <w:style w:type="character" w:customStyle="1" w:styleId="CommentTextChar">
    <w:name w:val="Comment Text Char"/>
    <w:basedOn w:val="DefaultParagraphFont"/>
    <w:link w:val="CommentText1"/>
    <w:rPr>
      <w:sz w:val="20"/>
      <w:szCs w:val="20"/>
      <w:lang w:val="sk-SK"/>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ascii="Verdana" w:eastAsia="Times New Roman" w:hAnsi="Verdana" w:cs="Times New Roman"/>
      <w:sz w:val="20"/>
      <w:szCs w:val="24"/>
      <w:lang w:eastAsia="en-GB"/>
    </w:rPr>
  </w:style>
  <w:style w:type="character" w:customStyle="1" w:styleId="AARTextChar">
    <w:name w:val="AAR Text Char"/>
    <w:link w:val="AARText"/>
    <w:rPr>
      <w:rFonts w:ascii="Verdana" w:eastAsia="Times New Roman" w:hAnsi="Verdana" w:cs="Times New Roman"/>
      <w:sz w:val="20"/>
      <w:szCs w:val="24"/>
      <w:lang w:eastAsia="en-GB"/>
    </w:rPr>
  </w:style>
  <w:style w:type="table" w:customStyle="1" w:styleId="TableGrid11">
    <w:name w:val="Table Grid11"/>
    <w:basedOn w:val="TableNormal"/>
    <w:uiPriority w:val="59"/>
    <w:pPr>
      <w:widowControl w:val="0"/>
      <w:autoSpaceDE w:val="0"/>
      <w:autoSpaceDN w:val="0"/>
      <w:adjustRightInd w:val="0"/>
      <w:spacing w:after="0" w:line="240" w:lineRule="auto"/>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fr-BE"/>
    </w:rPr>
  </w:style>
  <w:style w:type="paragraph" w:customStyle="1" w:styleId="Pa0">
    <w:name w:val="Pa0"/>
    <w:basedOn w:val="Default"/>
    <w:next w:val="Default"/>
    <w:uiPriority w:val="99"/>
    <w:pPr>
      <w:spacing w:line="241" w:lineRule="atLeast"/>
    </w:pPr>
    <w:rPr>
      <w:rFonts w:cs="Times New Roman"/>
      <w:color w:val="auto"/>
    </w:rPr>
  </w:style>
  <w:style w:type="paragraph" w:customStyle="1" w:styleId="Pa2">
    <w:name w:val="Pa2"/>
    <w:basedOn w:val="Default"/>
    <w:next w:val="Default"/>
    <w:uiPriority w:val="99"/>
    <w:pPr>
      <w:spacing w:line="241" w:lineRule="atLeast"/>
    </w:pPr>
    <w:rPr>
      <w:rFonts w:cs="Times New Roman"/>
      <w:color w:val="auto"/>
    </w:rPr>
  </w:style>
  <w:style w:type="character" w:customStyle="1" w:styleId="A2">
    <w:name w:val="A2"/>
    <w:uiPriority w:val="99"/>
    <w:rPr>
      <w:rFonts w:cs="EC Square Sans Pro"/>
      <w:color w:val="000000"/>
      <w:sz w:val="22"/>
      <w:szCs w:val="22"/>
    </w:rPr>
  </w:style>
  <w:style w:type="paragraph" w:styleId="TOC3">
    <w:name w:val="toc 3"/>
    <w:basedOn w:val="Normal"/>
    <w:next w:val="Normal"/>
    <w:autoRedefine/>
    <w:uiPriority w:val="39"/>
    <w:unhideWhenUsed/>
    <w:pPr>
      <w:tabs>
        <w:tab w:val="left" w:pos="709"/>
        <w:tab w:val="left" w:pos="1445"/>
        <w:tab w:val="right" w:leader="dot" w:pos="8931"/>
      </w:tabs>
      <w:spacing w:after="100" w:line="240" w:lineRule="auto"/>
      <w:ind w:left="709" w:hanging="425"/>
    </w:pPr>
    <w:rPr>
      <w:rFonts w:ascii="EC Square Sans Pro" w:eastAsia="Times New Roman" w:hAnsi="EC Square Sans Pro" w:cs="Times New Roman"/>
      <w:b/>
      <w:i/>
      <w:noProof/>
      <w:color w:val="005D95"/>
      <w:sz w:val="20"/>
      <w:lang w:eastAsia="en-GB"/>
    </w:rPr>
  </w:style>
  <w:style w:type="paragraph" w:styleId="TOC2">
    <w:name w:val="toc 2"/>
    <w:basedOn w:val="Normal"/>
    <w:next w:val="Normal"/>
    <w:autoRedefine/>
    <w:uiPriority w:val="39"/>
    <w:unhideWhenUsed/>
    <w:pPr>
      <w:tabs>
        <w:tab w:val="right" w:leader="dot" w:pos="8931"/>
      </w:tabs>
      <w:spacing w:after="100" w:line="240" w:lineRule="auto"/>
      <w:ind w:left="200"/>
    </w:pPr>
    <w:rPr>
      <w:rFonts w:ascii="EC Square Sans Pro" w:hAnsi="EC Square Sans Pro" w:cs="Times New Roman"/>
      <w:smallCaps/>
      <w:noProof/>
      <w:color w:val="005D95"/>
      <w:sz w:val="20"/>
    </w:rPr>
  </w:style>
  <w:style w:type="paragraph" w:customStyle="1" w:styleId="TOCHeading1">
    <w:name w:val="TOC Heading1"/>
    <w:basedOn w:val="Heading1"/>
    <w:next w:val="Normal"/>
    <w:uiPriority w:val="39"/>
    <w:unhideWhenUsed/>
    <w:qFormat/>
  </w:style>
  <w:style w:type="paragraph" w:customStyle="1" w:styleId="Style1">
    <w:name w:val="Style1"/>
    <w:basedOn w:val="TITLE1EXECUTIVESUMMARY"/>
    <w:link w:val="Style1Char"/>
    <w:qFormat/>
    <w:rPr>
      <w:lang w:eastAsia="zh-CN"/>
    </w:rPr>
  </w:style>
  <w:style w:type="numbering" w:customStyle="1" w:styleId="NoList11">
    <w:name w:val="No List11"/>
    <w:next w:val="NoList"/>
    <w:uiPriority w:val="99"/>
    <w:semiHidden/>
    <w:unhideWhenUsed/>
  </w:style>
  <w:style w:type="character" w:customStyle="1" w:styleId="Style1Char">
    <w:name w:val="Style1 Char"/>
    <w:basedOn w:val="TITLE1EXECUTIVESUMMARYChar"/>
    <w:link w:val="Style1"/>
    <w:rPr>
      <w:rFonts w:ascii="EC Square Sans Pro" w:hAnsi="EC Square Sans Pro" w:cs="Times New Roman"/>
      <w:color w:val="EE6A44"/>
      <w:sz w:val="52"/>
      <w:lang w:val="en-IE" w:eastAsia="zh-CN"/>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rFonts w:ascii="EC Square Sans Pro" w:hAnsi="EC Square Sans Pro"/>
      <w:color w:val="3366CC"/>
      <w:lang w:val="en-GB"/>
    </w:rPr>
  </w:style>
  <w:style w:type="paragraph" w:customStyle="1" w:styleId="LegalNumPar3">
    <w:name w:val="LegalNumPar3"/>
    <w:basedOn w:val="Normal"/>
    <w:pPr>
      <w:numPr>
        <w:ilvl w:val="2"/>
        <w:numId w:val="5"/>
      </w:numPr>
      <w:spacing w:after="240" w:line="360" w:lineRule="auto"/>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5"/>
      </w:numPr>
      <w:spacing w:after="240" w:line="360" w:lineRule="auto"/>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5"/>
      </w:numPr>
      <w:spacing w:after="240" w:line="360" w:lineRule="auto"/>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cs="Times New Roman"/>
      <w:sz w:val="28"/>
      <w:szCs w:val="20"/>
      <w:lang w:eastAsia="en-GB"/>
    </w:rPr>
  </w:style>
  <w:style w:type="paragraph" w:customStyle="1" w:styleId="ListNumber4Level4">
    <w:name w:val="List Number 4 (Level 4)"/>
    <w:basedOn w:val="Text4"/>
    <w:unhideWhenUsed/>
    <w:pPr>
      <w:tabs>
        <w:tab w:val="num" w:pos="4037"/>
      </w:tabs>
      <w:ind w:left="4037" w:hanging="709"/>
    </w:pPr>
  </w:style>
  <w:style w:type="paragraph" w:customStyle="1" w:styleId="ListNumber4Level3">
    <w:name w:val="List Number 4 (Level 3)"/>
    <w:basedOn w:val="Text4"/>
    <w:unhideWhenUsed/>
    <w:pPr>
      <w:tabs>
        <w:tab w:val="num" w:pos="3328"/>
      </w:tabs>
      <w:ind w:left="3328" w:hanging="709"/>
    </w:pPr>
  </w:style>
  <w:style w:type="paragraph" w:customStyle="1" w:styleId="ListNumber4Level2">
    <w:name w:val="List Number 4 (Level 2)"/>
    <w:basedOn w:val="Text4"/>
    <w:pPr>
      <w:tabs>
        <w:tab w:val="num" w:pos="2619"/>
      </w:tabs>
      <w:ind w:left="2619" w:hanging="708"/>
    </w:pPr>
  </w:style>
  <w:style w:type="paragraph" w:customStyle="1" w:styleId="ListNumber3Level4">
    <w:name w:val="List Number 3 (Level 4)"/>
    <w:basedOn w:val="Text3"/>
    <w:unhideWhenUsed/>
    <w:pPr>
      <w:tabs>
        <w:tab w:val="num" w:pos="4751"/>
      </w:tabs>
      <w:ind w:left="4751" w:hanging="709"/>
    </w:pPr>
  </w:style>
  <w:style w:type="paragraph" w:customStyle="1" w:styleId="ListNumber3Level3">
    <w:name w:val="List Number 3 (Level 3)"/>
    <w:basedOn w:val="Text3"/>
    <w:unhideWhenUsed/>
    <w:pPr>
      <w:tabs>
        <w:tab w:val="num" w:pos="3328"/>
      </w:tabs>
      <w:ind w:left="3328" w:hanging="709"/>
    </w:pPr>
  </w:style>
  <w:style w:type="paragraph" w:customStyle="1" w:styleId="ListNumber3Level2">
    <w:name w:val="List Number 3 (Level 2)"/>
    <w:basedOn w:val="Text3"/>
    <w:pPr>
      <w:tabs>
        <w:tab w:val="num" w:pos="2619"/>
      </w:tabs>
      <w:ind w:left="2619" w:hanging="708"/>
    </w:pPr>
  </w:style>
  <w:style w:type="paragraph" w:customStyle="1" w:styleId="ListNumber2Level4">
    <w:name w:val="List Number 2 (Level 4)"/>
    <w:basedOn w:val="Text2"/>
    <w:unhideWhenUsed/>
    <w:pPr>
      <w:ind w:left="2925" w:hanging="360"/>
    </w:pPr>
  </w:style>
  <w:style w:type="paragraph" w:customStyle="1" w:styleId="ListNumber2Level3">
    <w:name w:val="List Number 2 (Level 3)"/>
    <w:basedOn w:val="Text2"/>
    <w:unhideWhenUsed/>
    <w:pPr>
      <w:ind w:left="2205" w:hanging="360"/>
    </w:pPr>
  </w:style>
  <w:style w:type="paragraph" w:customStyle="1" w:styleId="ListNumber2Level2">
    <w:name w:val="List Number 2 (Level 2)"/>
    <w:basedOn w:val="Text2"/>
    <w:pPr>
      <w:ind w:left="1485" w:hanging="360"/>
    </w:pPr>
  </w:style>
  <w:style w:type="paragraph" w:customStyle="1" w:styleId="ListNumber1Level4">
    <w:name w:val="List Number 1 (Level 4)"/>
    <w:basedOn w:val="Text1"/>
    <w:unhideWhenUsed/>
    <w:pPr>
      <w:numPr>
        <w:ilvl w:val="3"/>
        <w:numId w:val="7"/>
      </w:numPr>
      <w:tabs>
        <w:tab w:val="clear" w:pos="3317"/>
      </w:tabs>
      <w:ind w:left="2880" w:hanging="360"/>
    </w:pPr>
  </w:style>
  <w:style w:type="paragraph" w:customStyle="1" w:styleId="ListNumber1Level3">
    <w:name w:val="List Number 1 (Level 3)"/>
    <w:basedOn w:val="Text1"/>
    <w:unhideWhenUsed/>
    <w:pPr>
      <w:numPr>
        <w:ilvl w:val="2"/>
        <w:numId w:val="7"/>
      </w:numPr>
      <w:tabs>
        <w:tab w:val="clear" w:pos="2608"/>
      </w:tabs>
      <w:ind w:left="2160" w:hanging="360"/>
    </w:pPr>
  </w:style>
  <w:style w:type="paragraph" w:customStyle="1" w:styleId="ListNumber1Level2">
    <w:name w:val="List Number 1 (Level 2)"/>
    <w:basedOn w:val="Text1"/>
    <w:pPr>
      <w:numPr>
        <w:ilvl w:val="1"/>
        <w:numId w:val="7"/>
      </w:numPr>
      <w:tabs>
        <w:tab w:val="clear" w:pos="1899"/>
      </w:tabs>
      <w:ind w:left="1440" w:hanging="360"/>
    </w:pPr>
  </w:style>
  <w:style w:type="paragraph" w:customStyle="1" w:styleId="ListNumber1">
    <w:name w:val="List Number 1"/>
    <w:basedOn w:val="Text1"/>
    <w:pPr>
      <w:numPr>
        <w:numId w:val="7"/>
      </w:numPr>
      <w:tabs>
        <w:tab w:val="clear" w:pos="1191"/>
      </w:tabs>
      <w:ind w:left="720" w:hanging="360"/>
    </w:pPr>
  </w:style>
  <w:style w:type="paragraph" w:customStyle="1" w:styleId="ListNumberLevel4">
    <w:name w:val="List Number (Level 4)"/>
    <w:basedOn w:val="Normal"/>
    <w:unhideWhenUsed/>
    <w:pPr>
      <w:tabs>
        <w:tab w:val="num" w:pos="2835"/>
      </w:tabs>
      <w:spacing w:after="240" w:line="240" w:lineRule="auto"/>
      <w:ind w:left="2835" w:hanging="709"/>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unhideWhenUsed/>
    <w:pPr>
      <w:tabs>
        <w:tab w:val="num" w:pos="2126"/>
      </w:tabs>
      <w:spacing w:after="240" w:line="240" w:lineRule="auto"/>
      <w:ind w:left="2126" w:hanging="709"/>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2"/>
      </w:numPr>
    </w:pPr>
  </w:style>
  <w:style w:type="paragraph" w:customStyle="1" w:styleId="ListDash4Level3">
    <w:name w:val="List Dash 4 (Level 3)"/>
    <w:basedOn w:val="Text4"/>
    <w:semiHidden/>
    <w:unhideWhenUsed/>
    <w:pPr>
      <w:numPr>
        <w:ilvl w:val="2"/>
        <w:numId w:val="12"/>
      </w:numPr>
    </w:pPr>
  </w:style>
  <w:style w:type="paragraph" w:customStyle="1" w:styleId="ListDash4Level2">
    <w:name w:val="List Dash 4 (Level 2)"/>
    <w:basedOn w:val="Text4"/>
    <w:pPr>
      <w:numPr>
        <w:ilvl w:val="1"/>
        <w:numId w:val="12"/>
      </w:numPr>
    </w:pPr>
  </w:style>
  <w:style w:type="paragraph" w:customStyle="1" w:styleId="ListDash4">
    <w:name w:val="List Dash 4"/>
    <w:basedOn w:val="Text4"/>
    <w:pPr>
      <w:numPr>
        <w:numId w:val="12"/>
      </w:numPr>
    </w:pPr>
  </w:style>
  <w:style w:type="paragraph" w:customStyle="1" w:styleId="ListDash3Level4">
    <w:name w:val="List Dash 3 (Level 4)"/>
    <w:basedOn w:val="Text3"/>
    <w:semiHidden/>
    <w:unhideWhenUsed/>
    <w:pPr>
      <w:numPr>
        <w:ilvl w:val="3"/>
        <w:numId w:val="11"/>
      </w:numPr>
    </w:pPr>
  </w:style>
  <w:style w:type="paragraph" w:customStyle="1" w:styleId="ListDash3Level3">
    <w:name w:val="List Dash 3 (Level 3)"/>
    <w:basedOn w:val="Text3"/>
    <w:semiHidden/>
    <w:unhideWhenUsed/>
    <w:pPr>
      <w:numPr>
        <w:ilvl w:val="2"/>
        <w:numId w:val="11"/>
      </w:numPr>
    </w:pPr>
  </w:style>
  <w:style w:type="paragraph" w:customStyle="1" w:styleId="ListDash3Level2">
    <w:name w:val="List Dash 3 (Level 2)"/>
    <w:basedOn w:val="Text3"/>
    <w:pPr>
      <w:numPr>
        <w:ilvl w:val="1"/>
        <w:numId w:val="11"/>
      </w:numPr>
    </w:pPr>
  </w:style>
  <w:style w:type="paragraph" w:customStyle="1" w:styleId="ListDash3">
    <w:name w:val="List Dash 3"/>
    <w:basedOn w:val="Text3"/>
    <w:pPr>
      <w:numPr>
        <w:numId w:val="11"/>
      </w:numPr>
    </w:pPr>
  </w:style>
  <w:style w:type="paragraph" w:customStyle="1" w:styleId="ListDash2Level4">
    <w:name w:val="List Dash 2 (Level 4)"/>
    <w:basedOn w:val="Text2"/>
    <w:semiHidden/>
    <w:unhideWhenUsed/>
    <w:pPr>
      <w:numPr>
        <w:ilvl w:val="3"/>
        <w:numId w:val="10"/>
      </w:numPr>
      <w:tabs>
        <w:tab w:val="clear" w:pos="2336"/>
      </w:tabs>
      <w:ind w:left="3240" w:hanging="360"/>
    </w:pPr>
  </w:style>
  <w:style w:type="paragraph" w:customStyle="1" w:styleId="ListDash2Level3">
    <w:name w:val="List Dash 2 (Level 3)"/>
    <w:basedOn w:val="Text2"/>
    <w:semiHidden/>
    <w:unhideWhenUsed/>
    <w:pPr>
      <w:numPr>
        <w:ilvl w:val="2"/>
        <w:numId w:val="10"/>
      </w:numPr>
      <w:tabs>
        <w:tab w:val="clear" w:pos="2052"/>
      </w:tabs>
      <w:ind w:left="2520" w:hanging="360"/>
    </w:pPr>
  </w:style>
  <w:style w:type="paragraph" w:customStyle="1" w:styleId="ListDash2Level2">
    <w:name w:val="List Dash 2 (Level 2)"/>
    <w:basedOn w:val="Text2"/>
    <w:pPr>
      <w:numPr>
        <w:ilvl w:val="1"/>
        <w:numId w:val="10"/>
      </w:numPr>
      <w:tabs>
        <w:tab w:val="clear" w:pos="1769"/>
      </w:tabs>
      <w:ind w:left="1800" w:hanging="360"/>
    </w:pPr>
  </w:style>
  <w:style w:type="paragraph" w:customStyle="1" w:styleId="ListDash2">
    <w:name w:val="List Dash 2"/>
    <w:basedOn w:val="Text2"/>
    <w:pPr>
      <w:numPr>
        <w:numId w:val="10"/>
      </w:numPr>
      <w:tabs>
        <w:tab w:val="clear" w:pos="1485"/>
      </w:tabs>
      <w:ind w:left="1080" w:hanging="360"/>
    </w:pPr>
  </w:style>
  <w:style w:type="paragraph" w:customStyle="1" w:styleId="ListDash1Level4">
    <w:name w:val="List Dash 1 (Level 4)"/>
    <w:basedOn w:val="Text1"/>
    <w:semiHidden/>
    <w:unhideWhenUsed/>
    <w:pPr>
      <w:numPr>
        <w:ilvl w:val="3"/>
        <w:numId w:val="9"/>
      </w:numPr>
      <w:tabs>
        <w:tab w:val="clear" w:pos="1616"/>
      </w:tabs>
      <w:ind w:left="2880" w:hanging="360"/>
    </w:pPr>
  </w:style>
  <w:style w:type="paragraph" w:customStyle="1" w:styleId="ListDash1Level3">
    <w:name w:val="List Dash 1 (Level 3)"/>
    <w:basedOn w:val="Text1"/>
    <w:semiHidden/>
    <w:unhideWhenUsed/>
    <w:pPr>
      <w:numPr>
        <w:ilvl w:val="2"/>
        <w:numId w:val="9"/>
      </w:numPr>
      <w:tabs>
        <w:tab w:val="clear" w:pos="1332"/>
      </w:tabs>
      <w:ind w:left="2160" w:hanging="360"/>
    </w:pPr>
  </w:style>
  <w:style w:type="paragraph" w:customStyle="1" w:styleId="ListDash1Level2">
    <w:name w:val="List Dash 1 (Level 2)"/>
    <w:basedOn w:val="Text1"/>
    <w:pPr>
      <w:numPr>
        <w:ilvl w:val="1"/>
        <w:numId w:val="9"/>
      </w:numPr>
      <w:tabs>
        <w:tab w:val="clear" w:pos="1049"/>
      </w:tabs>
      <w:ind w:left="1440" w:hanging="360"/>
    </w:pPr>
  </w:style>
  <w:style w:type="paragraph" w:customStyle="1" w:styleId="ListDash1">
    <w:name w:val="List Dash 1"/>
    <w:basedOn w:val="Text1"/>
    <w:pPr>
      <w:numPr>
        <w:numId w:val="9"/>
      </w:numPr>
      <w:tabs>
        <w:tab w:val="clear" w:pos="765"/>
      </w:tabs>
      <w:ind w:left="720" w:hanging="360"/>
    </w:pPr>
  </w:style>
  <w:style w:type="paragraph" w:customStyle="1" w:styleId="ListDashLevel4">
    <w:name w:val="List Dash (Level 4)"/>
    <w:basedOn w:val="Normal"/>
    <w:semiHidden/>
    <w:unhideWhenUsed/>
    <w:pPr>
      <w:numPr>
        <w:ilvl w:val="3"/>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tabs>
        <w:tab w:val="num" w:pos="2336"/>
      </w:tabs>
      <w:ind w:left="2336" w:hanging="284"/>
    </w:pPr>
  </w:style>
  <w:style w:type="paragraph" w:customStyle="1" w:styleId="ListBullet4Level3">
    <w:name w:val="List Bullet 4 (Level 3)"/>
    <w:basedOn w:val="Text4"/>
    <w:semiHidden/>
    <w:unhideWhenUsed/>
    <w:pPr>
      <w:tabs>
        <w:tab w:val="num" w:pos="2052"/>
      </w:tabs>
      <w:ind w:left="2052" w:hanging="283"/>
    </w:pPr>
  </w:style>
  <w:style w:type="paragraph" w:customStyle="1" w:styleId="ListBullet4Level2">
    <w:name w:val="List Bullet 4 (Level 2)"/>
    <w:basedOn w:val="Text4"/>
    <w:pPr>
      <w:tabs>
        <w:tab w:val="num" w:pos="1769"/>
      </w:tabs>
      <w:ind w:left="1769" w:hanging="284"/>
    </w:pPr>
  </w:style>
  <w:style w:type="paragraph" w:customStyle="1" w:styleId="ListBullet3Level4">
    <w:name w:val="List Bullet 3 (Level 4)"/>
    <w:basedOn w:val="Text3"/>
    <w:semiHidden/>
    <w:unhideWhenUsed/>
    <w:pPr>
      <w:tabs>
        <w:tab w:val="num" w:pos="2336"/>
      </w:tabs>
      <w:ind w:left="2336" w:hanging="284"/>
    </w:pPr>
  </w:style>
  <w:style w:type="paragraph" w:customStyle="1" w:styleId="ListBullet3Level3">
    <w:name w:val="List Bullet 3 (Level 3)"/>
    <w:basedOn w:val="Text3"/>
    <w:semiHidden/>
    <w:unhideWhenUsed/>
    <w:pPr>
      <w:tabs>
        <w:tab w:val="num" w:pos="2052"/>
      </w:tabs>
      <w:ind w:left="2052" w:hanging="283"/>
    </w:pPr>
  </w:style>
  <w:style w:type="paragraph" w:customStyle="1" w:styleId="ListBullet3Level2">
    <w:name w:val="List Bullet 3 (Level 2)"/>
    <w:basedOn w:val="Text3"/>
    <w:pPr>
      <w:tabs>
        <w:tab w:val="num" w:pos="1769"/>
      </w:tabs>
      <w:ind w:left="1769" w:hanging="284"/>
    </w:pPr>
  </w:style>
  <w:style w:type="paragraph" w:customStyle="1" w:styleId="ListBullet2Level4">
    <w:name w:val="List Bullet 2 (Level 4)"/>
    <w:basedOn w:val="Text2"/>
    <w:semiHidden/>
    <w:unhideWhenUsed/>
    <w:pPr>
      <w:tabs>
        <w:tab w:val="num" w:pos="1492"/>
      </w:tabs>
      <w:ind w:left="1492" w:hanging="360"/>
    </w:pPr>
  </w:style>
  <w:style w:type="paragraph" w:customStyle="1" w:styleId="ListBullet2Level3">
    <w:name w:val="List Bullet 2 (Level 3)"/>
    <w:basedOn w:val="Text2"/>
    <w:semiHidden/>
    <w:unhideWhenUsed/>
    <w:pPr>
      <w:tabs>
        <w:tab w:val="num" w:pos="1492"/>
      </w:tabs>
      <w:ind w:left="1492" w:hanging="360"/>
    </w:pPr>
  </w:style>
  <w:style w:type="paragraph" w:customStyle="1" w:styleId="ListBullet2Level2">
    <w:name w:val="List Bullet 2 (Level 2)"/>
    <w:basedOn w:val="Text2"/>
    <w:pPr>
      <w:tabs>
        <w:tab w:val="num" w:pos="1492"/>
      </w:tabs>
      <w:ind w:left="1492" w:hanging="360"/>
    </w:pPr>
  </w:style>
  <w:style w:type="paragraph" w:customStyle="1" w:styleId="ListBullet1Level4">
    <w:name w:val="List Bullet 1 (Level 4)"/>
    <w:basedOn w:val="Text1"/>
    <w:semiHidden/>
    <w:unhideWhenUsed/>
    <w:pPr>
      <w:numPr>
        <w:ilvl w:val="3"/>
        <w:numId w:val="6"/>
      </w:numPr>
      <w:tabs>
        <w:tab w:val="clear" w:pos="1616"/>
        <w:tab w:val="num" w:pos="1492"/>
      </w:tabs>
      <w:ind w:left="1492" w:hanging="360"/>
    </w:pPr>
  </w:style>
  <w:style w:type="paragraph" w:customStyle="1" w:styleId="ListBullet1Level3">
    <w:name w:val="List Bullet 1 (Level 3)"/>
    <w:basedOn w:val="Text1"/>
    <w:semiHidden/>
    <w:unhideWhenUsed/>
    <w:pPr>
      <w:numPr>
        <w:ilvl w:val="2"/>
        <w:numId w:val="6"/>
      </w:numPr>
      <w:tabs>
        <w:tab w:val="clear" w:pos="1332"/>
        <w:tab w:val="num" w:pos="1492"/>
      </w:tabs>
      <w:ind w:left="1492" w:hanging="360"/>
    </w:pPr>
  </w:style>
  <w:style w:type="paragraph" w:customStyle="1" w:styleId="ListBullet1Level2">
    <w:name w:val="List Bullet 1 (Level 2)"/>
    <w:basedOn w:val="Text1"/>
    <w:pPr>
      <w:numPr>
        <w:ilvl w:val="1"/>
        <w:numId w:val="6"/>
      </w:numPr>
      <w:tabs>
        <w:tab w:val="clear" w:pos="1049"/>
        <w:tab w:val="num" w:pos="1492"/>
      </w:tabs>
      <w:ind w:left="1492" w:hanging="360"/>
    </w:pPr>
  </w:style>
  <w:style w:type="paragraph" w:customStyle="1" w:styleId="ListBullet1">
    <w:name w:val="List Bullet 1"/>
    <w:basedOn w:val="Text1"/>
    <w:pPr>
      <w:numPr>
        <w:numId w:val="6"/>
      </w:numPr>
      <w:tabs>
        <w:tab w:val="clear" w:pos="765"/>
        <w:tab w:val="num" w:pos="1492"/>
      </w:tabs>
      <w:ind w:left="1492" w:hanging="360"/>
    </w:pPr>
  </w:style>
  <w:style w:type="paragraph" w:customStyle="1" w:styleId="ListBulletLevel4">
    <w:name w:val="List Bullet (Level 4)"/>
    <w:basedOn w:val="Text1"/>
    <w:semiHidden/>
    <w:unhideWhenUsed/>
    <w:pPr>
      <w:ind w:left="2880" w:hanging="360"/>
    </w:pPr>
  </w:style>
  <w:style w:type="paragraph" w:customStyle="1" w:styleId="ListBulletLevel3">
    <w:name w:val="List Bullet (Level 3)"/>
    <w:basedOn w:val="Text1"/>
    <w:semiHidden/>
    <w:unhideWhenUsed/>
    <w:pPr>
      <w:ind w:left="2160" w:hanging="180"/>
    </w:pPr>
  </w:style>
  <w:style w:type="paragraph" w:customStyle="1" w:styleId="ListBulletLevel2">
    <w:name w:val="List Bullet (Level 2)"/>
    <w:basedOn w:val="Text1"/>
    <w:pPr>
      <w:ind w:left="1740" w:hanging="660"/>
    </w:pPr>
  </w:style>
  <w:style w:type="paragraph" w:styleId="TOC9">
    <w:name w:val="toc 9"/>
    <w:basedOn w:val="Normal"/>
    <w:next w:val="Normal"/>
    <w:uiPriority w:val="39"/>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uiPriority w:val="39"/>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uiPriority w:val="39"/>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uiPriority w:val="39"/>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5">
    <w:name w:val="toc 5"/>
    <w:basedOn w:val="Normal"/>
    <w:next w:val="Normal"/>
    <w:uiPriority w:val="39"/>
    <w:pPr>
      <w:tabs>
        <w:tab w:val="right" w:leader="dot" w:pos="8640"/>
      </w:tabs>
      <w:spacing w:before="120" w:after="60" w:line="240" w:lineRule="auto"/>
      <w:ind w:right="720"/>
      <w:jc w:val="both"/>
    </w:pPr>
    <w:rPr>
      <w:rFonts w:ascii="Times New Roman" w:eastAsia="Times New Roman" w:hAnsi="Times New Roman" w:cs="Times New Roman"/>
      <w:b/>
      <w:sz w:val="24"/>
      <w:szCs w:val="20"/>
      <w:lang w:eastAsia="en-GB"/>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jc w:val="both"/>
    </w:pPr>
    <w:rPr>
      <w:rFonts w:ascii="Times New Roman" w:eastAsia="Times New Roman" w:hAnsi="Times New Roman" w:cs="Times New Roman"/>
      <w:noProof/>
      <w:sz w:val="20"/>
      <w:szCs w:val="20"/>
      <w:lang w:eastAsia="en-GB"/>
    </w:rPr>
  </w:style>
  <w:style w:type="paragraph" w:customStyle="1" w:styleId="NumPar4">
    <w:name w:val="NumPar 4"/>
    <w:basedOn w:val="Heading4"/>
    <w:uiPriority w:val="90"/>
    <w:qFormat/>
  </w:style>
  <w:style w:type="paragraph" w:customStyle="1" w:styleId="NumPar3">
    <w:name w:val="NumPar 3"/>
    <w:basedOn w:val="Heading3"/>
    <w:uiPriority w:val="90"/>
    <w:qFormat/>
  </w:style>
  <w:style w:type="paragraph" w:customStyle="1" w:styleId="NumPar2">
    <w:name w:val="NumPar 2"/>
    <w:basedOn w:val="Heading2"/>
    <w:uiPriority w:val="90"/>
    <w:qFormat/>
  </w:style>
  <w:style w:type="paragraph" w:customStyle="1" w:styleId="NumPar1">
    <w:name w:val="NumPar 1"/>
    <w:basedOn w:val="Heading1"/>
    <w:qFormat/>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lang w:eastAsia="en-GB"/>
    </w:rPr>
  </w:style>
  <w:style w:type="paragraph" w:customStyle="1" w:styleId="Contact">
    <w:name w:val="Contact"/>
    <w:basedOn w:val="Normal"/>
    <w:pPr>
      <w:spacing w:before="480" w:after="0" w:line="240" w:lineRule="auto"/>
      <w:ind w:left="567" w:hanging="567"/>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link w:val="Text1Char"/>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link w:val="Text2Char"/>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2"/>
    </w:pPr>
    <w:rPr>
      <w:rFonts w:ascii="Times New Roman" w:eastAsia="Times New Roman" w:hAnsi="Times New Roman" w:cs="Times New Roman"/>
      <w:sz w:val="24"/>
      <w:szCs w:val="20"/>
      <w:lang w:eastAsia="en-GB"/>
    </w:rPr>
  </w:style>
  <w:style w:type="paragraph" w:customStyle="1" w:styleId="PartTitle">
    <w:name w:val="PartTitle"/>
    <w:basedOn w:val="Normal"/>
    <w:next w:val="ChapterTitle"/>
    <w:uiPriority w:val="90"/>
    <w:qFormat/>
    <w:pPr>
      <w:keepNext/>
      <w:pageBreakBefore/>
      <w:spacing w:after="480" w:line="240" w:lineRule="auto"/>
      <w:jc w:val="center"/>
    </w:pPr>
    <w:rPr>
      <w:rFonts w:ascii="Times New Roman" w:eastAsia="Times New Roman" w:hAnsi="Times New Roman" w:cs="Times New Roman"/>
      <w:b/>
      <w:sz w:val="36"/>
      <w:szCs w:val="20"/>
      <w:lang w:eastAsia="en-GB"/>
    </w:rPr>
  </w:style>
  <w:style w:type="paragraph" w:customStyle="1" w:styleId="ChapterTitle">
    <w:name w:val="ChapterTitle"/>
    <w:basedOn w:val="Normal"/>
    <w:next w:val="SectionTitle"/>
    <w:uiPriority w:val="90"/>
    <w:qFormat/>
    <w:pPr>
      <w:keepNext/>
      <w:spacing w:after="480" w:line="240" w:lineRule="auto"/>
      <w:jc w:val="center"/>
    </w:pPr>
    <w:rPr>
      <w:rFonts w:ascii="Times New Roman" w:eastAsia="Times New Roman" w:hAnsi="Times New Roman" w:cs="Times New Roman"/>
      <w:b/>
      <w:sz w:val="32"/>
      <w:szCs w:val="20"/>
      <w:lang w:eastAsia="en-GB"/>
    </w:rPr>
  </w:style>
  <w:style w:type="paragraph" w:customStyle="1" w:styleId="SectionTitle">
    <w:name w:val="SectionTitle"/>
    <w:basedOn w:val="Normal"/>
    <w:next w:val="Heading1"/>
    <w:uiPriority w:val="90"/>
    <w:qFormat/>
    <w:pPr>
      <w:keepNext/>
      <w:spacing w:after="480" w:line="240" w:lineRule="auto"/>
      <w:jc w:val="center"/>
    </w:pPr>
    <w:rPr>
      <w:rFonts w:ascii="Times New Roman" w:eastAsia="Times New Roman" w:hAnsi="Times New Roman" w:cs="Times New Roman"/>
      <w:b/>
      <w:smallCaps/>
      <w:sz w:val="28"/>
      <w:szCs w:val="20"/>
      <w:lang w:eastAsia="en-GB"/>
    </w:rPr>
  </w:style>
  <w:style w:type="paragraph" w:customStyle="1" w:styleId="SignatureL">
    <w:name w:val="SignatureL"/>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DoubSign">
    <w:name w:val="DoubSign"/>
    <w:basedOn w:val="Normal"/>
    <w:next w:val="Enclosures"/>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Enclosures">
    <w:name w:val="Enclosures"/>
    <w:basedOn w:val="Normal"/>
    <w:pPr>
      <w:keepNext/>
      <w:keepLines/>
      <w:tabs>
        <w:tab w:val="left" w:pos="5641"/>
      </w:tabs>
      <w:spacing w:before="480" w:after="0" w:line="240" w:lineRule="auto"/>
      <w:ind w:left="2382" w:hanging="1191"/>
    </w:pPr>
    <w:rPr>
      <w:rFonts w:ascii="Times New Roman" w:eastAsia="Times New Roman" w:hAnsi="Times New Roman" w:cs="Times New Roman"/>
      <w:sz w:val="24"/>
      <w:szCs w:val="20"/>
      <w:lang w:eastAsia="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GB"/>
    </w:rPr>
  </w:style>
  <w:style w:type="paragraph" w:customStyle="1" w:styleId="YReferences">
    <w:name w:val="YReferences"/>
    <w:basedOn w:val="Normal"/>
    <w:next w:val="Normal"/>
    <w:pPr>
      <w:spacing w:after="480" w:line="240" w:lineRule="auto"/>
      <w:ind w:left="3062" w:hanging="1531"/>
      <w:jc w:val="both"/>
    </w:pPr>
    <w:rPr>
      <w:rFonts w:ascii="Times New Roman" w:eastAsia="Times New Roman" w:hAnsi="Times New Roman" w:cs="Times New Roman"/>
      <w:sz w:val="24"/>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sz w:val="16"/>
      <w:szCs w:val="20"/>
      <w:lang w:eastAsia="en-GB"/>
    </w:rPr>
  </w:style>
  <w:style w:type="paragraph" w:customStyle="1" w:styleId="HistoryTable">
    <w:name w:val="HistoryTable"/>
    <w:basedOn w:val="Normal"/>
    <w:pPr>
      <w:spacing w:before="60" w:after="60" w:line="240" w:lineRule="auto"/>
    </w:pPr>
    <w:rPr>
      <w:rFonts w:ascii="Times New Roman" w:eastAsia="Times New Roman" w:hAnsi="Times New Roman" w:cs="Times New Roman"/>
      <w:sz w:val="20"/>
      <w:szCs w:val="20"/>
      <w:lang w:eastAsia="en-GB"/>
    </w:rPr>
  </w:style>
  <w:style w:type="paragraph" w:customStyle="1" w:styleId="HistTableHeading">
    <w:name w:val="HistTableHeading"/>
    <w:basedOn w:val="Normal"/>
    <w:next w:val="HistoryTable"/>
    <w:pPr>
      <w:spacing w:after="120" w:line="240" w:lineRule="auto"/>
      <w:jc w:val="center"/>
    </w:pPr>
    <w:rPr>
      <w:rFonts w:ascii="Times New Roman Bold" w:eastAsia="Times New Roman" w:hAnsi="Times New Roman Bold" w:cs="Times New Roman"/>
      <w:b/>
      <w:sz w:val="32"/>
      <w:szCs w:val="20"/>
      <w:lang w:eastAsia="en-GB"/>
    </w:rPr>
  </w:style>
  <w:style w:type="paragraph" w:customStyle="1" w:styleId="FigureTitle">
    <w:name w:val="Figure Title"/>
    <w:basedOn w:val="Normal"/>
    <w:next w:val="FigureBody"/>
    <w:uiPriority w:val="6"/>
    <w:pPr>
      <w:keepNext/>
      <w:spacing w:after="180" w:line="240" w:lineRule="auto"/>
      <w:jc w:val="both"/>
    </w:pPr>
    <w:rPr>
      <w:rFonts w:ascii="Times New Roman" w:eastAsia="Times New Roman" w:hAnsi="Times New Roman" w:cs="Times New Roman"/>
      <w:b/>
      <w:sz w:val="24"/>
      <w:szCs w:val="20"/>
      <w:lang w:eastAsia="en-GB"/>
    </w:rPr>
  </w:style>
  <w:style w:type="paragraph" w:customStyle="1" w:styleId="FigureBody">
    <w:name w:val="Figure Body"/>
    <w:basedOn w:val="Normal"/>
    <w:next w:val="FigureNote"/>
    <w:uiPriority w:val="7"/>
    <w:pPr>
      <w:keepNext/>
      <w:spacing w:after="40" w:line="240" w:lineRule="auto"/>
      <w:jc w:val="both"/>
    </w:pPr>
    <w:rPr>
      <w:rFonts w:ascii="Times New Roman" w:eastAsia="Times New Roman" w:hAnsi="Times New Roman" w:cs="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jc w:val="both"/>
    </w:pPr>
    <w:rPr>
      <w:rFonts w:ascii="Times New Roman" w:eastAsia="Times New Roman" w:hAnsi="Times New Roman" w:cs="Times New Roman"/>
      <w:sz w:val="20"/>
      <w:szCs w:val="20"/>
      <w:lang w:eastAsia="en-GB"/>
    </w:rPr>
  </w:style>
  <w:style w:type="paragraph" w:customStyle="1" w:styleId="AnnexHeading1">
    <w:name w:val="Annex Heading 1"/>
    <w:basedOn w:val="Normal"/>
    <w:next w:val="Normal"/>
    <w:pPr>
      <w:pageBreakBefore/>
      <w:spacing w:before="240" w:after="240" w:line="240" w:lineRule="auto"/>
      <w:jc w:val="both"/>
      <w:outlineLvl w:val="0"/>
    </w:pPr>
    <w:rPr>
      <w:rFonts w:ascii="Times New Roman" w:eastAsia="Times New Roman" w:hAnsi="Times New Roman" w:cs="Times New Roman"/>
      <w:b/>
      <w:smallCaps/>
      <w:sz w:val="36"/>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1">
    <w:name w:val="List 21"/>
    <w:basedOn w:val="NoList"/>
    <w:pPr>
      <w:numPr>
        <w:numId w:val="13"/>
      </w:numPr>
    </w:pPr>
  </w:style>
  <w:style w:type="paragraph" w:customStyle="1" w:styleId="Char2">
    <w:name w:val="Char2"/>
    <w:basedOn w:val="Normal"/>
    <w:uiPriority w:val="99"/>
    <w:pPr>
      <w:spacing w:line="240" w:lineRule="exact"/>
    </w:pPr>
    <w:rPr>
      <w:rFonts w:ascii="Times New Roman" w:eastAsia="Times New Roman" w:hAnsi="Times New Roman" w:cs="Times New Roman"/>
      <w:sz w:val="24"/>
      <w:szCs w:val="20"/>
      <w:vertAlign w:val="superscript"/>
      <w:lang w:val="nl" w:eastAsia="en-GB"/>
    </w:rPr>
  </w:style>
  <w:style w:type="character" w:customStyle="1" w:styleId="ListParagraphChar">
    <w:name w:val="List Paragraph Char"/>
    <w:aliases w:val="Table of contents numbered Char,Normal bullet 2 Char,Numbered paragraph 1 Char,Paragrafo elenco Char,1st level - Bullet List Paragraph Char,Lettre d'introduction Char,List Paragraph1 Char,Paragraphe de liste1 Char,2 Char"/>
    <w:link w:val="ListParagraph"/>
    <w:locked/>
    <w:rPr>
      <w:rFonts w:ascii="EC Square Sans Pro" w:hAnsi="EC Square Sans Pro" w:cs="Times New Roman"/>
      <w:sz w:val="20"/>
    </w:rPr>
  </w:style>
  <w:style w:type="numbering" w:customStyle="1" w:styleId="List31">
    <w:name w:val="List 31"/>
    <w:basedOn w:val="NoList"/>
    <w:pPr>
      <w:numPr>
        <w:numId w:val="14"/>
      </w:numPr>
    </w:pPr>
  </w:style>
  <w:style w:type="numbering" w:customStyle="1" w:styleId="List51">
    <w:name w:val="List 51"/>
    <w:basedOn w:val="NoList"/>
    <w:pPr>
      <w:numPr>
        <w:numId w:val="15"/>
      </w:numPr>
    </w:pPr>
  </w:style>
  <w:style w:type="numbering" w:customStyle="1" w:styleId="List6">
    <w:name w:val="List 6"/>
    <w:basedOn w:val="NoList"/>
    <w:pPr>
      <w:numPr>
        <w:numId w:val="16"/>
      </w:numPr>
    </w:p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0"/>
      <w:lang w:eastAsia="zh-CN"/>
    </w:rPr>
  </w:style>
  <w:style w:type="table" w:customStyle="1" w:styleId="TableGrid5">
    <w:name w:val="Table Grid5"/>
    <w:basedOn w:val="TableNormal"/>
    <w:next w:val="TableGrid"/>
    <w:uiPriority w:val="59"/>
    <w:lock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pPr>
      <w:spacing w:line="240" w:lineRule="exact"/>
    </w:pPr>
    <w:rPr>
      <w:rFonts w:ascii="Times New Roman" w:eastAsia="Times New Roman" w:hAnsi="Times New Roman" w:cs="Times New Roman"/>
      <w:sz w:val="20"/>
      <w:szCs w:val="20"/>
      <w:vertAlign w:val="superscript"/>
      <w:lang w:eastAsia="en-GB"/>
    </w:rPr>
  </w:style>
  <w:style w:type="paragraph" w:customStyle="1" w:styleId="Text">
    <w:name w:val="Text"/>
    <w:basedOn w:val="Normal"/>
    <w:pPr>
      <w:autoSpaceDE w:val="0"/>
      <w:autoSpaceDN w:val="0"/>
      <w:adjustRightInd w:val="0"/>
      <w:spacing w:after="240" w:line="240" w:lineRule="auto"/>
      <w:ind w:left="482"/>
      <w:jc w:val="both"/>
    </w:pPr>
    <w:rPr>
      <w:rFonts w:ascii="Times New Roman" w:eastAsia="Times New Roman" w:hAnsi="Times New Roman" w:cs="Times New Roman"/>
      <w:b/>
      <w:sz w:val="24"/>
      <w:szCs w:val="24"/>
      <w:lang w:eastAsia="en-GB"/>
    </w:rPr>
  </w:style>
  <w:style w:type="character" w:customStyle="1" w:styleId="Text2Char">
    <w:name w:val="Text 2 Char"/>
    <w:link w:val="Text2"/>
    <w:locked/>
    <w:rPr>
      <w:rFonts w:ascii="Times New Roman" w:eastAsia="Times New Roman" w:hAnsi="Times New Roman" w:cs="Times New Roman"/>
      <w:sz w:val="24"/>
      <w:szCs w:val="20"/>
      <w:lang w:eastAsia="en-GB"/>
    </w:rPr>
  </w:style>
  <w:style w:type="character" w:customStyle="1" w:styleId="Text1Char">
    <w:name w:val="Text 1 Char"/>
    <w:link w:val="Text1"/>
    <w:locked/>
    <w:rPr>
      <w:rFonts w:ascii="Times New Roman" w:eastAsia="Times New Roman" w:hAnsi="Times New Roman" w:cs="Times New Roman"/>
      <w:sz w:val="24"/>
      <w:szCs w:val="20"/>
      <w:lang w:eastAsia="en-GB"/>
    </w:rPr>
  </w:style>
  <w:style w:type="paragraph" w:customStyle="1" w:styleId="Body">
    <w:name w:val="Body"/>
    <w:pPr>
      <w:spacing w:after="240" w:line="240" w:lineRule="auto"/>
      <w:jc w:val="both"/>
    </w:pPr>
    <w:rPr>
      <w:rFonts w:ascii="Times New Roman" w:eastAsia="Times New Roman" w:hAnsi="Times New Roman" w:cs="Times New Roman"/>
      <w:color w:val="000000"/>
      <w:sz w:val="24"/>
      <w:szCs w:val="24"/>
      <w:u w:color="000000"/>
      <w:lang w:eastAsia="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character" w:customStyle="1" w:styleId="h4black">
    <w:name w:val="h4black"/>
  </w:style>
  <w:style w:type="paragraph" w:customStyle="1" w:styleId="BVIfnrCarCarCarCarCharCharCharChar">
    <w:name w:val="BVI fnr Car Car Car Car Char Char Char Char"/>
    <w:basedOn w:val="Normal"/>
    <w:pPr>
      <w:spacing w:line="240" w:lineRule="exact"/>
    </w:pPr>
    <w:rPr>
      <w:rFonts w:ascii="Times New Roman" w:eastAsia="Times New Roman" w:hAnsi="Times New Roman" w:cs="Times New Roman"/>
      <w:sz w:val="20"/>
      <w:szCs w:val="20"/>
      <w:vertAlign w:val="superscript"/>
      <w:lang w:val="nl" w:eastAsia="en-GB"/>
    </w:rPr>
  </w:style>
  <w:style w:type="character" w:customStyle="1" w:styleId="text0">
    <w:name w:val="text"/>
    <w:basedOn w:val="DefaultParagraphFont"/>
  </w:style>
  <w:style w:type="table" w:customStyle="1" w:styleId="TableGrid12">
    <w:name w:val="Table Grid12"/>
    <w:basedOn w:val="TableNormal"/>
    <w:next w:val="TableGri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aliases w:val="Char1,(NECG) Footnote Reference,Appel note de bas de p,Style 6,Signature Ch, Char1"/>
    <w:basedOn w:val="Normal"/>
    <w:pPr>
      <w:spacing w:line="240" w:lineRule="exact"/>
    </w:pPr>
    <w:rPr>
      <w:rFonts w:ascii="Times New Roman" w:eastAsia="Times New Roman" w:hAnsi="Times New Roman" w:cs="Times New Roman"/>
      <w:sz w:val="20"/>
      <w:szCs w:val="20"/>
      <w:vertAlign w:val="superscript"/>
      <w:lang w:val="nl"/>
    </w:rPr>
  </w:style>
  <w:style w:type="character" w:customStyle="1" w:styleId="FootnoteFeference">
    <w:name w:val="Footnote Feference"/>
    <w:basedOn w:val="DefaultParagraphFont"/>
    <w:uiPriority w:val="99"/>
    <w:semiHidden/>
    <w:unhideWhenUsed/>
    <w:rPr>
      <w:vertAlign w:val="superscript"/>
    </w:rPr>
  </w:style>
  <w:style w:type="paragraph" w:customStyle="1" w:styleId="BVIfnrCarCar">
    <w:name w:val="BVI fnr Car Car"/>
    <w:aliases w:val="BVI fnr Car,BVI fnr Car Car Car Car Char,BVI fnr Car Car Car Car Char Char Char Char Char,Char1 Char Char Char Char,-E Fußnotenzeich,Times 10 Poi"/>
    <w:basedOn w:val="Normal"/>
    <w:uiPriority w:val="99"/>
    <w:pPr>
      <w:spacing w:line="240" w:lineRule="exact"/>
    </w:pPr>
    <w:rPr>
      <w:rFonts w:ascii="Times New Roman" w:eastAsia="Times New Roman" w:hAnsi="Times New Roman" w:cs="Times New Roman"/>
      <w:sz w:val="24"/>
      <w:szCs w:val="20"/>
      <w:vertAlign w:val="superscript"/>
      <w:lang w:val="nl" w:eastAsia="en-GB"/>
    </w:rPr>
  </w:style>
  <w:style w:type="paragraph" w:customStyle="1" w:styleId="StyleRisqueFirstline0cm">
    <w:name w:val="Style Risque + First line:  0 cm"/>
    <w:basedOn w:val="Normal"/>
    <w:pPr>
      <w:numPr>
        <w:numId w:val="40"/>
      </w:numPr>
      <w:spacing w:after="240" w:line="240" w:lineRule="auto"/>
      <w:jc w:val="both"/>
    </w:pPr>
    <w:rPr>
      <w:rFonts w:ascii="Times New Roman" w:eastAsia="Times New Roman" w:hAnsi="Times New Roman" w:cs="Times New Roman"/>
      <w:sz w:val="24"/>
      <w:szCs w:val="20"/>
    </w:rPr>
  </w:style>
  <w:style w:type="character" w:customStyle="1" w:styleId="sdfb2cf941">
    <w:name w:val="s_dfb2cf941"/>
    <w:basedOn w:val="DefaultParagraphFont"/>
    <w:rPr>
      <w:sz w:val="20"/>
      <w:szCs w:val="20"/>
    </w:rPr>
  </w:style>
  <w:style w:type="paragraph" w:customStyle="1" w:styleId="Title3Report">
    <w:name w:val="Title 3/ Report"/>
    <w:basedOn w:val="Normal"/>
    <w:link w:val="Title3ReportChar"/>
    <w:qFormat/>
    <w:pPr>
      <w:numPr>
        <w:ilvl w:val="2"/>
      </w:numPr>
      <w:spacing w:before="360" w:after="240" w:line="240" w:lineRule="auto"/>
      <w:ind w:left="720" w:hanging="720"/>
      <w:jc w:val="both"/>
      <w:outlineLvl w:val="2"/>
    </w:pPr>
    <w:rPr>
      <w:rFonts w:ascii="EC Square Sans Pro" w:eastAsia="Times New Roman" w:hAnsi="EC Square Sans Pro" w:cs="Times New Roman"/>
      <w:b/>
      <w:i/>
      <w:color w:val="005D95"/>
      <w:sz w:val="24"/>
      <w:szCs w:val="20"/>
      <w:lang w:eastAsia="en-GB"/>
    </w:rPr>
  </w:style>
  <w:style w:type="paragraph" w:customStyle="1" w:styleId="Style2">
    <w:name w:val="Style2"/>
    <w:basedOn w:val="Normal"/>
    <w:link w:val="Style2Char"/>
    <w:qFormat/>
    <w:pPr>
      <w:spacing w:after="0" w:line="240" w:lineRule="auto"/>
    </w:pPr>
    <w:rPr>
      <w:rFonts w:ascii="EC Square Sans Pro" w:hAnsi="EC Square Sans Pro" w:cs="Times New Roman"/>
      <w:b/>
      <w:color w:val="005D95"/>
      <w:sz w:val="24"/>
    </w:rPr>
  </w:style>
  <w:style w:type="character" w:customStyle="1" w:styleId="Title3ReportChar">
    <w:name w:val="Title 3/ Report Char"/>
    <w:basedOn w:val="Title2ReportChar"/>
    <w:link w:val="Title3Report"/>
    <w:rPr>
      <w:rFonts w:ascii="EC Square Sans Pro" w:eastAsia="Times New Roman" w:hAnsi="EC Square Sans Pro" w:cs="Times New Roman"/>
      <w:b/>
      <w:i/>
      <w:color w:val="005D95"/>
      <w:sz w:val="24"/>
      <w:szCs w:val="20"/>
      <w:lang w:eastAsia="en-GB"/>
    </w:rPr>
  </w:style>
  <w:style w:type="character" w:customStyle="1" w:styleId="Style2Char">
    <w:name w:val="Style2 Char"/>
    <w:basedOn w:val="DefaultParagraphFont"/>
    <w:link w:val="Style2"/>
    <w:rPr>
      <w:rFonts w:ascii="EC Square Sans Pro" w:hAnsi="EC Square Sans Pro" w:cs="Times New Roman"/>
      <w:b/>
      <w:color w:val="005D95"/>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Heading1Char1">
    <w:name w:val="Heading 1 Char1"/>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1"/>
    <w:uiPriority w:val="99"/>
    <w:unhideWhenUsed/>
    <w:pPr>
      <w:spacing w:line="240" w:lineRule="auto"/>
    </w:pPr>
    <w:rPr>
      <w:sz w:val="20"/>
      <w:szCs w:val="20"/>
    </w:rPr>
  </w:style>
  <w:style w:type="character" w:customStyle="1" w:styleId="CommentTextChar1">
    <w:name w:val="Comment Text Char1"/>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rFonts w:ascii="EC Square Sans Pro" w:hAnsi="EC Square Sans Pro"/>
      <w:b/>
      <w:bCs/>
    </w:rPr>
  </w:style>
  <w:style w:type="character" w:customStyle="1" w:styleId="CommentSubjectChar1">
    <w:name w:val="Comment Subject Char1"/>
    <w:basedOn w:val="CommentTextChar1"/>
    <w:uiPriority w:val="99"/>
    <w:semiHidden/>
    <w:rPr>
      <w:b/>
      <w:bCs/>
      <w:sz w:val="20"/>
      <w:szCs w:val="20"/>
    </w:rPr>
  </w:style>
  <w:style w:type="table" w:styleId="LightShading-Accent6">
    <w:name w:val="Light Shading Accent 6"/>
    <w:basedOn w:val="TableNormal"/>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EndnoteText">
    <w:name w:val="endnote text"/>
    <w:basedOn w:val="Normal"/>
    <w:link w:val="EndnoteTextChar1"/>
    <w:uiPriority w:val="99"/>
    <w:semiHidden/>
    <w:unhideWhenUsed/>
    <w:pPr>
      <w:spacing w:after="0" w:line="240" w:lineRule="auto"/>
    </w:pPr>
    <w:rPr>
      <w:sz w:val="20"/>
      <w:szCs w:val="20"/>
    </w:rPr>
  </w:style>
  <w:style w:type="character" w:customStyle="1" w:styleId="EndnoteTextChar1">
    <w:name w:val="Endnote Text Char1"/>
    <w:basedOn w:val="DefaultParagraphFont"/>
    <w:link w:val="EndnoteText"/>
    <w:uiPriority w:val="99"/>
    <w:semiHidden/>
    <w:rPr>
      <w:sz w:val="20"/>
      <w:szCs w:val="20"/>
    </w:rPr>
  </w:style>
  <w:style w:type="table" w:styleId="LightShading-Accent5">
    <w:name w:val="Light Shading Accent 5"/>
    <w:basedOn w:val="TableNormal"/>
    <w:uiPriority w:val="60"/>
    <w:semiHidden/>
    <w:unhideWhenUse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Pr>
      <w:color w:val="954F72" w:themeColor="followedHyperlink"/>
      <w:u w:val="single"/>
    </w:rPr>
  </w:style>
  <w:style w:type="table" w:styleId="MediumShading2-Accent1">
    <w:name w:val="Medium Shading 2 Accent 1"/>
    <w:basedOn w:val="TableNormal"/>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Pr>
      <w:rFonts w:asciiTheme="majorHAnsi" w:eastAsiaTheme="majorEastAsia" w:hAnsiTheme="majorHAnsi" w:cstheme="majorBidi"/>
      <w:sz w:val="24"/>
      <w:szCs w:val="24"/>
      <w:shd w:val="pct20" w:color="auto" w:fil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1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fpfis/wikis/pages/viewpage.action?spaceKey=bpmatec&amp;amp;title=Home" TargetMode="External"/><Relationship Id="rId1" Type="http://schemas.openxmlformats.org/officeDocument/2006/relationships/hyperlink" Target="http://dgecho-partners-helpdes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3CCE-064F-402D-9EED-12DCBAF05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059A8-7B78-43B1-B7FA-EE9B33EA3164}">
  <ds:schemaRefs>
    <ds:schemaRef ds:uri="http://schemas.microsoft.com/sharepoint/v3/contenttype/forms"/>
  </ds:schemaRefs>
</ds:datastoreItem>
</file>

<file path=customXml/itemProps3.xml><?xml version="1.0" encoding="utf-8"?>
<ds:datastoreItem xmlns:ds="http://schemas.openxmlformats.org/officeDocument/2006/customXml" ds:itemID="{45DB2600-C8A9-41D4-B64A-5538F1DF947D}">
  <ds:schemaRefs>
    <ds:schemaRef ds:uri="6b963b55-664c-4df9-9384-48ffbb7494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0E11A46-EB86-4C0F-B7CF-58DEDFB1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29152</Words>
  <Characters>172878</Characters>
  <Application>Microsoft Office Word</Application>
  <DocSecurity>0</DocSecurity>
  <Lines>2619</Lines>
  <Paragraphs>1247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TORRE UNGUREANU Ana-Claudia (SG)</cp:lastModifiedBy>
  <cp:revision>16</cp:revision>
  <dcterms:created xsi:type="dcterms:W3CDTF">2020-06-15T13:59:00Z</dcterms:created>
  <dcterms:modified xsi:type="dcterms:W3CDTF">2020-06-23T16:03:00Z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_LW_INVALIDATED_ContentTypeId">
    <vt:lpwstr>0x010100258AA79CEB83498886A3A086811232500049252DB641C1814EA88C2BA66C078CD9</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CP-025</vt:lpwstr>
  </property>
</Properties>
</file>