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2" type="#_x0000_t75" alt="FD4E6608-08D5-4245-9894-EAE2A5D00BB5" style="width:450.75pt;height:456pt">
            <v:imagedata r:id="rId12" o:title=""/>
          </v:shape>
        </w:pict>
      </w:r>
    </w:p>
    <w:bookmarkEnd w:id="0"/>
    <w:p>
      <w:pPr>
        <w:pStyle w:val="Pagedecouverture"/>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26"/>
        </w:sectPr>
      </w:pPr>
    </w:p>
    <w:p>
      <w:pPr>
        <w:rPr>
          <w:noProof/>
        </w:rPr>
      </w:pPr>
      <w:bookmarkStart w:id="1" w:name="_GoBack"/>
      <w:bookmarkEnd w:id="1"/>
    </w:p>
    <w:sdt>
      <w:sdtPr>
        <w:rPr>
          <w:rFonts w:ascii="Times New Roman" w:hAnsi="Times New Roman"/>
          <w:b w:val="0"/>
          <w:noProof/>
          <w:sz w:val="24"/>
        </w:rPr>
        <w:alias w:val="Table of Contents"/>
        <w:tag w:val="2OIKVGtmzwJ66PTlFMFRa4"/>
        <w:id w:val="36398277"/>
      </w:sdtPr>
      <w:sdtEndPr>
        <w:rPr>
          <w:szCs w:val="24"/>
        </w:rPr>
      </w:sdtEndPr>
      <w:sdtContent>
        <w:p>
          <w:pPr>
            <w:pStyle w:val="TOCHeading"/>
            <w:rPr>
              <w:b w:val="0"/>
              <w:noProof/>
            </w:rPr>
          </w:pPr>
          <w:sdt>
            <w:sdtPr>
              <w:rPr>
                <w:b w:val="0"/>
                <w:noProof/>
              </w:rPr>
              <w:id w:val="493220950"/>
              <w:dataBinding w:xpath="/Texts/TOCHeading" w:storeItemID="{4EF90DE6-88B6-4264-9629-4D8DFDFE87D2}"/>
              <w:text w:multiLine="1"/>
            </w:sdtPr>
            <w:sdtContent>
              <w:r>
                <w:rPr>
                  <w:b w:val="0"/>
                  <w:noProof/>
                </w:rPr>
                <w:t>Table of Contents</w:t>
              </w:r>
            </w:sdtContent>
          </w:sdt>
        </w:p>
        <w:p>
          <w:pPr>
            <w:pStyle w:val="TOC1"/>
            <w:rPr>
              <w:b w:val="0"/>
              <w:noProof/>
              <w:sz w:val="24"/>
              <w:szCs w:val="24"/>
            </w:rPr>
          </w:pPr>
        </w:p>
        <w:p>
          <w:pPr>
            <w:pStyle w:val="TOC1"/>
            <w:rPr>
              <w:rFonts w:eastAsiaTheme="minorEastAsia"/>
              <w:b w:val="0"/>
              <w:caps w:val="0"/>
              <w:noProof/>
              <w:sz w:val="24"/>
              <w:szCs w:val="24"/>
            </w:rPr>
          </w:pPr>
          <w:r>
            <w:rPr>
              <w:b w:val="0"/>
              <w:noProof/>
              <w:sz w:val="24"/>
              <w:szCs w:val="24"/>
            </w:rPr>
            <w:fldChar w:fldCharType="begin"/>
          </w:r>
          <w:r>
            <w:rPr>
              <w:b w:val="0"/>
              <w:noProof/>
              <w:sz w:val="24"/>
              <w:szCs w:val="24"/>
            </w:rPr>
            <w:instrText>TOC \o "1-4" \h \t "Article;1;ChapterTitle;5;PartTitle;5;SectionTitle;5"</w:instrText>
          </w:r>
          <w:r>
            <w:rPr>
              <w:b w:val="0"/>
              <w:noProof/>
              <w:sz w:val="24"/>
              <w:szCs w:val="24"/>
            </w:rPr>
            <w:fldChar w:fldCharType="separate"/>
          </w:r>
          <w:hyperlink w:anchor="_Toc30404103" w:history="1">
            <w:r>
              <w:rPr>
                <w:rStyle w:val="Hyperlink"/>
                <w:b w:val="0"/>
                <w:noProof/>
                <w:sz w:val="24"/>
                <w:szCs w:val="24"/>
              </w:rPr>
              <w:t>Introduction</w:t>
            </w:r>
            <w:r>
              <w:rPr>
                <w:b w:val="0"/>
                <w:noProof/>
                <w:sz w:val="24"/>
                <w:szCs w:val="24"/>
              </w:rPr>
              <w:tab/>
            </w:r>
            <w:r>
              <w:rPr>
                <w:b w:val="0"/>
                <w:noProof/>
                <w:sz w:val="24"/>
                <w:szCs w:val="24"/>
              </w:rPr>
              <w:fldChar w:fldCharType="begin"/>
            </w:r>
            <w:r>
              <w:rPr>
                <w:b w:val="0"/>
                <w:noProof/>
                <w:sz w:val="24"/>
                <w:szCs w:val="24"/>
              </w:rPr>
              <w:instrText xml:space="preserve"> PAGEREF _Toc30404103 \h </w:instrText>
            </w:r>
            <w:r>
              <w:rPr>
                <w:b w:val="0"/>
                <w:noProof/>
                <w:sz w:val="24"/>
                <w:szCs w:val="24"/>
              </w:rPr>
            </w:r>
            <w:r>
              <w:rPr>
                <w:b w:val="0"/>
                <w:noProof/>
                <w:sz w:val="24"/>
                <w:szCs w:val="24"/>
              </w:rPr>
              <w:fldChar w:fldCharType="separate"/>
            </w:r>
            <w:r>
              <w:rPr>
                <w:b w:val="0"/>
                <w:noProof/>
                <w:sz w:val="24"/>
                <w:szCs w:val="24"/>
              </w:rPr>
              <w:t>5</w:t>
            </w:r>
            <w:r>
              <w:rPr>
                <w:b w:val="0"/>
                <w:noProof/>
                <w:sz w:val="24"/>
                <w:szCs w:val="24"/>
              </w:rPr>
              <w:fldChar w:fldCharType="end"/>
            </w:r>
          </w:hyperlink>
        </w:p>
        <w:p>
          <w:pPr>
            <w:pStyle w:val="TOC5"/>
            <w:rPr>
              <w:rFonts w:eastAsiaTheme="minorEastAsia"/>
              <w:noProof/>
              <w:szCs w:val="24"/>
            </w:rPr>
          </w:pPr>
          <w:hyperlink w:anchor="_Toc30404104" w:history="1">
            <w:r>
              <w:rPr>
                <w:rStyle w:val="Hyperlink"/>
                <w:noProof/>
                <w:szCs w:val="24"/>
              </w:rPr>
              <w:t>Descriptor 1: ‘Biological diversity is maintained. The quality and occurrence of habitats and the distribution and abundance of species are in line with prevailing physiographic, geographic and climatic conditions’</w:t>
            </w:r>
            <w:r>
              <w:rPr>
                <w:noProof/>
                <w:szCs w:val="24"/>
              </w:rPr>
              <w:tab/>
            </w:r>
            <w:r>
              <w:rPr>
                <w:noProof/>
                <w:szCs w:val="24"/>
              </w:rPr>
              <w:fldChar w:fldCharType="begin"/>
            </w:r>
            <w:r>
              <w:rPr>
                <w:noProof/>
                <w:szCs w:val="24"/>
              </w:rPr>
              <w:instrText xml:space="preserve"> PAGEREF _Toc30404104 \h </w:instrText>
            </w:r>
            <w:r>
              <w:rPr>
                <w:noProof/>
                <w:szCs w:val="24"/>
              </w:rPr>
            </w:r>
            <w:r>
              <w:rPr>
                <w:noProof/>
                <w:szCs w:val="24"/>
              </w:rPr>
              <w:fldChar w:fldCharType="separate"/>
            </w:r>
            <w:r>
              <w:rPr>
                <w:noProof/>
                <w:szCs w:val="24"/>
              </w:rPr>
              <w:t>9</w:t>
            </w:r>
            <w:r>
              <w:rPr>
                <w:noProof/>
                <w:szCs w:val="24"/>
              </w:rPr>
              <w:fldChar w:fldCharType="end"/>
            </w:r>
          </w:hyperlink>
        </w:p>
        <w:p>
          <w:pPr>
            <w:pStyle w:val="TOC1"/>
            <w:rPr>
              <w:rFonts w:eastAsiaTheme="minorEastAsia"/>
              <w:b w:val="0"/>
              <w:caps w:val="0"/>
              <w:noProof/>
              <w:sz w:val="24"/>
              <w:szCs w:val="24"/>
            </w:rPr>
          </w:pPr>
          <w:hyperlink w:anchor="_Toc30404105" w:history="1">
            <w:r>
              <w:rPr>
                <w:rStyle w:val="Hyperlink"/>
                <w:b w:val="0"/>
                <w:noProof/>
                <w:sz w:val="24"/>
                <w:szCs w:val="24"/>
              </w:rPr>
              <w:t>1.</w:t>
            </w:r>
            <w:r>
              <w:rPr>
                <w:rFonts w:eastAsiaTheme="minorEastAsia"/>
                <w:b w:val="0"/>
                <w:caps w:val="0"/>
                <w:noProof/>
                <w:sz w:val="24"/>
                <w:szCs w:val="24"/>
              </w:rPr>
              <w:tab/>
            </w:r>
            <w:r>
              <w:rPr>
                <w:rStyle w:val="Hyperlink"/>
                <w:b w:val="0"/>
                <w:noProof/>
                <w:sz w:val="24"/>
                <w:szCs w:val="24"/>
              </w:rPr>
              <w:t>MSFD framework</w:t>
            </w:r>
            <w:r>
              <w:rPr>
                <w:b w:val="0"/>
                <w:noProof/>
                <w:sz w:val="24"/>
                <w:szCs w:val="24"/>
              </w:rPr>
              <w:tab/>
            </w:r>
            <w:r>
              <w:rPr>
                <w:b w:val="0"/>
                <w:noProof/>
                <w:sz w:val="24"/>
                <w:szCs w:val="24"/>
              </w:rPr>
              <w:fldChar w:fldCharType="begin"/>
            </w:r>
            <w:r>
              <w:rPr>
                <w:b w:val="0"/>
                <w:noProof/>
                <w:sz w:val="24"/>
                <w:szCs w:val="24"/>
              </w:rPr>
              <w:instrText xml:space="preserve"> PAGEREF _Toc30404105 \h </w:instrText>
            </w:r>
            <w:r>
              <w:rPr>
                <w:b w:val="0"/>
                <w:noProof/>
                <w:sz w:val="24"/>
                <w:szCs w:val="24"/>
              </w:rPr>
            </w:r>
            <w:r>
              <w:rPr>
                <w:b w:val="0"/>
                <w:noProof/>
                <w:sz w:val="24"/>
                <w:szCs w:val="24"/>
              </w:rPr>
              <w:fldChar w:fldCharType="separate"/>
            </w:r>
            <w:r>
              <w:rPr>
                <w:b w:val="0"/>
                <w:noProof/>
                <w:sz w:val="24"/>
                <w:szCs w:val="24"/>
              </w:rPr>
              <w:t>9</w:t>
            </w:r>
            <w:r>
              <w:rPr>
                <w:b w:val="0"/>
                <w:noProof/>
                <w:sz w:val="24"/>
                <w:szCs w:val="24"/>
              </w:rPr>
              <w:fldChar w:fldCharType="end"/>
            </w:r>
          </w:hyperlink>
        </w:p>
        <w:p>
          <w:pPr>
            <w:pStyle w:val="TOC1"/>
            <w:rPr>
              <w:rFonts w:eastAsiaTheme="minorEastAsia"/>
              <w:b w:val="0"/>
              <w:caps w:val="0"/>
              <w:noProof/>
              <w:sz w:val="24"/>
              <w:szCs w:val="24"/>
            </w:rPr>
          </w:pPr>
          <w:hyperlink w:anchor="_Toc30404106" w:history="1">
            <w:r>
              <w:rPr>
                <w:rStyle w:val="Hyperlink"/>
                <w:b w:val="0"/>
                <w:noProof/>
                <w:sz w:val="24"/>
                <w:szCs w:val="24"/>
              </w:rPr>
              <w:t>2.</w:t>
            </w:r>
            <w:r>
              <w:rPr>
                <w:rFonts w:eastAsiaTheme="minorEastAsia"/>
                <w:b w:val="0"/>
                <w:caps w:val="0"/>
                <w:noProof/>
                <w:sz w:val="24"/>
                <w:szCs w:val="24"/>
              </w:rPr>
              <w:tab/>
            </w:r>
            <w:r>
              <w:rPr>
                <w:rStyle w:val="Hyperlink"/>
                <w:b w:val="0"/>
                <w:noProof/>
                <w:sz w:val="24"/>
                <w:szCs w:val="24"/>
              </w:rPr>
              <w:t>Observed status of EU marine biodiversity</w:t>
            </w:r>
            <w:r>
              <w:rPr>
                <w:b w:val="0"/>
                <w:noProof/>
                <w:sz w:val="24"/>
                <w:szCs w:val="24"/>
              </w:rPr>
              <w:tab/>
            </w:r>
            <w:r>
              <w:rPr>
                <w:b w:val="0"/>
                <w:noProof/>
                <w:sz w:val="24"/>
                <w:szCs w:val="24"/>
              </w:rPr>
              <w:fldChar w:fldCharType="begin"/>
            </w:r>
            <w:r>
              <w:rPr>
                <w:b w:val="0"/>
                <w:noProof/>
                <w:sz w:val="24"/>
                <w:szCs w:val="24"/>
              </w:rPr>
              <w:instrText xml:space="preserve"> PAGEREF _Toc30404106 \h </w:instrText>
            </w:r>
            <w:r>
              <w:rPr>
                <w:b w:val="0"/>
                <w:noProof/>
                <w:sz w:val="24"/>
                <w:szCs w:val="24"/>
              </w:rPr>
            </w:r>
            <w:r>
              <w:rPr>
                <w:b w:val="0"/>
                <w:noProof/>
                <w:sz w:val="24"/>
                <w:szCs w:val="24"/>
              </w:rPr>
              <w:fldChar w:fldCharType="separate"/>
            </w:r>
            <w:r>
              <w:rPr>
                <w:b w:val="0"/>
                <w:noProof/>
                <w:sz w:val="24"/>
                <w:szCs w:val="24"/>
              </w:rPr>
              <w:t>9</w:t>
            </w:r>
            <w:r>
              <w:rPr>
                <w:b w:val="0"/>
                <w:noProof/>
                <w:sz w:val="24"/>
                <w:szCs w:val="24"/>
              </w:rPr>
              <w:fldChar w:fldCharType="end"/>
            </w:r>
          </w:hyperlink>
        </w:p>
        <w:p>
          <w:pPr>
            <w:pStyle w:val="TOC2"/>
            <w:rPr>
              <w:rFonts w:eastAsiaTheme="minorEastAsia"/>
              <w:sz w:val="24"/>
              <w:szCs w:val="24"/>
            </w:rPr>
          </w:pPr>
          <w:hyperlink w:anchor="_Toc30404107" w:history="1">
            <w:r>
              <w:rPr>
                <w:rStyle w:val="Hyperlink"/>
                <w:sz w:val="24"/>
                <w:szCs w:val="24"/>
              </w:rPr>
              <w:t>2.1.</w:t>
            </w:r>
            <w:r>
              <w:rPr>
                <w:rFonts w:eastAsiaTheme="minorEastAsia"/>
                <w:sz w:val="24"/>
                <w:szCs w:val="24"/>
              </w:rPr>
              <w:tab/>
            </w:r>
            <w:r>
              <w:rPr>
                <w:rStyle w:val="Hyperlink"/>
                <w:sz w:val="24"/>
                <w:szCs w:val="24"/>
              </w:rPr>
              <w:t>Ongoing reporting under the MSFD</w:t>
            </w:r>
            <w:r>
              <w:rPr>
                <w:sz w:val="24"/>
                <w:szCs w:val="24"/>
              </w:rPr>
              <w:tab/>
            </w:r>
            <w:r>
              <w:rPr>
                <w:sz w:val="24"/>
                <w:szCs w:val="24"/>
              </w:rPr>
              <w:fldChar w:fldCharType="begin"/>
            </w:r>
            <w:r>
              <w:rPr>
                <w:sz w:val="24"/>
                <w:szCs w:val="24"/>
              </w:rPr>
              <w:instrText xml:space="preserve"> PAGEREF _Toc30404107 \h </w:instrText>
            </w:r>
            <w:r>
              <w:rPr>
                <w:sz w:val="24"/>
                <w:szCs w:val="24"/>
              </w:rPr>
            </w:r>
            <w:r>
              <w:rPr>
                <w:sz w:val="24"/>
                <w:szCs w:val="24"/>
              </w:rPr>
              <w:fldChar w:fldCharType="separate"/>
            </w:r>
            <w:r>
              <w:rPr>
                <w:sz w:val="24"/>
                <w:szCs w:val="24"/>
              </w:rPr>
              <w:t>9</w:t>
            </w:r>
            <w:r>
              <w:rPr>
                <w:sz w:val="24"/>
                <w:szCs w:val="24"/>
              </w:rPr>
              <w:fldChar w:fldCharType="end"/>
            </w:r>
          </w:hyperlink>
        </w:p>
        <w:p>
          <w:pPr>
            <w:pStyle w:val="TOC2"/>
            <w:rPr>
              <w:rFonts w:eastAsiaTheme="minorEastAsia"/>
              <w:sz w:val="24"/>
              <w:szCs w:val="24"/>
            </w:rPr>
          </w:pPr>
          <w:hyperlink w:anchor="_Toc30404108" w:history="1">
            <w:r>
              <w:rPr>
                <w:rStyle w:val="Hyperlink"/>
                <w:sz w:val="24"/>
                <w:szCs w:val="24"/>
              </w:rPr>
              <w:t>2.2.</w:t>
            </w:r>
            <w:r>
              <w:rPr>
                <w:rFonts w:eastAsiaTheme="minorEastAsia"/>
                <w:sz w:val="24"/>
                <w:szCs w:val="24"/>
              </w:rPr>
              <w:tab/>
            </w:r>
            <w:r>
              <w:rPr>
                <w:rStyle w:val="Hyperlink"/>
                <w:sz w:val="24"/>
                <w:szCs w:val="24"/>
              </w:rPr>
              <w:t>Other assessments of marine biodiversity</w:t>
            </w:r>
            <w:r>
              <w:rPr>
                <w:sz w:val="24"/>
                <w:szCs w:val="24"/>
              </w:rPr>
              <w:tab/>
            </w:r>
            <w:r>
              <w:rPr>
                <w:sz w:val="24"/>
                <w:szCs w:val="24"/>
              </w:rPr>
              <w:fldChar w:fldCharType="begin"/>
            </w:r>
            <w:r>
              <w:rPr>
                <w:sz w:val="24"/>
                <w:szCs w:val="24"/>
              </w:rPr>
              <w:instrText xml:space="preserve"> PAGEREF _Toc30404108 \h </w:instrText>
            </w:r>
            <w:r>
              <w:rPr>
                <w:sz w:val="24"/>
                <w:szCs w:val="24"/>
              </w:rPr>
            </w:r>
            <w:r>
              <w:rPr>
                <w:sz w:val="24"/>
                <w:szCs w:val="24"/>
              </w:rPr>
              <w:fldChar w:fldCharType="separate"/>
            </w:r>
            <w:r>
              <w:rPr>
                <w:sz w:val="24"/>
                <w:szCs w:val="24"/>
              </w:rPr>
              <w:t>13</w:t>
            </w:r>
            <w:r>
              <w:rPr>
                <w:sz w:val="24"/>
                <w:szCs w:val="24"/>
              </w:rPr>
              <w:fldChar w:fldCharType="end"/>
            </w:r>
          </w:hyperlink>
        </w:p>
        <w:p>
          <w:pPr>
            <w:pStyle w:val="TOC3"/>
            <w:tabs>
              <w:tab w:val="left" w:pos="1445"/>
            </w:tabs>
            <w:rPr>
              <w:rFonts w:eastAsiaTheme="minorEastAsia"/>
              <w:noProof/>
              <w:sz w:val="24"/>
              <w:szCs w:val="24"/>
            </w:rPr>
          </w:pPr>
          <w:hyperlink w:anchor="_Toc30404109" w:history="1">
            <w:r>
              <w:rPr>
                <w:rStyle w:val="Hyperlink"/>
                <w:noProof/>
                <w:sz w:val="24"/>
                <w:szCs w:val="24"/>
              </w:rPr>
              <w:t>2.2.1.</w:t>
            </w:r>
            <w:r>
              <w:rPr>
                <w:rFonts w:eastAsiaTheme="minorEastAsia"/>
                <w:noProof/>
                <w:sz w:val="24"/>
                <w:szCs w:val="24"/>
              </w:rPr>
              <w:tab/>
            </w:r>
            <w:r>
              <w:rPr>
                <w:rStyle w:val="Hyperlink"/>
                <w:noProof/>
                <w:sz w:val="24"/>
                <w:szCs w:val="24"/>
              </w:rPr>
              <w:t>Mammals</w:t>
            </w:r>
            <w:r>
              <w:rPr>
                <w:noProof/>
                <w:sz w:val="24"/>
                <w:szCs w:val="24"/>
              </w:rPr>
              <w:tab/>
            </w:r>
            <w:r>
              <w:rPr>
                <w:noProof/>
                <w:sz w:val="24"/>
                <w:szCs w:val="24"/>
              </w:rPr>
              <w:fldChar w:fldCharType="begin"/>
            </w:r>
            <w:r>
              <w:rPr>
                <w:noProof/>
                <w:sz w:val="24"/>
                <w:szCs w:val="24"/>
              </w:rPr>
              <w:instrText xml:space="preserve"> PAGEREF _Toc30404109 \h </w:instrText>
            </w:r>
            <w:r>
              <w:rPr>
                <w:noProof/>
                <w:sz w:val="24"/>
                <w:szCs w:val="24"/>
              </w:rPr>
            </w:r>
            <w:r>
              <w:rPr>
                <w:noProof/>
                <w:sz w:val="24"/>
                <w:szCs w:val="24"/>
              </w:rPr>
              <w:fldChar w:fldCharType="separate"/>
            </w:r>
            <w:r>
              <w:rPr>
                <w:noProof/>
                <w:sz w:val="24"/>
                <w:szCs w:val="24"/>
              </w:rPr>
              <w:t>14</w:t>
            </w:r>
            <w:r>
              <w:rPr>
                <w:noProof/>
                <w:sz w:val="24"/>
                <w:szCs w:val="24"/>
              </w:rPr>
              <w:fldChar w:fldCharType="end"/>
            </w:r>
          </w:hyperlink>
        </w:p>
        <w:p>
          <w:pPr>
            <w:pStyle w:val="TOC3"/>
            <w:tabs>
              <w:tab w:val="left" w:pos="1445"/>
            </w:tabs>
            <w:rPr>
              <w:rFonts w:eastAsiaTheme="minorEastAsia"/>
              <w:noProof/>
              <w:sz w:val="24"/>
              <w:szCs w:val="24"/>
            </w:rPr>
          </w:pPr>
          <w:hyperlink w:anchor="_Toc30404110" w:history="1">
            <w:r>
              <w:rPr>
                <w:rStyle w:val="Hyperlink"/>
                <w:noProof/>
                <w:sz w:val="24"/>
                <w:szCs w:val="24"/>
              </w:rPr>
              <w:t>2.2.2.</w:t>
            </w:r>
            <w:r>
              <w:rPr>
                <w:rFonts w:eastAsiaTheme="minorEastAsia"/>
                <w:noProof/>
                <w:sz w:val="24"/>
                <w:szCs w:val="24"/>
              </w:rPr>
              <w:tab/>
            </w:r>
            <w:r>
              <w:rPr>
                <w:rStyle w:val="Hyperlink"/>
                <w:noProof/>
                <w:sz w:val="24"/>
                <w:szCs w:val="24"/>
              </w:rPr>
              <w:t>Birds</w:t>
            </w:r>
            <w:r>
              <w:rPr>
                <w:noProof/>
                <w:sz w:val="24"/>
                <w:szCs w:val="24"/>
              </w:rPr>
              <w:tab/>
            </w:r>
            <w:r>
              <w:rPr>
                <w:noProof/>
                <w:sz w:val="24"/>
                <w:szCs w:val="24"/>
              </w:rPr>
              <w:fldChar w:fldCharType="begin"/>
            </w:r>
            <w:r>
              <w:rPr>
                <w:noProof/>
                <w:sz w:val="24"/>
                <w:szCs w:val="24"/>
              </w:rPr>
              <w:instrText xml:space="preserve"> PAGEREF _Toc30404110 \h </w:instrText>
            </w:r>
            <w:r>
              <w:rPr>
                <w:noProof/>
                <w:sz w:val="24"/>
                <w:szCs w:val="24"/>
              </w:rPr>
            </w:r>
            <w:r>
              <w:rPr>
                <w:noProof/>
                <w:sz w:val="24"/>
                <w:szCs w:val="24"/>
              </w:rPr>
              <w:fldChar w:fldCharType="separate"/>
            </w:r>
            <w:r>
              <w:rPr>
                <w:noProof/>
                <w:sz w:val="24"/>
                <w:szCs w:val="24"/>
              </w:rPr>
              <w:t>16</w:t>
            </w:r>
            <w:r>
              <w:rPr>
                <w:noProof/>
                <w:sz w:val="24"/>
                <w:szCs w:val="24"/>
              </w:rPr>
              <w:fldChar w:fldCharType="end"/>
            </w:r>
          </w:hyperlink>
        </w:p>
        <w:p>
          <w:pPr>
            <w:pStyle w:val="TOC3"/>
            <w:tabs>
              <w:tab w:val="left" w:pos="1445"/>
            </w:tabs>
            <w:rPr>
              <w:rFonts w:eastAsiaTheme="minorEastAsia"/>
              <w:noProof/>
              <w:sz w:val="24"/>
              <w:szCs w:val="24"/>
            </w:rPr>
          </w:pPr>
          <w:hyperlink w:anchor="_Toc30404111" w:history="1">
            <w:r>
              <w:rPr>
                <w:rStyle w:val="Hyperlink"/>
                <w:iCs/>
                <w:noProof/>
                <w:sz w:val="24"/>
                <w:szCs w:val="24"/>
              </w:rPr>
              <w:t>2.2.3.</w:t>
            </w:r>
            <w:r>
              <w:rPr>
                <w:rFonts w:eastAsiaTheme="minorEastAsia"/>
                <w:noProof/>
                <w:sz w:val="24"/>
                <w:szCs w:val="24"/>
              </w:rPr>
              <w:tab/>
            </w:r>
            <w:r>
              <w:rPr>
                <w:rStyle w:val="Hyperlink"/>
                <w:iCs/>
                <w:noProof/>
                <w:sz w:val="24"/>
                <w:szCs w:val="24"/>
              </w:rPr>
              <w:t>Fish</w:t>
            </w:r>
            <w:r>
              <w:rPr>
                <w:noProof/>
                <w:sz w:val="24"/>
                <w:szCs w:val="24"/>
              </w:rPr>
              <w:tab/>
            </w:r>
            <w:r>
              <w:rPr>
                <w:noProof/>
                <w:sz w:val="24"/>
                <w:szCs w:val="24"/>
              </w:rPr>
              <w:fldChar w:fldCharType="begin"/>
            </w:r>
            <w:r>
              <w:rPr>
                <w:noProof/>
                <w:sz w:val="24"/>
                <w:szCs w:val="24"/>
              </w:rPr>
              <w:instrText xml:space="preserve"> PAGEREF _Toc30404111 \h </w:instrText>
            </w:r>
            <w:r>
              <w:rPr>
                <w:noProof/>
                <w:sz w:val="24"/>
                <w:szCs w:val="24"/>
              </w:rPr>
            </w:r>
            <w:r>
              <w:rPr>
                <w:noProof/>
                <w:sz w:val="24"/>
                <w:szCs w:val="24"/>
              </w:rPr>
              <w:fldChar w:fldCharType="separate"/>
            </w:r>
            <w:r>
              <w:rPr>
                <w:noProof/>
                <w:sz w:val="24"/>
                <w:szCs w:val="24"/>
              </w:rPr>
              <w:t>16</w:t>
            </w:r>
            <w:r>
              <w:rPr>
                <w:noProof/>
                <w:sz w:val="24"/>
                <w:szCs w:val="24"/>
              </w:rPr>
              <w:fldChar w:fldCharType="end"/>
            </w:r>
          </w:hyperlink>
        </w:p>
        <w:p>
          <w:pPr>
            <w:pStyle w:val="TOC3"/>
            <w:tabs>
              <w:tab w:val="left" w:pos="1445"/>
            </w:tabs>
            <w:rPr>
              <w:rFonts w:eastAsiaTheme="minorEastAsia"/>
              <w:noProof/>
              <w:sz w:val="24"/>
              <w:szCs w:val="24"/>
            </w:rPr>
          </w:pPr>
          <w:hyperlink w:anchor="_Toc30404112" w:history="1">
            <w:r>
              <w:rPr>
                <w:rStyle w:val="Hyperlink"/>
                <w:iCs/>
                <w:noProof/>
                <w:sz w:val="24"/>
                <w:szCs w:val="24"/>
              </w:rPr>
              <w:t>2.2.4.</w:t>
            </w:r>
            <w:r>
              <w:rPr>
                <w:rFonts w:eastAsiaTheme="minorEastAsia"/>
                <w:noProof/>
                <w:sz w:val="24"/>
                <w:szCs w:val="24"/>
              </w:rPr>
              <w:tab/>
            </w:r>
            <w:r>
              <w:rPr>
                <w:rStyle w:val="Hyperlink"/>
                <w:iCs/>
                <w:noProof/>
                <w:sz w:val="24"/>
                <w:szCs w:val="24"/>
              </w:rPr>
              <w:t>Reptiles</w:t>
            </w:r>
            <w:r>
              <w:rPr>
                <w:noProof/>
                <w:sz w:val="24"/>
                <w:szCs w:val="24"/>
              </w:rPr>
              <w:tab/>
            </w:r>
            <w:r>
              <w:rPr>
                <w:noProof/>
                <w:sz w:val="24"/>
                <w:szCs w:val="24"/>
              </w:rPr>
              <w:fldChar w:fldCharType="begin"/>
            </w:r>
            <w:r>
              <w:rPr>
                <w:noProof/>
                <w:sz w:val="24"/>
                <w:szCs w:val="24"/>
              </w:rPr>
              <w:instrText xml:space="preserve"> PAGEREF _Toc30404112 \h </w:instrText>
            </w:r>
            <w:r>
              <w:rPr>
                <w:noProof/>
                <w:sz w:val="24"/>
                <w:szCs w:val="24"/>
              </w:rPr>
            </w:r>
            <w:r>
              <w:rPr>
                <w:noProof/>
                <w:sz w:val="24"/>
                <w:szCs w:val="24"/>
              </w:rPr>
              <w:fldChar w:fldCharType="separate"/>
            </w:r>
            <w:r>
              <w:rPr>
                <w:noProof/>
                <w:sz w:val="24"/>
                <w:szCs w:val="24"/>
              </w:rPr>
              <w:t>18</w:t>
            </w:r>
            <w:r>
              <w:rPr>
                <w:noProof/>
                <w:sz w:val="24"/>
                <w:szCs w:val="24"/>
              </w:rPr>
              <w:fldChar w:fldCharType="end"/>
            </w:r>
          </w:hyperlink>
        </w:p>
        <w:p>
          <w:pPr>
            <w:pStyle w:val="TOC3"/>
            <w:tabs>
              <w:tab w:val="left" w:pos="1445"/>
            </w:tabs>
            <w:rPr>
              <w:rFonts w:eastAsiaTheme="minorEastAsia"/>
              <w:noProof/>
              <w:sz w:val="24"/>
              <w:szCs w:val="24"/>
            </w:rPr>
          </w:pPr>
          <w:hyperlink w:anchor="_Toc30404113" w:history="1">
            <w:r>
              <w:rPr>
                <w:rStyle w:val="Hyperlink"/>
                <w:iCs/>
                <w:noProof/>
                <w:sz w:val="24"/>
                <w:szCs w:val="24"/>
              </w:rPr>
              <w:t>2.2.5.</w:t>
            </w:r>
            <w:r>
              <w:rPr>
                <w:rFonts w:eastAsiaTheme="minorEastAsia"/>
                <w:noProof/>
                <w:sz w:val="24"/>
                <w:szCs w:val="24"/>
              </w:rPr>
              <w:tab/>
            </w:r>
            <w:r>
              <w:rPr>
                <w:rStyle w:val="Hyperlink"/>
                <w:iCs/>
                <w:noProof/>
                <w:sz w:val="24"/>
                <w:szCs w:val="24"/>
              </w:rPr>
              <w:t>Pelagic habitats</w:t>
            </w:r>
            <w:r>
              <w:rPr>
                <w:noProof/>
                <w:sz w:val="24"/>
                <w:szCs w:val="24"/>
              </w:rPr>
              <w:tab/>
            </w:r>
            <w:r>
              <w:rPr>
                <w:noProof/>
                <w:sz w:val="24"/>
                <w:szCs w:val="24"/>
              </w:rPr>
              <w:fldChar w:fldCharType="begin"/>
            </w:r>
            <w:r>
              <w:rPr>
                <w:noProof/>
                <w:sz w:val="24"/>
                <w:szCs w:val="24"/>
              </w:rPr>
              <w:instrText xml:space="preserve"> PAGEREF _Toc30404113 \h </w:instrText>
            </w:r>
            <w:r>
              <w:rPr>
                <w:noProof/>
                <w:sz w:val="24"/>
                <w:szCs w:val="24"/>
              </w:rPr>
            </w:r>
            <w:r>
              <w:rPr>
                <w:noProof/>
                <w:sz w:val="24"/>
                <w:szCs w:val="24"/>
              </w:rPr>
              <w:fldChar w:fldCharType="separate"/>
            </w:r>
            <w:r>
              <w:rPr>
                <w:noProof/>
                <w:sz w:val="24"/>
                <w:szCs w:val="24"/>
              </w:rPr>
              <w:t>19</w:t>
            </w:r>
            <w:r>
              <w:rPr>
                <w:noProof/>
                <w:sz w:val="24"/>
                <w:szCs w:val="24"/>
              </w:rPr>
              <w:fldChar w:fldCharType="end"/>
            </w:r>
          </w:hyperlink>
        </w:p>
        <w:p>
          <w:pPr>
            <w:pStyle w:val="TOC1"/>
            <w:rPr>
              <w:rFonts w:eastAsiaTheme="minorEastAsia"/>
              <w:b w:val="0"/>
              <w:caps w:val="0"/>
              <w:noProof/>
              <w:sz w:val="24"/>
              <w:szCs w:val="24"/>
            </w:rPr>
          </w:pPr>
          <w:hyperlink w:anchor="_Toc30404114" w:history="1">
            <w:r>
              <w:rPr>
                <w:rStyle w:val="Hyperlink"/>
                <w:b w:val="0"/>
                <w:noProof/>
                <w:sz w:val="24"/>
                <w:szCs w:val="24"/>
              </w:rPr>
              <w:t>3.</w:t>
            </w:r>
            <w:r>
              <w:rPr>
                <w:rFonts w:eastAsiaTheme="minorEastAsia"/>
                <w:b w:val="0"/>
                <w:caps w:val="0"/>
                <w:noProof/>
                <w:sz w:val="24"/>
                <w:szCs w:val="24"/>
              </w:rPr>
              <w:tab/>
            </w:r>
            <w:r>
              <w:rPr>
                <w:rStyle w:val="Hyperlink"/>
                <w:b w:val="0"/>
                <w:noProof/>
                <w:sz w:val="24"/>
                <w:szCs w:val="24"/>
              </w:rPr>
              <w:t>Some observed trends</w:t>
            </w:r>
            <w:r>
              <w:rPr>
                <w:b w:val="0"/>
                <w:noProof/>
                <w:sz w:val="24"/>
                <w:szCs w:val="24"/>
              </w:rPr>
              <w:tab/>
            </w:r>
            <w:r>
              <w:rPr>
                <w:b w:val="0"/>
                <w:noProof/>
                <w:sz w:val="24"/>
                <w:szCs w:val="24"/>
              </w:rPr>
              <w:fldChar w:fldCharType="begin"/>
            </w:r>
            <w:r>
              <w:rPr>
                <w:b w:val="0"/>
                <w:noProof/>
                <w:sz w:val="24"/>
                <w:szCs w:val="24"/>
              </w:rPr>
              <w:instrText xml:space="preserve"> PAGEREF _Toc30404114 \h </w:instrText>
            </w:r>
            <w:r>
              <w:rPr>
                <w:b w:val="0"/>
                <w:noProof/>
                <w:sz w:val="24"/>
                <w:szCs w:val="24"/>
              </w:rPr>
            </w:r>
            <w:r>
              <w:rPr>
                <w:b w:val="0"/>
                <w:noProof/>
                <w:sz w:val="24"/>
                <w:szCs w:val="24"/>
              </w:rPr>
              <w:fldChar w:fldCharType="separate"/>
            </w:r>
            <w:r>
              <w:rPr>
                <w:b w:val="0"/>
                <w:noProof/>
                <w:sz w:val="24"/>
                <w:szCs w:val="24"/>
              </w:rPr>
              <w:t>19</w:t>
            </w:r>
            <w:r>
              <w:rPr>
                <w:b w:val="0"/>
                <w:noProof/>
                <w:sz w:val="24"/>
                <w:szCs w:val="24"/>
              </w:rPr>
              <w:fldChar w:fldCharType="end"/>
            </w:r>
          </w:hyperlink>
        </w:p>
        <w:p>
          <w:pPr>
            <w:pStyle w:val="TOC1"/>
            <w:rPr>
              <w:rFonts w:eastAsiaTheme="minorEastAsia"/>
              <w:b w:val="0"/>
              <w:caps w:val="0"/>
              <w:noProof/>
              <w:sz w:val="24"/>
              <w:szCs w:val="24"/>
            </w:rPr>
          </w:pPr>
          <w:hyperlink w:anchor="_Toc30404115" w:history="1">
            <w:r>
              <w:rPr>
                <w:rStyle w:val="Hyperlink"/>
                <w:rFonts w:eastAsiaTheme="minorHAnsi"/>
                <w:b w:val="0"/>
                <w:noProof/>
                <w:sz w:val="24"/>
                <w:szCs w:val="24"/>
              </w:rPr>
              <w:t>4.</w:t>
            </w:r>
            <w:r>
              <w:rPr>
                <w:rFonts w:eastAsiaTheme="minorEastAsia"/>
                <w:b w:val="0"/>
                <w:caps w:val="0"/>
                <w:noProof/>
                <w:sz w:val="24"/>
                <w:szCs w:val="24"/>
              </w:rPr>
              <w:tab/>
            </w:r>
            <w:r>
              <w:rPr>
                <w:rStyle w:val="Hyperlink"/>
                <w:rFonts w:eastAsiaTheme="minorHAnsi"/>
                <w:b w:val="0"/>
                <w:noProof/>
                <w:sz w:val="24"/>
                <w:szCs w:val="24"/>
              </w:rPr>
              <w:t>Technical observations</w:t>
            </w:r>
            <w:r>
              <w:rPr>
                <w:b w:val="0"/>
                <w:noProof/>
                <w:sz w:val="24"/>
                <w:szCs w:val="24"/>
              </w:rPr>
              <w:tab/>
            </w:r>
            <w:r>
              <w:rPr>
                <w:b w:val="0"/>
                <w:noProof/>
                <w:sz w:val="24"/>
                <w:szCs w:val="24"/>
              </w:rPr>
              <w:fldChar w:fldCharType="begin"/>
            </w:r>
            <w:r>
              <w:rPr>
                <w:b w:val="0"/>
                <w:noProof/>
                <w:sz w:val="24"/>
                <w:szCs w:val="24"/>
              </w:rPr>
              <w:instrText xml:space="preserve"> PAGEREF _Toc30404115 \h </w:instrText>
            </w:r>
            <w:r>
              <w:rPr>
                <w:b w:val="0"/>
                <w:noProof/>
                <w:sz w:val="24"/>
                <w:szCs w:val="24"/>
              </w:rPr>
            </w:r>
            <w:r>
              <w:rPr>
                <w:b w:val="0"/>
                <w:noProof/>
                <w:sz w:val="24"/>
                <w:szCs w:val="24"/>
              </w:rPr>
              <w:fldChar w:fldCharType="separate"/>
            </w:r>
            <w:r>
              <w:rPr>
                <w:b w:val="0"/>
                <w:noProof/>
                <w:sz w:val="24"/>
                <w:szCs w:val="24"/>
              </w:rPr>
              <w:t>21</w:t>
            </w:r>
            <w:r>
              <w:rPr>
                <w:b w:val="0"/>
                <w:noProof/>
                <w:sz w:val="24"/>
                <w:szCs w:val="24"/>
              </w:rPr>
              <w:fldChar w:fldCharType="end"/>
            </w:r>
          </w:hyperlink>
        </w:p>
        <w:p>
          <w:pPr>
            <w:pStyle w:val="TOC1"/>
            <w:rPr>
              <w:rFonts w:eastAsiaTheme="minorEastAsia"/>
              <w:b w:val="0"/>
              <w:caps w:val="0"/>
              <w:noProof/>
              <w:sz w:val="24"/>
              <w:szCs w:val="24"/>
            </w:rPr>
          </w:pPr>
          <w:hyperlink w:anchor="_Toc30404116" w:history="1">
            <w:r>
              <w:rPr>
                <w:rStyle w:val="Hyperlink"/>
                <w:b w:val="0"/>
                <w:noProof/>
                <w:sz w:val="24"/>
                <w:szCs w:val="24"/>
              </w:rPr>
              <w:t>5.</w:t>
            </w:r>
            <w:r>
              <w:rPr>
                <w:rFonts w:eastAsiaTheme="minorEastAsia"/>
                <w:b w:val="0"/>
                <w:caps w:val="0"/>
                <w:noProof/>
                <w:sz w:val="24"/>
                <w:szCs w:val="24"/>
              </w:rPr>
              <w:tab/>
            </w:r>
            <w:r>
              <w:rPr>
                <w:rStyle w:val="Hyperlink"/>
                <w:b w:val="0"/>
                <w:noProof/>
                <w:sz w:val="24"/>
                <w:szCs w:val="24"/>
              </w:rPr>
              <w:t>Key messages</w:t>
            </w:r>
            <w:r>
              <w:rPr>
                <w:b w:val="0"/>
                <w:noProof/>
                <w:sz w:val="24"/>
                <w:szCs w:val="24"/>
              </w:rPr>
              <w:tab/>
            </w:r>
            <w:r>
              <w:rPr>
                <w:b w:val="0"/>
                <w:noProof/>
                <w:sz w:val="24"/>
                <w:szCs w:val="24"/>
              </w:rPr>
              <w:fldChar w:fldCharType="begin"/>
            </w:r>
            <w:r>
              <w:rPr>
                <w:b w:val="0"/>
                <w:noProof/>
                <w:sz w:val="24"/>
                <w:szCs w:val="24"/>
              </w:rPr>
              <w:instrText xml:space="preserve"> PAGEREF _Toc30404116 \h </w:instrText>
            </w:r>
            <w:r>
              <w:rPr>
                <w:b w:val="0"/>
                <w:noProof/>
                <w:sz w:val="24"/>
                <w:szCs w:val="24"/>
              </w:rPr>
            </w:r>
            <w:r>
              <w:rPr>
                <w:b w:val="0"/>
                <w:noProof/>
                <w:sz w:val="24"/>
                <w:szCs w:val="24"/>
              </w:rPr>
              <w:fldChar w:fldCharType="separate"/>
            </w:r>
            <w:r>
              <w:rPr>
                <w:b w:val="0"/>
                <w:noProof/>
                <w:sz w:val="24"/>
                <w:szCs w:val="24"/>
              </w:rPr>
              <w:t>22</w:t>
            </w:r>
            <w:r>
              <w:rPr>
                <w:b w:val="0"/>
                <w:noProof/>
                <w:sz w:val="24"/>
                <w:szCs w:val="24"/>
              </w:rPr>
              <w:fldChar w:fldCharType="end"/>
            </w:r>
          </w:hyperlink>
        </w:p>
        <w:p>
          <w:pPr>
            <w:pStyle w:val="TOC5"/>
            <w:rPr>
              <w:rFonts w:eastAsiaTheme="minorEastAsia"/>
              <w:noProof/>
              <w:szCs w:val="24"/>
            </w:rPr>
          </w:pPr>
          <w:hyperlink w:anchor="_Toc30404117" w:history="1">
            <w:r>
              <w:rPr>
                <w:rStyle w:val="Hyperlink"/>
                <w:noProof/>
                <w:szCs w:val="24"/>
              </w:rPr>
              <w:t>Descriptor 2: Non-indigenous species introduced by human activities are at levels that do not adversely alter the ecosystems</w:t>
            </w:r>
            <w:r>
              <w:rPr>
                <w:noProof/>
                <w:szCs w:val="24"/>
              </w:rPr>
              <w:tab/>
            </w:r>
            <w:r>
              <w:rPr>
                <w:noProof/>
                <w:szCs w:val="24"/>
              </w:rPr>
              <w:fldChar w:fldCharType="begin"/>
            </w:r>
            <w:r>
              <w:rPr>
                <w:noProof/>
                <w:szCs w:val="24"/>
              </w:rPr>
              <w:instrText xml:space="preserve"> PAGEREF _Toc30404117 \h </w:instrText>
            </w:r>
            <w:r>
              <w:rPr>
                <w:noProof/>
                <w:szCs w:val="24"/>
              </w:rPr>
            </w:r>
            <w:r>
              <w:rPr>
                <w:noProof/>
                <w:szCs w:val="24"/>
              </w:rPr>
              <w:fldChar w:fldCharType="separate"/>
            </w:r>
            <w:r>
              <w:rPr>
                <w:noProof/>
                <w:szCs w:val="24"/>
              </w:rPr>
              <w:t>24</w:t>
            </w:r>
            <w:r>
              <w:rPr>
                <w:noProof/>
                <w:szCs w:val="24"/>
              </w:rPr>
              <w:fldChar w:fldCharType="end"/>
            </w:r>
          </w:hyperlink>
        </w:p>
        <w:p>
          <w:pPr>
            <w:pStyle w:val="TOC1"/>
            <w:rPr>
              <w:rFonts w:eastAsiaTheme="minorEastAsia"/>
              <w:b w:val="0"/>
              <w:caps w:val="0"/>
              <w:noProof/>
              <w:sz w:val="24"/>
              <w:szCs w:val="24"/>
            </w:rPr>
          </w:pPr>
          <w:hyperlink w:anchor="_Toc30404118" w:history="1">
            <w:r>
              <w:rPr>
                <w:rStyle w:val="Hyperlink"/>
                <w:b w:val="0"/>
                <w:noProof/>
                <w:sz w:val="24"/>
                <w:szCs w:val="24"/>
              </w:rPr>
              <w:t>1.</w:t>
            </w:r>
            <w:r>
              <w:rPr>
                <w:rFonts w:eastAsiaTheme="minorEastAsia"/>
                <w:b w:val="0"/>
                <w:caps w:val="0"/>
                <w:noProof/>
                <w:sz w:val="24"/>
                <w:szCs w:val="24"/>
              </w:rPr>
              <w:tab/>
            </w:r>
            <w:r>
              <w:rPr>
                <w:rStyle w:val="Hyperlink"/>
                <w:b w:val="0"/>
                <w:noProof/>
                <w:sz w:val="24"/>
                <w:szCs w:val="24"/>
              </w:rPr>
              <w:t>MSFD framework</w:t>
            </w:r>
            <w:r>
              <w:rPr>
                <w:b w:val="0"/>
                <w:noProof/>
                <w:sz w:val="24"/>
                <w:szCs w:val="24"/>
              </w:rPr>
              <w:tab/>
            </w:r>
            <w:r>
              <w:rPr>
                <w:b w:val="0"/>
                <w:noProof/>
                <w:sz w:val="24"/>
                <w:szCs w:val="24"/>
              </w:rPr>
              <w:fldChar w:fldCharType="begin"/>
            </w:r>
            <w:r>
              <w:rPr>
                <w:b w:val="0"/>
                <w:noProof/>
                <w:sz w:val="24"/>
                <w:szCs w:val="24"/>
              </w:rPr>
              <w:instrText xml:space="preserve"> PAGEREF _Toc30404118 \h </w:instrText>
            </w:r>
            <w:r>
              <w:rPr>
                <w:b w:val="0"/>
                <w:noProof/>
                <w:sz w:val="24"/>
                <w:szCs w:val="24"/>
              </w:rPr>
            </w:r>
            <w:r>
              <w:rPr>
                <w:b w:val="0"/>
                <w:noProof/>
                <w:sz w:val="24"/>
                <w:szCs w:val="24"/>
              </w:rPr>
              <w:fldChar w:fldCharType="separate"/>
            </w:r>
            <w:r>
              <w:rPr>
                <w:b w:val="0"/>
                <w:noProof/>
                <w:sz w:val="24"/>
                <w:szCs w:val="24"/>
              </w:rPr>
              <w:t>24</w:t>
            </w:r>
            <w:r>
              <w:rPr>
                <w:b w:val="0"/>
                <w:noProof/>
                <w:sz w:val="24"/>
                <w:szCs w:val="24"/>
              </w:rPr>
              <w:fldChar w:fldCharType="end"/>
            </w:r>
          </w:hyperlink>
        </w:p>
        <w:p>
          <w:pPr>
            <w:pStyle w:val="TOC1"/>
            <w:rPr>
              <w:rFonts w:eastAsiaTheme="minorEastAsia"/>
              <w:b w:val="0"/>
              <w:caps w:val="0"/>
              <w:noProof/>
              <w:sz w:val="24"/>
              <w:szCs w:val="24"/>
            </w:rPr>
          </w:pPr>
          <w:hyperlink w:anchor="_Toc30404119" w:history="1">
            <w:r>
              <w:rPr>
                <w:rStyle w:val="Hyperlink"/>
                <w:b w:val="0"/>
                <w:noProof/>
                <w:sz w:val="24"/>
                <w:szCs w:val="24"/>
              </w:rPr>
              <w:t>2.</w:t>
            </w:r>
            <w:r>
              <w:rPr>
                <w:rFonts w:eastAsiaTheme="minorEastAsia"/>
                <w:b w:val="0"/>
                <w:caps w:val="0"/>
                <w:noProof/>
                <w:sz w:val="24"/>
                <w:szCs w:val="24"/>
              </w:rPr>
              <w:tab/>
            </w:r>
            <w:r>
              <w:rPr>
                <w:rStyle w:val="Hyperlink"/>
                <w:b w:val="0"/>
                <w:noProof/>
                <w:sz w:val="24"/>
                <w:szCs w:val="24"/>
              </w:rPr>
              <w:t>Presence of non-indigenous species in EU marine waters</w:t>
            </w:r>
            <w:r>
              <w:rPr>
                <w:b w:val="0"/>
                <w:noProof/>
                <w:sz w:val="24"/>
                <w:szCs w:val="24"/>
              </w:rPr>
              <w:tab/>
            </w:r>
            <w:r>
              <w:rPr>
                <w:b w:val="0"/>
                <w:noProof/>
                <w:sz w:val="24"/>
                <w:szCs w:val="24"/>
              </w:rPr>
              <w:fldChar w:fldCharType="begin"/>
            </w:r>
            <w:r>
              <w:rPr>
                <w:b w:val="0"/>
                <w:noProof/>
                <w:sz w:val="24"/>
                <w:szCs w:val="24"/>
              </w:rPr>
              <w:instrText xml:space="preserve"> PAGEREF _Toc30404119 \h </w:instrText>
            </w:r>
            <w:r>
              <w:rPr>
                <w:b w:val="0"/>
                <w:noProof/>
                <w:sz w:val="24"/>
                <w:szCs w:val="24"/>
              </w:rPr>
            </w:r>
            <w:r>
              <w:rPr>
                <w:b w:val="0"/>
                <w:noProof/>
                <w:sz w:val="24"/>
                <w:szCs w:val="24"/>
              </w:rPr>
              <w:fldChar w:fldCharType="separate"/>
            </w:r>
            <w:r>
              <w:rPr>
                <w:b w:val="0"/>
                <w:noProof/>
                <w:sz w:val="24"/>
                <w:szCs w:val="24"/>
              </w:rPr>
              <w:t>25</w:t>
            </w:r>
            <w:r>
              <w:rPr>
                <w:b w:val="0"/>
                <w:noProof/>
                <w:sz w:val="24"/>
                <w:szCs w:val="24"/>
              </w:rPr>
              <w:fldChar w:fldCharType="end"/>
            </w:r>
          </w:hyperlink>
        </w:p>
        <w:p>
          <w:pPr>
            <w:pStyle w:val="TOC2"/>
            <w:rPr>
              <w:rFonts w:eastAsiaTheme="minorEastAsia"/>
              <w:sz w:val="24"/>
              <w:szCs w:val="24"/>
            </w:rPr>
          </w:pPr>
          <w:hyperlink w:anchor="_Toc30404120" w:history="1">
            <w:r>
              <w:rPr>
                <w:rStyle w:val="Hyperlink"/>
                <w:sz w:val="24"/>
                <w:szCs w:val="24"/>
              </w:rPr>
              <w:t>2.1.</w:t>
            </w:r>
            <w:r>
              <w:rPr>
                <w:rFonts w:eastAsiaTheme="minorEastAsia"/>
                <w:sz w:val="24"/>
                <w:szCs w:val="24"/>
              </w:rPr>
              <w:tab/>
            </w:r>
            <w:r>
              <w:rPr>
                <w:rStyle w:val="Hyperlink"/>
                <w:sz w:val="24"/>
                <w:szCs w:val="24"/>
              </w:rPr>
              <w:t>Ongoing reporting under the MSFD</w:t>
            </w:r>
            <w:r>
              <w:rPr>
                <w:sz w:val="24"/>
                <w:szCs w:val="24"/>
              </w:rPr>
              <w:tab/>
            </w:r>
            <w:r>
              <w:rPr>
                <w:sz w:val="24"/>
                <w:szCs w:val="24"/>
              </w:rPr>
              <w:fldChar w:fldCharType="begin"/>
            </w:r>
            <w:r>
              <w:rPr>
                <w:sz w:val="24"/>
                <w:szCs w:val="24"/>
              </w:rPr>
              <w:instrText xml:space="preserve"> PAGEREF _Toc30404120 \h </w:instrText>
            </w:r>
            <w:r>
              <w:rPr>
                <w:sz w:val="24"/>
                <w:szCs w:val="24"/>
              </w:rPr>
            </w:r>
            <w:r>
              <w:rPr>
                <w:sz w:val="24"/>
                <w:szCs w:val="24"/>
              </w:rPr>
              <w:fldChar w:fldCharType="separate"/>
            </w:r>
            <w:r>
              <w:rPr>
                <w:sz w:val="24"/>
                <w:szCs w:val="24"/>
              </w:rPr>
              <w:t>25</w:t>
            </w:r>
            <w:r>
              <w:rPr>
                <w:sz w:val="24"/>
                <w:szCs w:val="24"/>
              </w:rPr>
              <w:fldChar w:fldCharType="end"/>
            </w:r>
          </w:hyperlink>
        </w:p>
        <w:p>
          <w:pPr>
            <w:pStyle w:val="TOC2"/>
            <w:rPr>
              <w:rFonts w:eastAsiaTheme="minorEastAsia"/>
              <w:sz w:val="24"/>
              <w:szCs w:val="24"/>
            </w:rPr>
          </w:pPr>
          <w:hyperlink w:anchor="_Toc30404121" w:history="1">
            <w:r>
              <w:rPr>
                <w:rStyle w:val="Hyperlink"/>
                <w:sz w:val="24"/>
                <w:szCs w:val="24"/>
              </w:rPr>
              <w:t>2.2.</w:t>
            </w:r>
            <w:r>
              <w:rPr>
                <w:rFonts w:eastAsiaTheme="minorEastAsia"/>
                <w:sz w:val="24"/>
                <w:szCs w:val="24"/>
              </w:rPr>
              <w:tab/>
            </w:r>
            <w:r>
              <w:rPr>
                <w:rStyle w:val="Hyperlink"/>
                <w:sz w:val="24"/>
                <w:szCs w:val="24"/>
              </w:rPr>
              <w:t>Other assessments</w:t>
            </w:r>
            <w:r>
              <w:rPr>
                <w:sz w:val="24"/>
                <w:szCs w:val="24"/>
              </w:rPr>
              <w:tab/>
            </w:r>
            <w:r>
              <w:rPr>
                <w:sz w:val="24"/>
                <w:szCs w:val="24"/>
              </w:rPr>
              <w:fldChar w:fldCharType="begin"/>
            </w:r>
            <w:r>
              <w:rPr>
                <w:sz w:val="24"/>
                <w:szCs w:val="24"/>
              </w:rPr>
              <w:instrText xml:space="preserve"> PAGEREF _Toc30404121 \h </w:instrText>
            </w:r>
            <w:r>
              <w:rPr>
                <w:sz w:val="24"/>
                <w:szCs w:val="24"/>
              </w:rPr>
            </w:r>
            <w:r>
              <w:rPr>
                <w:sz w:val="24"/>
                <w:szCs w:val="24"/>
              </w:rPr>
              <w:fldChar w:fldCharType="separate"/>
            </w:r>
            <w:r>
              <w:rPr>
                <w:sz w:val="24"/>
                <w:szCs w:val="24"/>
              </w:rPr>
              <w:t>26</w:t>
            </w:r>
            <w:r>
              <w:rPr>
                <w:sz w:val="24"/>
                <w:szCs w:val="24"/>
              </w:rPr>
              <w:fldChar w:fldCharType="end"/>
            </w:r>
          </w:hyperlink>
        </w:p>
        <w:p>
          <w:pPr>
            <w:pStyle w:val="TOC3"/>
            <w:tabs>
              <w:tab w:val="left" w:pos="1445"/>
            </w:tabs>
            <w:rPr>
              <w:rFonts w:eastAsiaTheme="minorEastAsia"/>
              <w:noProof/>
              <w:sz w:val="24"/>
              <w:szCs w:val="24"/>
            </w:rPr>
          </w:pPr>
          <w:hyperlink w:anchor="_Toc30404122" w:history="1">
            <w:r>
              <w:rPr>
                <w:rStyle w:val="Hyperlink"/>
                <w:noProof/>
                <w:sz w:val="24"/>
                <w:szCs w:val="24"/>
              </w:rPr>
              <w:t>2.2.1.</w:t>
            </w:r>
            <w:r>
              <w:rPr>
                <w:rFonts w:eastAsiaTheme="minorEastAsia"/>
                <w:noProof/>
                <w:sz w:val="24"/>
                <w:szCs w:val="24"/>
              </w:rPr>
              <w:tab/>
            </w:r>
            <w:r>
              <w:rPr>
                <w:rStyle w:val="Hyperlink"/>
                <w:noProof/>
                <w:sz w:val="24"/>
                <w:szCs w:val="24"/>
              </w:rPr>
              <w:t>Pathways of introduction of non-indigenous species</w:t>
            </w:r>
            <w:r>
              <w:rPr>
                <w:noProof/>
                <w:sz w:val="24"/>
                <w:szCs w:val="24"/>
              </w:rPr>
              <w:tab/>
            </w:r>
            <w:r>
              <w:rPr>
                <w:noProof/>
                <w:sz w:val="24"/>
                <w:szCs w:val="24"/>
              </w:rPr>
              <w:fldChar w:fldCharType="begin"/>
            </w:r>
            <w:r>
              <w:rPr>
                <w:noProof/>
                <w:sz w:val="24"/>
                <w:szCs w:val="24"/>
              </w:rPr>
              <w:instrText xml:space="preserve"> PAGEREF _Toc30404122 \h </w:instrText>
            </w:r>
            <w:r>
              <w:rPr>
                <w:noProof/>
                <w:sz w:val="24"/>
                <w:szCs w:val="24"/>
              </w:rPr>
            </w:r>
            <w:r>
              <w:rPr>
                <w:noProof/>
                <w:sz w:val="24"/>
                <w:szCs w:val="24"/>
              </w:rPr>
              <w:fldChar w:fldCharType="separate"/>
            </w:r>
            <w:r>
              <w:rPr>
                <w:noProof/>
                <w:sz w:val="24"/>
                <w:szCs w:val="24"/>
              </w:rPr>
              <w:t>26</w:t>
            </w:r>
            <w:r>
              <w:rPr>
                <w:noProof/>
                <w:sz w:val="24"/>
                <w:szCs w:val="24"/>
              </w:rPr>
              <w:fldChar w:fldCharType="end"/>
            </w:r>
          </w:hyperlink>
        </w:p>
        <w:p>
          <w:pPr>
            <w:pStyle w:val="TOC3"/>
            <w:tabs>
              <w:tab w:val="left" w:pos="1445"/>
            </w:tabs>
            <w:rPr>
              <w:rFonts w:eastAsiaTheme="minorEastAsia"/>
              <w:noProof/>
              <w:sz w:val="24"/>
              <w:szCs w:val="24"/>
            </w:rPr>
          </w:pPr>
          <w:hyperlink w:anchor="_Toc30404123" w:history="1">
            <w:r>
              <w:rPr>
                <w:rStyle w:val="Hyperlink"/>
                <w:noProof/>
                <w:sz w:val="24"/>
                <w:szCs w:val="24"/>
              </w:rPr>
              <w:t>2.2.2.</w:t>
            </w:r>
            <w:r>
              <w:rPr>
                <w:rFonts w:eastAsiaTheme="minorEastAsia"/>
                <w:noProof/>
                <w:sz w:val="24"/>
                <w:szCs w:val="24"/>
              </w:rPr>
              <w:tab/>
            </w:r>
            <w:r>
              <w:rPr>
                <w:rStyle w:val="Hyperlink"/>
                <w:noProof/>
                <w:sz w:val="24"/>
                <w:szCs w:val="24"/>
              </w:rPr>
              <w:t>The native distribution range of non-indigenous species</w:t>
            </w:r>
            <w:r>
              <w:rPr>
                <w:noProof/>
                <w:sz w:val="24"/>
                <w:szCs w:val="24"/>
              </w:rPr>
              <w:tab/>
            </w:r>
            <w:r>
              <w:rPr>
                <w:noProof/>
                <w:sz w:val="24"/>
                <w:szCs w:val="24"/>
              </w:rPr>
              <w:fldChar w:fldCharType="begin"/>
            </w:r>
            <w:r>
              <w:rPr>
                <w:noProof/>
                <w:sz w:val="24"/>
                <w:szCs w:val="24"/>
              </w:rPr>
              <w:instrText xml:space="preserve"> PAGEREF _Toc30404123 \h </w:instrText>
            </w:r>
            <w:r>
              <w:rPr>
                <w:noProof/>
                <w:sz w:val="24"/>
                <w:szCs w:val="24"/>
              </w:rPr>
            </w:r>
            <w:r>
              <w:rPr>
                <w:noProof/>
                <w:sz w:val="24"/>
                <w:szCs w:val="24"/>
              </w:rPr>
              <w:fldChar w:fldCharType="separate"/>
            </w:r>
            <w:r>
              <w:rPr>
                <w:noProof/>
                <w:sz w:val="24"/>
                <w:szCs w:val="24"/>
              </w:rPr>
              <w:t>27</w:t>
            </w:r>
            <w:r>
              <w:rPr>
                <w:noProof/>
                <w:sz w:val="24"/>
                <w:szCs w:val="24"/>
              </w:rPr>
              <w:fldChar w:fldCharType="end"/>
            </w:r>
          </w:hyperlink>
        </w:p>
        <w:p>
          <w:pPr>
            <w:pStyle w:val="TOC1"/>
            <w:rPr>
              <w:rFonts w:eastAsiaTheme="minorEastAsia"/>
              <w:b w:val="0"/>
              <w:caps w:val="0"/>
              <w:noProof/>
              <w:sz w:val="24"/>
              <w:szCs w:val="24"/>
            </w:rPr>
          </w:pPr>
          <w:hyperlink w:anchor="_Toc30404124" w:history="1">
            <w:r>
              <w:rPr>
                <w:rStyle w:val="Hyperlink"/>
                <w:b w:val="0"/>
                <w:noProof/>
                <w:sz w:val="24"/>
                <w:szCs w:val="24"/>
              </w:rPr>
              <w:t>3.</w:t>
            </w:r>
            <w:r>
              <w:rPr>
                <w:rFonts w:eastAsiaTheme="minorEastAsia"/>
                <w:b w:val="0"/>
                <w:caps w:val="0"/>
                <w:noProof/>
                <w:sz w:val="24"/>
                <w:szCs w:val="24"/>
              </w:rPr>
              <w:tab/>
            </w:r>
            <w:r>
              <w:rPr>
                <w:rStyle w:val="Hyperlink"/>
                <w:b w:val="0"/>
                <w:noProof/>
                <w:sz w:val="24"/>
                <w:szCs w:val="24"/>
              </w:rPr>
              <w:t>Observed trends</w:t>
            </w:r>
            <w:r>
              <w:rPr>
                <w:b w:val="0"/>
                <w:noProof/>
                <w:sz w:val="24"/>
                <w:szCs w:val="24"/>
              </w:rPr>
              <w:tab/>
            </w:r>
            <w:r>
              <w:rPr>
                <w:b w:val="0"/>
                <w:noProof/>
                <w:sz w:val="24"/>
                <w:szCs w:val="24"/>
              </w:rPr>
              <w:fldChar w:fldCharType="begin"/>
            </w:r>
            <w:r>
              <w:rPr>
                <w:b w:val="0"/>
                <w:noProof/>
                <w:sz w:val="24"/>
                <w:szCs w:val="24"/>
              </w:rPr>
              <w:instrText xml:space="preserve"> PAGEREF _Toc30404124 \h </w:instrText>
            </w:r>
            <w:r>
              <w:rPr>
                <w:b w:val="0"/>
                <w:noProof/>
                <w:sz w:val="24"/>
                <w:szCs w:val="24"/>
              </w:rPr>
            </w:r>
            <w:r>
              <w:rPr>
                <w:b w:val="0"/>
                <w:noProof/>
                <w:sz w:val="24"/>
                <w:szCs w:val="24"/>
              </w:rPr>
              <w:fldChar w:fldCharType="separate"/>
            </w:r>
            <w:r>
              <w:rPr>
                <w:b w:val="0"/>
                <w:noProof/>
                <w:sz w:val="24"/>
                <w:szCs w:val="24"/>
              </w:rPr>
              <w:t>28</w:t>
            </w:r>
            <w:r>
              <w:rPr>
                <w:b w:val="0"/>
                <w:noProof/>
                <w:sz w:val="24"/>
                <w:szCs w:val="24"/>
              </w:rPr>
              <w:fldChar w:fldCharType="end"/>
            </w:r>
          </w:hyperlink>
        </w:p>
        <w:p>
          <w:pPr>
            <w:pStyle w:val="TOC1"/>
            <w:rPr>
              <w:rFonts w:eastAsiaTheme="minorEastAsia"/>
              <w:b w:val="0"/>
              <w:caps w:val="0"/>
              <w:noProof/>
              <w:sz w:val="24"/>
              <w:szCs w:val="24"/>
            </w:rPr>
          </w:pPr>
          <w:hyperlink w:anchor="_Toc30404125" w:history="1">
            <w:r>
              <w:rPr>
                <w:rStyle w:val="Hyperlink"/>
                <w:b w:val="0"/>
                <w:noProof/>
                <w:sz w:val="24"/>
                <w:szCs w:val="24"/>
              </w:rPr>
              <w:t>4.</w:t>
            </w:r>
            <w:r>
              <w:rPr>
                <w:rFonts w:eastAsiaTheme="minorEastAsia"/>
                <w:b w:val="0"/>
                <w:caps w:val="0"/>
                <w:noProof/>
                <w:sz w:val="24"/>
                <w:szCs w:val="24"/>
              </w:rPr>
              <w:tab/>
            </w:r>
            <w:r>
              <w:rPr>
                <w:rStyle w:val="Hyperlink"/>
                <w:b w:val="0"/>
                <w:noProof/>
                <w:sz w:val="24"/>
                <w:szCs w:val="24"/>
              </w:rPr>
              <w:t>Main impacts</w:t>
            </w:r>
            <w:r>
              <w:rPr>
                <w:b w:val="0"/>
                <w:noProof/>
                <w:sz w:val="24"/>
                <w:szCs w:val="24"/>
              </w:rPr>
              <w:tab/>
            </w:r>
            <w:r>
              <w:rPr>
                <w:b w:val="0"/>
                <w:noProof/>
                <w:sz w:val="24"/>
                <w:szCs w:val="24"/>
              </w:rPr>
              <w:fldChar w:fldCharType="begin"/>
            </w:r>
            <w:r>
              <w:rPr>
                <w:b w:val="0"/>
                <w:noProof/>
                <w:sz w:val="24"/>
                <w:szCs w:val="24"/>
              </w:rPr>
              <w:instrText xml:space="preserve"> PAGEREF _Toc30404125 \h </w:instrText>
            </w:r>
            <w:r>
              <w:rPr>
                <w:b w:val="0"/>
                <w:noProof/>
                <w:sz w:val="24"/>
                <w:szCs w:val="24"/>
              </w:rPr>
            </w:r>
            <w:r>
              <w:rPr>
                <w:b w:val="0"/>
                <w:noProof/>
                <w:sz w:val="24"/>
                <w:szCs w:val="24"/>
              </w:rPr>
              <w:fldChar w:fldCharType="separate"/>
            </w:r>
            <w:r>
              <w:rPr>
                <w:b w:val="0"/>
                <w:noProof/>
                <w:sz w:val="24"/>
                <w:szCs w:val="24"/>
              </w:rPr>
              <w:t>30</w:t>
            </w:r>
            <w:r>
              <w:rPr>
                <w:b w:val="0"/>
                <w:noProof/>
                <w:sz w:val="24"/>
                <w:szCs w:val="24"/>
              </w:rPr>
              <w:fldChar w:fldCharType="end"/>
            </w:r>
          </w:hyperlink>
        </w:p>
        <w:p>
          <w:pPr>
            <w:pStyle w:val="TOC1"/>
            <w:rPr>
              <w:rFonts w:eastAsiaTheme="minorEastAsia"/>
              <w:b w:val="0"/>
              <w:caps w:val="0"/>
              <w:noProof/>
              <w:sz w:val="24"/>
              <w:szCs w:val="24"/>
            </w:rPr>
          </w:pPr>
          <w:hyperlink w:anchor="_Toc30404126" w:history="1">
            <w:r>
              <w:rPr>
                <w:rStyle w:val="Hyperlink"/>
                <w:b w:val="0"/>
                <w:noProof/>
                <w:sz w:val="24"/>
                <w:szCs w:val="24"/>
              </w:rPr>
              <w:t>5.</w:t>
            </w:r>
            <w:r>
              <w:rPr>
                <w:rFonts w:eastAsiaTheme="minorEastAsia"/>
                <w:b w:val="0"/>
                <w:caps w:val="0"/>
                <w:noProof/>
                <w:sz w:val="24"/>
                <w:szCs w:val="24"/>
              </w:rPr>
              <w:tab/>
            </w:r>
            <w:r>
              <w:rPr>
                <w:rStyle w:val="Hyperlink"/>
                <w:rFonts w:eastAsiaTheme="minorHAnsi"/>
                <w:b w:val="0"/>
                <w:noProof/>
                <w:sz w:val="24"/>
                <w:szCs w:val="24"/>
              </w:rPr>
              <w:t>Technical</w:t>
            </w:r>
            <w:r>
              <w:rPr>
                <w:rStyle w:val="Hyperlink"/>
                <w:b w:val="0"/>
                <w:noProof/>
                <w:sz w:val="24"/>
                <w:szCs w:val="24"/>
              </w:rPr>
              <w:t xml:space="preserve"> observations</w:t>
            </w:r>
            <w:r>
              <w:rPr>
                <w:b w:val="0"/>
                <w:noProof/>
                <w:sz w:val="24"/>
                <w:szCs w:val="24"/>
              </w:rPr>
              <w:tab/>
            </w:r>
            <w:r>
              <w:rPr>
                <w:b w:val="0"/>
                <w:noProof/>
                <w:sz w:val="24"/>
                <w:szCs w:val="24"/>
              </w:rPr>
              <w:fldChar w:fldCharType="begin"/>
            </w:r>
            <w:r>
              <w:rPr>
                <w:b w:val="0"/>
                <w:noProof/>
                <w:sz w:val="24"/>
                <w:szCs w:val="24"/>
              </w:rPr>
              <w:instrText xml:space="preserve"> PAGEREF _Toc30404126 \h </w:instrText>
            </w:r>
            <w:r>
              <w:rPr>
                <w:b w:val="0"/>
                <w:noProof/>
                <w:sz w:val="24"/>
                <w:szCs w:val="24"/>
              </w:rPr>
            </w:r>
            <w:r>
              <w:rPr>
                <w:b w:val="0"/>
                <w:noProof/>
                <w:sz w:val="24"/>
                <w:szCs w:val="24"/>
              </w:rPr>
              <w:fldChar w:fldCharType="separate"/>
            </w:r>
            <w:r>
              <w:rPr>
                <w:b w:val="0"/>
                <w:noProof/>
                <w:sz w:val="24"/>
                <w:szCs w:val="24"/>
              </w:rPr>
              <w:t>31</w:t>
            </w:r>
            <w:r>
              <w:rPr>
                <w:b w:val="0"/>
                <w:noProof/>
                <w:sz w:val="24"/>
                <w:szCs w:val="24"/>
              </w:rPr>
              <w:fldChar w:fldCharType="end"/>
            </w:r>
          </w:hyperlink>
        </w:p>
        <w:p>
          <w:pPr>
            <w:pStyle w:val="TOC1"/>
            <w:rPr>
              <w:rFonts w:eastAsiaTheme="minorEastAsia"/>
              <w:b w:val="0"/>
              <w:caps w:val="0"/>
              <w:noProof/>
              <w:sz w:val="24"/>
              <w:szCs w:val="24"/>
            </w:rPr>
          </w:pPr>
          <w:hyperlink w:anchor="_Toc30404127" w:history="1">
            <w:r>
              <w:rPr>
                <w:rStyle w:val="Hyperlink"/>
                <w:b w:val="0"/>
                <w:noProof/>
                <w:sz w:val="24"/>
                <w:szCs w:val="24"/>
              </w:rPr>
              <w:t>6.</w:t>
            </w:r>
            <w:r>
              <w:rPr>
                <w:rFonts w:eastAsiaTheme="minorEastAsia"/>
                <w:b w:val="0"/>
                <w:caps w:val="0"/>
                <w:noProof/>
                <w:sz w:val="24"/>
                <w:szCs w:val="24"/>
              </w:rPr>
              <w:tab/>
            </w:r>
            <w:r>
              <w:rPr>
                <w:rStyle w:val="Hyperlink"/>
                <w:b w:val="0"/>
                <w:noProof/>
                <w:sz w:val="24"/>
                <w:szCs w:val="24"/>
              </w:rPr>
              <w:t>Key messages</w:t>
            </w:r>
            <w:r>
              <w:rPr>
                <w:b w:val="0"/>
                <w:noProof/>
                <w:sz w:val="24"/>
                <w:szCs w:val="24"/>
              </w:rPr>
              <w:tab/>
            </w:r>
            <w:r>
              <w:rPr>
                <w:b w:val="0"/>
                <w:noProof/>
                <w:sz w:val="24"/>
                <w:szCs w:val="24"/>
              </w:rPr>
              <w:fldChar w:fldCharType="begin"/>
            </w:r>
            <w:r>
              <w:rPr>
                <w:b w:val="0"/>
                <w:noProof/>
                <w:sz w:val="24"/>
                <w:szCs w:val="24"/>
              </w:rPr>
              <w:instrText xml:space="preserve"> PAGEREF _Toc30404127 \h </w:instrText>
            </w:r>
            <w:r>
              <w:rPr>
                <w:b w:val="0"/>
                <w:noProof/>
                <w:sz w:val="24"/>
                <w:szCs w:val="24"/>
              </w:rPr>
            </w:r>
            <w:r>
              <w:rPr>
                <w:b w:val="0"/>
                <w:noProof/>
                <w:sz w:val="24"/>
                <w:szCs w:val="24"/>
              </w:rPr>
              <w:fldChar w:fldCharType="separate"/>
            </w:r>
            <w:r>
              <w:rPr>
                <w:b w:val="0"/>
                <w:noProof/>
                <w:sz w:val="24"/>
                <w:szCs w:val="24"/>
              </w:rPr>
              <w:t>32</w:t>
            </w:r>
            <w:r>
              <w:rPr>
                <w:b w:val="0"/>
                <w:noProof/>
                <w:sz w:val="24"/>
                <w:szCs w:val="24"/>
              </w:rPr>
              <w:fldChar w:fldCharType="end"/>
            </w:r>
          </w:hyperlink>
        </w:p>
        <w:p>
          <w:pPr>
            <w:pStyle w:val="TOC5"/>
            <w:rPr>
              <w:rFonts w:eastAsiaTheme="minorEastAsia"/>
              <w:noProof/>
              <w:szCs w:val="24"/>
            </w:rPr>
          </w:pPr>
          <w:hyperlink w:anchor="_Toc30404128" w:history="1">
            <w:r>
              <w:rPr>
                <w:rStyle w:val="Hyperlink"/>
                <w:noProof/>
                <w:szCs w:val="24"/>
              </w:rPr>
              <w:t>Descriptor 3: Populations of all commercially-exploited fish and shellfish are within safe biological limits, exhibiting a population age and size distribution that is indicative of a healthy stock</w:t>
            </w:r>
            <w:r>
              <w:rPr>
                <w:noProof/>
                <w:szCs w:val="24"/>
              </w:rPr>
              <w:tab/>
            </w:r>
            <w:r>
              <w:rPr>
                <w:noProof/>
                <w:szCs w:val="24"/>
              </w:rPr>
              <w:fldChar w:fldCharType="begin"/>
            </w:r>
            <w:r>
              <w:rPr>
                <w:noProof/>
                <w:szCs w:val="24"/>
              </w:rPr>
              <w:instrText xml:space="preserve"> PAGEREF _Toc30404128 \h </w:instrText>
            </w:r>
            <w:r>
              <w:rPr>
                <w:noProof/>
                <w:szCs w:val="24"/>
              </w:rPr>
            </w:r>
            <w:r>
              <w:rPr>
                <w:noProof/>
                <w:szCs w:val="24"/>
              </w:rPr>
              <w:fldChar w:fldCharType="separate"/>
            </w:r>
            <w:r>
              <w:rPr>
                <w:noProof/>
                <w:szCs w:val="24"/>
              </w:rPr>
              <w:t>33</w:t>
            </w:r>
            <w:r>
              <w:rPr>
                <w:noProof/>
                <w:szCs w:val="24"/>
              </w:rPr>
              <w:fldChar w:fldCharType="end"/>
            </w:r>
          </w:hyperlink>
        </w:p>
        <w:p>
          <w:pPr>
            <w:pStyle w:val="TOC1"/>
            <w:rPr>
              <w:rFonts w:eastAsiaTheme="minorEastAsia"/>
              <w:b w:val="0"/>
              <w:caps w:val="0"/>
              <w:noProof/>
              <w:sz w:val="24"/>
              <w:szCs w:val="24"/>
            </w:rPr>
          </w:pPr>
          <w:hyperlink w:anchor="_Toc30404129" w:history="1">
            <w:r>
              <w:rPr>
                <w:rStyle w:val="Hyperlink"/>
                <w:b w:val="0"/>
                <w:noProof/>
                <w:sz w:val="24"/>
                <w:szCs w:val="24"/>
              </w:rPr>
              <w:t>1.</w:t>
            </w:r>
            <w:r>
              <w:rPr>
                <w:rFonts w:eastAsiaTheme="minorEastAsia"/>
                <w:b w:val="0"/>
                <w:caps w:val="0"/>
                <w:noProof/>
                <w:sz w:val="24"/>
                <w:szCs w:val="24"/>
              </w:rPr>
              <w:tab/>
            </w:r>
            <w:r>
              <w:rPr>
                <w:rStyle w:val="Hyperlink"/>
                <w:b w:val="0"/>
                <w:noProof/>
                <w:sz w:val="24"/>
                <w:szCs w:val="24"/>
              </w:rPr>
              <w:t>MSFD and broader legal framework</w:t>
            </w:r>
            <w:r>
              <w:rPr>
                <w:b w:val="0"/>
                <w:noProof/>
                <w:sz w:val="24"/>
                <w:szCs w:val="24"/>
              </w:rPr>
              <w:tab/>
            </w:r>
            <w:r>
              <w:rPr>
                <w:b w:val="0"/>
                <w:noProof/>
                <w:sz w:val="24"/>
                <w:szCs w:val="24"/>
              </w:rPr>
              <w:fldChar w:fldCharType="begin"/>
            </w:r>
            <w:r>
              <w:rPr>
                <w:b w:val="0"/>
                <w:noProof/>
                <w:sz w:val="24"/>
                <w:szCs w:val="24"/>
              </w:rPr>
              <w:instrText xml:space="preserve"> PAGEREF _Toc30404129 \h </w:instrText>
            </w:r>
            <w:r>
              <w:rPr>
                <w:b w:val="0"/>
                <w:noProof/>
                <w:sz w:val="24"/>
                <w:szCs w:val="24"/>
              </w:rPr>
            </w:r>
            <w:r>
              <w:rPr>
                <w:b w:val="0"/>
                <w:noProof/>
                <w:sz w:val="24"/>
                <w:szCs w:val="24"/>
              </w:rPr>
              <w:fldChar w:fldCharType="separate"/>
            </w:r>
            <w:r>
              <w:rPr>
                <w:b w:val="0"/>
                <w:noProof/>
                <w:sz w:val="24"/>
                <w:szCs w:val="24"/>
              </w:rPr>
              <w:t>33</w:t>
            </w:r>
            <w:r>
              <w:rPr>
                <w:b w:val="0"/>
                <w:noProof/>
                <w:sz w:val="24"/>
                <w:szCs w:val="24"/>
              </w:rPr>
              <w:fldChar w:fldCharType="end"/>
            </w:r>
          </w:hyperlink>
        </w:p>
        <w:p>
          <w:pPr>
            <w:pStyle w:val="TOC1"/>
            <w:rPr>
              <w:rFonts w:eastAsiaTheme="minorEastAsia"/>
              <w:b w:val="0"/>
              <w:caps w:val="0"/>
              <w:noProof/>
              <w:sz w:val="24"/>
              <w:szCs w:val="24"/>
            </w:rPr>
          </w:pPr>
          <w:hyperlink w:anchor="_Toc30404130" w:history="1">
            <w:r>
              <w:rPr>
                <w:rStyle w:val="Hyperlink"/>
                <w:b w:val="0"/>
                <w:noProof/>
                <w:sz w:val="24"/>
                <w:szCs w:val="24"/>
              </w:rPr>
              <w:t>2.</w:t>
            </w:r>
            <w:r>
              <w:rPr>
                <w:rFonts w:eastAsiaTheme="minorEastAsia"/>
                <w:b w:val="0"/>
                <w:caps w:val="0"/>
                <w:noProof/>
                <w:sz w:val="24"/>
                <w:szCs w:val="24"/>
              </w:rPr>
              <w:tab/>
            </w:r>
            <w:r>
              <w:rPr>
                <w:rStyle w:val="Hyperlink"/>
                <w:b w:val="0"/>
                <w:noProof/>
                <w:sz w:val="24"/>
                <w:szCs w:val="24"/>
              </w:rPr>
              <w:t>Observed status of the EU’s commercial fish and shellfish</w:t>
            </w:r>
            <w:r>
              <w:rPr>
                <w:b w:val="0"/>
                <w:noProof/>
                <w:sz w:val="24"/>
                <w:szCs w:val="24"/>
              </w:rPr>
              <w:tab/>
            </w:r>
            <w:r>
              <w:rPr>
                <w:b w:val="0"/>
                <w:noProof/>
                <w:sz w:val="24"/>
                <w:szCs w:val="24"/>
              </w:rPr>
              <w:fldChar w:fldCharType="begin"/>
            </w:r>
            <w:r>
              <w:rPr>
                <w:b w:val="0"/>
                <w:noProof/>
                <w:sz w:val="24"/>
                <w:szCs w:val="24"/>
              </w:rPr>
              <w:instrText xml:space="preserve"> PAGEREF _Toc30404130 \h </w:instrText>
            </w:r>
            <w:r>
              <w:rPr>
                <w:b w:val="0"/>
                <w:noProof/>
                <w:sz w:val="24"/>
                <w:szCs w:val="24"/>
              </w:rPr>
            </w:r>
            <w:r>
              <w:rPr>
                <w:b w:val="0"/>
                <w:noProof/>
                <w:sz w:val="24"/>
                <w:szCs w:val="24"/>
              </w:rPr>
              <w:fldChar w:fldCharType="separate"/>
            </w:r>
            <w:r>
              <w:rPr>
                <w:b w:val="0"/>
                <w:noProof/>
                <w:sz w:val="24"/>
                <w:szCs w:val="24"/>
              </w:rPr>
              <w:t>35</w:t>
            </w:r>
            <w:r>
              <w:rPr>
                <w:b w:val="0"/>
                <w:noProof/>
                <w:sz w:val="24"/>
                <w:szCs w:val="24"/>
              </w:rPr>
              <w:fldChar w:fldCharType="end"/>
            </w:r>
          </w:hyperlink>
        </w:p>
        <w:p>
          <w:pPr>
            <w:pStyle w:val="TOC2"/>
            <w:rPr>
              <w:rFonts w:eastAsiaTheme="minorEastAsia"/>
              <w:sz w:val="24"/>
              <w:szCs w:val="24"/>
            </w:rPr>
          </w:pPr>
          <w:hyperlink w:anchor="_Toc30404131" w:history="1">
            <w:r>
              <w:rPr>
                <w:rStyle w:val="Hyperlink"/>
                <w:sz w:val="24"/>
                <w:szCs w:val="24"/>
              </w:rPr>
              <w:t>2.1.</w:t>
            </w:r>
            <w:r>
              <w:rPr>
                <w:rFonts w:eastAsiaTheme="minorEastAsia"/>
                <w:sz w:val="24"/>
                <w:szCs w:val="24"/>
              </w:rPr>
              <w:tab/>
            </w:r>
            <w:r>
              <w:rPr>
                <w:rStyle w:val="Hyperlink"/>
                <w:sz w:val="24"/>
                <w:szCs w:val="24"/>
              </w:rPr>
              <w:t>Ongoing reporting under the MSFD</w:t>
            </w:r>
            <w:r>
              <w:rPr>
                <w:sz w:val="24"/>
                <w:szCs w:val="24"/>
              </w:rPr>
              <w:tab/>
            </w:r>
            <w:r>
              <w:rPr>
                <w:sz w:val="24"/>
                <w:szCs w:val="24"/>
              </w:rPr>
              <w:fldChar w:fldCharType="begin"/>
            </w:r>
            <w:r>
              <w:rPr>
                <w:sz w:val="24"/>
                <w:szCs w:val="24"/>
              </w:rPr>
              <w:instrText xml:space="preserve"> PAGEREF _Toc30404131 \h </w:instrText>
            </w:r>
            <w:r>
              <w:rPr>
                <w:sz w:val="24"/>
                <w:szCs w:val="24"/>
              </w:rPr>
            </w:r>
            <w:r>
              <w:rPr>
                <w:sz w:val="24"/>
                <w:szCs w:val="24"/>
              </w:rPr>
              <w:fldChar w:fldCharType="separate"/>
            </w:r>
            <w:r>
              <w:rPr>
                <w:sz w:val="24"/>
                <w:szCs w:val="24"/>
              </w:rPr>
              <w:t>35</w:t>
            </w:r>
            <w:r>
              <w:rPr>
                <w:sz w:val="24"/>
                <w:szCs w:val="24"/>
              </w:rPr>
              <w:fldChar w:fldCharType="end"/>
            </w:r>
          </w:hyperlink>
        </w:p>
        <w:p>
          <w:pPr>
            <w:pStyle w:val="TOC2"/>
            <w:rPr>
              <w:rFonts w:eastAsiaTheme="minorEastAsia"/>
              <w:sz w:val="24"/>
              <w:szCs w:val="24"/>
            </w:rPr>
          </w:pPr>
          <w:hyperlink w:anchor="_Toc30404132" w:history="1">
            <w:r>
              <w:rPr>
                <w:rStyle w:val="Hyperlink"/>
                <w:sz w:val="24"/>
                <w:szCs w:val="24"/>
              </w:rPr>
              <w:t>2.2.</w:t>
            </w:r>
            <w:r>
              <w:rPr>
                <w:rFonts w:eastAsiaTheme="minorEastAsia"/>
                <w:sz w:val="24"/>
                <w:szCs w:val="24"/>
              </w:rPr>
              <w:tab/>
            </w:r>
            <w:r>
              <w:rPr>
                <w:rStyle w:val="Hyperlink"/>
                <w:sz w:val="24"/>
                <w:szCs w:val="24"/>
              </w:rPr>
              <w:t>Other assessments</w:t>
            </w:r>
            <w:r>
              <w:rPr>
                <w:sz w:val="24"/>
                <w:szCs w:val="24"/>
              </w:rPr>
              <w:tab/>
            </w:r>
            <w:r>
              <w:rPr>
                <w:sz w:val="24"/>
                <w:szCs w:val="24"/>
              </w:rPr>
              <w:fldChar w:fldCharType="begin"/>
            </w:r>
            <w:r>
              <w:rPr>
                <w:sz w:val="24"/>
                <w:szCs w:val="24"/>
              </w:rPr>
              <w:instrText xml:space="preserve"> PAGEREF _Toc30404132 \h </w:instrText>
            </w:r>
            <w:r>
              <w:rPr>
                <w:sz w:val="24"/>
                <w:szCs w:val="24"/>
              </w:rPr>
            </w:r>
            <w:r>
              <w:rPr>
                <w:sz w:val="24"/>
                <w:szCs w:val="24"/>
              </w:rPr>
              <w:fldChar w:fldCharType="separate"/>
            </w:r>
            <w:r>
              <w:rPr>
                <w:sz w:val="24"/>
                <w:szCs w:val="24"/>
              </w:rPr>
              <w:t>35</w:t>
            </w:r>
            <w:r>
              <w:rPr>
                <w:sz w:val="24"/>
                <w:szCs w:val="24"/>
              </w:rPr>
              <w:fldChar w:fldCharType="end"/>
            </w:r>
          </w:hyperlink>
        </w:p>
        <w:p>
          <w:pPr>
            <w:pStyle w:val="TOC1"/>
            <w:rPr>
              <w:rFonts w:eastAsiaTheme="minorEastAsia"/>
              <w:b w:val="0"/>
              <w:caps w:val="0"/>
              <w:noProof/>
              <w:sz w:val="24"/>
              <w:szCs w:val="24"/>
            </w:rPr>
          </w:pPr>
          <w:hyperlink w:anchor="_Toc30404133" w:history="1">
            <w:r>
              <w:rPr>
                <w:rStyle w:val="Hyperlink"/>
                <w:b w:val="0"/>
                <w:noProof/>
                <w:sz w:val="24"/>
                <w:szCs w:val="24"/>
              </w:rPr>
              <w:t>3.</w:t>
            </w:r>
            <w:r>
              <w:rPr>
                <w:rFonts w:eastAsiaTheme="minorEastAsia"/>
                <w:b w:val="0"/>
                <w:caps w:val="0"/>
                <w:noProof/>
                <w:sz w:val="24"/>
                <w:szCs w:val="24"/>
              </w:rPr>
              <w:tab/>
            </w:r>
            <w:r>
              <w:rPr>
                <w:rStyle w:val="Hyperlink"/>
                <w:b w:val="0"/>
                <w:noProof/>
                <w:sz w:val="24"/>
                <w:szCs w:val="24"/>
              </w:rPr>
              <w:t>Observed trends</w:t>
            </w:r>
            <w:r>
              <w:rPr>
                <w:b w:val="0"/>
                <w:noProof/>
                <w:sz w:val="24"/>
                <w:szCs w:val="24"/>
              </w:rPr>
              <w:tab/>
            </w:r>
            <w:r>
              <w:rPr>
                <w:b w:val="0"/>
                <w:noProof/>
                <w:sz w:val="24"/>
                <w:szCs w:val="24"/>
              </w:rPr>
              <w:fldChar w:fldCharType="begin"/>
            </w:r>
            <w:r>
              <w:rPr>
                <w:b w:val="0"/>
                <w:noProof/>
                <w:sz w:val="24"/>
                <w:szCs w:val="24"/>
              </w:rPr>
              <w:instrText xml:space="preserve"> PAGEREF _Toc30404133 \h </w:instrText>
            </w:r>
            <w:r>
              <w:rPr>
                <w:b w:val="0"/>
                <w:noProof/>
                <w:sz w:val="24"/>
                <w:szCs w:val="24"/>
              </w:rPr>
            </w:r>
            <w:r>
              <w:rPr>
                <w:b w:val="0"/>
                <w:noProof/>
                <w:sz w:val="24"/>
                <w:szCs w:val="24"/>
              </w:rPr>
              <w:fldChar w:fldCharType="separate"/>
            </w:r>
            <w:r>
              <w:rPr>
                <w:b w:val="0"/>
                <w:noProof/>
                <w:sz w:val="24"/>
                <w:szCs w:val="24"/>
              </w:rPr>
              <w:t>38</w:t>
            </w:r>
            <w:r>
              <w:rPr>
                <w:b w:val="0"/>
                <w:noProof/>
                <w:sz w:val="24"/>
                <w:szCs w:val="24"/>
              </w:rPr>
              <w:fldChar w:fldCharType="end"/>
            </w:r>
          </w:hyperlink>
        </w:p>
        <w:p>
          <w:pPr>
            <w:pStyle w:val="TOC1"/>
            <w:rPr>
              <w:rFonts w:eastAsiaTheme="minorEastAsia"/>
              <w:b w:val="0"/>
              <w:caps w:val="0"/>
              <w:noProof/>
              <w:sz w:val="24"/>
              <w:szCs w:val="24"/>
            </w:rPr>
          </w:pPr>
          <w:hyperlink w:anchor="_Toc30404134" w:history="1">
            <w:r>
              <w:rPr>
                <w:rStyle w:val="Hyperlink"/>
                <w:b w:val="0"/>
                <w:noProof/>
                <w:sz w:val="24"/>
                <w:szCs w:val="24"/>
              </w:rPr>
              <w:t>4.</w:t>
            </w:r>
            <w:r>
              <w:rPr>
                <w:rFonts w:eastAsiaTheme="minorEastAsia"/>
                <w:b w:val="0"/>
                <w:caps w:val="0"/>
                <w:noProof/>
                <w:sz w:val="24"/>
                <w:szCs w:val="24"/>
              </w:rPr>
              <w:tab/>
            </w:r>
            <w:r>
              <w:rPr>
                <w:rStyle w:val="Hyperlink"/>
                <w:rFonts w:eastAsiaTheme="minorHAnsi"/>
                <w:b w:val="0"/>
                <w:noProof/>
                <w:sz w:val="24"/>
                <w:szCs w:val="24"/>
              </w:rPr>
              <w:t xml:space="preserve">Technical </w:t>
            </w:r>
            <w:r>
              <w:rPr>
                <w:rStyle w:val="Hyperlink"/>
                <w:b w:val="0"/>
                <w:noProof/>
                <w:sz w:val="24"/>
                <w:szCs w:val="24"/>
              </w:rPr>
              <w:t>observations</w:t>
            </w:r>
            <w:r>
              <w:rPr>
                <w:b w:val="0"/>
                <w:noProof/>
                <w:sz w:val="24"/>
                <w:szCs w:val="24"/>
              </w:rPr>
              <w:tab/>
            </w:r>
            <w:r>
              <w:rPr>
                <w:b w:val="0"/>
                <w:noProof/>
                <w:sz w:val="24"/>
                <w:szCs w:val="24"/>
              </w:rPr>
              <w:fldChar w:fldCharType="begin"/>
            </w:r>
            <w:r>
              <w:rPr>
                <w:b w:val="0"/>
                <w:noProof/>
                <w:sz w:val="24"/>
                <w:szCs w:val="24"/>
              </w:rPr>
              <w:instrText xml:space="preserve"> PAGEREF _Toc30404134 \h </w:instrText>
            </w:r>
            <w:r>
              <w:rPr>
                <w:b w:val="0"/>
                <w:noProof/>
                <w:sz w:val="24"/>
                <w:szCs w:val="24"/>
              </w:rPr>
            </w:r>
            <w:r>
              <w:rPr>
                <w:b w:val="0"/>
                <w:noProof/>
                <w:sz w:val="24"/>
                <w:szCs w:val="24"/>
              </w:rPr>
              <w:fldChar w:fldCharType="separate"/>
            </w:r>
            <w:r>
              <w:rPr>
                <w:b w:val="0"/>
                <w:noProof/>
                <w:sz w:val="24"/>
                <w:szCs w:val="24"/>
              </w:rPr>
              <w:t>42</w:t>
            </w:r>
            <w:r>
              <w:rPr>
                <w:b w:val="0"/>
                <w:noProof/>
                <w:sz w:val="24"/>
                <w:szCs w:val="24"/>
              </w:rPr>
              <w:fldChar w:fldCharType="end"/>
            </w:r>
          </w:hyperlink>
        </w:p>
        <w:p>
          <w:pPr>
            <w:pStyle w:val="TOC1"/>
            <w:rPr>
              <w:rFonts w:eastAsiaTheme="minorEastAsia"/>
              <w:b w:val="0"/>
              <w:caps w:val="0"/>
              <w:noProof/>
              <w:sz w:val="24"/>
              <w:szCs w:val="24"/>
            </w:rPr>
          </w:pPr>
          <w:hyperlink w:anchor="_Toc30404135" w:history="1">
            <w:r>
              <w:rPr>
                <w:rStyle w:val="Hyperlink"/>
                <w:b w:val="0"/>
                <w:noProof/>
                <w:sz w:val="24"/>
                <w:szCs w:val="24"/>
              </w:rPr>
              <w:t>5.</w:t>
            </w:r>
            <w:r>
              <w:rPr>
                <w:rFonts w:eastAsiaTheme="minorEastAsia"/>
                <w:b w:val="0"/>
                <w:caps w:val="0"/>
                <w:noProof/>
                <w:sz w:val="24"/>
                <w:szCs w:val="24"/>
              </w:rPr>
              <w:tab/>
            </w:r>
            <w:r>
              <w:rPr>
                <w:rStyle w:val="Hyperlink"/>
                <w:b w:val="0"/>
                <w:noProof/>
                <w:sz w:val="24"/>
                <w:szCs w:val="24"/>
              </w:rPr>
              <w:t>Key messages</w:t>
            </w:r>
            <w:r>
              <w:rPr>
                <w:b w:val="0"/>
                <w:noProof/>
                <w:sz w:val="24"/>
                <w:szCs w:val="24"/>
              </w:rPr>
              <w:tab/>
            </w:r>
            <w:r>
              <w:rPr>
                <w:b w:val="0"/>
                <w:noProof/>
                <w:sz w:val="24"/>
                <w:szCs w:val="24"/>
              </w:rPr>
              <w:fldChar w:fldCharType="begin"/>
            </w:r>
            <w:r>
              <w:rPr>
                <w:b w:val="0"/>
                <w:noProof/>
                <w:sz w:val="24"/>
                <w:szCs w:val="24"/>
              </w:rPr>
              <w:instrText xml:space="preserve"> PAGEREF _Toc30404135 \h </w:instrText>
            </w:r>
            <w:r>
              <w:rPr>
                <w:b w:val="0"/>
                <w:noProof/>
                <w:sz w:val="24"/>
                <w:szCs w:val="24"/>
              </w:rPr>
            </w:r>
            <w:r>
              <w:rPr>
                <w:b w:val="0"/>
                <w:noProof/>
                <w:sz w:val="24"/>
                <w:szCs w:val="24"/>
              </w:rPr>
              <w:fldChar w:fldCharType="separate"/>
            </w:r>
            <w:r>
              <w:rPr>
                <w:b w:val="0"/>
                <w:noProof/>
                <w:sz w:val="24"/>
                <w:szCs w:val="24"/>
              </w:rPr>
              <w:t>43</w:t>
            </w:r>
            <w:r>
              <w:rPr>
                <w:b w:val="0"/>
                <w:noProof/>
                <w:sz w:val="24"/>
                <w:szCs w:val="24"/>
              </w:rPr>
              <w:fldChar w:fldCharType="end"/>
            </w:r>
          </w:hyperlink>
        </w:p>
        <w:p>
          <w:pPr>
            <w:pStyle w:val="TOC5"/>
            <w:rPr>
              <w:rFonts w:eastAsiaTheme="minorEastAsia"/>
              <w:noProof/>
              <w:szCs w:val="24"/>
            </w:rPr>
          </w:pPr>
          <w:hyperlink w:anchor="_Toc30404136" w:history="1">
            <w:r>
              <w:rPr>
                <w:rStyle w:val="Hyperlink"/>
                <w:noProof/>
                <w:szCs w:val="24"/>
              </w:rPr>
              <w:t>Descriptor 4: All elements of the marine food webs, to the extent that they are known, occur at normal abundance and diversity and levels capable of ensuring the long-term abundance of the species and the retention of their full reproductive capacity</w:t>
            </w:r>
            <w:r>
              <w:rPr>
                <w:noProof/>
                <w:szCs w:val="24"/>
              </w:rPr>
              <w:tab/>
            </w:r>
            <w:r>
              <w:rPr>
                <w:noProof/>
                <w:szCs w:val="24"/>
              </w:rPr>
              <w:fldChar w:fldCharType="begin"/>
            </w:r>
            <w:r>
              <w:rPr>
                <w:noProof/>
                <w:szCs w:val="24"/>
              </w:rPr>
              <w:instrText xml:space="preserve"> PAGEREF _Toc30404136 \h </w:instrText>
            </w:r>
            <w:r>
              <w:rPr>
                <w:noProof/>
                <w:szCs w:val="24"/>
              </w:rPr>
            </w:r>
            <w:r>
              <w:rPr>
                <w:noProof/>
                <w:szCs w:val="24"/>
              </w:rPr>
              <w:fldChar w:fldCharType="separate"/>
            </w:r>
            <w:r>
              <w:rPr>
                <w:noProof/>
                <w:szCs w:val="24"/>
              </w:rPr>
              <w:t>44</w:t>
            </w:r>
            <w:r>
              <w:rPr>
                <w:noProof/>
                <w:szCs w:val="24"/>
              </w:rPr>
              <w:fldChar w:fldCharType="end"/>
            </w:r>
          </w:hyperlink>
        </w:p>
        <w:p>
          <w:pPr>
            <w:pStyle w:val="TOC1"/>
            <w:rPr>
              <w:rFonts w:eastAsiaTheme="minorEastAsia"/>
              <w:b w:val="0"/>
              <w:caps w:val="0"/>
              <w:noProof/>
              <w:sz w:val="24"/>
              <w:szCs w:val="24"/>
            </w:rPr>
          </w:pPr>
          <w:hyperlink w:anchor="_Toc30404137" w:history="1">
            <w:r>
              <w:rPr>
                <w:rStyle w:val="Hyperlink"/>
                <w:b w:val="0"/>
                <w:noProof/>
                <w:sz w:val="24"/>
                <w:szCs w:val="24"/>
              </w:rPr>
              <w:t>1.</w:t>
            </w:r>
            <w:r>
              <w:rPr>
                <w:rFonts w:eastAsiaTheme="minorEastAsia"/>
                <w:b w:val="0"/>
                <w:caps w:val="0"/>
                <w:noProof/>
                <w:sz w:val="24"/>
                <w:szCs w:val="24"/>
              </w:rPr>
              <w:tab/>
            </w:r>
            <w:r>
              <w:rPr>
                <w:rStyle w:val="Hyperlink"/>
                <w:b w:val="0"/>
                <w:noProof/>
                <w:sz w:val="24"/>
                <w:szCs w:val="24"/>
              </w:rPr>
              <w:t>MSFD framework</w:t>
            </w:r>
            <w:r>
              <w:rPr>
                <w:b w:val="0"/>
                <w:noProof/>
                <w:sz w:val="24"/>
                <w:szCs w:val="24"/>
              </w:rPr>
              <w:tab/>
            </w:r>
            <w:r>
              <w:rPr>
                <w:b w:val="0"/>
                <w:noProof/>
                <w:sz w:val="24"/>
                <w:szCs w:val="24"/>
              </w:rPr>
              <w:fldChar w:fldCharType="begin"/>
            </w:r>
            <w:r>
              <w:rPr>
                <w:b w:val="0"/>
                <w:noProof/>
                <w:sz w:val="24"/>
                <w:szCs w:val="24"/>
              </w:rPr>
              <w:instrText xml:space="preserve"> PAGEREF _Toc30404137 \h </w:instrText>
            </w:r>
            <w:r>
              <w:rPr>
                <w:b w:val="0"/>
                <w:noProof/>
                <w:sz w:val="24"/>
                <w:szCs w:val="24"/>
              </w:rPr>
            </w:r>
            <w:r>
              <w:rPr>
                <w:b w:val="0"/>
                <w:noProof/>
                <w:sz w:val="24"/>
                <w:szCs w:val="24"/>
              </w:rPr>
              <w:fldChar w:fldCharType="separate"/>
            </w:r>
            <w:r>
              <w:rPr>
                <w:b w:val="0"/>
                <w:noProof/>
                <w:sz w:val="24"/>
                <w:szCs w:val="24"/>
              </w:rPr>
              <w:t>44</w:t>
            </w:r>
            <w:r>
              <w:rPr>
                <w:b w:val="0"/>
                <w:noProof/>
                <w:sz w:val="24"/>
                <w:szCs w:val="24"/>
              </w:rPr>
              <w:fldChar w:fldCharType="end"/>
            </w:r>
          </w:hyperlink>
        </w:p>
        <w:p>
          <w:pPr>
            <w:pStyle w:val="TOC1"/>
            <w:rPr>
              <w:rFonts w:eastAsiaTheme="minorEastAsia"/>
              <w:b w:val="0"/>
              <w:caps w:val="0"/>
              <w:noProof/>
              <w:sz w:val="24"/>
              <w:szCs w:val="24"/>
            </w:rPr>
          </w:pPr>
          <w:hyperlink w:anchor="_Toc30404138" w:history="1">
            <w:r>
              <w:rPr>
                <w:rStyle w:val="Hyperlink"/>
                <w:b w:val="0"/>
                <w:noProof/>
                <w:sz w:val="24"/>
                <w:szCs w:val="24"/>
              </w:rPr>
              <w:t>2.</w:t>
            </w:r>
            <w:r>
              <w:rPr>
                <w:rFonts w:eastAsiaTheme="minorEastAsia"/>
                <w:b w:val="0"/>
                <w:caps w:val="0"/>
                <w:noProof/>
                <w:sz w:val="24"/>
                <w:szCs w:val="24"/>
              </w:rPr>
              <w:tab/>
            </w:r>
            <w:r>
              <w:rPr>
                <w:rStyle w:val="Hyperlink"/>
                <w:b w:val="0"/>
                <w:noProof/>
                <w:sz w:val="24"/>
                <w:szCs w:val="24"/>
              </w:rPr>
              <w:t>Status and trends of marine food webs in EU waters</w:t>
            </w:r>
            <w:r>
              <w:rPr>
                <w:b w:val="0"/>
                <w:noProof/>
                <w:sz w:val="24"/>
                <w:szCs w:val="24"/>
              </w:rPr>
              <w:tab/>
            </w:r>
            <w:r>
              <w:rPr>
                <w:b w:val="0"/>
                <w:noProof/>
                <w:sz w:val="24"/>
                <w:szCs w:val="24"/>
              </w:rPr>
              <w:fldChar w:fldCharType="begin"/>
            </w:r>
            <w:r>
              <w:rPr>
                <w:b w:val="0"/>
                <w:noProof/>
                <w:sz w:val="24"/>
                <w:szCs w:val="24"/>
              </w:rPr>
              <w:instrText xml:space="preserve"> PAGEREF _Toc30404138 \h </w:instrText>
            </w:r>
            <w:r>
              <w:rPr>
                <w:b w:val="0"/>
                <w:noProof/>
                <w:sz w:val="24"/>
                <w:szCs w:val="24"/>
              </w:rPr>
            </w:r>
            <w:r>
              <w:rPr>
                <w:b w:val="0"/>
                <w:noProof/>
                <w:sz w:val="24"/>
                <w:szCs w:val="24"/>
              </w:rPr>
              <w:fldChar w:fldCharType="separate"/>
            </w:r>
            <w:r>
              <w:rPr>
                <w:b w:val="0"/>
                <w:noProof/>
                <w:sz w:val="24"/>
                <w:szCs w:val="24"/>
              </w:rPr>
              <w:t>45</w:t>
            </w:r>
            <w:r>
              <w:rPr>
                <w:b w:val="0"/>
                <w:noProof/>
                <w:sz w:val="24"/>
                <w:szCs w:val="24"/>
              </w:rPr>
              <w:fldChar w:fldCharType="end"/>
            </w:r>
          </w:hyperlink>
        </w:p>
        <w:p>
          <w:pPr>
            <w:pStyle w:val="TOC2"/>
            <w:rPr>
              <w:rFonts w:eastAsiaTheme="minorEastAsia"/>
              <w:sz w:val="24"/>
              <w:szCs w:val="24"/>
            </w:rPr>
          </w:pPr>
          <w:hyperlink w:anchor="_Toc30404139" w:history="1">
            <w:r>
              <w:rPr>
                <w:rStyle w:val="Hyperlink"/>
                <w:sz w:val="24"/>
                <w:szCs w:val="24"/>
              </w:rPr>
              <w:t>2.1.</w:t>
            </w:r>
            <w:r>
              <w:rPr>
                <w:rFonts w:eastAsiaTheme="minorEastAsia"/>
                <w:sz w:val="24"/>
                <w:szCs w:val="24"/>
              </w:rPr>
              <w:tab/>
            </w:r>
            <w:r>
              <w:rPr>
                <w:rStyle w:val="Hyperlink"/>
                <w:sz w:val="24"/>
                <w:szCs w:val="24"/>
              </w:rPr>
              <w:t>Ongoing reporting under the MSFD</w:t>
            </w:r>
            <w:r>
              <w:rPr>
                <w:sz w:val="24"/>
                <w:szCs w:val="24"/>
              </w:rPr>
              <w:tab/>
            </w:r>
            <w:r>
              <w:rPr>
                <w:sz w:val="24"/>
                <w:szCs w:val="24"/>
              </w:rPr>
              <w:fldChar w:fldCharType="begin"/>
            </w:r>
            <w:r>
              <w:rPr>
                <w:sz w:val="24"/>
                <w:szCs w:val="24"/>
              </w:rPr>
              <w:instrText xml:space="preserve"> PAGEREF _Toc30404139 \h </w:instrText>
            </w:r>
            <w:r>
              <w:rPr>
                <w:sz w:val="24"/>
                <w:szCs w:val="24"/>
              </w:rPr>
            </w:r>
            <w:r>
              <w:rPr>
                <w:sz w:val="24"/>
                <w:szCs w:val="24"/>
              </w:rPr>
              <w:fldChar w:fldCharType="separate"/>
            </w:r>
            <w:r>
              <w:rPr>
                <w:sz w:val="24"/>
                <w:szCs w:val="24"/>
              </w:rPr>
              <w:t>45</w:t>
            </w:r>
            <w:r>
              <w:rPr>
                <w:sz w:val="24"/>
                <w:szCs w:val="24"/>
              </w:rPr>
              <w:fldChar w:fldCharType="end"/>
            </w:r>
          </w:hyperlink>
        </w:p>
        <w:p>
          <w:pPr>
            <w:pStyle w:val="TOC2"/>
            <w:rPr>
              <w:rFonts w:eastAsiaTheme="minorEastAsia"/>
              <w:sz w:val="24"/>
              <w:szCs w:val="24"/>
            </w:rPr>
          </w:pPr>
          <w:hyperlink w:anchor="_Toc30404140" w:history="1">
            <w:r>
              <w:rPr>
                <w:rStyle w:val="Hyperlink"/>
                <w:sz w:val="24"/>
                <w:szCs w:val="24"/>
              </w:rPr>
              <w:t>2.2.</w:t>
            </w:r>
            <w:r>
              <w:rPr>
                <w:rFonts w:eastAsiaTheme="minorEastAsia"/>
                <w:sz w:val="24"/>
                <w:szCs w:val="24"/>
              </w:rPr>
              <w:tab/>
            </w:r>
            <w:r>
              <w:rPr>
                <w:rStyle w:val="Hyperlink"/>
                <w:sz w:val="24"/>
                <w:szCs w:val="24"/>
              </w:rPr>
              <w:t>Setting the scene for the analysis of food webs</w:t>
            </w:r>
            <w:r>
              <w:rPr>
                <w:sz w:val="24"/>
                <w:szCs w:val="24"/>
              </w:rPr>
              <w:tab/>
            </w:r>
            <w:r>
              <w:rPr>
                <w:sz w:val="24"/>
                <w:szCs w:val="24"/>
              </w:rPr>
              <w:fldChar w:fldCharType="begin"/>
            </w:r>
            <w:r>
              <w:rPr>
                <w:sz w:val="24"/>
                <w:szCs w:val="24"/>
              </w:rPr>
              <w:instrText xml:space="preserve"> PAGEREF _Toc30404140 \h </w:instrText>
            </w:r>
            <w:r>
              <w:rPr>
                <w:sz w:val="24"/>
                <w:szCs w:val="24"/>
              </w:rPr>
            </w:r>
            <w:r>
              <w:rPr>
                <w:sz w:val="24"/>
                <w:szCs w:val="24"/>
              </w:rPr>
              <w:fldChar w:fldCharType="separate"/>
            </w:r>
            <w:r>
              <w:rPr>
                <w:sz w:val="24"/>
                <w:szCs w:val="24"/>
              </w:rPr>
              <w:t>46</w:t>
            </w:r>
            <w:r>
              <w:rPr>
                <w:sz w:val="24"/>
                <w:szCs w:val="24"/>
              </w:rPr>
              <w:fldChar w:fldCharType="end"/>
            </w:r>
          </w:hyperlink>
        </w:p>
        <w:p>
          <w:pPr>
            <w:pStyle w:val="TOC2"/>
            <w:rPr>
              <w:rFonts w:eastAsiaTheme="minorEastAsia"/>
              <w:sz w:val="24"/>
              <w:szCs w:val="24"/>
            </w:rPr>
          </w:pPr>
          <w:hyperlink w:anchor="_Toc30404141" w:history="1">
            <w:r>
              <w:rPr>
                <w:rStyle w:val="Hyperlink"/>
                <w:sz w:val="24"/>
                <w:szCs w:val="24"/>
              </w:rPr>
              <w:t>2.3.</w:t>
            </w:r>
            <w:r>
              <w:rPr>
                <w:rFonts w:eastAsiaTheme="minorEastAsia"/>
                <w:sz w:val="24"/>
                <w:szCs w:val="24"/>
              </w:rPr>
              <w:tab/>
            </w:r>
            <w:r>
              <w:rPr>
                <w:rStyle w:val="Hyperlink"/>
                <w:sz w:val="24"/>
                <w:szCs w:val="24"/>
              </w:rPr>
              <w:t>Results from other assessments</w:t>
            </w:r>
            <w:r>
              <w:rPr>
                <w:sz w:val="24"/>
                <w:szCs w:val="24"/>
              </w:rPr>
              <w:tab/>
            </w:r>
            <w:r>
              <w:rPr>
                <w:sz w:val="24"/>
                <w:szCs w:val="24"/>
              </w:rPr>
              <w:fldChar w:fldCharType="begin"/>
            </w:r>
            <w:r>
              <w:rPr>
                <w:sz w:val="24"/>
                <w:szCs w:val="24"/>
              </w:rPr>
              <w:instrText xml:space="preserve"> PAGEREF _Toc30404141 \h </w:instrText>
            </w:r>
            <w:r>
              <w:rPr>
                <w:sz w:val="24"/>
                <w:szCs w:val="24"/>
              </w:rPr>
            </w:r>
            <w:r>
              <w:rPr>
                <w:sz w:val="24"/>
                <w:szCs w:val="24"/>
              </w:rPr>
              <w:fldChar w:fldCharType="separate"/>
            </w:r>
            <w:r>
              <w:rPr>
                <w:sz w:val="24"/>
                <w:szCs w:val="24"/>
              </w:rPr>
              <w:t>47</w:t>
            </w:r>
            <w:r>
              <w:rPr>
                <w:sz w:val="24"/>
                <w:szCs w:val="24"/>
              </w:rPr>
              <w:fldChar w:fldCharType="end"/>
            </w:r>
          </w:hyperlink>
        </w:p>
        <w:p>
          <w:pPr>
            <w:pStyle w:val="TOC1"/>
            <w:rPr>
              <w:rFonts w:eastAsiaTheme="minorEastAsia"/>
              <w:b w:val="0"/>
              <w:caps w:val="0"/>
              <w:noProof/>
              <w:sz w:val="24"/>
              <w:szCs w:val="24"/>
            </w:rPr>
          </w:pPr>
          <w:hyperlink w:anchor="_Toc30404142" w:history="1">
            <w:r>
              <w:rPr>
                <w:rStyle w:val="Hyperlink"/>
                <w:rFonts w:eastAsiaTheme="minorHAnsi"/>
                <w:b w:val="0"/>
                <w:noProof/>
                <w:sz w:val="24"/>
                <w:szCs w:val="24"/>
              </w:rPr>
              <w:t>3.</w:t>
            </w:r>
            <w:r>
              <w:rPr>
                <w:rFonts w:eastAsiaTheme="minorEastAsia"/>
                <w:b w:val="0"/>
                <w:caps w:val="0"/>
                <w:noProof/>
                <w:sz w:val="24"/>
                <w:szCs w:val="24"/>
              </w:rPr>
              <w:tab/>
            </w:r>
            <w:r>
              <w:rPr>
                <w:rStyle w:val="Hyperlink"/>
                <w:rFonts w:eastAsiaTheme="minorHAnsi"/>
                <w:b w:val="0"/>
                <w:noProof/>
                <w:sz w:val="24"/>
                <w:szCs w:val="24"/>
              </w:rPr>
              <w:t>Technical observations</w:t>
            </w:r>
            <w:r>
              <w:rPr>
                <w:b w:val="0"/>
                <w:noProof/>
                <w:sz w:val="24"/>
                <w:szCs w:val="24"/>
              </w:rPr>
              <w:tab/>
            </w:r>
            <w:r>
              <w:rPr>
                <w:b w:val="0"/>
                <w:noProof/>
                <w:sz w:val="24"/>
                <w:szCs w:val="24"/>
              </w:rPr>
              <w:fldChar w:fldCharType="begin"/>
            </w:r>
            <w:r>
              <w:rPr>
                <w:b w:val="0"/>
                <w:noProof/>
                <w:sz w:val="24"/>
                <w:szCs w:val="24"/>
              </w:rPr>
              <w:instrText xml:space="preserve"> PAGEREF _Toc30404142 \h </w:instrText>
            </w:r>
            <w:r>
              <w:rPr>
                <w:b w:val="0"/>
                <w:noProof/>
                <w:sz w:val="24"/>
                <w:szCs w:val="24"/>
              </w:rPr>
            </w:r>
            <w:r>
              <w:rPr>
                <w:b w:val="0"/>
                <w:noProof/>
                <w:sz w:val="24"/>
                <w:szCs w:val="24"/>
              </w:rPr>
              <w:fldChar w:fldCharType="separate"/>
            </w:r>
            <w:r>
              <w:rPr>
                <w:b w:val="0"/>
                <w:noProof/>
                <w:sz w:val="24"/>
                <w:szCs w:val="24"/>
              </w:rPr>
              <w:t>51</w:t>
            </w:r>
            <w:r>
              <w:rPr>
                <w:b w:val="0"/>
                <w:noProof/>
                <w:sz w:val="24"/>
                <w:szCs w:val="24"/>
              </w:rPr>
              <w:fldChar w:fldCharType="end"/>
            </w:r>
          </w:hyperlink>
        </w:p>
        <w:p>
          <w:pPr>
            <w:pStyle w:val="TOC1"/>
            <w:rPr>
              <w:rFonts w:eastAsiaTheme="minorEastAsia"/>
              <w:b w:val="0"/>
              <w:caps w:val="0"/>
              <w:noProof/>
              <w:sz w:val="24"/>
              <w:szCs w:val="24"/>
            </w:rPr>
          </w:pPr>
          <w:hyperlink w:anchor="_Toc30404143" w:history="1">
            <w:r>
              <w:rPr>
                <w:rStyle w:val="Hyperlink"/>
                <w:b w:val="0"/>
                <w:noProof/>
                <w:sz w:val="24"/>
                <w:szCs w:val="24"/>
              </w:rPr>
              <w:t>4.</w:t>
            </w:r>
            <w:r>
              <w:rPr>
                <w:rFonts w:eastAsiaTheme="minorEastAsia"/>
                <w:b w:val="0"/>
                <w:caps w:val="0"/>
                <w:noProof/>
                <w:sz w:val="24"/>
                <w:szCs w:val="24"/>
              </w:rPr>
              <w:tab/>
            </w:r>
            <w:r>
              <w:rPr>
                <w:rStyle w:val="Hyperlink"/>
                <w:b w:val="0"/>
                <w:noProof/>
                <w:sz w:val="24"/>
                <w:szCs w:val="24"/>
              </w:rPr>
              <w:t>Key messages</w:t>
            </w:r>
            <w:r>
              <w:rPr>
                <w:b w:val="0"/>
                <w:noProof/>
                <w:sz w:val="24"/>
                <w:szCs w:val="24"/>
              </w:rPr>
              <w:tab/>
            </w:r>
            <w:r>
              <w:rPr>
                <w:b w:val="0"/>
                <w:noProof/>
                <w:sz w:val="24"/>
                <w:szCs w:val="24"/>
              </w:rPr>
              <w:fldChar w:fldCharType="begin"/>
            </w:r>
            <w:r>
              <w:rPr>
                <w:b w:val="0"/>
                <w:noProof/>
                <w:sz w:val="24"/>
                <w:szCs w:val="24"/>
              </w:rPr>
              <w:instrText xml:space="preserve"> PAGEREF _Toc30404143 \h </w:instrText>
            </w:r>
            <w:r>
              <w:rPr>
                <w:b w:val="0"/>
                <w:noProof/>
                <w:sz w:val="24"/>
                <w:szCs w:val="24"/>
              </w:rPr>
            </w:r>
            <w:r>
              <w:rPr>
                <w:b w:val="0"/>
                <w:noProof/>
                <w:sz w:val="24"/>
                <w:szCs w:val="24"/>
              </w:rPr>
              <w:fldChar w:fldCharType="separate"/>
            </w:r>
            <w:r>
              <w:rPr>
                <w:b w:val="0"/>
                <w:noProof/>
                <w:sz w:val="24"/>
                <w:szCs w:val="24"/>
              </w:rPr>
              <w:t>52</w:t>
            </w:r>
            <w:r>
              <w:rPr>
                <w:b w:val="0"/>
                <w:noProof/>
                <w:sz w:val="24"/>
                <w:szCs w:val="24"/>
              </w:rPr>
              <w:fldChar w:fldCharType="end"/>
            </w:r>
          </w:hyperlink>
        </w:p>
        <w:p>
          <w:pPr>
            <w:pStyle w:val="TOC5"/>
            <w:rPr>
              <w:rFonts w:eastAsiaTheme="minorEastAsia"/>
              <w:noProof/>
              <w:szCs w:val="24"/>
            </w:rPr>
          </w:pPr>
          <w:hyperlink w:anchor="_Toc30404144" w:history="1">
            <w:r>
              <w:rPr>
                <w:rStyle w:val="Hyperlink"/>
                <w:noProof/>
                <w:szCs w:val="24"/>
              </w:rPr>
              <w:t>Descriptor 5: Human-induced eutrophication is minimised, especially adverse effects thereof, such as losses in biodiversity, ecosystem degradation, harmful algae blooms and oxygen deficiency in bottom waters</w:t>
            </w:r>
            <w:r>
              <w:rPr>
                <w:noProof/>
                <w:szCs w:val="24"/>
              </w:rPr>
              <w:tab/>
            </w:r>
            <w:r>
              <w:rPr>
                <w:noProof/>
                <w:szCs w:val="24"/>
              </w:rPr>
              <w:fldChar w:fldCharType="begin"/>
            </w:r>
            <w:r>
              <w:rPr>
                <w:noProof/>
                <w:szCs w:val="24"/>
              </w:rPr>
              <w:instrText xml:space="preserve"> PAGEREF _Toc30404144 \h </w:instrText>
            </w:r>
            <w:r>
              <w:rPr>
                <w:noProof/>
                <w:szCs w:val="24"/>
              </w:rPr>
            </w:r>
            <w:r>
              <w:rPr>
                <w:noProof/>
                <w:szCs w:val="24"/>
              </w:rPr>
              <w:fldChar w:fldCharType="separate"/>
            </w:r>
            <w:r>
              <w:rPr>
                <w:noProof/>
                <w:szCs w:val="24"/>
              </w:rPr>
              <w:t>54</w:t>
            </w:r>
            <w:r>
              <w:rPr>
                <w:noProof/>
                <w:szCs w:val="24"/>
              </w:rPr>
              <w:fldChar w:fldCharType="end"/>
            </w:r>
          </w:hyperlink>
        </w:p>
        <w:p>
          <w:pPr>
            <w:pStyle w:val="TOC1"/>
            <w:rPr>
              <w:rFonts w:eastAsiaTheme="minorEastAsia"/>
              <w:b w:val="0"/>
              <w:caps w:val="0"/>
              <w:noProof/>
              <w:sz w:val="24"/>
              <w:szCs w:val="24"/>
            </w:rPr>
          </w:pPr>
          <w:hyperlink w:anchor="_Toc30404145" w:history="1">
            <w:r>
              <w:rPr>
                <w:rStyle w:val="Hyperlink"/>
                <w:b w:val="0"/>
                <w:noProof/>
                <w:sz w:val="24"/>
                <w:szCs w:val="24"/>
              </w:rPr>
              <w:t>1.</w:t>
            </w:r>
            <w:r>
              <w:rPr>
                <w:rFonts w:eastAsiaTheme="minorEastAsia"/>
                <w:b w:val="0"/>
                <w:caps w:val="0"/>
                <w:noProof/>
                <w:sz w:val="24"/>
                <w:szCs w:val="24"/>
              </w:rPr>
              <w:tab/>
            </w:r>
            <w:r>
              <w:rPr>
                <w:rStyle w:val="Hyperlink"/>
                <w:b w:val="0"/>
                <w:noProof/>
                <w:sz w:val="24"/>
                <w:szCs w:val="24"/>
              </w:rPr>
              <w:t>MSFD framework</w:t>
            </w:r>
            <w:r>
              <w:rPr>
                <w:b w:val="0"/>
                <w:noProof/>
                <w:sz w:val="24"/>
                <w:szCs w:val="24"/>
              </w:rPr>
              <w:tab/>
            </w:r>
            <w:r>
              <w:rPr>
                <w:b w:val="0"/>
                <w:noProof/>
                <w:sz w:val="24"/>
                <w:szCs w:val="24"/>
              </w:rPr>
              <w:fldChar w:fldCharType="begin"/>
            </w:r>
            <w:r>
              <w:rPr>
                <w:b w:val="0"/>
                <w:noProof/>
                <w:sz w:val="24"/>
                <w:szCs w:val="24"/>
              </w:rPr>
              <w:instrText xml:space="preserve"> PAGEREF _Toc30404145 \h </w:instrText>
            </w:r>
            <w:r>
              <w:rPr>
                <w:b w:val="0"/>
                <w:noProof/>
                <w:sz w:val="24"/>
                <w:szCs w:val="24"/>
              </w:rPr>
            </w:r>
            <w:r>
              <w:rPr>
                <w:b w:val="0"/>
                <w:noProof/>
                <w:sz w:val="24"/>
                <w:szCs w:val="24"/>
              </w:rPr>
              <w:fldChar w:fldCharType="separate"/>
            </w:r>
            <w:r>
              <w:rPr>
                <w:b w:val="0"/>
                <w:noProof/>
                <w:sz w:val="24"/>
                <w:szCs w:val="24"/>
              </w:rPr>
              <w:t>54</w:t>
            </w:r>
            <w:r>
              <w:rPr>
                <w:b w:val="0"/>
                <w:noProof/>
                <w:sz w:val="24"/>
                <w:szCs w:val="24"/>
              </w:rPr>
              <w:fldChar w:fldCharType="end"/>
            </w:r>
          </w:hyperlink>
        </w:p>
        <w:p>
          <w:pPr>
            <w:pStyle w:val="TOC1"/>
            <w:rPr>
              <w:rFonts w:eastAsiaTheme="minorEastAsia"/>
              <w:b w:val="0"/>
              <w:caps w:val="0"/>
              <w:noProof/>
              <w:sz w:val="24"/>
              <w:szCs w:val="24"/>
            </w:rPr>
          </w:pPr>
          <w:hyperlink w:anchor="_Toc30404146" w:history="1">
            <w:r>
              <w:rPr>
                <w:rStyle w:val="Hyperlink"/>
                <w:b w:val="0"/>
                <w:noProof/>
                <w:sz w:val="24"/>
                <w:szCs w:val="24"/>
              </w:rPr>
              <w:t>2.</w:t>
            </w:r>
            <w:r>
              <w:rPr>
                <w:rFonts w:eastAsiaTheme="minorEastAsia"/>
                <w:b w:val="0"/>
                <w:caps w:val="0"/>
                <w:noProof/>
                <w:sz w:val="24"/>
                <w:szCs w:val="24"/>
              </w:rPr>
              <w:tab/>
            </w:r>
            <w:r>
              <w:rPr>
                <w:rStyle w:val="Hyperlink"/>
                <w:b w:val="0"/>
                <w:noProof/>
                <w:sz w:val="24"/>
                <w:szCs w:val="24"/>
              </w:rPr>
              <w:t>Eutrophication and its consequences in EU marine waters</w:t>
            </w:r>
            <w:r>
              <w:rPr>
                <w:b w:val="0"/>
                <w:noProof/>
                <w:sz w:val="24"/>
                <w:szCs w:val="24"/>
              </w:rPr>
              <w:tab/>
            </w:r>
            <w:r>
              <w:rPr>
                <w:b w:val="0"/>
                <w:noProof/>
                <w:sz w:val="24"/>
                <w:szCs w:val="24"/>
              </w:rPr>
              <w:fldChar w:fldCharType="begin"/>
            </w:r>
            <w:r>
              <w:rPr>
                <w:b w:val="0"/>
                <w:noProof/>
                <w:sz w:val="24"/>
                <w:szCs w:val="24"/>
              </w:rPr>
              <w:instrText xml:space="preserve"> PAGEREF _Toc30404146 \h </w:instrText>
            </w:r>
            <w:r>
              <w:rPr>
                <w:b w:val="0"/>
                <w:noProof/>
                <w:sz w:val="24"/>
                <w:szCs w:val="24"/>
              </w:rPr>
            </w:r>
            <w:r>
              <w:rPr>
                <w:b w:val="0"/>
                <w:noProof/>
                <w:sz w:val="24"/>
                <w:szCs w:val="24"/>
              </w:rPr>
              <w:fldChar w:fldCharType="separate"/>
            </w:r>
            <w:r>
              <w:rPr>
                <w:b w:val="0"/>
                <w:noProof/>
                <w:sz w:val="24"/>
                <w:szCs w:val="24"/>
              </w:rPr>
              <w:t>55</w:t>
            </w:r>
            <w:r>
              <w:rPr>
                <w:b w:val="0"/>
                <w:noProof/>
                <w:sz w:val="24"/>
                <w:szCs w:val="24"/>
              </w:rPr>
              <w:fldChar w:fldCharType="end"/>
            </w:r>
          </w:hyperlink>
        </w:p>
        <w:p>
          <w:pPr>
            <w:pStyle w:val="TOC2"/>
            <w:rPr>
              <w:rFonts w:eastAsiaTheme="minorEastAsia"/>
              <w:sz w:val="24"/>
              <w:szCs w:val="24"/>
            </w:rPr>
          </w:pPr>
          <w:hyperlink w:anchor="_Toc30404147" w:history="1">
            <w:r>
              <w:rPr>
                <w:rStyle w:val="Hyperlink"/>
                <w:sz w:val="24"/>
                <w:szCs w:val="24"/>
              </w:rPr>
              <w:t>2.1.</w:t>
            </w:r>
            <w:r>
              <w:rPr>
                <w:rFonts w:eastAsiaTheme="minorEastAsia"/>
                <w:sz w:val="24"/>
                <w:szCs w:val="24"/>
              </w:rPr>
              <w:tab/>
            </w:r>
            <w:r>
              <w:rPr>
                <w:rStyle w:val="Hyperlink"/>
                <w:sz w:val="24"/>
                <w:szCs w:val="24"/>
              </w:rPr>
              <w:t>Ongoing reporting under the MSFD</w:t>
            </w:r>
            <w:r>
              <w:rPr>
                <w:sz w:val="24"/>
                <w:szCs w:val="24"/>
              </w:rPr>
              <w:tab/>
            </w:r>
            <w:r>
              <w:rPr>
                <w:sz w:val="24"/>
                <w:szCs w:val="24"/>
              </w:rPr>
              <w:fldChar w:fldCharType="begin"/>
            </w:r>
            <w:r>
              <w:rPr>
                <w:sz w:val="24"/>
                <w:szCs w:val="24"/>
              </w:rPr>
              <w:instrText xml:space="preserve"> PAGEREF _Toc30404147 \h </w:instrText>
            </w:r>
            <w:r>
              <w:rPr>
                <w:sz w:val="24"/>
                <w:szCs w:val="24"/>
              </w:rPr>
            </w:r>
            <w:r>
              <w:rPr>
                <w:sz w:val="24"/>
                <w:szCs w:val="24"/>
              </w:rPr>
              <w:fldChar w:fldCharType="separate"/>
            </w:r>
            <w:r>
              <w:rPr>
                <w:sz w:val="24"/>
                <w:szCs w:val="24"/>
              </w:rPr>
              <w:t>55</w:t>
            </w:r>
            <w:r>
              <w:rPr>
                <w:sz w:val="24"/>
                <w:szCs w:val="24"/>
              </w:rPr>
              <w:fldChar w:fldCharType="end"/>
            </w:r>
          </w:hyperlink>
        </w:p>
        <w:p>
          <w:pPr>
            <w:pStyle w:val="TOC2"/>
            <w:rPr>
              <w:rFonts w:eastAsiaTheme="minorEastAsia"/>
              <w:sz w:val="24"/>
              <w:szCs w:val="24"/>
            </w:rPr>
          </w:pPr>
          <w:hyperlink w:anchor="_Toc30404148" w:history="1">
            <w:r>
              <w:rPr>
                <w:rStyle w:val="Hyperlink"/>
                <w:sz w:val="24"/>
                <w:szCs w:val="24"/>
              </w:rPr>
              <w:t>2.2.</w:t>
            </w:r>
            <w:r>
              <w:rPr>
                <w:rFonts w:eastAsiaTheme="minorEastAsia"/>
                <w:sz w:val="24"/>
                <w:szCs w:val="24"/>
              </w:rPr>
              <w:tab/>
            </w:r>
            <w:r>
              <w:rPr>
                <w:rStyle w:val="Hyperlink"/>
                <w:sz w:val="24"/>
                <w:szCs w:val="24"/>
              </w:rPr>
              <w:t>Member States’ assessments under the MSFD</w:t>
            </w:r>
            <w:r>
              <w:rPr>
                <w:sz w:val="24"/>
                <w:szCs w:val="24"/>
              </w:rPr>
              <w:tab/>
            </w:r>
            <w:r>
              <w:rPr>
                <w:sz w:val="24"/>
                <w:szCs w:val="24"/>
              </w:rPr>
              <w:fldChar w:fldCharType="begin"/>
            </w:r>
            <w:r>
              <w:rPr>
                <w:sz w:val="24"/>
                <w:szCs w:val="24"/>
              </w:rPr>
              <w:instrText xml:space="preserve"> PAGEREF _Toc30404148 \h </w:instrText>
            </w:r>
            <w:r>
              <w:rPr>
                <w:sz w:val="24"/>
                <w:szCs w:val="24"/>
              </w:rPr>
            </w:r>
            <w:r>
              <w:rPr>
                <w:sz w:val="24"/>
                <w:szCs w:val="24"/>
              </w:rPr>
              <w:fldChar w:fldCharType="separate"/>
            </w:r>
            <w:r>
              <w:rPr>
                <w:sz w:val="24"/>
                <w:szCs w:val="24"/>
              </w:rPr>
              <w:t>56</w:t>
            </w:r>
            <w:r>
              <w:rPr>
                <w:sz w:val="24"/>
                <w:szCs w:val="24"/>
              </w:rPr>
              <w:fldChar w:fldCharType="end"/>
            </w:r>
          </w:hyperlink>
        </w:p>
        <w:p>
          <w:pPr>
            <w:pStyle w:val="TOC2"/>
            <w:rPr>
              <w:rFonts w:eastAsiaTheme="minorEastAsia"/>
              <w:sz w:val="24"/>
              <w:szCs w:val="24"/>
            </w:rPr>
          </w:pPr>
          <w:hyperlink w:anchor="_Toc30404149" w:history="1">
            <w:r>
              <w:rPr>
                <w:rStyle w:val="Hyperlink"/>
                <w:sz w:val="24"/>
                <w:szCs w:val="24"/>
              </w:rPr>
              <w:t>2.3.</w:t>
            </w:r>
            <w:r>
              <w:rPr>
                <w:rFonts w:eastAsiaTheme="minorEastAsia"/>
                <w:sz w:val="24"/>
                <w:szCs w:val="24"/>
              </w:rPr>
              <w:tab/>
            </w:r>
            <w:r>
              <w:rPr>
                <w:rStyle w:val="Hyperlink"/>
                <w:sz w:val="24"/>
                <w:szCs w:val="24"/>
              </w:rPr>
              <w:t>Assessment of coastal waters under the Water Framework Directive</w:t>
            </w:r>
            <w:r>
              <w:rPr>
                <w:sz w:val="24"/>
                <w:szCs w:val="24"/>
              </w:rPr>
              <w:tab/>
            </w:r>
            <w:r>
              <w:rPr>
                <w:sz w:val="24"/>
                <w:szCs w:val="24"/>
              </w:rPr>
              <w:fldChar w:fldCharType="begin"/>
            </w:r>
            <w:r>
              <w:rPr>
                <w:sz w:val="24"/>
                <w:szCs w:val="24"/>
              </w:rPr>
              <w:instrText xml:space="preserve"> PAGEREF _Toc30404149 \h </w:instrText>
            </w:r>
            <w:r>
              <w:rPr>
                <w:sz w:val="24"/>
                <w:szCs w:val="24"/>
              </w:rPr>
            </w:r>
            <w:r>
              <w:rPr>
                <w:sz w:val="24"/>
                <w:szCs w:val="24"/>
              </w:rPr>
              <w:fldChar w:fldCharType="separate"/>
            </w:r>
            <w:r>
              <w:rPr>
                <w:sz w:val="24"/>
                <w:szCs w:val="24"/>
              </w:rPr>
              <w:t>58</w:t>
            </w:r>
            <w:r>
              <w:rPr>
                <w:sz w:val="24"/>
                <w:szCs w:val="24"/>
              </w:rPr>
              <w:fldChar w:fldCharType="end"/>
            </w:r>
          </w:hyperlink>
        </w:p>
        <w:p>
          <w:pPr>
            <w:pStyle w:val="TOC2"/>
            <w:rPr>
              <w:rFonts w:eastAsiaTheme="minorEastAsia"/>
              <w:sz w:val="24"/>
              <w:szCs w:val="24"/>
            </w:rPr>
          </w:pPr>
          <w:hyperlink w:anchor="_Toc30404150" w:history="1">
            <w:r>
              <w:rPr>
                <w:rStyle w:val="Hyperlink"/>
                <w:sz w:val="24"/>
                <w:szCs w:val="24"/>
              </w:rPr>
              <w:t>2.4.</w:t>
            </w:r>
            <w:r>
              <w:rPr>
                <w:rFonts w:eastAsiaTheme="minorEastAsia"/>
                <w:sz w:val="24"/>
                <w:szCs w:val="24"/>
              </w:rPr>
              <w:tab/>
            </w:r>
            <w:r>
              <w:rPr>
                <w:rStyle w:val="Hyperlink"/>
                <w:sz w:val="24"/>
                <w:szCs w:val="24"/>
              </w:rPr>
              <w:t>Other assessments</w:t>
            </w:r>
            <w:r>
              <w:rPr>
                <w:sz w:val="24"/>
                <w:szCs w:val="24"/>
              </w:rPr>
              <w:tab/>
            </w:r>
            <w:r>
              <w:rPr>
                <w:sz w:val="24"/>
                <w:szCs w:val="24"/>
              </w:rPr>
              <w:fldChar w:fldCharType="begin"/>
            </w:r>
            <w:r>
              <w:rPr>
                <w:sz w:val="24"/>
                <w:szCs w:val="24"/>
              </w:rPr>
              <w:instrText xml:space="preserve"> PAGEREF _Toc30404150 \h </w:instrText>
            </w:r>
            <w:r>
              <w:rPr>
                <w:sz w:val="24"/>
                <w:szCs w:val="24"/>
              </w:rPr>
            </w:r>
            <w:r>
              <w:rPr>
                <w:sz w:val="24"/>
                <w:szCs w:val="24"/>
              </w:rPr>
              <w:fldChar w:fldCharType="separate"/>
            </w:r>
            <w:r>
              <w:rPr>
                <w:sz w:val="24"/>
                <w:szCs w:val="24"/>
              </w:rPr>
              <w:t>59</w:t>
            </w:r>
            <w:r>
              <w:rPr>
                <w:sz w:val="24"/>
                <w:szCs w:val="24"/>
              </w:rPr>
              <w:fldChar w:fldCharType="end"/>
            </w:r>
          </w:hyperlink>
        </w:p>
        <w:p>
          <w:pPr>
            <w:pStyle w:val="TOC1"/>
            <w:rPr>
              <w:rFonts w:eastAsiaTheme="minorEastAsia"/>
              <w:b w:val="0"/>
              <w:caps w:val="0"/>
              <w:noProof/>
              <w:sz w:val="24"/>
              <w:szCs w:val="24"/>
            </w:rPr>
          </w:pPr>
          <w:hyperlink w:anchor="_Toc30404151" w:history="1">
            <w:r>
              <w:rPr>
                <w:rStyle w:val="Hyperlink"/>
                <w:b w:val="0"/>
                <w:noProof/>
                <w:sz w:val="24"/>
                <w:szCs w:val="24"/>
              </w:rPr>
              <w:t>3.</w:t>
            </w:r>
            <w:r>
              <w:rPr>
                <w:rFonts w:eastAsiaTheme="minorEastAsia"/>
                <w:b w:val="0"/>
                <w:caps w:val="0"/>
                <w:noProof/>
                <w:sz w:val="24"/>
                <w:szCs w:val="24"/>
              </w:rPr>
              <w:tab/>
            </w:r>
            <w:r>
              <w:rPr>
                <w:rStyle w:val="Hyperlink"/>
                <w:b w:val="0"/>
                <w:noProof/>
                <w:sz w:val="24"/>
                <w:szCs w:val="24"/>
              </w:rPr>
              <w:t>Observed trends in eutrophication</w:t>
            </w:r>
            <w:r>
              <w:rPr>
                <w:b w:val="0"/>
                <w:noProof/>
                <w:sz w:val="24"/>
                <w:szCs w:val="24"/>
              </w:rPr>
              <w:tab/>
            </w:r>
            <w:r>
              <w:rPr>
                <w:b w:val="0"/>
                <w:noProof/>
                <w:sz w:val="24"/>
                <w:szCs w:val="24"/>
              </w:rPr>
              <w:fldChar w:fldCharType="begin"/>
            </w:r>
            <w:r>
              <w:rPr>
                <w:b w:val="0"/>
                <w:noProof/>
                <w:sz w:val="24"/>
                <w:szCs w:val="24"/>
              </w:rPr>
              <w:instrText xml:space="preserve"> PAGEREF _Toc30404151 \h </w:instrText>
            </w:r>
            <w:r>
              <w:rPr>
                <w:b w:val="0"/>
                <w:noProof/>
                <w:sz w:val="24"/>
                <w:szCs w:val="24"/>
              </w:rPr>
            </w:r>
            <w:r>
              <w:rPr>
                <w:b w:val="0"/>
                <w:noProof/>
                <w:sz w:val="24"/>
                <w:szCs w:val="24"/>
              </w:rPr>
              <w:fldChar w:fldCharType="separate"/>
            </w:r>
            <w:r>
              <w:rPr>
                <w:b w:val="0"/>
                <w:noProof/>
                <w:sz w:val="24"/>
                <w:szCs w:val="24"/>
              </w:rPr>
              <w:t>61</w:t>
            </w:r>
            <w:r>
              <w:rPr>
                <w:b w:val="0"/>
                <w:noProof/>
                <w:sz w:val="24"/>
                <w:szCs w:val="24"/>
              </w:rPr>
              <w:fldChar w:fldCharType="end"/>
            </w:r>
          </w:hyperlink>
        </w:p>
        <w:p>
          <w:pPr>
            <w:pStyle w:val="TOC1"/>
            <w:rPr>
              <w:rFonts w:eastAsiaTheme="minorEastAsia"/>
              <w:b w:val="0"/>
              <w:caps w:val="0"/>
              <w:noProof/>
              <w:sz w:val="24"/>
              <w:szCs w:val="24"/>
            </w:rPr>
          </w:pPr>
          <w:hyperlink w:anchor="_Toc30404152" w:history="1">
            <w:r>
              <w:rPr>
                <w:rStyle w:val="Hyperlink"/>
                <w:b w:val="0"/>
                <w:noProof/>
                <w:sz w:val="24"/>
                <w:szCs w:val="24"/>
              </w:rPr>
              <w:t>4.</w:t>
            </w:r>
            <w:r>
              <w:rPr>
                <w:rFonts w:eastAsiaTheme="minorEastAsia"/>
                <w:b w:val="0"/>
                <w:caps w:val="0"/>
                <w:noProof/>
                <w:sz w:val="24"/>
                <w:szCs w:val="24"/>
              </w:rPr>
              <w:tab/>
            </w:r>
            <w:r>
              <w:rPr>
                <w:rStyle w:val="Hyperlink"/>
                <w:rFonts w:eastAsiaTheme="minorHAnsi"/>
                <w:b w:val="0"/>
                <w:noProof/>
                <w:sz w:val="24"/>
                <w:szCs w:val="24"/>
              </w:rPr>
              <w:t xml:space="preserve">Technical </w:t>
            </w:r>
            <w:r>
              <w:rPr>
                <w:rStyle w:val="Hyperlink"/>
                <w:b w:val="0"/>
                <w:noProof/>
                <w:sz w:val="24"/>
                <w:szCs w:val="24"/>
              </w:rPr>
              <w:t>observations</w:t>
            </w:r>
            <w:r>
              <w:rPr>
                <w:b w:val="0"/>
                <w:noProof/>
                <w:sz w:val="24"/>
                <w:szCs w:val="24"/>
              </w:rPr>
              <w:tab/>
            </w:r>
            <w:r>
              <w:rPr>
                <w:b w:val="0"/>
                <w:noProof/>
                <w:sz w:val="24"/>
                <w:szCs w:val="24"/>
              </w:rPr>
              <w:fldChar w:fldCharType="begin"/>
            </w:r>
            <w:r>
              <w:rPr>
                <w:b w:val="0"/>
                <w:noProof/>
                <w:sz w:val="24"/>
                <w:szCs w:val="24"/>
              </w:rPr>
              <w:instrText xml:space="preserve"> PAGEREF _Toc30404152 \h </w:instrText>
            </w:r>
            <w:r>
              <w:rPr>
                <w:b w:val="0"/>
                <w:noProof/>
                <w:sz w:val="24"/>
                <w:szCs w:val="24"/>
              </w:rPr>
            </w:r>
            <w:r>
              <w:rPr>
                <w:b w:val="0"/>
                <w:noProof/>
                <w:sz w:val="24"/>
                <w:szCs w:val="24"/>
              </w:rPr>
              <w:fldChar w:fldCharType="separate"/>
            </w:r>
            <w:r>
              <w:rPr>
                <w:b w:val="0"/>
                <w:noProof/>
                <w:sz w:val="24"/>
                <w:szCs w:val="24"/>
              </w:rPr>
              <w:t>61</w:t>
            </w:r>
            <w:r>
              <w:rPr>
                <w:b w:val="0"/>
                <w:noProof/>
                <w:sz w:val="24"/>
                <w:szCs w:val="24"/>
              </w:rPr>
              <w:fldChar w:fldCharType="end"/>
            </w:r>
          </w:hyperlink>
        </w:p>
        <w:p>
          <w:pPr>
            <w:pStyle w:val="TOC1"/>
            <w:rPr>
              <w:rFonts w:eastAsiaTheme="minorEastAsia"/>
              <w:b w:val="0"/>
              <w:caps w:val="0"/>
              <w:noProof/>
              <w:sz w:val="24"/>
              <w:szCs w:val="24"/>
            </w:rPr>
          </w:pPr>
          <w:hyperlink w:anchor="_Toc30404153" w:history="1">
            <w:r>
              <w:rPr>
                <w:rStyle w:val="Hyperlink"/>
                <w:b w:val="0"/>
                <w:noProof/>
                <w:sz w:val="24"/>
                <w:szCs w:val="24"/>
              </w:rPr>
              <w:t>5.</w:t>
            </w:r>
            <w:r>
              <w:rPr>
                <w:rFonts w:eastAsiaTheme="minorEastAsia"/>
                <w:b w:val="0"/>
                <w:caps w:val="0"/>
                <w:noProof/>
                <w:sz w:val="24"/>
                <w:szCs w:val="24"/>
              </w:rPr>
              <w:tab/>
            </w:r>
            <w:r>
              <w:rPr>
                <w:rStyle w:val="Hyperlink"/>
                <w:b w:val="0"/>
                <w:noProof/>
                <w:sz w:val="24"/>
                <w:szCs w:val="24"/>
              </w:rPr>
              <w:t>Key messages</w:t>
            </w:r>
            <w:r>
              <w:rPr>
                <w:b w:val="0"/>
                <w:noProof/>
                <w:sz w:val="24"/>
                <w:szCs w:val="24"/>
              </w:rPr>
              <w:tab/>
            </w:r>
            <w:r>
              <w:rPr>
                <w:b w:val="0"/>
                <w:noProof/>
                <w:sz w:val="24"/>
                <w:szCs w:val="24"/>
              </w:rPr>
              <w:fldChar w:fldCharType="begin"/>
            </w:r>
            <w:r>
              <w:rPr>
                <w:b w:val="0"/>
                <w:noProof/>
                <w:sz w:val="24"/>
                <w:szCs w:val="24"/>
              </w:rPr>
              <w:instrText xml:space="preserve"> PAGEREF _Toc30404153 \h </w:instrText>
            </w:r>
            <w:r>
              <w:rPr>
                <w:b w:val="0"/>
                <w:noProof/>
                <w:sz w:val="24"/>
                <w:szCs w:val="24"/>
              </w:rPr>
            </w:r>
            <w:r>
              <w:rPr>
                <w:b w:val="0"/>
                <w:noProof/>
                <w:sz w:val="24"/>
                <w:szCs w:val="24"/>
              </w:rPr>
              <w:fldChar w:fldCharType="separate"/>
            </w:r>
            <w:r>
              <w:rPr>
                <w:b w:val="0"/>
                <w:noProof/>
                <w:sz w:val="24"/>
                <w:szCs w:val="24"/>
              </w:rPr>
              <w:t>61</w:t>
            </w:r>
            <w:r>
              <w:rPr>
                <w:b w:val="0"/>
                <w:noProof/>
                <w:sz w:val="24"/>
                <w:szCs w:val="24"/>
              </w:rPr>
              <w:fldChar w:fldCharType="end"/>
            </w:r>
          </w:hyperlink>
        </w:p>
        <w:p>
          <w:pPr>
            <w:pStyle w:val="TOC5"/>
            <w:rPr>
              <w:rFonts w:eastAsiaTheme="minorEastAsia"/>
              <w:noProof/>
              <w:szCs w:val="24"/>
            </w:rPr>
          </w:pPr>
          <w:hyperlink w:anchor="_Toc30404154" w:history="1">
            <w:r>
              <w:rPr>
                <w:rStyle w:val="Hyperlink"/>
                <w:noProof/>
                <w:szCs w:val="24"/>
              </w:rPr>
              <w:t>Descriptor 6: Sea-floor integrity is at a level that ensures that the structure and functions of the ecosystems are safeguarded and benthic ecosystems, in particular, are not adversely affected</w:t>
            </w:r>
            <w:r>
              <w:rPr>
                <w:noProof/>
                <w:szCs w:val="24"/>
              </w:rPr>
              <w:tab/>
            </w:r>
            <w:r>
              <w:rPr>
                <w:noProof/>
                <w:szCs w:val="24"/>
              </w:rPr>
              <w:fldChar w:fldCharType="begin"/>
            </w:r>
            <w:r>
              <w:rPr>
                <w:noProof/>
                <w:szCs w:val="24"/>
              </w:rPr>
              <w:instrText xml:space="preserve"> PAGEREF _Toc30404154 \h </w:instrText>
            </w:r>
            <w:r>
              <w:rPr>
                <w:noProof/>
                <w:szCs w:val="24"/>
              </w:rPr>
            </w:r>
            <w:r>
              <w:rPr>
                <w:noProof/>
                <w:szCs w:val="24"/>
              </w:rPr>
              <w:fldChar w:fldCharType="separate"/>
            </w:r>
            <w:r>
              <w:rPr>
                <w:noProof/>
                <w:szCs w:val="24"/>
              </w:rPr>
              <w:t>63</w:t>
            </w:r>
            <w:r>
              <w:rPr>
                <w:noProof/>
                <w:szCs w:val="24"/>
              </w:rPr>
              <w:fldChar w:fldCharType="end"/>
            </w:r>
          </w:hyperlink>
        </w:p>
        <w:p>
          <w:pPr>
            <w:pStyle w:val="TOC1"/>
            <w:rPr>
              <w:rFonts w:eastAsiaTheme="minorEastAsia"/>
              <w:b w:val="0"/>
              <w:caps w:val="0"/>
              <w:noProof/>
              <w:sz w:val="24"/>
              <w:szCs w:val="24"/>
            </w:rPr>
          </w:pPr>
          <w:hyperlink w:anchor="_Toc30404155" w:history="1">
            <w:r>
              <w:rPr>
                <w:rStyle w:val="Hyperlink"/>
                <w:b w:val="0"/>
                <w:noProof/>
                <w:sz w:val="24"/>
                <w:szCs w:val="24"/>
              </w:rPr>
              <w:t>1.</w:t>
            </w:r>
            <w:r>
              <w:rPr>
                <w:rFonts w:eastAsiaTheme="minorEastAsia"/>
                <w:b w:val="0"/>
                <w:caps w:val="0"/>
                <w:noProof/>
                <w:sz w:val="24"/>
                <w:szCs w:val="24"/>
              </w:rPr>
              <w:tab/>
            </w:r>
            <w:r>
              <w:rPr>
                <w:rStyle w:val="Hyperlink"/>
                <w:b w:val="0"/>
                <w:noProof/>
                <w:sz w:val="24"/>
                <w:szCs w:val="24"/>
              </w:rPr>
              <w:t>MSFD framework</w:t>
            </w:r>
            <w:r>
              <w:rPr>
                <w:b w:val="0"/>
                <w:noProof/>
                <w:sz w:val="24"/>
                <w:szCs w:val="24"/>
              </w:rPr>
              <w:tab/>
            </w:r>
            <w:r>
              <w:rPr>
                <w:b w:val="0"/>
                <w:noProof/>
                <w:sz w:val="24"/>
                <w:szCs w:val="24"/>
              </w:rPr>
              <w:fldChar w:fldCharType="begin"/>
            </w:r>
            <w:r>
              <w:rPr>
                <w:b w:val="0"/>
                <w:noProof/>
                <w:sz w:val="24"/>
                <w:szCs w:val="24"/>
              </w:rPr>
              <w:instrText xml:space="preserve"> PAGEREF _Toc30404155 \h </w:instrText>
            </w:r>
            <w:r>
              <w:rPr>
                <w:b w:val="0"/>
                <w:noProof/>
                <w:sz w:val="24"/>
                <w:szCs w:val="24"/>
              </w:rPr>
            </w:r>
            <w:r>
              <w:rPr>
                <w:b w:val="0"/>
                <w:noProof/>
                <w:sz w:val="24"/>
                <w:szCs w:val="24"/>
              </w:rPr>
              <w:fldChar w:fldCharType="separate"/>
            </w:r>
            <w:r>
              <w:rPr>
                <w:b w:val="0"/>
                <w:noProof/>
                <w:sz w:val="24"/>
                <w:szCs w:val="24"/>
              </w:rPr>
              <w:t>63</w:t>
            </w:r>
            <w:r>
              <w:rPr>
                <w:b w:val="0"/>
                <w:noProof/>
                <w:sz w:val="24"/>
                <w:szCs w:val="24"/>
              </w:rPr>
              <w:fldChar w:fldCharType="end"/>
            </w:r>
          </w:hyperlink>
        </w:p>
        <w:p>
          <w:pPr>
            <w:pStyle w:val="TOC1"/>
            <w:rPr>
              <w:rFonts w:eastAsiaTheme="minorEastAsia"/>
              <w:b w:val="0"/>
              <w:caps w:val="0"/>
              <w:noProof/>
              <w:sz w:val="24"/>
              <w:szCs w:val="24"/>
            </w:rPr>
          </w:pPr>
          <w:hyperlink w:anchor="_Toc30404156" w:history="1">
            <w:r>
              <w:rPr>
                <w:rStyle w:val="Hyperlink"/>
                <w:b w:val="0"/>
                <w:noProof/>
                <w:sz w:val="24"/>
                <w:szCs w:val="24"/>
              </w:rPr>
              <w:t>2.</w:t>
            </w:r>
            <w:r>
              <w:rPr>
                <w:rFonts w:eastAsiaTheme="minorEastAsia"/>
                <w:b w:val="0"/>
                <w:caps w:val="0"/>
                <w:noProof/>
                <w:sz w:val="24"/>
                <w:szCs w:val="24"/>
              </w:rPr>
              <w:tab/>
            </w:r>
            <w:r>
              <w:rPr>
                <w:rStyle w:val="Hyperlink"/>
                <w:b w:val="0"/>
                <w:noProof/>
                <w:sz w:val="24"/>
                <w:szCs w:val="24"/>
              </w:rPr>
              <w:t>Observed integrity of the sea-floor in EU marine waters</w:t>
            </w:r>
            <w:r>
              <w:rPr>
                <w:b w:val="0"/>
                <w:noProof/>
                <w:sz w:val="24"/>
                <w:szCs w:val="24"/>
              </w:rPr>
              <w:tab/>
            </w:r>
            <w:r>
              <w:rPr>
                <w:b w:val="0"/>
                <w:noProof/>
                <w:sz w:val="24"/>
                <w:szCs w:val="24"/>
              </w:rPr>
              <w:fldChar w:fldCharType="begin"/>
            </w:r>
            <w:r>
              <w:rPr>
                <w:b w:val="0"/>
                <w:noProof/>
                <w:sz w:val="24"/>
                <w:szCs w:val="24"/>
              </w:rPr>
              <w:instrText xml:space="preserve"> PAGEREF _Toc30404156 \h </w:instrText>
            </w:r>
            <w:r>
              <w:rPr>
                <w:b w:val="0"/>
                <w:noProof/>
                <w:sz w:val="24"/>
                <w:szCs w:val="24"/>
              </w:rPr>
            </w:r>
            <w:r>
              <w:rPr>
                <w:b w:val="0"/>
                <w:noProof/>
                <w:sz w:val="24"/>
                <w:szCs w:val="24"/>
              </w:rPr>
              <w:fldChar w:fldCharType="separate"/>
            </w:r>
            <w:r>
              <w:rPr>
                <w:b w:val="0"/>
                <w:noProof/>
                <w:sz w:val="24"/>
                <w:szCs w:val="24"/>
              </w:rPr>
              <w:t>64</w:t>
            </w:r>
            <w:r>
              <w:rPr>
                <w:b w:val="0"/>
                <w:noProof/>
                <w:sz w:val="24"/>
                <w:szCs w:val="24"/>
              </w:rPr>
              <w:fldChar w:fldCharType="end"/>
            </w:r>
          </w:hyperlink>
        </w:p>
        <w:p>
          <w:pPr>
            <w:pStyle w:val="TOC2"/>
            <w:rPr>
              <w:rFonts w:eastAsiaTheme="minorEastAsia"/>
              <w:sz w:val="24"/>
              <w:szCs w:val="24"/>
            </w:rPr>
          </w:pPr>
          <w:hyperlink w:anchor="_Toc30404157" w:history="1">
            <w:r>
              <w:rPr>
                <w:rStyle w:val="Hyperlink"/>
                <w:sz w:val="24"/>
                <w:szCs w:val="24"/>
              </w:rPr>
              <w:t>2.1.</w:t>
            </w:r>
            <w:r>
              <w:rPr>
                <w:rFonts w:eastAsiaTheme="minorEastAsia"/>
                <w:sz w:val="24"/>
                <w:szCs w:val="24"/>
              </w:rPr>
              <w:tab/>
            </w:r>
            <w:r>
              <w:rPr>
                <w:rStyle w:val="Hyperlink"/>
                <w:sz w:val="24"/>
                <w:szCs w:val="24"/>
              </w:rPr>
              <w:t>Ongoing reporting under the MSFD</w:t>
            </w:r>
            <w:r>
              <w:rPr>
                <w:sz w:val="24"/>
                <w:szCs w:val="24"/>
              </w:rPr>
              <w:tab/>
            </w:r>
            <w:r>
              <w:rPr>
                <w:sz w:val="24"/>
                <w:szCs w:val="24"/>
              </w:rPr>
              <w:fldChar w:fldCharType="begin"/>
            </w:r>
            <w:r>
              <w:rPr>
                <w:sz w:val="24"/>
                <w:szCs w:val="24"/>
              </w:rPr>
              <w:instrText xml:space="preserve"> PAGEREF _Toc30404157 \h </w:instrText>
            </w:r>
            <w:r>
              <w:rPr>
                <w:sz w:val="24"/>
                <w:szCs w:val="24"/>
              </w:rPr>
            </w:r>
            <w:r>
              <w:rPr>
                <w:sz w:val="24"/>
                <w:szCs w:val="24"/>
              </w:rPr>
              <w:fldChar w:fldCharType="separate"/>
            </w:r>
            <w:r>
              <w:rPr>
                <w:sz w:val="24"/>
                <w:szCs w:val="24"/>
              </w:rPr>
              <w:t>64</w:t>
            </w:r>
            <w:r>
              <w:rPr>
                <w:sz w:val="24"/>
                <w:szCs w:val="24"/>
              </w:rPr>
              <w:fldChar w:fldCharType="end"/>
            </w:r>
          </w:hyperlink>
        </w:p>
        <w:p>
          <w:pPr>
            <w:pStyle w:val="TOC2"/>
            <w:rPr>
              <w:rFonts w:eastAsiaTheme="minorEastAsia"/>
              <w:sz w:val="24"/>
              <w:szCs w:val="24"/>
            </w:rPr>
          </w:pPr>
          <w:hyperlink w:anchor="_Toc30404158" w:history="1">
            <w:r>
              <w:rPr>
                <w:rStyle w:val="Hyperlink"/>
                <w:sz w:val="24"/>
                <w:szCs w:val="24"/>
              </w:rPr>
              <w:t>2.2.</w:t>
            </w:r>
            <w:r>
              <w:rPr>
                <w:rFonts w:eastAsiaTheme="minorEastAsia"/>
                <w:sz w:val="24"/>
                <w:szCs w:val="24"/>
              </w:rPr>
              <w:tab/>
            </w:r>
            <w:r>
              <w:rPr>
                <w:rStyle w:val="Hyperlink"/>
                <w:sz w:val="24"/>
                <w:szCs w:val="24"/>
              </w:rPr>
              <w:t>Previous MSFD reporting</w:t>
            </w:r>
            <w:r>
              <w:rPr>
                <w:sz w:val="24"/>
                <w:szCs w:val="24"/>
              </w:rPr>
              <w:tab/>
            </w:r>
            <w:r>
              <w:rPr>
                <w:sz w:val="24"/>
                <w:szCs w:val="24"/>
              </w:rPr>
              <w:fldChar w:fldCharType="begin"/>
            </w:r>
            <w:r>
              <w:rPr>
                <w:sz w:val="24"/>
                <w:szCs w:val="24"/>
              </w:rPr>
              <w:instrText xml:space="preserve"> PAGEREF _Toc30404158 \h </w:instrText>
            </w:r>
            <w:r>
              <w:rPr>
                <w:sz w:val="24"/>
                <w:szCs w:val="24"/>
              </w:rPr>
            </w:r>
            <w:r>
              <w:rPr>
                <w:sz w:val="24"/>
                <w:szCs w:val="24"/>
              </w:rPr>
              <w:fldChar w:fldCharType="separate"/>
            </w:r>
            <w:r>
              <w:rPr>
                <w:sz w:val="24"/>
                <w:szCs w:val="24"/>
              </w:rPr>
              <w:t>65</w:t>
            </w:r>
            <w:r>
              <w:rPr>
                <w:sz w:val="24"/>
                <w:szCs w:val="24"/>
              </w:rPr>
              <w:fldChar w:fldCharType="end"/>
            </w:r>
          </w:hyperlink>
        </w:p>
        <w:p>
          <w:pPr>
            <w:pStyle w:val="TOC2"/>
            <w:rPr>
              <w:rFonts w:eastAsiaTheme="minorEastAsia"/>
              <w:sz w:val="24"/>
              <w:szCs w:val="24"/>
            </w:rPr>
          </w:pPr>
          <w:hyperlink w:anchor="_Toc30404159" w:history="1">
            <w:r>
              <w:rPr>
                <w:rStyle w:val="Hyperlink"/>
                <w:sz w:val="24"/>
                <w:szCs w:val="24"/>
              </w:rPr>
              <w:t>2.3.</w:t>
            </w:r>
            <w:r>
              <w:rPr>
                <w:rFonts w:eastAsiaTheme="minorEastAsia"/>
                <w:sz w:val="24"/>
                <w:szCs w:val="24"/>
              </w:rPr>
              <w:tab/>
            </w:r>
            <w:r>
              <w:rPr>
                <w:rStyle w:val="Hyperlink"/>
                <w:sz w:val="24"/>
                <w:szCs w:val="24"/>
              </w:rPr>
              <w:t>Other assessments</w:t>
            </w:r>
            <w:r>
              <w:rPr>
                <w:sz w:val="24"/>
                <w:szCs w:val="24"/>
              </w:rPr>
              <w:tab/>
            </w:r>
            <w:r>
              <w:rPr>
                <w:sz w:val="24"/>
                <w:szCs w:val="24"/>
              </w:rPr>
              <w:fldChar w:fldCharType="begin"/>
            </w:r>
            <w:r>
              <w:rPr>
                <w:sz w:val="24"/>
                <w:szCs w:val="24"/>
              </w:rPr>
              <w:instrText xml:space="preserve"> PAGEREF _Toc30404159 \h </w:instrText>
            </w:r>
            <w:r>
              <w:rPr>
                <w:sz w:val="24"/>
                <w:szCs w:val="24"/>
              </w:rPr>
            </w:r>
            <w:r>
              <w:rPr>
                <w:sz w:val="24"/>
                <w:szCs w:val="24"/>
              </w:rPr>
              <w:fldChar w:fldCharType="separate"/>
            </w:r>
            <w:r>
              <w:rPr>
                <w:sz w:val="24"/>
                <w:szCs w:val="24"/>
              </w:rPr>
              <w:t>66</w:t>
            </w:r>
            <w:r>
              <w:rPr>
                <w:sz w:val="24"/>
                <w:szCs w:val="24"/>
              </w:rPr>
              <w:fldChar w:fldCharType="end"/>
            </w:r>
          </w:hyperlink>
        </w:p>
        <w:p>
          <w:pPr>
            <w:pStyle w:val="TOC3"/>
            <w:tabs>
              <w:tab w:val="left" w:pos="1445"/>
            </w:tabs>
            <w:rPr>
              <w:rFonts w:eastAsiaTheme="minorEastAsia"/>
              <w:noProof/>
              <w:sz w:val="24"/>
              <w:szCs w:val="24"/>
            </w:rPr>
          </w:pPr>
          <w:hyperlink w:anchor="_Toc30404160" w:history="1">
            <w:r>
              <w:rPr>
                <w:rStyle w:val="Hyperlink"/>
                <w:iCs/>
                <w:noProof/>
                <w:sz w:val="24"/>
                <w:szCs w:val="24"/>
              </w:rPr>
              <w:t>2.3.1.</w:t>
            </w:r>
            <w:r>
              <w:rPr>
                <w:rFonts w:eastAsiaTheme="minorEastAsia"/>
                <w:noProof/>
                <w:sz w:val="24"/>
                <w:szCs w:val="24"/>
              </w:rPr>
              <w:tab/>
            </w:r>
            <w:r>
              <w:rPr>
                <w:rStyle w:val="Hyperlink"/>
                <w:iCs/>
                <w:noProof/>
                <w:sz w:val="24"/>
                <w:szCs w:val="24"/>
              </w:rPr>
              <w:t>Status of benthic habitats</w:t>
            </w:r>
            <w:r>
              <w:rPr>
                <w:noProof/>
                <w:sz w:val="24"/>
                <w:szCs w:val="24"/>
              </w:rPr>
              <w:tab/>
            </w:r>
            <w:r>
              <w:rPr>
                <w:noProof/>
                <w:sz w:val="24"/>
                <w:szCs w:val="24"/>
              </w:rPr>
              <w:fldChar w:fldCharType="begin"/>
            </w:r>
            <w:r>
              <w:rPr>
                <w:noProof/>
                <w:sz w:val="24"/>
                <w:szCs w:val="24"/>
              </w:rPr>
              <w:instrText xml:space="preserve"> PAGEREF _Toc30404160 \h </w:instrText>
            </w:r>
            <w:r>
              <w:rPr>
                <w:noProof/>
                <w:sz w:val="24"/>
                <w:szCs w:val="24"/>
              </w:rPr>
            </w:r>
            <w:r>
              <w:rPr>
                <w:noProof/>
                <w:sz w:val="24"/>
                <w:szCs w:val="24"/>
              </w:rPr>
              <w:fldChar w:fldCharType="separate"/>
            </w:r>
            <w:r>
              <w:rPr>
                <w:noProof/>
                <w:sz w:val="24"/>
                <w:szCs w:val="24"/>
              </w:rPr>
              <w:t>66</w:t>
            </w:r>
            <w:r>
              <w:rPr>
                <w:noProof/>
                <w:sz w:val="24"/>
                <w:szCs w:val="24"/>
              </w:rPr>
              <w:fldChar w:fldCharType="end"/>
            </w:r>
          </w:hyperlink>
        </w:p>
        <w:p>
          <w:pPr>
            <w:pStyle w:val="TOC3"/>
            <w:tabs>
              <w:tab w:val="left" w:pos="1445"/>
            </w:tabs>
            <w:rPr>
              <w:rFonts w:eastAsiaTheme="minorEastAsia"/>
              <w:noProof/>
              <w:sz w:val="24"/>
              <w:szCs w:val="24"/>
            </w:rPr>
          </w:pPr>
          <w:hyperlink w:anchor="_Toc30404161" w:history="1">
            <w:r>
              <w:rPr>
                <w:rStyle w:val="Hyperlink"/>
                <w:iCs/>
                <w:noProof/>
                <w:sz w:val="24"/>
                <w:szCs w:val="24"/>
              </w:rPr>
              <w:t>2.3.2.</w:t>
            </w:r>
            <w:r>
              <w:rPr>
                <w:rFonts w:eastAsiaTheme="minorEastAsia"/>
                <w:noProof/>
                <w:sz w:val="24"/>
                <w:szCs w:val="24"/>
              </w:rPr>
              <w:tab/>
            </w:r>
            <w:r>
              <w:rPr>
                <w:rStyle w:val="Hyperlink"/>
                <w:iCs/>
                <w:noProof/>
                <w:sz w:val="24"/>
                <w:szCs w:val="24"/>
              </w:rPr>
              <w:t>Pressures on benthic habitats</w:t>
            </w:r>
            <w:r>
              <w:rPr>
                <w:noProof/>
                <w:sz w:val="24"/>
                <w:szCs w:val="24"/>
              </w:rPr>
              <w:tab/>
            </w:r>
            <w:r>
              <w:rPr>
                <w:noProof/>
                <w:sz w:val="24"/>
                <w:szCs w:val="24"/>
              </w:rPr>
              <w:fldChar w:fldCharType="begin"/>
            </w:r>
            <w:r>
              <w:rPr>
                <w:noProof/>
                <w:sz w:val="24"/>
                <w:szCs w:val="24"/>
              </w:rPr>
              <w:instrText xml:space="preserve"> PAGEREF _Toc30404161 \h </w:instrText>
            </w:r>
            <w:r>
              <w:rPr>
                <w:noProof/>
                <w:sz w:val="24"/>
                <w:szCs w:val="24"/>
              </w:rPr>
            </w:r>
            <w:r>
              <w:rPr>
                <w:noProof/>
                <w:sz w:val="24"/>
                <w:szCs w:val="24"/>
              </w:rPr>
              <w:fldChar w:fldCharType="separate"/>
            </w:r>
            <w:r>
              <w:rPr>
                <w:noProof/>
                <w:sz w:val="24"/>
                <w:szCs w:val="24"/>
              </w:rPr>
              <w:t>68</w:t>
            </w:r>
            <w:r>
              <w:rPr>
                <w:noProof/>
                <w:sz w:val="24"/>
                <w:szCs w:val="24"/>
              </w:rPr>
              <w:fldChar w:fldCharType="end"/>
            </w:r>
          </w:hyperlink>
        </w:p>
        <w:p>
          <w:pPr>
            <w:pStyle w:val="TOC1"/>
            <w:rPr>
              <w:rFonts w:eastAsiaTheme="minorEastAsia"/>
              <w:b w:val="0"/>
              <w:caps w:val="0"/>
              <w:noProof/>
              <w:sz w:val="24"/>
              <w:szCs w:val="24"/>
            </w:rPr>
          </w:pPr>
          <w:hyperlink w:anchor="_Toc30404162" w:history="1">
            <w:r>
              <w:rPr>
                <w:rStyle w:val="Hyperlink"/>
                <w:b w:val="0"/>
                <w:noProof/>
                <w:sz w:val="24"/>
                <w:szCs w:val="24"/>
              </w:rPr>
              <w:t>3.</w:t>
            </w:r>
            <w:r>
              <w:rPr>
                <w:rFonts w:eastAsiaTheme="minorEastAsia"/>
                <w:b w:val="0"/>
                <w:caps w:val="0"/>
                <w:noProof/>
                <w:sz w:val="24"/>
                <w:szCs w:val="24"/>
              </w:rPr>
              <w:tab/>
            </w:r>
            <w:r>
              <w:rPr>
                <w:rStyle w:val="Hyperlink"/>
                <w:b w:val="0"/>
                <w:noProof/>
                <w:sz w:val="24"/>
                <w:szCs w:val="24"/>
              </w:rPr>
              <w:t>Temporal trends</w:t>
            </w:r>
            <w:r>
              <w:rPr>
                <w:b w:val="0"/>
                <w:noProof/>
                <w:sz w:val="24"/>
                <w:szCs w:val="24"/>
              </w:rPr>
              <w:tab/>
            </w:r>
            <w:r>
              <w:rPr>
                <w:b w:val="0"/>
                <w:noProof/>
                <w:sz w:val="24"/>
                <w:szCs w:val="24"/>
              </w:rPr>
              <w:fldChar w:fldCharType="begin"/>
            </w:r>
            <w:r>
              <w:rPr>
                <w:b w:val="0"/>
                <w:noProof/>
                <w:sz w:val="24"/>
                <w:szCs w:val="24"/>
              </w:rPr>
              <w:instrText xml:space="preserve"> PAGEREF _Toc30404162 \h </w:instrText>
            </w:r>
            <w:r>
              <w:rPr>
                <w:b w:val="0"/>
                <w:noProof/>
                <w:sz w:val="24"/>
                <w:szCs w:val="24"/>
              </w:rPr>
            </w:r>
            <w:r>
              <w:rPr>
                <w:b w:val="0"/>
                <w:noProof/>
                <w:sz w:val="24"/>
                <w:szCs w:val="24"/>
              </w:rPr>
              <w:fldChar w:fldCharType="separate"/>
            </w:r>
            <w:r>
              <w:rPr>
                <w:b w:val="0"/>
                <w:noProof/>
                <w:sz w:val="24"/>
                <w:szCs w:val="24"/>
              </w:rPr>
              <w:t>72</w:t>
            </w:r>
            <w:r>
              <w:rPr>
                <w:b w:val="0"/>
                <w:noProof/>
                <w:sz w:val="24"/>
                <w:szCs w:val="24"/>
              </w:rPr>
              <w:fldChar w:fldCharType="end"/>
            </w:r>
          </w:hyperlink>
        </w:p>
        <w:p>
          <w:pPr>
            <w:pStyle w:val="TOC1"/>
            <w:rPr>
              <w:rFonts w:eastAsiaTheme="minorEastAsia"/>
              <w:b w:val="0"/>
              <w:caps w:val="0"/>
              <w:noProof/>
              <w:sz w:val="24"/>
              <w:szCs w:val="24"/>
            </w:rPr>
          </w:pPr>
          <w:hyperlink w:anchor="_Toc30404163" w:history="1">
            <w:r>
              <w:rPr>
                <w:rStyle w:val="Hyperlink"/>
                <w:b w:val="0"/>
                <w:noProof/>
                <w:sz w:val="24"/>
                <w:szCs w:val="24"/>
              </w:rPr>
              <w:t>4.</w:t>
            </w:r>
            <w:r>
              <w:rPr>
                <w:rFonts w:eastAsiaTheme="minorEastAsia"/>
                <w:b w:val="0"/>
                <w:caps w:val="0"/>
                <w:noProof/>
                <w:sz w:val="24"/>
                <w:szCs w:val="24"/>
              </w:rPr>
              <w:tab/>
            </w:r>
            <w:r>
              <w:rPr>
                <w:rStyle w:val="Hyperlink"/>
                <w:b w:val="0"/>
                <w:noProof/>
                <w:sz w:val="24"/>
                <w:szCs w:val="24"/>
              </w:rPr>
              <w:t>Main impacts</w:t>
            </w:r>
            <w:r>
              <w:rPr>
                <w:b w:val="0"/>
                <w:noProof/>
                <w:sz w:val="24"/>
                <w:szCs w:val="24"/>
              </w:rPr>
              <w:tab/>
            </w:r>
            <w:r>
              <w:rPr>
                <w:b w:val="0"/>
                <w:noProof/>
                <w:sz w:val="24"/>
                <w:szCs w:val="24"/>
              </w:rPr>
              <w:fldChar w:fldCharType="begin"/>
            </w:r>
            <w:r>
              <w:rPr>
                <w:b w:val="0"/>
                <w:noProof/>
                <w:sz w:val="24"/>
                <w:szCs w:val="24"/>
              </w:rPr>
              <w:instrText xml:space="preserve"> PAGEREF _Toc30404163 \h </w:instrText>
            </w:r>
            <w:r>
              <w:rPr>
                <w:b w:val="0"/>
                <w:noProof/>
                <w:sz w:val="24"/>
                <w:szCs w:val="24"/>
              </w:rPr>
            </w:r>
            <w:r>
              <w:rPr>
                <w:b w:val="0"/>
                <w:noProof/>
                <w:sz w:val="24"/>
                <w:szCs w:val="24"/>
              </w:rPr>
              <w:fldChar w:fldCharType="separate"/>
            </w:r>
            <w:r>
              <w:rPr>
                <w:b w:val="0"/>
                <w:noProof/>
                <w:sz w:val="24"/>
                <w:szCs w:val="24"/>
              </w:rPr>
              <w:t>72</w:t>
            </w:r>
            <w:r>
              <w:rPr>
                <w:b w:val="0"/>
                <w:noProof/>
                <w:sz w:val="24"/>
                <w:szCs w:val="24"/>
              </w:rPr>
              <w:fldChar w:fldCharType="end"/>
            </w:r>
          </w:hyperlink>
        </w:p>
        <w:p>
          <w:pPr>
            <w:pStyle w:val="TOC1"/>
            <w:rPr>
              <w:rFonts w:eastAsiaTheme="minorEastAsia"/>
              <w:b w:val="0"/>
              <w:caps w:val="0"/>
              <w:noProof/>
              <w:sz w:val="24"/>
              <w:szCs w:val="24"/>
            </w:rPr>
          </w:pPr>
          <w:hyperlink w:anchor="_Toc30404164" w:history="1">
            <w:r>
              <w:rPr>
                <w:rStyle w:val="Hyperlink"/>
                <w:b w:val="0"/>
                <w:noProof/>
                <w:sz w:val="24"/>
                <w:szCs w:val="24"/>
              </w:rPr>
              <w:t>5.</w:t>
            </w:r>
            <w:r>
              <w:rPr>
                <w:rFonts w:eastAsiaTheme="minorEastAsia"/>
                <w:b w:val="0"/>
                <w:caps w:val="0"/>
                <w:noProof/>
                <w:sz w:val="24"/>
                <w:szCs w:val="24"/>
              </w:rPr>
              <w:tab/>
            </w:r>
            <w:r>
              <w:rPr>
                <w:rStyle w:val="Hyperlink"/>
                <w:rFonts w:eastAsiaTheme="minorHAnsi"/>
                <w:b w:val="0"/>
                <w:noProof/>
                <w:sz w:val="24"/>
                <w:szCs w:val="24"/>
              </w:rPr>
              <w:t xml:space="preserve">Technical </w:t>
            </w:r>
            <w:r>
              <w:rPr>
                <w:rStyle w:val="Hyperlink"/>
                <w:b w:val="0"/>
                <w:noProof/>
                <w:sz w:val="24"/>
                <w:szCs w:val="24"/>
              </w:rPr>
              <w:t>observations</w:t>
            </w:r>
            <w:r>
              <w:rPr>
                <w:b w:val="0"/>
                <w:noProof/>
                <w:sz w:val="24"/>
                <w:szCs w:val="24"/>
              </w:rPr>
              <w:tab/>
            </w:r>
            <w:r>
              <w:rPr>
                <w:b w:val="0"/>
                <w:noProof/>
                <w:sz w:val="24"/>
                <w:szCs w:val="24"/>
              </w:rPr>
              <w:fldChar w:fldCharType="begin"/>
            </w:r>
            <w:r>
              <w:rPr>
                <w:b w:val="0"/>
                <w:noProof/>
                <w:sz w:val="24"/>
                <w:szCs w:val="24"/>
              </w:rPr>
              <w:instrText xml:space="preserve"> PAGEREF _Toc30404164 \h </w:instrText>
            </w:r>
            <w:r>
              <w:rPr>
                <w:b w:val="0"/>
                <w:noProof/>
                <w:sz w:val="24"/>
                <w:szCs w:val="24"/>
              </w:rPr>
            </w:r>
            <w:r>
              <w:rPr>
                <w:b w:val="0"/>
                <w:noProof/>
                <w:sz w:val="24"/>
                <w:szCs w:val="24"/>
              </w:rPr>
              <w:fldChar w:fldCharType="separate"/>
            </w:r>
            <w:r>
              <w:rPr>
                <w:b w:val="0"/>
                <w:noProof/>
                <w:sz w:val="24"/>
                <w:szCs w:val="24"/>
              </w:rPr>
              <w:t>73</w:t>
            </w:r>
            <w:r>
              <w:rPr>
                <w:b w:val="0"/>
                <w:noProof/>
                <w:sz w:val="24"/>
                <w:szCs w:val="24"/>
              </w:rPr>
              <w:fldChar w:fldCharType="end"/>
            </w:r>
          </w:hyperlink>
        </w:p>
        <w:p>
          <w:pPr>
            <w:pStyle w:val="TOC1"/>
            <w:rPr>
              <w:rFonts w:eastAsiaTheme="minorEastAsia"/>
              <w:b w:val="0"/>
              <w:caps w:val="0"/>
              <w:noProof/>
              <w:sz w:val="24"/>
              <w:szCs w:val="24"/>
            </w:rPr>
          </w:pPr>
          <w:hyperlink w:anchor="_Toc30404165" w:history="1">
            <w:r>
              <w:rPr>
                <w:rStyle w:val="Hyperlink"/>
                <w:b w:val="0"/>
                <w:noProof/>
                <w:sz w:val="24"/>
                <w:szCs w:val="24"/>
              </w:rPr>
              <w:t>6.</w:t>
            </w:r>
            <w:r>
              <w:rPr>
                <w:rFonts w:eastAsiaTheme="minorEastAsia"/>
                <w:b w:val="0"/>
                <w:caps w:val="0"/>
                <w:noProof/>
                <w:sz w:val="24"/>
                <w:szCs w:val="24"/>
              </w:rPr>
              <w:tab/>
            </w:r>
            <w:r>
              <w:rPr>
                <w:rStyle w:val="Hyperlink"/>
                <w:b w:val="0"/>
                <w:noProof/>
                <w:sz w:val="24"/>
                <w:szCs w:val="24"/>
              </w:rPr>
              <w:t>Key messages</w:t>
            </w:r>
            <w:r>
              <w:rPr>
                <w:b w:val="0"/>
                <w:noProof/>
                <w:sz w:val="24"/>
                <w:szCs w:val="24"/>
              </w:rPr>
              <w:tab/>
            </w:r>
            <w:r>
              <w:rPr>
                <w:b w:val="0"/>
                <w:noProof/>
                <w:sz w:val="24"/>
                <w:szCs w:val="24"/>
              </w:rPr>
              <w:fldChar w:fldCharType="begin"/>
            </w:r>
            <w:r>
              <w:rPr>
                <w:b w:val="0"/>
                <w:noProof/>
                <w:sz w:val="24"/>
                <w:szCs w:val="24"/>
              </w:rPr>
              <w:instrText xml:space="preserve"> PAGEREF _Toc30404165 \h </w:instrText>
            </w:r>
            <w:r>
              <w:rPr>
                <w:b w:val="0"/>
                <w:noProof/>
                <w:sz w:val="24"/>
                <w:szCs w:val="24"/>
              </w:rPr>
            </w:r>
            <w:r>
              <w:rPr>
                <w:b w:val="0"/>
                <w:noProof/>
                <w:sz w:val="24"/>
                <w:szCs w:val="24"/>
              </w:rPr>
              <w:fldChar w:fldCharType="separate"/>
            </w:r>
            <w:r>
              <w:rPr>
                <w:b w:val="0"/>
                <w:noProof/>
                <w:sz w:val="24"/>
                <w:szCs w:val="24"/>
              </w:rPr>
              <w:t>74</w:t>
            </w:r>
            <w:r>
              <w:rPr>
                <w:b w:val="0"/>
                <w:noProof/>
                <w:sz w:val="24"/>
                <w:szCs w:val="24"/>
              </w:rPr>
              <w:fldChar w:fldCharType="end"/>
            </w:r>
          </w:hyperlink>
        </w:p>
        <w:p>
          <w:pPr>
            <w:pStyle w:val="TOC5"/>
            <w:rPr>
              <w:rFonts w:eastAsiaTheme="minorEastAsia"/>
              <w:noProof/>
              <w:szCs w:val="24"/>
            </w:rPr>
          </w:pPr>
          <w:hyperlink w:anchor="_Toc30404166" w:history="1">
            <w:r>
              <w:rPr>
                <w:rStyle w:val="Hyperlink"/>
                <w:noProof/>
                <w:szCs w:val="24"/>
              </w:rPr>
              <w:t>Descriptor 7: Permanent alteration of hydrographical conditions does not adversely affect marine ecosystems</w:t>
            </w:r>
            <w:r>
              <w:rPr>
                <w:noProof/>
                <w:szCs w:val="24"/>
              </w:rPr>
              <w:tab/>
            </w:r>
            <w:r>
              <w:rPr>
                <w:noProof/>
                <w:szCs w:val="24"/>
              </w:rPr>
              <w:fldChar w:fldCharType="begin"/>
            </w:r>
            <w:r>
              <w:rPr>
                <w:noProof/>
                <w:szCs w:val="24"/>
              </w:rPr>
              <w:instrText xml:space="preserve"> PAGEREF _Toc30404166 \h </w:instrText>
            </w:r>
            <w:r>
              <w:rPr>
                <w:noProof/>
                <w:szCs w:val="24"/>
              </w:rPr>
            </w:r>
            <w:r>
              <w:rPr>
                <w:noProof/>
                <w:szCs w:val="24"/>
              </w:rPr>
              <w:fldChar w:fldCharType="separate"/>
            </w:r>
            <w:r>
              <w:rPr>
                <w:noProof/>
                <w:szCs w:val="24"/>
              </w:rPr>
              <w:t>76</w:t>
            </w:r>
            <w:r>
              <w:rPr>
                <w:noProof/>
                <w:szCs w:val="24"/>
              </w:rPr>
              <w:fldChar w:fldCharType="end"/>
            </w:r>
          </w:hyperlink>
        </w:p>
        <w:p>
          <w:pPr>
            <w:pStyle w:val="TOC1"/>
            <w:rPr>
              <w:rFonts w:eastAsiaTheme="minorEastAsia"/>
              <w:b w:val="0"/>
              <w:caps w:val="0"/>
              <w:noProof/>
              <w:sz w:val="24"/>
              <w:szCs w:val="24"/>
            </w:rPr>
          </w:pPr>
          <w:hyperlink w:anchor="_Toc30404167" w:history="1">
            <w:r>
              <w:rPr>
                <w:rStyle w:val="Hyperlink"/>
                <w:b w:val="0"/>
                <w:noProof/>
                <w:sz w:val="24"/>
                <w:szCs w:val="24"/>
              </w:rPr>
              <w:t>1.</w:t>
            </w:r>
            <w:r>
              <w:rPr>
                <w:rFonts w:eastAsiaTheme="minorEastAsia"/>
                <w:b w:val="0"/>
                <w:caps w:val="0"/>
                <w:noProof/>
                <w:sz w:val="24"/>
                <w:szCs w:val="24"/>
              </w:rPr>
              <w:tab/>
            </w:r>
            <w:r>
              <w:rPr>
                <w:rStyle w:val="Hyperlink"/>
                <w:b w:val="0"/>
                <w:noProof/>
                <w:sz w:val="24"/>
                <w:szCs w:val="24"/>
              </w:rPr>
              <w:t>MSFD framework</w:t>
            </w:r>
            <w:r>
              <w:rPr>
                <w:b w:val="0"/>
                <w:noProof/>
                <w:sz w:val="24"/>
                <w:szCs w:val="24"/>
              </w:rPr>
              <w:tab/>
            </w:r>
            <w:r>
              <w:rPr>
                <w:b w:val="0"/>
                <w:noProof/>
                <w:sz w:val="24"/>
                <w:szCs w:val="24"/>
              </w:rPr>
              <w:fldChar w:fldCharType="begin"/>
            </w:r>
            <w:r>
              <w:rPr>
                <w:b w:val="0"/>
                <w:noProof/>
                <w:sz w:val="24"/>
                <w:szCs w:val="24"/>
              </w:rPr>
              <w:instrText xml:space="preserve"> PAGEREF _Toc30404167 \h </w:instrText>
            </w:r>
            <w:r>
              <w:rPr>
                <w:b w:val="0"/>
                <w:noProof/>
                <w:sz w:val="24"/>
                <w:szCs w:val="24"/>
              </w:rPr>
            </w:r>
            <w:r>
              <w:rPr>
                <w:b w:val="0"/>
                <w:noProof/>
                <w:sz w:val="24"/>
                <w:szCs w:val="24"/>
              </w:rPr>
              <w:fldChar w:fldCharType="separate"/>
            </w:r>
            <w:r>
              <w:rPr>
                <w:b w:val="0"/>
                <w:noProof/>
                <w:sz w:val="24"/>
                <w:szCs w:val="24"/>
              </w:rPr>
              <w:t>76</w:t>
            </w:r>
            <w:r>
              <w:rPr>
                <w:b w:val="0"/>
                <w:noProof/>
                <w:sz w:val="24"/>
                <w:szCs w:val="24"/>
              </w:rPr>
              <w:fldChar w:fldCharType="end"/>
            </w:r>
          </w:hyperlink>
        </w:p>
        <w:p>
          <w:pPr>
            <w:pStyle w:val="TOC1"/>
            <w:rPr>
              <w:rFonts w:eastAsiaTheme="minorEastAsia"/>
              <w:b w:val="0"/>
              <w:caps w:val="0"/>
              <w:noProof/>
              <w:sz w:val="24"/>
              <w:szCs w:val="24"/>
            </w:rPr>
          </w:pPr>
          <w:hyperlink w:anchor="_Toc30404168" w:history="1">
            <w:r>
              <w:rPr>
                <w:rStyle w:val="Hyperlink"/>
                <w:b w:val="0"/>
                <w:noProof/>
                <w:sz w:val="24"/>
                <w:szCs w:val="24"/>
              </w:rPr>
              <w:t>2.</w:t>
            </w:r>
            <w:r>
              <w:rPr>
                <w:rFonts w:eastAsiaTheme="minorEastAsia"/>
                <w:b w:val="0"/>
                <w:caps w:val="0"/>
                <w:noProof/>
                <w:sz w:val="24"/>
                <w:szCs w:val="24"/>
              </w:rPr>
              <w:tab/>
            </w:r>
            <w:r>
              <w:rPr>
                <w:rStyle w:val="Hyperlink"/>
                <w:b w:val="0"/>
                <w:noProof/>
                <w:sz w:val="24"/>
                <w:szCs w:val="24"/>
              </w:rPr>
              <w:t>Changes in hydrographical conditions in EU marine waters</w:t>
            </w:r>
            <w:r>
              <w:rPr>
                <w:b w:val="0"/>
                <w:noProof/>
                <w:sz w:val="24"/>
                <w:szCs w:val="24"/>
              </w:rPr>
              <w:tab/>
            </w:r>
            <w:r>
              <w:rPr>
                <w:b w:val="0"/>
                <w:noProof/>
                <w:sz w:val="24"/>
                <w:szCs w:val="24"/>
              </w:rPr>
              <w:fldChar w:fldCharType="begin"/>
            </w:r>
            <w:r>
              <w:rPr>
                <w:b w:val="0"/>
                <w:noProof/>
                <w:sz w:val="24"/>
                <w:szCs w:val="24"/>
              </w:rPr>
              <w:instrText xml:space="preserve"> PAGEREF _Toc30404168 \h </w:instrText>
            </w:r>
            <w:r>
              <w:rPr>
                <w:b w:val="0"/>
                <w:noProof/>
                <w:sz w:val="24"/>
                <w:szCs w:val="24"/>
              </w:rPr>
            </w:r>
            <w:r>
              <w:rPr>
                <w:b w:val="0"/>
                <w:noProof/>
                <w:sz w:val="24"/>
                <w:szCs w:val="24"/>
              </w:rPr>
              <w:fldChar w:fldCharType="separate"/>
            </w:r>
            <w:r>
              <w:rPr>
                <w:b w:val="0"/>
                <w:noProof/>
                <w:sz w:val="24"/>
                <w:szCs w:val="24"/>
              </w:rPr>
              <w:t>77</w:t>
            </w:r>
            <w:r>
              <w:rPr>
                <w:b w:val="0"/>
                <w:noProof/>
                <w:sz w:val="24"/>
                <w:szCs w:val="24"/>
              </w:rPr>
              <w:fldChar w:fldCharType="end"/>
            </w:r>
          </w:hyperlink>
        </w:p>
        <w:p>
          <w:pPr>
            <w:pStyle w:val="TOC2"/>
            <w:rPr>
              <w:rFonts w:eastAsiaTheme="minorEastAsia"/>
              <w:sz w:val="24"/>
              <w:szCs w:val="24"/>
            </w:rPr>
          </w:pPr>
          <w:hyperlink w:anchor="_Toc30404169" w:history="1">
            <w:r>
              <w:rPr>
                <w:rStyle w:val="Hyperlink"/>
                <w:sz w:val="24"/>
                <w:szCs w:val="24"/>
              </w:rPr>
              <w:t>2.1.</w:t>
            </w:r>
            <w:r>
              <w:rPr>
                <w:rFonts w:eastAsiaTheme="minorEastAsia"/>
                <w:sz w:val="24"/>
                <w:szCs w:val="24"/>
              </w:rPr>
              <w:tab/>
            </w:r>
            <w:r>
              <w:rPr>
                <w:rStyle w:val="Hyperlink"/>
                <w:sz w:val="24"/>
                <w:szCs w:val="24"/>
              </w:rPr>
              <w:t>Ongoing reporting under the MSFD</w:t>
            </w:r>
            <w:r>
              <w:rPr>
                <w:sz w:val="24"/>
                <w:szCs w:val="24"/>
              </w:rPr>
              <w:tab/>
            </w:r>
            <w:r>
              <w:rPr>
                <w:sz w:val="24"/>
                <w:szCs w:val="24"/>
              </w:rPr>
              <w:fldChar w:fldCharType="begin"/>
            </w:r>
            <w:r>
              <w:rPr>
                <w:sz w:val="24"/>
                <w:szCs w:val="24"/>
              </w:rPr>
              <w:instrText xml:space="preserve"> PAGEREF _Toc30404169 \h </w:instrText>
            </w:r>
            <w:r>
              <w:rPr>
                <w:sz w:val="24"/>
                <w:szCs w:val="24"/>
              </w:rPr>
            </w:r>
            <w:r>
              <w:rPr>
                <w:sz w:val="24"/>
                <w:szCs w:val="24"/>
              </w:rPr>
              <w:fldChar w:fldCharType="separate"/>
            </w:r>
            <w:r>
              <w:rPr>
                <w:sz w:val="24"/>
                <w:szCs w:val="24"/>
              </w:rPr>
              <w:t>77</w:t>
            </w:r>
            <w:r>
              <w:rPr>
                <w:sz w:val="24"/>
                <w:szCs w:val="24"/>
              </w:rPr>
              <w:fldChar w:fldCharType="end"/>
            </w:r>
          </w:hyperlink>
        </w:p>
        <w:p>
          <w:pPr>
            <w:pStyle w:val="TOC2"/>
            <w:rPr>
              <w:rFonts w:eastAsiaTheme="minorEastAsia"/>
              <w:sz w:val="24"/>
              <w:szCs w:val="24"/>
            </w:rPr>
          </w:pPr>
          <w:hyperlink w:anchor="_Toc30404170" w:history="1">
            <w:r>
              <w:rPr>
                <w:rStyle w:val="Hyperlink"/>
                <w:sz w:val="24"/>
                <w:szCs w:val="24"/>
              </w:rPr>
              <w:t>2.2.</w:t>
            </w:r>
            <w:r>
              <w:rPr>
                <w:rFonts w:eastAsiaTheme="minorEastAsia"/>
                <w:sz w:val="24"/>
                <w:szCs w:val="24"/>
              </w:rPr>
              <w:tab/>
            </w:r>
            <w:r>
              <w:rPr>
                <w:rStyle w:val="Hyperlink"/>
                <w:sz w:val="24"/>
                <w:szCs w:val="24"/>
              </w:rPr>
              <w:t>Member States’ assessments under the MSFD</w:t>
            </w:r>
            <w:r>
              <w:rPr>
                <w:sz w:val="24"/>
                <w:szCs w:val="24"/>
              </w:rPr>
              <w:tab/>
            </w:r>
            <w:r>
              <w:rPr>
                <w:sz w:val="24"/>
                <w:szCs w:val="24"/>
              </w:rPr>
              <w:fldChar w:fldCharType="begin"/>
            </w:r>
            <w:r>
              <w:rPr>
                <w:sz w:val="24"/>
                <w:szCs w:val="24"/>
              </w:rPr>
              <w:instrText xml:space="preserve"> PAGEREF _Toc30404170 \h </w:instrText>
            </w:r>
            <w:r>
              <w:rPr>
                <w:sz w:val="24"/>
                <w:szCs w:val="24"/>
              </w:rPr>
            </w:r>
            <w:r>
              <w:rPr>
                <w:sz w:val="24"/>
                <w:szCs w:val="24"/>
              </w:rPr>
              <w:fldChar w:fldCharType="separate"/>
            </w:r>
            <w:r>
              <w:rPr>
                <w:sz w:val="24"/>
                <w:szCs w:val="24"/>
              </w:rPr>
              <w:t>78</w:t>
            </w:r>
            <w:r>
              <w:rPr>
                <w:sz w:val="24"/>
                <w:szCs w:val="24"/>
              </w:rPr>
              <w:fldChar w:fldCharType="end"/>
            </w:r>
          </w:hyperlink>
        </w:p>
        <w:p>
          <w:pPr>
            <w:pStyle w:val="TOC2"/>
            <w:rPr>
              <w:rFonts w:eastAsiaTheme="minorEastAsia"/>
              <w:sz w:val="24"/>
              <w:szCs w:val="24"/>
            </w:rPr>
          </w:pPr>
          <w:hyperlink w:anchor="_Toc30404171" w:history="1">
            <w:r>
              <w:rPr>
                <w:rStyle w:val="Hyperlink"/>
                <w:sz w:val="24"/>
                <w:szCs w:val="24"/>
              </w:rPr>
              <w:t>2.1.</w:t>
            </w:r>
            <w:r>
              <w:rPr>
                <w:rFonts w:eastAsiaTheme="minorEastAsia"/>
                <w:sz w:val="24"/>
                <w:szCs w:val="24"/>
              </w:rPr>
              <w:tab/>
            </w:r>
            <w:r>
              <w:rPr>
                <w:rStyle w:val="Hyperlink"/>
                <w:sz w:val="24"/>
                <w:szCs w:val="24"/>
              </w:rPr>
              <w:t>Other assessments</w:t>
            </w:r>
            <w:r>
              <w:rPr>
                <w:sz w:val="24"/>
                <w:szCs w:val="24"/>
              </w:rPr>
              <w:tab/>
            </w:r>
            <w:r>
              <w:rPr>
                <w:sz w:val="24"/>
                <w:szCs w:val="24"/>
              </w:rPr>
              <w:fldChar w:fldCharType="begin"/>
            </w:r>
            <w:r>
              <w:rPr>
                <w:sz w:val="24"/>
                <w:szCs w:val="24"/>
              </w:rPr>
              <w:instrText xml:space="preserve"> PAGEREF _Toc30404171 \h </w:instrText>
            </w:r>
            <w:r>
              <w:rPr>
                <w:sz w:val="24"/>
                <w:szCs w:val="24"/>
              </w:rPr>
            </w:r>
            <w:r>
              <w:rPr>
                <w:sz w:val="24"/>
                <w:szCs w:val="24"/>
              </w:rPr>
              <w:fldChar w:fldCharType="separate"/>
            </w:r>
            <w:r>
              <w:rPr>
                <w:sz w:val="24"/>
                <w:szCs w:val="24"/>
              </w:rPr>
              <w:t>78</w:t>
            </w:r>
            <w:r>
              <w:rPr>
                <w:sz w:val="24"/>
                <w:szCs w:val="24"/>
              </w:rPr>
              <w:fldChar w:fldCharType="end"/>
            </w:r>
          </w:hyperlink>
        </w:p>
        <w:p>
          <w:pPr>
            <w:pStyle w:val="TOC1"/>
            <w:rPr>
              <w:rFonts w:eastAsiaTheme="minorEastAsia"/>
              <w:b w:val="0"/>
              <w:caps w:val="0"/>
              <w:noProof/>
              <w:sz w:val="24"/>
              <w:szCs w:val="24"/>
            </w:rPr>
          </w:pPr>
          <w:hyperlink w:anchor="_Toc30404172" w:history="1">
            <w:r>
              <w:rPr>
                <w:rStyle w:val="Hyperlink"/>
                <w:b w:val="0"/>
                <w:noProof/>
                <w:sz w:val="24"/>
                <w:szCs w:val="24"/>
              </w:rPr>
              <w:t>3.</w:t>
            </w:r>
            <w:r>
              <w:rPr>
                <w:rFonts w:eastAsiaTheme="minorEastAsia"/>
                <w:b w:val="0"/>
                <w:caps w:val="0"/>
                <w:noProof/>
                <w:sz w:val="24"/>
                <w:szCs w:val="24"/>
              </w:rPr>
              <w:tab/>
            </w:r>
            <w:r>
              <w:rPr>
                <w:rStyle w:val="Hyperlink"/>
                <w:b w:val="0"/>
                <w:noProof/>
                <w:sz w:val="24"/>
                <w:szCs w:val="24"/>
              </w:rPr>
              <w:t>Temporal trends and links with broader climate aspects</w:t>
            </w:r>
            <w:r>
              <w:rPr>
                <w:b w:val="0"/>
                <w:noProof/>
                <w:sz w:val="24"/>
                <w:szCs w:val="24"/>
              </w:rPr>
              <w:tab/>
            </w:r>
            <w:r>
              <w:rPr>
                <w:b w:val="0"/>
                <w:noProof/>
                <w:sz w:val="24"/>
                <w:szCs w:val="24"/>
              </w:rPr>
              <w:fldChar w:fldCharType="begin"/>
            </w:r>
            <w:r>
              <w:rPr>
                <w:b w:val="0"/>
                <w:noProof/>
                <w:sz w:val="24"/>
                <w:szCs w:val="24"/>
              </w:rPr>
              <w:instrText xml:space="preserve"> PAGEREF _Toc30404172 \h </w:instrText>
            </w:r>
            <w:r>
              <w:rPr>
                <w:b w:val="0"/>
                <w:noProof/>
                <w:sz w:val="24"/>
                <w:szCs w:val="24"/>
              </w:rPr>
            </w:r>
            <w:r>
              <w:rPr>
                <w:b w:val="0"/>
                <w:noProof/>
                <w:sz w:val="24"/>
                <w:szCs w:val="24"/>
              </w:rPr>
              <w:fldChar w:fldCharType="separate"/>
            </w:r>
            <w:r>
              <w:rPr>
                <w:b w:val="0"/>
                <w:noProof/>
                <w:sz w:val="24"/>
                <w:szCs w:val="24"/>
              </w:rPr>
              <w:t>80</w:t>
            </w:r>
            <w:r>
              <w:rPr>
                <w:b w:val="0"/>
                <w:noProof/>
                <w:sz w:val="24"/>
                <w:szCs w:val="24"/>
              </w:rPr>
              <w:fldChar w:fldCharType="end"/>
            </w:r>
          </w:hyperlink>
        </w:p>
        <w:p>
          <w:pPr>
            <w:pStyle w:val="TOC1"/>
            <w:rPr>
              <w:rFonts w:eastAsiaTheme="minorEastAsia"/>
              <w:b w:val="0"/>
              <w:caps w:val="0"/>
              <w:noProof/>
              <w:sz w:val="24"/>
              <w:szCs w:val="24"/>
            </w:rPr>
          </w:pPr>
          <w:hyperlink w:anchor="_Toc30404173" w:history="1">
            <w:r>
              <w:rPr>
                <w:rStyle w:val="Hyperlink"/>
                <w:b w:val="0"/>
                <w:noProof/>
                <w:sz w:val="24"/>
                <w:szCs w:val="24"/>
              </w:rPr>
              <w:t>4.</w:t>
            </w:r>
            <w:r>
              <w:rPr>
                <w:rFonts w:eastAsiaTheme="minorEastAsia"/>
                <w:b w:val="0"/>
                <w:caps w:val="0"/>
                <w:noProof/>
                <w:sz w:val="24"/>
                <w:szCs w:val="24"/>
              </w:rPr>
              <w:tab/>
            </w:r>
            <w:r>
              <w:rPr>
                <w:rStyle w:val="Hyperlink"/>
                <w:b w:val="0"/>
                <w:noProof/>
                <w:sz w:val="24"/>
                <w:szCs w:val="24"/>
              </w:rPr>
              <w:t>Further developments under this descriptor</w:t>
            </w:r>
            <w:r>
              <w:rPr>
                <w:b w:val="0"/>
                <w:noProof/>
                <w:sz w:val="24"/>
                <w:szCs w:val="24"/>
              </w:rPr>
              <w:tab/>
            </w:r>
            <w:r>
              <w:rPr>
                <w:b w:val="0"/>
                <w:noProof/>
                <w:sz w:val="24"/>
                <w:szCs w:val="24"/>
              </w:rPr>
              <w:fldChar w:fldCharType="begin"/>
            </w:r>
            <w:r>
              <w:rPr>
                <w:b w:val="0"/>
                <w:noProof/>
                <w:sz w:val="24"/>
                <w:szCs w:val="24"/>
              </w:rPr>
              <w:instrText xml:space="preserve"> PAGEREF _Toc30404173 \h </w:instrText>
            </w:r>
            <w:r>
              <w:rPr>
                <w:b w:val="0"/>
                <w:noProof/>
                <w:sz w:val="24"/>
                <w:szCs w:val="24"/>
              </w:rPr>
            </w:r>
            <w:r>
              <w:rPr>
                <w:b w:val="0"/>
                <w:noProof/>
                <w:sz w:val="24"/>
                <w:szCs w:val="24"/>
              </w:rPr>
              <w:fldChar w:fldCharType="separate"/>
            </w:r>
            <w:r>
              <w:rPr>
                <w:b w:val="0"/>
                <w:noProof/>
                <w:sz w:val="24"/>
                <w:szCs w:val="24"/>
              </w:rPr>
              <w:t>81</w:t>
            </w:r>
            <w:r>
              <w:rPr>
                <w:b w:val="0"/>
                <w:noProof/>
                <w:sz w:val="24"/>
                <w:szCs w:val="24"/>
              </w:rPr>
              <w:fldChar w:fldCharType="end"/>
            </w:r>
          </w:hyperlink>
        </w:p>
        <w:p>
          <w:pPr>
            <w:pStyle w:val="TOC1"/>
            <w:rPr>
              <w:rFonts w:eastAsiaTheme="minorEastAsia"/>
              <w:b w:val="0"/>
              <w:caps w:val="0"/>
              <w:noProof/>
              <w:sz w:val="24"/>
              <w:szCs w:val="24"/>
            </w:rPr>
          </w:pPr>
          <w:hyperlink w:anchor="_Toc30404174" w:history="1">
            <w:r>
              <w:rPr>
                <w:rStyle w:val="Hyperlink"/>
                <w:b w:val="0"/>
                <w:noProof/>
                <w:sz w:val="24"/>
                <w:szCs w:val="24"/>
              </w:rPr>
              <w:t>5.</w:t>
            </w:r>
            <w:r>
              <w:rPr>
                <w:rFonts w:eastAsiaTheme="minorEastAsia"/>
                <w:b w:val="0"/>
                <w:caps w:val="0"/>
                <w:noProof/>
                <w:sz w:val="24"/>
                <w:szCs w:val="24"/>
              </w:rPr>
              <w:tab/>
            </w:r>
            <w:r>
              <w:rPr>
                <w:rStyle w:val="Hyperlink"/>
                <w:rFonts w:eastAsiaTheme="minorHAnsi"/>
                <w:b w:val="0"/>
                <w:noProof/>
                <w:sz w:val="24"/>
                <w:szCs w:val="24"/>
              </w:rPr>
              <w:t xml:space="preserve">Technical </w:t>
            </w:r>
            <w:r>
              <w:rPr>
                <w:rStyle w:val="Hyperlink"/>
                <w:b w:val="0"/>
                <w:noProof/>
                <w:sz w:val="24"/>
                <w:szCs w:val="24"/>
              </w:rPr>
              <w:t>observations</w:t>
            </w:r>
            <w:r>
              <w:rPr>
                <w:b w:val="0"/>
                <w:noProof/>
                <w:sz w:val="24"/>
                <w:szCs w:val="24"/>
              </w:rPr>
              <w:tab/>
            </w:r>
            <w:r>
              <w:rPr>
                <w:b w:val="0"/>
                <w:noProof/>
                <w:sz w:val="24"/>
                <w:szCs w:val="24"/>
              </w:rPr>
              <w:fldChar w:fldCharType="begin"/>
            </w:r>
            <w:r>
              <w:rPr>
                <w:b w:val="0"/>
                <w:noProof/>
                <w:sz w:val="24"/>
                <w:szCs w:val="24"/>
              </w:rPr>
              <w:instrText xml:space="preserve"> PAGEREF _Toc30404174 \h </w:instrText>
            </w:r>
            <w:r>
              <w:rPr>
                <w:b w:val="0"/>
                <w:noProof/>
                <w:sz w:val="24"/>
                <w:szCs w:val="24"/>
              </w:rPr>
            </w:r>
            <w:r>
              <w:rPr>
                <w:b w:val="0"/>
                <w:noProof/>
                <w:sz w:val="24"/>
                <w:szCs w:val="24"/>
              </w:rPr>
              <w:fldChar w:fldCharType="separate"/>
            </w:r>
            <w:r>
              <w:rPr>
                <w:b w:val="0"/>
                <w:noProof/>
                <w:sz w:val="24"/>
                <w:szCs w:val="24"/>
              </w:rPr>
              <w:t>82</w:t>
            </w:r>
            <w:r>
              <w:rPr>
                <w:b w:val="0"/>
                <w:noProof/>
                <w:sz w:val="24"/>
                <w:szCs w:val="24"/>
              </w:rPr>
              <w:fldChar w:fldCharType="end"/>
            </w:r>
          </w:hyperlink>
        </w:p>
        <w:p>
          <w:pPr>
            <w:pStyle w:val="TOC1"/>
            <w:rPr>
              <w:rFonts w:eastAsiaTheme="minorEastAsia"/>
              <w:b w:val="0"/>
              <w:caps w:val="0"/>
              <w:noProof/>
              <w:sz w:val="24"/>
              <w:szCs w:val="24"/>
            </w:rPr>
          </w:pPr>
          <w:hyperlink w:anchor="_Toc30404175" w:history="1">
            <w:r>
              <w:rPr>
                <w:rStyle w:val="Hyperlink"/>
                <w:b w:val="0"/>
                <w:noProof/>
                <w:sz w:val="24"/>
                <w:szCs w:val="24"/>
              </w:rPr>
              <w:t>6.</w:t>
            </w:r>
            <w:r>
              <w:rPr>
                <w:rFonts w:eastAsiaTheme="minorEastAsia"/>
                <w:b w:val="0"/>
                <w:caps w:val="0"/>
                <w:noProof/>
                <w:sz w:val="24"/>
                <w:szCs w:val="24"/>
              </w:rPr>
              <w:tab/>
            </w:r>
            <w:r>
              <w:rPr>
                <w:rStyle w:val="Hyperlink"/>
                <w:b w:val="0"/>
                <w:noProof/>
                <w:sz w:val="24"/>
                <w:szCs w:val="24"/>
              </w:rPr>
              <w:t>Key messages</w:t>
            </w:r>
            <w:r>
              <w:rPr>
                <w:b w:val="0"/>
                <w:noProof/>
                <w:sz w:val="24"/>
                <w:szCs w:val="24"/>
              </w:rPr>
              <w:tab/>
            </w:r>
            <w:r>
              <w:rPr>
                <w:b w:val="0"/>
                <w:noProof/>
                <w:sz w:val="24"/>
                <w:szCs w:val="24"/>
              </w:rPr>
              <w:fldChar w:fldCharType="begin"/>
            </w:r>
            <w:r>
              <w:rPr>
                <w:b w:val="0"/>
                <w:noProof/>
                <w:sz w:val="24"/>
                <w:szCs w:val="24"/>
              </w:rPr>
              <w:instrText xml:space="preserve"> PAGEREF _Toc30404175 \h </w:instrText>
            </w:r>
            <w:r>
              <w:rPr>
                <w:b w:val="0"/>
                <w:noProof/>
                <w:sz w:val="24"/>
                <w:szCs w:val="24"/>
              </w:rPr>
            </w:r>
            <w:r>
              <w:rPr>
                <w:b w:val="0"/>
                <w:noProof/>
                <w:sz w:val="24"/>
                <w:szCs w:val="24"/>
              </w:rPr>
              <w:fldChar w:fldCharType="separate"/>
            </w:r>
            <w:r>
              <w:rPr>
                <w:b w:val="0"/>
                <w:noProof/>
                <w:sz w:val="24"/>
                <w:szCs w:val="24"/>
              </w:rPr>
              <w:t>82</w:t>
            </w:r>
            <w:r>
              <w:rPr>
                <w:b w:val="0"/>
                <w:noProof/>
                <w:sz w:val="24"/>
                <w:szCs w:val="24"/>
              </w:rPr>
              <w:fldChar w:fldCharType="end"/>
            </w:r>
          </w:hyperlink>
        </w:p>
        <w:p>
          <w:pPr>
            <w:pStyle w:val="TOC5"/>
            <w:rPr>
              <w:rFonts w:eastAsiaTheme="minorEastAsia"/>
              <w:noProof/>
              <w:szCs w:val="24"/>
            </w:rPr>
          </w:pPr>
          <w:hyperlink w:anchor="_Toc30404176" w:history="1">
            <w:r>
              <w:rPr>
                <w:rStyle w:val="Hyperlink"/>
                <w:noProof/>
                <w:szCs w:val="24"/>
              </w:rPr>
              <w:t>Descriptor 8: Concentrations of contaminants are at levels not giving rise to pollution effects</w:t>
            </w:r>
            <w:r>
              <w:rPr>
                <w:noProof/>
                <w:szCs w:val="24"/>
              </w:rPr>
              <w:tab/>
            </w:r>
            <w:r>
              <w:rPr>
                <w:noProof/>
                <w:szCs w:val="24"/>
              </w:rPr>
              <w:fldChar w:fldCharType="begin"/>
            </w:r>
            <w:r>
              <w:rPr>
                <w:noProof/>
                <w:szCs w:val="24"/>
              </w:rPr>
              <w:instrText xml:space="preserve"> PAGEREF _Toc30404176 \h </w:instrText>
            </w:r>
            <w:r>
              <w:rPr>
                <w:noProof/>
                <w:szCs w:val="24"/>
              </w:rPr>
            </w:r>
            <w:r>
              <w:rPr>
                <w:noProof/>
                <w:szCs w:val="24"/>
              </w:rPr>
              <w:fldChar w:fldCharType="separate"/>
            </w:r>
            <w:r>
              <w:rPr>
                <w:noProof/>
                <w:szCs w:val="24"/>
              </w:rPr>
              <w:t>84</w:t>
            </w:r>
            <w:r>
              <w:rPr>
                <w:noProof/>
                <w:szCs w:val="24"/>
              </w:rPr>
              <w:fldChar w:fldCharType="end"/>
            </w:r>
          </w:hyperlink>
        </w:p>
        <w:p>
          <w:pPr>
            <w:pStyle w:val="TOC1"/>
            <w:rPr>
              <w:rFonts w:eastAsiaTheme="minorEastAsia"/>
              <w:b w:val="0"/>
              <w:caps w:val="0"/>
              <w:noProof/>
              <w:sz w:val="24"/>
              <w:szCs w:val="24"/>
            </w:rPr>
          </w:pPr>
          <w:hyperlink w:anchor="_Toc30404177" w:history="1">
            <w:r>
              <w:rPr>
                <w:rStyle w:val="Hyperlink"/>
                <w:b w:val="0"/>
                <w:noProof/>
                <w:sz w:val="24"/>
                <w:szCs w:val="24"/>
              </w:rPr>
              <w:t>1.</w:t>
            </w:r>
            <w:r>
              <w:rPr>
                <w:rFonts w:eastAsiaTheme="minorEastAsia"/>
                <w:b w:val="0"/>
                <w:caps w:val="0"/>
                <w:noProof/>
                <w:sz w:val="24"/>
                <w:szCs w:val="24"/>
              </w:rPr>
              <w:tab/>
            </w:r>
            <w:r>
              <w:rPr>
                <w:rStyle w:val="Hyperlink"/>
                <w:b w:val="0"/>
                <w:noProof/>
                <w:sz w:val="24"/>
                <w:szCs w:val="24"/>
              </w:rPr>
              <w:t>MSFD framework</w:t>
            </w:r>
            <w:r>
              <w:rPr>
                <w:b w:val="0"/>
                <w:noProof/>
                <w:sz w:val="24"/>
                <w:szCs w:val="24"/>
              </w:rPr>
              <w:tab/>
            </w:r>
            <w:r>
              <w:rPr>
                <w:b w:val="0"/>
                <w:noProof/>
                <w:sz w:val="24"/>
                <w:szCs w:val="24"/>
              </w:rPr>
              <w:fldChar w:fldCharType="begin"/>
            </w:r>
            <w:r>
              <w:rPr>
                <w:b w:val="0"/>
                <w:noProof/>
                <w:sz w:val="24"/>
                <w:szCs w:val="24"/>
              </w:rPr>
              <w:instrText xml:space="preserve"> PAGEREF _Toc30404177 \h </w:instrText>
            </w:r>
            <w:r>
              <w:rPr>
                <w:b w:val="0"/>
                <w:noProof/>
                <w:sz w:val="24"/>
                <w:szCs w:val="24"/>
              </w:rPr>
            </w:r>
            <w:r>
              <w:rPr>
                <w:b w:val="0"/>
                <w:noProof/>
                <w:sz w:val="24"/>
                <w:szCs w:val="24"/>
              </w:rPr>
              <w:fldChar w:fldCharType="separate"/>
            </w:r>
            <w:r>
              <w:rPr>
                <w:b w:val="0"/>
                <w:noProof/>
                <w:sz w:val="24"/>
                <w:szCs w:val="24"/>
              </w:rPr>
              <w:t>84</w:t>
            </w:r>
            <w:r>
              <w:rPr>
                <w:b w:val="0"/>
                <w:noProof/>
                <w:sz w:val="24"/>
                <w:szCs w:val="24"/>
              </w:rPr>
              <w:fldChar w:fldCharType="end"/>
            </w:r>
          </w:hyperlink>
        </w:p>
        <w:p>
          <w:pPr>
            <w:pStyle w:val="TOC1"/>
            <w:rPr>
              <w:rFonts w:eastAsiaTheme="minorEastAsia"/>
              <w:b w:val="0"/>
              <w:caps w:val="0"/>
              <w:noProof/>
              <w:sz w:val="24"/>
              <w:szCs w:val="24"/>
            </w:rPr>
          </w:pPr>
          <w:hyperlink w:anchor="_Toc30404178" w:history="1">
            <w:r>
              <w:rPr>
                <w:rStyle w:val="Hyperlink"/>
                <w:b w:val="0"/>
                <w:noProof/>
                <w:sz w:val="24"/>
                <w:szCs w:val="24"/>
              </w:rPr>
              <w:t>2.</w:t>
            </w:r>
            <w:r>
              <w:rPr>
                <w:rFonts w:eastAsiaTheme="minorEastAsia"/>
                <w:b w:val="0"/>
                <w:caps w:val="0"/>
                <w:noProof/>
                <w:sz w:val="24"/>
                <w:szCs w:val="24"/>
              </w:rPr>
              <w:tab/>
            </w:r>
            <w:r>
              <w:rPr>
                <w:rStyle w:val="Hyperlink"/>
                <w:b w:val="0"/>
                <w:noProof/>
                <w:sz w:val="24"/>
                <w:szCs w:val="24"/>
              </w:rPr>
              <w:t>Contaminants in EU marine waters: concentrations and trends</w:t>
            </w:r>
            <w:r>
              <w:rPr>
                <w:b w:val="0"/>
                <w:noProof/>
                <w:sz w:val="24"/>
                <w:szCs w:val="24"/>
              </w:rPr>
              <w:tab/>
            </w:r>
            <w:r>
              <w:rPr>
                <w:b w:val="0"/>
                <w:noProof/>
                <w:sz w:val="24"/>
                <w:szCs w:val="24"/>
              </w:rPr>
              <w:fldChar w:fldCharType="begin"/>
            </w:r>
            <w:r>
              <w:rPr>
                <w:b w:val="0"/>
                <w:noProof/>
                <w:sz w:val="24"/>
                <w:szCs w:val="24"/>
              </w:rPr>
              <w:instrText xml:space="preserve"> PAGEREF _Toc30404178 \h </w:instrText>
            </w:r>
            <w:r>
              <w:rPr>
                <w:b w:val="0"/>
                <w:noProof/>
                <w:sz w:val="24"/>
                <w:szCs w:val="24"/>
              </w:rPr>
            </w:r>
            <w:r>
              <w:rPr>
                <w:b w:val="0"/>
                <w:noProof/>
                <w:sz w:val="24"/>
                <w:szCs w:val="24"/>
              </w:rPr>
              <w:fldChar w:fldCharType="separate"/>
            </w:r>
            <w:r>
              <w:rPr>
                <w:b w:val="0"/>
                <w:noProof/>
                <w:sz w:val="24"/>
                <w:szCs w:val="24"/>
              </w:rPr>
              <w:t>85</w:t>
            </w:r>
            <w:r>
              <w:rPr>
                <w:b w:val="0"/>
                <w:noProof/>
                <w:sz w:val="24"/>
                <w:szCs w:val="24"/>
              </w:rPr>
              <w:fldChar w:fldCharType="end"/>
            </w:r>
          </w:hyperlink>
        </w:p>
        <w:p>
          <w:pPr>
            <w:pStyle w:val="TOC2"/>
            <w:rPr>
              <w:rFonts w:eastAsiaTheme="minorEastAsia"/>
              <w:sz w:val="24"/>
              <w:szCs w:val="24"/>
            </w:rPr>
          </w:pPr>
          <w:hyperlink w:anchor="_Toc30404179" w:history="1">
            <w:r>
              <w:rPr>
                <w:rStyle w:val="Hyperlink"/>
                <w:sz w:val="24"/>
                <w:szCs w:val="24"/>
              </w:rPr>
              <w:t>2.1.</w:t>
            </w:r>
            <w:r>
              <w:rPr>
                <w:rFonts w:eastAsiaTheme="minorEastAsia"/>
                <w:sz w:val="24"/>
                <w:szCs w:val="24"/>
              </w:rPr>
              <w:tab/>
            </w:r>
            <w:r>
              <w:rPr>
                <w:rStyle w:val="Hyperlink"/>
                <w:sz w:val="24"/>
                <w:szCs w:val="24"/>
              </w:rPr>
              <w:t>Ongoing reporting under the MSFD</w:t>
            </w:r>
            <w:r>
              <w:rPr>
                <w:sz w:val="24"/>
                <w:szCs w:val="24"/>
              </w:rPr>
              <w:tab/>
            </w:r>
            <w:r>
              <w:rPr>
                <w:sz w:val="24"/>
                <w:szCs w:val="24"/>
              </w:rPr>
              <w:fldChar w:fldCharType="begin"/>
            </w:r>
            <w:r>
              <w:rPr>
                <w:sz w:val="24"/>
                <w:szCs w:val="24"/>
              </w:rPr>
              <w:instrText xml:space="preserve"> PAGEREF _Toc30404179 \h </w:instrText>
            </w:r>
            <w:r>
              <w:rPr>
                <w:sz w:val="24"/>
                <w:szCs w:val="24"/>
              </w:rPr>
            </w:r>
            <w:r>
              <w:rPr>
                <w:sz w:val="24"/>
                <w:szCs w:val="24"/>
              </w:rPr>
              <w:fldChar w:fldCharType="separate"/>
            </w:r>
            <w:r>
              <w:rPr>
                <w:sz w:val="24"/>
                <w:szCs w:val="24"/>
              </w:rPr>
              <w:t>85</w:t>
            </w:r>
            <w:r>
              <w:rPr>
                <w:sz w:val="24"/>
                <w:szCs w:val="24"/>
              </w:rPr>
              <w:fldChar w:fldCharType="end"/>
            </w:r>
          </w:hyperlink>
        </w:p>
        <w:p>
          <w:pPr>
            <w:pStyle w:val="TOC2"/>
            <w:rPr>
              <w:rFonts w:eastAsiaTheme="minorEastAsia"/>
              <w:sz w:val="24"/>
              <w:szCs w:val="24"/>
            </w:rPr>
          </w:pPr>
          <w:hyperlink w:anchor="_Toc30404180" w:history="1">
            <w:r>
              <w:rPr>
                <w:rStyle w:val="Hyperlink"/>
                <w:sz w:val="24"/>
                <w:szCs w:val="24"/>
              </w:rPr>
              <w:t>2.2.</w:t>
            </w:r>
            <w:r>
              <w:rPr>
                <w:rFonts w:eastAsiaTheme="minorEastAsia"/>
                <w:sz w:val="24"/>
                <w:szCs w:val="24"/>
              </w:rPr>
              <w:tab/>
            </w:r>
            <w:r>
              <w:rPr>
                <w:rStyle w:val="Hyperlink"/>
                <w:sz w:val="24"/>
                <w:szCs w:val="24"/>
              </w:rPr>
              <w:t>EU assessments of contaminants in the marine environment</w:t>
            </w:r>
            <w:r>
              <w:rPr>
                <w:sz w:val="24"/>
                <w:szCs w:val="24"/>
              </w:rPr>
              <w:tab/>
            </w:r>
            <w:r>
              <w:rPr>
                <w:sz w:val="24"/>
                <w:szCs w:val="24"/>
              </w:rPr>
              <w:fldChar w:fldCharType="begin"/>
            </w:r>
            <w:r>
              <w:rPr>
                <w:sz w:val="24"/>
                <w:szCs w:val="24"/>
              </w:rPr>
              <w:instrText xml:space="preserve"> PAGEREF _Toc30404180 \h </w:instrText>
            </w:r>
            <w:r>
              <w:rPr>
                <w:sz w:val="24"/>
                <w:szCs w:val="24"/>
              </w:rPr>
            </w:r>
            <w:r>
              <w:rPr>
                <w:sz w:val="24"/>
                <w:szCs w:val="24"/>
              </w:rPr>
              <w:fldChar w:fldCharType="separate"/>
            </w:r>
            <w:r>
              <w:rPr>
                <w:sz w:val="24"/>
                <w:szCs w:val="24"/>
              </w:rPr>
              <w:t>86</w:t>
            </w:r>
            <w:r>
              <w:rPr>
                <w:sz w:val="24"/>
                <w:szCs w:val="24"/>
              </w:rPr>
              <w:fldChar w:fldCharType="end"/>
            </w:r>
          </w:hyperlink>
        </w:p>
        <w:p>
          <w:pPr>
            <w:pStyle w:val="TOC2"/>
            <w:rPr>
              <w:rFonts w:eastAsiaTheme="minorEastAsia"/>
              <w:sz w:val="24"/>
              <w:szCs w:val="24"/>
            </w:rPr>
          </w:pPr>
          <w:hyperlink w:anchor="_Toc30404181" w:history="1">
            <w:r>
              <w:rPr>
                <w:rStyle w:val="Hyperlink"/>
                <w:sz w:val="24"/>
                <w:szCs w:val="24"/>
              </w:rPr>
              <w:t>2.3.</w:t>
            </w:r>
            <w:r>
              <w:rPr>
                <w:rFonts w:eastAsiaTheme="minorEastAsia"/>
                <w:sz w:val="24"/>
                <w:szCs w:val="24"/>
              </w:rPr>
              <w:tab/>
            </w:r>
            <w:r>
              <w:rPr>
                <w:rStyle w:val="Hyperlink"/>
                <w:sz w:val="24"/>
                <w:szCs w:val="24"/>
              </w:rPr>
              <w:t>Regional assessments of contaminants in the marine environment</w:t>
            </w:r>
            <w:r>
              <w:rPr>
                <w:sz w:val="24"/>
                <w:szCs w:val="24"/>
              </w:rPr>
              <w:tab/>
            </w:r>
            <w:r>
              <w:rPr>
                <w:sz w:val="24"/>
                <w:szCs w:val="24"/>
              </w:rPr>
              <w:fldChar w:fldCharType="begin"/>
            </w:r>
            <w:r>
              <w:rPr>
                <w:sz w:val="24"/>
                <w:szCs w:val="24"/>
              </w:rPr>
              <w:instrText xml:space="preserve"> PAGEREF _Toc30404181 \h </w:instrText>
            </w:r>
            <w:r>
              <w:rPr>
                <w:sz w:val="24"/>
                <w:szCs w:val="24"/>
              </w:rPr>
            </w:r>
            <w:r>
              <w:rPr>
                <w:sz w:val="24"/>
                <w:szCs w:val="24"/>
              </w:rPr>
              <w:fldChar w:fldCharType="separate"/>
            </w:r>
            <w:r>
              <w:rPr>
                <w:sz w:val="24"/>
                <w:szCs w:val="24"/>
              </w:rPr>
              <w:t>88</w:t>
            </w:r>
            <w:r>
              <w:rPr>
                <w:sz w:val="24"/>
                <w:szCs w:val="24"/>
              </w:rPr>
              <w:fldChar w:fldCharType="end"/>
            </w:r>
          </w:hyperlink>
        </w:p>
        <w:p>
          <w:pPr>
            <w:pStyle w:val="TOC2"/>
            <w:rPr>
              <w:rFonts w:eastAsiaTheme="minorEastAsia"/>
              <w:sz w:val="24"/>
              <w:szCs w:val="24"/>
            </w:rPr>
          </w:pPr>
          <w:hyperlink w:anchor="_Toc30404182" w:history="1">
            <w:r>
              <w:rPr>
                <w:rStyle w:val="Hyperlink"/>
                <w:sz w:val="24"/>
                <w:szCs w:val="24"/>
              </w:rPr>
              <w:t>2.4.</w:t>
            </w:r>
            <w:r>
              <w:rPr>
                <w:rFonts w:eastAsiaTheme="minorEastAsia"/>
                <w:sz w:val="24"/>
                <w:szCs w:val="24"/>
              </w:rPr>
              <w:tab/>
            </w:r>
            <w:r>
              <w:rPr>
                <w:rStyle w:val="Hyperlink"/>
                <w:sz w:val="24"/>
                <w:szCs w:val="24"/>
              </w:rPr>
              <w:t>Significant acute pollution events</w:t>
            </w:r>
            <w:r>
              <w:rPr>
                <w:sz w:val="24"/>
                <w:szCs w:val="24"/>
              </w:rPr>
              <w:tab/>
            </w:r>
            <w:r>
              <w:rPr>
                <w:sz w:val="24"/>
                <w:szCs w:val="24"/>
              </w:rPr>
              <w:fldChar w:fldCharType="begin"/>
            </w:r>
            <w:r>
              <w:rPr>
                <w:sz w:val="24"/>
                <w:szCs w:val="24"/>
              </w:rPr>
              <w:instrText xml:space="preserve"> PAGEREF _Toc30404182 \h </w:instrText>
            </w:r>
            <w:r>
              <w:rPr>
                <w:sz w:val="24"/>
                <w:szCs w:val="24"/>
              </w:rPr>
            </w:r>
            <w:r>
              <w:rPr>
                <w:sz w:val="24"/>
                <w:szCs w:val="24"/>
              </w:rPr>
              <w:fldChar w:fldCharType="separate"/>
            </w:r>
            <w:r>
              <w:rPr>
                <w:sz w:val="24"/>
                <w:szCs w:val="24"/>
              </w:rPr>
              <w:t>92</w:t>
            </w:r>
            <w:r>
              <w:rPr>
                <w:sz w:val="24"/>
                <w:szCs w:val="24"/>
              </w:rPr>
              <w:fldChar w:fldCharType="end"/>
            </w:r>
          </w:hyperlink>
        </w:p>
        <w:p>
          <w:pPr>
            <w:pStyle w:val="TOC1"/>
            <w:rPr>
              <w:rFonts w:eastAsiaTheme="minorEastAsia"/>
              <w:b w:val="0"/>
              <w:caps w:val="0"/>
              <w:noProof/>
              <w:sz w:val="24"/>
              <w:szCs w:val="24"/>
            </w:rPr>
          </w:pPr>
          <w:hyperlink w:anchor="_Toc30404183" w:history="1">
            <w:r>
              <w:rPr>
                <w:rStyle w:val="Hyperlink"/>
                <w:b w:val="0"/>
                <w:noProof/>
                <w:sz w:val="24"/>
                <w:szCs w:val="24"/>
              </w:rPr>
              <w:t>3.</w:t>
            </w:r>
            <w:r>
              <w:rPr>
                <w:rFonts w:eastAsiaTheme="minorEastAsia"/>
                <w:b w:val="0"/>
                <w:caps w:val="0"/>
                <w:noProof/>
                <w:sz w:val="24"/>
                <w:szCs w:val="24"/>
              </w:rPr>
              <w:tab/>
            </w:r>
            <w:r>
              <w:rPr>
                <w:rStyle w:val="Hyperlink"/>
                <w:b w:val="0"/>
                <w:noProof/>
                <w:sz w:val="24"/>
                <w:szCs w:val="24"/>
              </w:rPr>
              <w:t>Impacts: Effects of contaminants on the health of species and the condition of habitats</w:t>
            </w:r>
            <w:r>
              <w:rPr>
                <w:b w:val="0"/>
                <w:noProof/>
                <w:sz w:val="24"/>
                <w:szCs w:val="24"/>
              </w:rPr>
              <w:tab/>
            </w:r>
            <w:r>
              <w:rPr>
                <w:b w:val="0"/>
                <w:noProof/>
                <w:sz w:val="24"/>
                <w:szCs w:val="24"/>
              </w:rPr>
              <w:fldChar w:fldCharType="begin"/>
            </w:r>
            <w:r>
              <w:rPr>
                <w:b w:val="0"/>
                <w:noProof/>
                <w:sz w:val="24"/>
                <w:szCs w:val="24"/>
              </w:rPr>
              <w:instrText xml:space="preserve"> PAGEREF _Toc30404183 \h </w:instrText>
            </w:r>
            <w:r>
              <w:rPr>
                <w:b w:val="0"/>
                <w:noProof/>
                <w:sz w:val="24"/>
                <w:szCs w:val="24"/>
              </w:rPr>
            </w:r>
            <w:r>
              <w:rPr>
                <w:b w:val="0"/>
                <w:noProof/>
                <w:sz w:val="24"/>
                <w:szCs w:val="24"/>
              </w:rPr>
              <w:fldChar w:fldCharType="separate"/>
            </w:r>
            <w:r>
              <w:rPr>
                <w:b w:val="0"/>
                <w:noProof/>
                <w:sz w:val="24"/>
                <w:szCs w:val="24"/>
              </w:rPr>
              <w:t>93</w:t>
            </w:r>
            <w:r>
              <w:rPr>
                <w:b w:val="0"/>
                <w:noProof/>
                <w:sz w:val="24"/>
                <w:szCs w:val="24"/>
              </w:rPr>
              <w:fldChar w:fldCharType="end"/>
            </w:r>
          </w:hyperlink>
        </w:p>
        <w:p>
          <w:pPr>
            <w:pStyle w:val="TOC1"/>
            <w:rPr>
              <w:rFonts w:eastAsiaTheme="minorEastAsia"/>
              <w:b w:val="0"/>
              <w:caps w:val="0"/>
              <w:noProof/>
              <w:sz w:val="24"/>
              <w:szCs w:val="24"/>
            </w:rPr>
          </w:pPr>
          <w:hyperlink w:anchor="_Toc30404184" w:history="1">
            <w:r>
              <w:rPr>
                <w:rStyle w:val="Hyperlink"/>
                <w:b w:val="0"/>
                <w:noProof/>
                <w:sz w:val="24"/>
                <w:szCs w:val="24"/>
              </w:rPr>
              <w:t>4.</w:t>
            </w:r>
            <w:r>
              <w:rPr>
                <w:rFonts w:eastAsiaTheme="minorEastAsia"/>
                <w:b w:val="0"/>
                <w:caps w:val="0"/>
                <w:noProof/>
                <w:sz w:val="24"/>
                <w:szCs w:val="24"/>
              </w:rPr>
              <w:tab/>
            </w:r>
            <w:r>
              <w:rPr>
                <w:rStyle w:val="Hyperlink"/>
                <w:rFonts w:eastAsiaTheme="minorHAnsi"/>
                <w:b w:val="0"/>
                <w:noProof/>
                <w:sz w:val="24"/>
                <w:szCs w:val="24"/>
              </w:rPr>
              <w:t xml:space="preserve">Technical </w:t>
            </w:r>
            <w:r>
              <w:rPr>
                <w:rStyle w:val="Hyperlink"/>
                <w:b w:val="0"/>
                <w:noProof/>
                <w:sz w:val="24"/>
                <w:szCs w:val="24"/>
              </w:rPr>
              <w:t>observations</w:t>
            </w:r>
            <w:r>
              <w:rPr>
                <w:b w:val="0"/>
                <w:noProof/>
                <w:sz w:val="24"/>
                <w:szCs w:val="24"/>
              </w:rPr>
              <w:tab/>
            </w:r>
            <w:r>
              <w:rPr>
                <w:b w:val="0"/>
                <w:noProof/>
                <w:sz w:val="24"/>
                <w:szCs w:val="24"/>
              </w:rPr>
              <w:fldChar w:fldCharType="begin"/>
            </w:r>
            <w:r>
              <w:rPr>
                <w:b w:val="0"/>
                <w:noProof/>
                <w:sz w:val="24"/>
                <w:szCs w:val="24"/>
              </w:rPr>
              <w:instrText xml:space="preserve"> PAGEREF _Toc30404184 \h </w:instrText>
            </w:r>
            <w:r>
              <w:rPr>
                <w:b w:val="0"/>
                <w:noProof/>
                <w:sz w:val="24"/>
                <w:szCs w:val="24"/>
              </w:rPr>
            </w:r>
            <w:r>
              <w:rPr>
                <w:b w:val="0"/>
                <w:noProof/>
                <w:sz w:val="24"/>
                <w:szCs w:val="24"/>
              </w:rPr>
              <w:fldChar w:fldCharType="separate"/>
            </w:r>
            <w:r>
              <w:rPr>
                <w:b w:val="0"/>
                <w:noProof/>
                <w:sz w:val="24"/>
                <w:szCs w:val="24"/>
              </w:rPr>
              <w:t>94</w:t>
            </w:r>
            <w:r>
              <w:rPr>
                <w:b w:val="0"/>
                <w:noProof/>
                <w:sz w:val="24"/>
                <w:szCs w:val="24"/>
              </w:rPr>
              <w:fldChar w:fldCharType="end"/>
            </w:r>
          </w:hyperlink>
        </w:p>
        <w:p>
          <w:pPr>
            <w:pStyle w:val="TOC1"/>
            <w:rPr>
              <w:rFonts w:eastAsiaTheme="minorEastAsia"/>
              <w:b w:val="0"/>
              <w:caps w:val="0"/>
              <w:noProof/>
              <w:sz w:val="24"/>
              <w:szCs w:val="24"/>
            </w:rPr>
          </w:pPr>
          <w:hyperlink w:anchor="_Toc30404185" w:history="1">
            <w:r>
              <w:rPr>
                <w:rStyle w:val="Hyperlink"/>
                <w:b w:val="0"/>
                <w:noProof/>
                <w:sz w:val="24"/>
                <w:szCs w:val="24"/>
              </w:rPr>
              <w:t>5.</w:t>
            </w:r>
            <w:r>
              <w:rPr>
                <w:rFonts w:eastAsiaTheme="minorEastAsia"/>
                <w:b w:val="0"/>
                <w:caps w:val="0"/>
                <w:noProof/>
                <w:sz w:val="24"/>
                <w:szCs w:val="24"/>
              </w:rPr>
              <w:tab/>
            </w:r>
            <w:r>
              <w:rPr>
                <w:rStyle w:val="Hyperlink"/>
                <w:b w:val="0"/>
                <w:noProof/>
                <w:sz w:val="24"/>
                <w:szCs w:val="24"/>
              </w:rPr>
              <w:t>Key messages</w:t>
            </w:r>
            <w:r>
              <w:rPr>
                <w:b w:val="0"/>
                <w:noProof/>
                <w:sz w:val="24"/>
                <w:szCs w:val="24"/>
              </w:rPr>
              <w:tab/>
            </w:r>
            <w:r>
              <w:rPr>
                <w:b w:val="0"/>
                <w:noProof/>
                <w:sz w:val="24"/>
                <w:szCs w:val="24"/>
              </w:rPr>
              <w:fldChar w:fldCharType="begin"/>
            </w:r>
            <w:r>
              <w:rPr>
                <w:b w:val="0"/>
                <w:noProof/>
                <w:sz w:val="24"/>
                <w:szCs w:val="24"/>
              </w:rPr>
              <w:instrText xml:space="preserve"> PAGEREF _Toc30404185 \h </w:instrText>
            </w:r>
            <w:r>
              <w:rPr>
                <w:b w:val="0"/>
                <w:noProof/>
                <w:sz w:val="24"/>
                <w:szCs w:val="24"/>
              </w:rPr>
            </w:r>
            <w:r>
              <w:rPr>
                <w:b w:val="0"/>
                <w:noProof/>
                <w:sz w:val="24"/>
                <w:szCs w:val="24"/>
              </w:rPr>
              <w:fldChar w:fldCharType="separate"/>
            </w:r>
            <w:r>
              <w:rPr>
                <w:b w:val="0"/>
                <w:noProof/>
                <w:sz w:val="24"/>
                <w:szCs w:val="24"/>
              </w:rPr>
              <w:t>95</w:t>
            </w:r>
            <w:r>
              <w:rPr>
                <w:b w:val="0"/>
                <w:noProof/>
                <w:sz w:val="24"/>
                <w:szCs w:val="24"/>
              </w:rPr>
              <w:fldChar w:fldCharType="end"/>
            </w:r>
          </w:hyperlink>
        </w:p>
        <w:p>
          <w:pPr>
            <w:pStyle w:val="TOC5"/>
            <w:rPr>
              <w:rFonts w:eastAsiaTheme="minorEastAsia"/>
              <w:noProof/>
              <w:szCs w:val="24"/>
            </w:rPr>
          </w:pPr>
          <w:hyperlink w:anchor="_Toc30404186" w:history="1">
            <w:r>
              <w:rPr>
                <w:rStyle w:val="Hyperlink"/>
                <w:noProof/>
                <w:szCs w:val="24"/>
              </w:rPr>
              <w:t>Descriptor 9: Contaminants in fish and other seafood for human consumption do not exceed levels established by Union legislation or other relevant standards</w:t>
            </w:r>
            <w:r>
              <w:rPr>
                <w:noProof/>
                <w:szCs w:val="24"/>
              </w:rPr>
              <w:tab/>
            </w:r>
            <w:r>
              <w:rPr>
                <w:noProof/>
                <w:szCs w:val="24"/>
              </w:rPr>
              <w:fldChar w:fldCharType="begin"/>
            </w:r>
            <w:r>
              <w:rPr>
                <w:noProof/>
                <w:szCs w:val="24"/>
              </w:rPr>
              <w:instrText xml:space="preserve"> PAGEREF _Toc30404186 \h </w:instrText>
            </w:r>
            <w:r>
              <w:rPr>
                <w:noProof/>
                <w:szCs w:val="24"/>
              </w:rPr>
            </w:r>
            <w:r>
              <w:rPr>
                <w:noProof/>
                <w:szCs w:val="24"/>
              </w:rPr>
              <w:fldChar w:fldCharType="separate"/>
            </w:r>
            <w:r>
              <w:rPr>
                <w:noProof/>
                <w:szCs w:val="24"/>
              </w:rPr>
              <w:t>97</w:t>
            </w:r>
            <w:r>
              <w:rPr>
                <w:noProof/>
                <w:szCs w:val="24"/>
              </w:rPr>
              <w:fldChar w:fldCharType="end"/>
            </w:r>
          </w:hyperlink>
        </w:p>
        <w:p>
          <w:pPr>
            <w:pStyle w:val="TOC1"/>
            <w:rPr>
              <w:rFonts w:eastAsiaTheme="minorEastAsia"/>
              <w:b w:val="0"/>
              <w:caps w:val="0"/>
              <w:noProof/>
              <w:sz w:val="24"/>
              <w:szCs w:val="24"/>
            </w:rPr>
          </w:pPr>
          <w:hyperlink w:anchor="_Toc30404187" w:history="1">
            <w:r>
              <w:rPr>
                <w:rStyle w:val="Hyperlink"/>
                <w:b w:val="0"/>
                <w:noProof/>
                <w:sz w:val="24"/>
                <w:szCs w:val="24"/>
              </w:rPr>
              <w:t>1.</w:t>
            </w:r>
            <w:r>
              <w:rPr>
                <w:rFonts w:eastAsiaTheme="minorEastAsia"/>
                <w:b w:val="0"/>
                <w:caps w:val="0"/>
                <w:noProof/>
                <w:sz w:val="24"/>
                <w:szCs w:val="24"/>
              </w:rPr>
              <w:tab/>
            </w:r>
            <w:r>
              <w:rPr>
                <w:rStyle w:val="Hyperlink"/>
                <w:b w:val="0"/>
                <w:noProof/>
                <w:sz w:val="24"/>
                <w:szCs w:val="24"/>
              </w:rPr>
              <w:t>MSFD framework</w:t>
            </w:r>
            <w:r>
              <w:rPr>
                <w:b w:val="0"/>
                <w:noProof/>
                <w:sz w:val="24"/>
                <w:szCs w:val="24"/>
              </w:rPr>
              <w:tab/>
            </w:r>
            <w:r>
              <w:rPr>
                <w:b w:val="0"/>
                <w:noProof/>
                <w:sz w:val="24"/>
                <w:szCs w:val="24"/>
              </w:rPr>
              <w:fldChar w:fldCharType="begin"/>
            </w:r>
            <w:r>
              <w:rPr>
                <w:b w:val="0"/>
                <w:noProof/>
                <w:sz w:val="24"/>
                <w:szCs w:val="24"/>
              </w:rPr>
              <w:instrText xml:space="preserve"> PAGEREF _Toc30404187 \h </w:instrText>
            </w:r>
            <w:r>
              <w:rPr>
                <w:b w:val="0"/>
                <w:noProof/>
                <w:sz w:val="24"/>
                <w:szCs w:val="24"/>
              </w:rPr>
            </w:r>
            <w:r>
              <w:rPr>
                <w:b w:val="0"/>
                <w:noProof/>
                <w:sz w:val="24"/>
                <w:szCs w:val="24"/>
              </w:rPr>
              <w:fldChar w:fldCharType="separate"/>
            </w:r>
            <w:r>
              <w:rPr>
                <w:b w:val="0"/>
                <w:noProof/>
                <w:sz w:val="24"/>
                <w:szCs w:val="24"/>
              </w:rPr>
              <w:t>97</w:t>
            </w:r>
            <w:r>
              <w:rPr>
                <w:b w:val="0"/>
                <w:noProof/>
                <w:sz w:val="24"/>
                <w:szCs w:val="24"/>
              </w:rPr>
              <w:fldChar w:fldCharType="end"/>
            </w:r>
          </w:hyperlink>
        </w:p>
        <w:p>
          <w:pPr>
            <w:pStyle w:val="TOC1"/>
            <w:rPr>
              <w:rFonts w:eastAsiaTheme="minorEastAsia"/>
              <w:b w:val="0"/>
              <w:caps w:val="0"/>
              <w:noProof/>
              <w:sz w:val="24"/>
              <w:szCs w:val="24"/>
            </w:rPr>
          </w:pPr>
          <w:hyperlink w:anchor="_Toc30404188" w:history="1">
            <w:r>
              <w:rPr>
                <w:rStyle w:val="Hyperlink"/>
                <w:b w:val="0"/>
                <w:noProof/>
                <w:sz w:val="24"/>
                <w:szCs w:val="24"/>
              </w:rPr>
              <w:t>2.</w:t>
            </w:r>
            <w:r>
              <w:rPr>
                <w:rFonts w:eastAsiaTheme="minorEastAsia"/>
                <w:b w:val="0"/>
                <w:caps w:val="0"/>
                <w:noProof/>
                <w:sz w:val="24"/>
                <w:szCs w:val="24"/>
              </w:rPr>
              <w:tab/>
            </w:r>
            <w:r>
              <w:rPr>
                <w:rStyle w:val="Hyperlink"/>
                <w:b w:val="0"/>
                <w:noProof/>
                <w:sz w:val="24"/>
                <w:szCs w:val="24"/>
              </w:rPr>
              <w:t>contaminants in marine fish and other seafood in EU waters: concentrations and potential impacts</w:t>
            </w:r>
            <w:r>
              <w:rPr>
                <w:b w:val="0"/>
                <w:noProof/>
                <w:sz w:val="24"/>
                <w:szCs w:val="24"/>
              </w:rPr>
              <w:tab/>
            </w:r>
            <w:r>
              <w:rPr>
                <w:b w:val="0"/>
                <w:noProof/>
                <w:sz w:val="24"/>
                <w:szCs w:val="24"/>
              </w:rPr>
              <w:fldChar w:fldCharType="begin"/>
            </w:r>
            <w:r>
              <w:rPr>
                <w:b w:val="0"/>
                <w:noProof/>
                <w:sz w:val="24"/>
                <w:szCs w:val="24"/>
              </w:rPr>
              <w:instrText xml:space="preserve"> PAGEREF _Toc30404188 \h </w:instrText>
            </w:r>
            <w:r>
              <w:rPr>
                <w:b w:val="0"/>
                <w:noProof/>
                <w:sz w:val="24"/>
                <w:szCs w:val="24"/>
              </w:rPr>
            </w:r>
            <w:r>
              <w:rPr>
                <w:b w:val="0"/>
                <w:noProof/>
                <w:sz w:val="24"/>
                <w:szCs w:val="24"/>
              </w:rPr>
              <w:fldChar w:fldCharType="separate"/>
            </w:r>
            <w:r>
              <w:rPr>
                <w:b w:val="0"/>
                <w:noProof/>
                <w:sz w:val="24"/>
                <w:szCs w:val="24"/>
              </w:rPr>
              <w:t>98</w:t>
            </w:r>
            <w:r>
              <w:rPr>
                <w:b w:val="0"/>
                <w:noProof/>
                <w:sz w:val="24"/>
                <w:szCs w:val="24"/>
              </w:rPr>
              <w:fldChar w:fldCharType="end"/>
            </w:r>
          </w:hyperlink>
        </w:p>
        <w:p>
          <w:pPr>
            <w:pStyle w:val="TOC2"/>
            <w:rPr>
              <w:rFonts w:eastAsiaTheme="minorEastAsia"/>
              <w:sz w:val="24"/>
              <w:szCs w:val="24"/>
            </w:rPr>
          </w:pPr>
          <w:hyperlink w:anchor="_Toc30404189" w:history="1">
            <w:r>
              <w:rPr>
                <w:rStyle w:val="Hyperlink"/>
                <w:sz w:val="24"/>
                <w:szCs w:val="24"/>
              </w:rPr>
              <w:t>2.1.</w:t>
            </w:r>
            <w:r>
              <w:rPr>
                <w:rFonts w:eastAsiaTheme="minorEastAsia"/>
                <w:sz w:val="24"/>
                <w:szCs w:val="24"/>
              </w:rPr>
              <w:tab/>
            </w:r>
            <w:r>
              <w:rPr>
                <w:rStyle w:val="Hyperlink"/>
                <w:sz w:val="24"/>
                <w:szCs w:val="24"/>
              </w:rPr>
              <w:t>Ongoing reporting under the MSFD</w:t>
            </w:r>
            <w:r>
              <w:rPr>
                <w:sz w:val="24"/>
                <w:szCs w:val="24"/>
              </w:rPr>
              <w:tab/>
            </w:r>
            <w:r>
              <w:rPr>
                <w:sz w:val="24"/>
                <w:szCs w:val="24"/>
              </w:rPr>
              <w:fldChar w:fldCharType="begin"/>
            </w:r>
            <w:r>
              <w:rPr>
                <w:sz w:val="24"/>
                <w:szCs w:val="24"/>
              </w:rPr>
              <w:instrText xml:space="preserve"> PAGEREF _Toc30404189 \h </w:instrText>
            </w:r>
            <w:r>
              <w:rPr>
                <w:sz w:val="24"/>
                <w:szCs w:val="24"/>
              </w:rPr>
            </w:r>
            <w:r>
              <w:rPr>
                <w:sz w:val="24"/>
                <w:szCs w:val="24"/>
              </w:rPr>
              <w:fldChar w:fldCharType="separate"/>
            </w:r>
            <w:r>
              <w:rPr>
                <w:sz w:val="24"/>
                <w:szCs w:val="24"/>
              </w:rPr>
              <w:t>98</w:t>
            </w:r>
            <w:r>
              <w:rPr>
                <w:sz w:val="24"/>
                <w:szCs w:val="24"/>
              </w:rPr>
              <w:fldChar w:fldCharType="end"/>
            </w:r>
          </w:hyperlink>
        </w:p>
        <w:p>
          <w:pPr>
            <w:pStyle w:val="TOC2"/>
            <w:rPr>
              <w:rFonts w:eastAsiaTheme="minorEastAsia"/>
              <w:sz w:val="24"/>
              <w:szCs w:val="24"/>
            </w:rPr>
          </w:pPr>
          <w:hyperlink w:anchor="_Toc30404190" w:history="1">
            <w:r>
              <w:rPr>
                <w:rStyle w:val="Hyperlink"/>
                <w:sz w:val="24"/>
                <w:szCs w:val="24"/>
              </w:rPr>
              <w:t>2.2.</w:t>
            </w:r>
            <w:r>
              <w:rPr>
                <w:rFonts w:eastAsiaTheme="minorEastAsia"/>
                <w:sz w:val="24"/>
                <w:szCs w:val="24"/>
              </w:rPr>
              <w:tab/>
            </w:r>
            <w:r>
              <w:rPr>
                <w:rStyle w:val="Hyperlink"/>
                <w:sz w:val="24"/>
                <w:szCs w:val="24"/>
              </w:rPr>
              <w:t>Member States’ assessments under the MSFD</w:t>
            </w:r>
            <w:r>
              <w:rPr>
                <w:sz w:val="24"/>
                <w:szCs w:val="24"/>
              </w:rPr>
              <w:tab/>
            </w:r>
            <w:r>
              <w:rPr>
                <w:sz w:val="24"/>
                <w:szCs w:val="24"/>
              </w:rPr>
              <w:fldChar w:fldCharType="begin"/>
            </w:r>
            <w:r>
              <w:rPr>
                <w:sz w:val="24"/>
                <w:szCs w:val="24"/>
              </w:rPr>
              <w:instrText xml:space="preserve"> PAGEREF _Toc30404190 \h </w:instrText>
            </w:r>
            <w:r>
              <w:rPr>
                <w:sz w:val="24"/>
                <w:szCs w:val="24"/>
              </w:rPr>
            </w:r>
            <w:r>
              <w:rPr>
                <w:sz w:val="24"/>
                <w:szCs w:val="24"/>
              </w:rPr>
              <w:fldChar w:fldCharType="separate"/>
            </w:r>
            <w:r>
              <w:rPr>
                <w:sz w:val="24"/>
                <w:szCs w:val="24"/>
              </w:rPr>
              <w:t>98</w:t>
            </w:r>
            <w:r>
              <w:rPr>
                <w:sz w:val="24"/>
                <w:szCs w:val="24"/>
              </w:rPr>
              <w:fldChar w:fldCharType="end"/>
            </w:r>
          </w:hyperlink>
        </w:p>
        <w:p>
          <w:pPr>
            <w:pStyle w:val="TOC2"/>
            <w:rPr>
              <w:rFonts w:eastAsiaTheme="minorEastAsia"/>
              <w:sz w:val="24"/>
              <w:szCs w:val="24"/>
            </w:rPr>
          </w:pPr>
          <w:hyperlink w:anchor="_Toc30404191" w:history="1">
            <w:r>
              <w:rPr>
                <w:rStyle w:val="Hyperlink"/>
                <w:sz w:val="24"/>
                <w:szCs w:val="24"/>
              </w:rPr>
              <w:t>2.3.</w:t>
            </w:r>
            <w:r>
              <w:rPr>
                <w:rFonts w:eastAsiaTheme="minorEastAsia"/>
                <w:sz w:val="24"/>
                <w:szCs w:val="24"/>
              </w:rPr>
              <w:tab/>
            </w:r>
            <w:r>
              <w:rPr>
                <w:rStyle w:val="Hyperlink"/>
                <w:sz w:val="24"/>
                <w:szCs w:val="24"/>
              </w:rPr>
              <w:t>Other assessments</w:t>
            </w:r>
            <w:r>
              <w:rPr>
                <w:sz w:val="24"/>
                <w:szCs w:val="24"/>
              </w:rPr>
              <w:tab/>
            </w:r>
            <w:r>
              <w:rPr>
                <w:sz w:val="24"/>
                <w:szCs w:val="24"/>
              </w:rPr>
              <w:fldChar w:fldCharType="begin"/>
            </w:r>
            <w:r>
              <w:rPr>
                <w:sz w:val="24"/>
                <w:szCs w:val="24"/>
              </w:rPr>
              <w:instrText xml:space="preserve"> PAGEREF _Toc30404191 \h </w:instrText>
            </w:r>
            <w:r>
              <w:rPr>
                <w:sz w:val="24"/>
                <w:szCs w:val="24"/>
              </w:rPr>
            </w:r>
            <w:r>
              <w:rPr>
                <w:sz w:val="24"/>
                <w:szCs w:val="24"/>
              </w:rPr>
              <w:fldChar w:fldCharType="separate"/>
            </w:r>
            <w:r>
              <w:rPr>
                <w:sz w:val="24"/>
                <w:szCs w:val="24"/>
              </w:rPr>
              <w:t>103</w:t>
            </w:r>
            <w:r>
              <w:rPr>
                <w:sz w:val="24"/>
                <w:szCs w:val="24"/>
              </w:rPr>
              <w:fldChar w:fldCharType="end"/>
            </w:r>
          </w:hyperlink>
        </w:p>
        <w:p>
          <w:pPr>
            <w:pStyle w:val="TOC1"/>
            <w:rPr>
              <w:rFonts w:eastAsiaTheme="minorEastAsia"/>
              <w:b w:val="0"/>
              <w:caps w:val="0"/>
              <w:noProof/>
              <w:sz w:val="24"/>
              <w:szCs w:val="24"/>
            </w:rPr>
          </w:pPr>
          <w:hyperlink w:anchor="_Toc30404192" w:history="1">
            <w:r>
              <w:rPr>
                <w:rStyle w:val="Hyperlink"/>
                <w:b w:val="0"/>
                <w:noProof/>
                <w:sz w:val="24"/>
                <w:szCs w:val="24"/>
              </w:rPr>
              <w:t>3.</w:t>
            </w:r>
            <w:r>
              <w:rPr>
                <w:rFonts w:eastAsiaTheme="minorEastAsia"/>
                <w:b w:val="0"/>
                <w:caps w:val="0"/>
                <w:noProof/>
                <w:sz w:val="24"/>
                <w:szCs w:val="24"/>
              </w:rPr>
              <w:tab/>
            </w:r>
            <w:r>
              <w:rPr>
                <w:rStyle w:val="Hyperlink"/>
                <w:b w:val="0"/>
                <w:noProof/>
                <w:sz w:val="24"/>
                <w:szCs w:val="24"/>
              </w:rPr>
              <w:t>Observed trends</w:t>
            </w:r>
            <w:r>
              <w:rPr>
                <w:b w:val="0"/>
                <w:noProof/>
                <w:sz w:val="24"/>
                <w:szCs w:val="24"/>
              </w:rPr>
              <w:tab/>
            </w:r>
            <w:r>
              <w:rPr>
                <w:b w:val="0"/>
                <w:noProof/>
                <w:sz w:val="24"/>
                <w:szCs w:val="24"/>
              </w:rPr>
              <w:fldChar w:fldCharType="begin"/>
            </w:r>
            <w:r>
              <w:rPr>
                <w:b w:val="0"/>
                <w:noProof/>
                <w:sz w:val="24"/>
                <w:szCs w:val="24"/>
              </w:rPr>
              <w:instrText xml:space="preserve"> PAGEREF _Toc30404192 \h </w:instrText>
            </w:r>
            <w:r>
              <w:rPr>
                <w:b w:val="0"/>
                <w:noProof/>
                <w:sz w:val="24"/>
                <w:szCs w:val="24"/>
              </w:rPr>
            </w:r>
            <w:r>
              <w:rPr>
                <w:b w:val="0"/>
                <w:noProof/>
                <w:sz w:val="24"/>
                <w:szCs w:val="24"/>
              </w:rPr>
              <w:fldChar w:fldCharType="separate"/>
            </w:r>
            <w:r>
              <w:rPr>
                <w:b w:val="0"/>
                <w:noProof/>
                <w:sz w:val="24"/>
                <w:szCs w:val="24"/>
              </w:rPr>
              <w:t>105</w:t>
            </w:r>
            <w:r>
              <w:rPr>
                <w:b w:val="0"/>
                <w:noProof/>
                <w:sz w:val="24"/>
                <w:szCs w:val="24"/>
              </w:rPr>
              <w:fldChar w:fldCharType="end"/>
            </w:r>
          </w:hyperlink>
        </w:p>
        <w:p>
          <w:pPr>
            <w:pStyle w:val="TOC1"/>
            <w:rPr>
              <w:rFonts w:eastAsiaTheme="minorEastAsia"/>
              <w:b w:val="0"/>
              <w:caps w:val="0"/>
              <w:noProof/>
              <w:sz w:val="24"/>
              <w:szCs w:val="24"/>
            </w:rPr>
          </w:pPr>
          <w:hyperlink w:anchor="_Toc30404193" w:history="1">
            <w:r>
              <w:rPr>
                <w:rStyle w:val="Hyperlink"/>
                <w:b w:val="0"/>
                <w:noProof/>
                <w:sz w:val="24"/>
                <w:szCs w:val="24"/>
              </w:rPr>
              <w:t>4.</w:t>
            </w:r>
            <w:r>
              <w:rPr>
                <w:rFonts w:eastAsiaTheme="minorEastAsia"/>
                <w:b w:val="0"/>
                <w:caps w:val="0"/>
                <w:noProof/>
                <w:sz w:val="24"/>
                <w:szCs w:val="24"/>
              </w:rPr>
              <w:tab/>
            </w:r>
            <w:r>
              <w:rPr>
                <w:rStyle w:val="Hyperlink"/>
                <w:rFonts w:eastAsiaTheme="minorHAnsi"/>
                <w:b w:val="0"/>
                <w:noProof/>
                <w:sz w:val="24"/>
                <w:szCs w:val="24"/>
              </w:rPr>
              <w:t xml:space="preserve">Technical </w:t>
            </w:r>
            <w:r>
              <w:rPr>
                <w:rStyle w:val="Hyperlink"/>
                <w:b w:val="0"/>
                <w:noProof/>
                <w:sz w:val="24"/>
                <w:szCs w:val="24"/>
              </w:rPr>
              <w:t>observations</w:t>
            </w:r>
            <w:r>
              <w:rPr>
                <w:b w:val="0"/>
                <w:noProof/>
                <w:sz w:val="24"/>
                <w:szCs w:val="24"/>
              </w:rPr>
              <w:tab/>
            </w:r>
            <w:r>
              <w:rPr>
                <w:b w:val="0"/>
                <w:noProof/>
                <w:sz w:val="24"/>
                <w:szCs w:val="24"/>
              </w:rPr>
              <w:fldChar w:fldCharType="begin"/>
            </w:r>
            <w:r>
              <w:rPr>
                <w:b w:val="0"/>
                <w:noProof/>
                <w:sz w:val="24"/>
                <w:szCs w:val="24"/>
              </w:rPr>
              <w:instrText xml:space="preserve"> PAGEREF _Toc30404193 \h </w:instrText>
            </w:r>
            <w:r>
              <w:rPr>
                <w:b w:val="0"/>
                <w:noProof/>
                <w:sz w:val="24"/>
                <w:szCs w:val="24"/>
              </w:rPr>
            </w:r>
            <w:r>
              <w:rPr>
                <w:b w:val="0"/>
                <w:noProof/>
                <w:sz w:val="24"/>
                <w:szCs w:val="24"/>
              </w:rPr>
              <w:fldChar w:fldCharType="separate"/>
            </w:r>
            <w:r>
              <w:rPr>
                <w:b w:val="0"/>
                <w:noProof/>
                <w:sz w:val="24"/>
                <w:szCs w:val="24"/>
              </w:rPr>
              <w:t>106</w:t>
            </w:r>
            <w:r>
              <w:rPr>
                <w:b w:val="0"/>
                <w:noProof/>
                <w:sz w:val="24"/>
                <w:szCs w:val="24"/>
              </w:rPr>
              <w:fldChar w:fldCharType="end"/>
            </w:r>
          </w:hyperlink>
        </w:p>
        <w:p>
          <w:pPr>
            <w:pStyle w:val="TOC1"/>
            <w:rPr>
              <w:rFonts w:eastAsiaTheme="minorEastAsia"/>
              <w:b w:val="0"/>
              <w:caps w:val="0"/>
              <w:noProof/>
              <w:sz w:val="24"/>
              <w:szCs w:val="24"/>
            </w:rPr>
          </w:pPr>
          <w:hyperlink w:anchor="_Toc30404194" w:history="1">
            <w:r>
              <w:rPr>
                <w:rStyle w:val="Hyperlink"/>
                <w:b w:val="0"/>
                <w:noProof/>
                <w:sz w:val="24"/>
                <w:szCs w:val="24"/>
              </w:rPr>
              <w:t>5.</w:t>
            </w:r>
            <w:r>
              <w:rPr>
                <w:rFonts w:eastAsiaTheme="minorEastAsia"/>
                <w:b w:val="0"/>
                <w:caps w:val="0"/>
                <w:noProof/>
                <w:sz w:val="24"/>
                <w:szCs w:val="24"/>
              </w:rPr>
              <w:tab/>
            </w:r>
            <w:r>
              <w:rPr>
                <w:rStyle w:val="Hyperlink"/>
                <w:b w:val="0"/>
                <w:noProof/>
                <w:sz w:val="24"/>
                <w:szCs w:val="24"/>
              </w:rPr>
              <w:t>Key messages</w:t>
            </w:r>
            <w:r>
              <w:rPr>
                <w:b w:val="0"/>
                <w:noProof/>
                <w:sz w:val="24"/>
                <w:szCs w:val="24"/>
              </w:rPr>
              <w:tab/>
            </w:r>
            <w:r>
              <w:rPr>
                <w:b w:val="0"/>
                <w:noProof/>
                <w:sz w:val="24"/>
                <w:szCs w:val="24"/>
              </w:rPr>
              <w:fldChar w:fldCharType="begin"/>
            </w:r>
            <w:r>
              <w:rPr>
                <w:b w:val="0"/>
                <w:noProof/>
                <w:sz w:val="24"/>
                <w:szCs w:val="24"/>
              </w:rPr>
              <w:instrText xml:space="preserve"> PAGEREF _Toc30404194 \h </w:instrText>
            </w:r>
            <w:r>
              <w:rPr>
                <w:b w:val="0"/>
                <w:noProof/>
                <w:sz w:val="24"/>
                <w:szCs w:val="24"/>
              </w:rPr>
            </w:r>
            <w:r>
              <w:rPr>
                <w:b w:val="0"/>
                <w:noProof/>
                <w:sz w:val="24"/>
                <w:szCs w:val="24"/>
              </w:rPr>
              <w:fldChar w:fldCharType="separate"/>
            </w:r>
            <w:r>
              <w:rPr>
                <w:b w:val="0"/>
                <w:noProof/>
                <w:sz w:val="24"/>
                <w:szCs w:val="24"/>
              </w:rPr>
              <w:t>107</w:t>
            </w:r>
            <w:r>
              <w:rPr>
                <w:b w:val="0"/>
                <w:noProof/>
                <w:sz w:val="24"/>
                <w:szCs w:val="24"/>
              </w:rPr>
              <w:fldChar w:fldCharType="end"/>
            </w:r>
          </w:hyperlink>
        </w:p>
        <w:p>
          <w:pPr>
            <w:pStyle w:val="TOC5"/>
            <w:rPr>
              <w:rFonts w:eastAsiaTheme="minorEastAsia"/>
              <w:noProof/>
              <w:szCs w:val="24"/>
            </w:rPr>
          </w:pPr>
          <w:hyperlink w:anchor="_Toc30404195" w:history="1">
            <w:r>
              <w:rPr>
                <w:rStyle w:val="Hyperlink"/>
                <w:noProof/>
                <w:szCs w:val="24"/>
              </w:rPr>
              <w:t>Descriptor 10: Properties and quantities of marine litter do not cause harm to the coastal and marine environment</w:t>
            </w:r>
            <w:r>
              <w:rPr>
                <w:noProof/>
                <w:szCs w:val="24"/>
              </w:rPr>
              <w:tab/>
            </w:r>
            <w:r>
              <w:rPr>
                <w:noProof/>
                <w:szCs w:val="24"/>
              </w:rPr>
              <w:fldChar w:fldCharType="begin"/>
            </w:r>
            <w:r>
              <w:rPr>
                <w:noProof/>
                <w:szCs w:val="24"/>
              </w:rPr>
              <w:instrText xml:space="preserve"> PAGEREF _Toc30404195 \h </w:instrText>
            </w:r>
            <w:r>
              <w:rPr>
                <w:noProof/>
                <w:szCs w:val="24"/>
              </w:rPr>
            </w:r>
            <w:r>
              <w:rPr>
                <w:noProof/>
                <w:szCs w:val="24"/>
              </w:rPr>
              <w:fldChar w:fldCharType="separate"/>
            </w:r>
            <w:r>
              <w:rPr>
                <w:noProof/>
                <w:szCs w:val="24"/>
              </w:rPr>
              <w:t>108</w:t>
            </w:r>
            <w:r>
              <w:rPr>
                <w:noProof/>
                <w:szCs w:val="24"/>
              </w:rPr>
              <w:fldChar w:fldCharType="end"/>
            </w:r>
          </w:hyperlink>
        </w:p>
        <w:p>
          <w:pPr>
            <w:pStyle w:val="TOC1"/>
            <w:rPr>
              <w:rFonts w:eastAsiaTheme="minorEastAsia"/>
              <w:b w:val="0"/>
              <w:caps w:val="0"/>
              <w:noProof/>
              <w:sz w:val="24"/>
              <w:szCs w:val="24"/>
            </w:rPr>
          </w:pPr>
          <w:hyperlink w:anchor="_Toc30404196" w:history="1">
            <w:r>
              <w:rPr>
                <w:rStyle w:val="Hyperlink"/>
                <w:b w:val="0"/>
                <w:noProof/>
                <w:sz w:val="24"/>
                <w:szCs w:val="24"/>
              </w:rPr>
              <w:t>1.</w:t>
            </w:r>
            <w:r>
              <w:rPr>
                <w:rFonts w:eastAsiaTheme="minorEastAsia"/>
                <w:b w:val="0"/>
                <w:caps w:val="0"/>
                <w:noProof/>
                <w:sz w:val="24"/>
                <w:szCs w:val="24"/>
              </w:rPr>
              <w:tab/>
            </w:r>
            <w:r>
              <w:rPr>
                <w:rStyle w:val="Hyperlink"/>
                <w:b w:val="0"/>
                <w:noProof/>
                <w:sz w:val="24"/>
                <w:szCs w:val="24"/>
              </w:rPr>
              <w:t>MSFD framework</w:t>
            </w:r>
            <w:r>
              <w:rPr>
                <w:b w:val="0"/>
                <w:noProof/>
                <w:sz w:val="24"/>
                <w:szCs w:val="24"/>
              </w:rPr>
              <w:tab/>
            </w:r>
            <w:r>
              <w:rPr>
                <w:b w:val="0"/>
                <w:noProof/>
                <w:sz w:val="24"/>
                <w:szCs w:val="24"/>
              </w:rPr>
              <w:fldChar w:fldCharType="begin"/>
            </w:r>
            <w:r>
              <w:rPr>
                <w:b w:val="0"/>
                <w:noProof/>
                <w:sz w:val="24"/>
                <w:szCs w:val="24"/>
              </w:rPr>
              <w:instrText xml:space="preserve"> PAGEREF _Toc30404196 \h </w:instrText>
            </w:r>
            <w:r>
              <w:rPr>
                <w:b w:val="0"/>
                <w:noProof/>
                <w:sz w:val="24"/>
                <w:szCs w:val="24"/>
              </w:rPr>
            </w:r>
            <w:r>
              <w:rPr>
                <w:b w:val="0"/>
                <w:noProof/>
                <w:sz w:val="24"/>
                <w:szCs w:val="24"/>
              </w:rPr>
              <w:fldChar w:fldCharType="separate"/>
            </w:r>
            <w:r>
              <w:rPr>
                <w:b w:val="0"/>
                <w:noProof/>
                <w:sz w:val="24"/>
                <w:szCs w:val="24"/>
              </w:rPr>
              <w:t>108</w:t>
            </w:r>
            <w:r>
              <w:rPr>
                <w:b w:val="0"/>
                <w:noProof/>
                <w:sz w:val="24"/>
                <w:szCs w:val="24"/>
              </w:rPr>
              <w:fldChar w:fldCharType="end"/>
            </w:r>
          </w:hyperlink>
        </w:p>
        <w:p>
          <w:pPr>
            <w:pStyle w:val="TOC1"/>
            <w:rPr>
              <w:rFonts w:eastAsiaTheme="minorEastAsia"/>
              <w:b w:val="0"/>
              <w:caps w:val="0"/>
              <w:noProof/>
              <w:sz w:val="24"/>
              <w:szCs w:val="24"/>
            </w:rPr>
          </w:pPr>
          <w:hyperlink w:anchor="_Toc30404197" w:history="1">
            <w:r>
              <w:rPr>
                <w:rStyle w:val="Hyperlink"/>
                <w:b w:val="0"/>
                <w:noProof/>
                <w:sz w:val="24"/>
                <w:szCs w:val="24"/>
              </w:rPr>
              <w:t>2.</w:t>
            </w:r>
            <w:r>
              <w:rPr>
                <w:rFonts w:eastAsiaTheme="minorEastAsia"/>
                <w:b w:val="0"/>
                <w:caps w:val="0"/>
                <w:noProof/>
                <w:sz w:val="24"/>
                <w:szCs w:val="24"/>
              </w:rPr>
              <w:tab/>
            </w:r>
            <w:r>
              <w:rPr>
                <w:rStyle w:val="Hyperlink"/>
                <w:b w:val="0"/>
                <w:noProof/>
                <w:sz w:val="24"/>
                <w:szCs w:val="24"/>
              </w:rPr>
              <w:t>Marine litter in EU marine environment</w:t>
            </w:r>
            <w:r>
              <w:rPr>
                <w:b w:val="0"/>
                <w:noProof/>
                <w:sz w:val="24"/>
                <w:szCs w:val="24"/>
              </w:rPr>
              <w:tab/>
            </w:r>
            <w:r>
              <w:rPr>
                <w:b w:val="0"/>
                <w:noProof/>
                <w:sz w:val="24"/>
                <w:szCs w:val="24"/>
              </w:rPr>
              <w:fldChar w:fldCharType="begin"/>
            </w:r>
            <w:r>
              <w:rPr>
                <w:b w:val="0"/>
                <w:noProof/>
                <w:sz w:val="24"/>
                <w:szCs w:val="24"/>
              </w:rPr>
              <w:instrText xml:space="preserve"> PAGEREF _Toc30404197 \h </w:instrText>
            </w:r>
            <w:r>
              <w:rPr>
                <w:b w:val="0"/>
                <w:noProof/>
                <w:sz w:val="24"/>
                <w:szCs w:val="24"/>
              </w:rPr>
            </w:r>
            <w:r>
              <w:rPr>
                <w:b w:val="0"/>
                <w:noProof/>
                <w:sz w:val="24"/>
                <w:szCs w:val="24"/>
              </w:rPr>
              <w:fldChar w:fldCharType="separate"/>
            </w:r>
            <w:r>
              <w:rPr>
                <w:b w:val="0"/>
                <w:noProof/>
                <w:sz w:val="24"/>
                <w:szCs w:val="24"/>
              </w:rPr>
              <w:t>109</w:t>
            </w:r>
            <w:r>
              <w:rPr>
                <w:b w:val="0"/>
                <w:noProof/>
                <w:sz w:val="24"/>
                <w:szCs w:val="24"/>
              </w:rPr>
              <w:fldChar w:fldCharType="end"/>
            </w:r>
          </w:hyperlink>
        </w:p>
        <w:p>
          <w:pPr>
            <w:pStyle w:val="TOC2"/>
            <w:rPr>
              <w:rFonts w:eastAsiaTheme="minorEastAsia"/>
              <w:sz w:val="24"/>
              <w:szCs w:val="24"/>
            </w:rPr>
          </w:pPr>
          <w:hyperlink w:anchor="_Toc30404198" w:history="1">
            <w:r>
              <w:rPr>
                <w:rStyle w:val="Hyperlink"/>
                <w:sz w:val="24"/>
                <w:szCs w:val="24"/>
              </w:rPr>
              <w:t>2.1.</w:t>
            </w:r>
            <w:r>
              <w:rPr>
                <w:rFonts w:eastAsiaTheme="minorEastAsia"/>
                <w:sz w:val="24"/>
                <w:szCs w:val="24"/>
              </w:rPr>
              <w:tab/>
            </w:r>
            <w:r>
              <w:rPr>
                <w:rStyle w:val="Hyperlink"/>
                <w:sz w:val="24"/>
                <w:szCs w:val="24"/>
              </w:rPr>
              <w:t>Ongoing reporting under the MSFD</w:t>
            </w:r>
            <w:r>
              <w:rPr>
                <w:sz w:val="24"/>
                <w:szCs w:val="24"/>
              </w:rPr>
              <w:tab/>
            </w:r>
            <w:r>
              <w:rPr>
                <w:sz w:val="24"/>
                <w:szCs w:val="24"/>
              </w:rPr>
              <w:fldChar w:fldCharType="begin"/>
            </w:r>
            <w:r>
              <w:rPr>
                <w:sz w:val="24"/>
                <w:szCs w:val="24"/>
              </w:rPr>
              <w:instrText xml:space="preserve"> PAGEREF _Toc30404198 \h </w:instrText>
            </w:r>
            <w:r>
              <w:rPr>
                <w:sz w:val="24"/>
                <w:szCs w:val="24"/>
              </w:rPr>
            </w:r>
            <w:r>
              <w:rPr>
                <w:sz w:val="24"/>
                <w:szCs w:val="24"/>
              </w:rPr>
              <w:fldChar w:fldCharType="separate"/>
            </w:r>
            <w:r>
              <w:rPr>
                <w:sz w:val="24"/>
                <w:szCs w:val="24"/>
              </w:rPr>
              <w:t>109</w:t>
            </w:r>
            <w:r>
              <w:rPr>
                <w:sz w:val="24"/>
                <w:szCs w:val="24"/>
              </w:rPr>
              <w:fldChar w:fldCharType="end"/>
            </w:r>
          </w:hyperlink>
        </w:p>
        <w:p>
          <w:pPr>
            <w:pStyle w:val="TOC2"/>
            <w:rPr>
              <w:rFonts w:eastAsiaTheme="minorEastAsia"/>
              <w:sz w:val="24"/>
              <w:szCs w:val="24"/>
            </w:rPr>
          </w:pPr>
          <w:hyperlink w:anchor="_Toc30404199" w:history="1">
            <w:r>
              <w:rPr>
                <w:rStyle w:val="Hyperlink"/>
                <w:sz w:val="24"/>
                <w:szCs w:val="24"/>
              </w:rPr>
              <w:t>2.2.</w:t>
            </w:r>
            <w:r>
              <w:rPr>
                <w:rFonts w:eastAsiaTheme="minorEastAsia"/>
                <w:sz w:val="24"/>
                <w:szCs w:val="24"/>
              </w:rPr>
              <w:tab/>
            </w:r>
            <w:r>
              <w:rPr>
                <w:rStyle w:val="Hyperlink"/>
                <w:sz w:val="24"/>
                <w:szCs w:val="24"/>
              </w:rPr>
              <w:t>MSFD and other assessments</w:t>
            </w:r>
            <w:r>
              <w:rPr>
                <w:sz w:val="24"/>
                <w:szCs w:val="24"/>
              </w:rPr>
              <w:tab/>
            </w:r>
            <w:r>
              <w:rPr>
                <w:sz w:val="24"/>
                <w:szCs w:val="24"/>
              </w:rPr>
              <w:fldChar w:fldCharType="begin"/>
            </w:r>
            <w:r>
              <w:rPr>
                <w:sz w:val="24"/>
                <w:szCs w:val="24"/>
              </w:rPr>
              <w:instrText xml:space="preserve"> PAGEREF _Toc30404199 \h </w:instrText>
            </w:r>
            <w:r>
              <w:rPr>
                <w:sz w:val="24"/>
                <w:szCs w:val="24"/>
              </w:rPr>
            </w:r>
            <w:r>
              <w:rPr>
                <w:sz w:val="24"/>
                <w:szCs w:val="24"/>
              </w:rPr>
              <w:fldChar w:fldCharType="separate"/>
            </w:r>
            <w:r>
              <w:rPr>
                <w:sz w:val="24"/>
                <w:szCs w:val="24"/>
              </w:rPr>
              <w:t>110</w:t>
            </w:r>
            <w:r>
              <w:rPr>
                <w:sz w:val="24"/>
                <w:szCs w:val="24"/>
              </w:rPr>
              <w:fldChar w:fldCharType="end"/>
            </w:r>
          </w:hyperlink>
        </w:p>
        <w:p>
          <w:pPr>
            <w:pStyle w:val="TOC3"/>
            <w:tabs>
              <w:tab w:val="left" w:pos="1445"/>
            </w:tabs>
            <w:rPr>
              <w:rFonts w:eastAsiaTheme="minorEastAsia"/>
              <w:noProof/>
              <w:sz w:val="24"/>
              <w:szCs w:val="24"/>
            </w:rPr>
          </w:pPr>
          <w:hyperlink w:anchor="_Toc30404200" w:history="1">
            <w:r>
              <w:rPr>
                <w:rStyle w:val="Hyperlink"/>
                <w:noProof/>
                <w:sz w:val="24"/>
                <w:szCs w:val="24"/>
              </w:rPr>
              <w:t>2.2.1.</w:t>
            </w:r>
            <w:r>
              <w:rPr>
                <w:rFonts w:eastAsiaTheme="minorEastAsia"/>
                <w:noProof/>
                <w:sz w:val="24"/>
                <w:szCs w:val="24"/>
              </w:rPr>
              <w:tab/>
            </w:r>
            <w:r>
              <w:rPr>
                <w:rStyle w:val="Hyperlink"/>
                <w:noProof/>
                <w:sz w:val="24"/>
                <w:szCs w:val="24"/>
              </w:rPr>
              <w:t>Shoreline litter</w:t>
            </w:r>
            <w:r>
              <w:rPr>
                <w:noProof/>
                <w:sz w:val="24"/>
                <w:szCs w:val="24"/>
              </w:rPr>
              <w:tab/>
            </w:r>
            <w:r>
              <w:rPr>
                <w:noProof/>
                <w:sz w:val="24"/>
                <w:szCs w:val="24"/>
              </w:rPr>
              <w:fldChar w:fldCharType="begin"/>
            </w:r>
            <w:r>
              <w:rPr>
                <w:noProof/>
                <w:sz w:val="24"/>
                <w:szCs w:val="24"/>
              </w:rPr>
              <w:instrText xml:space="preserve"> PAGEREF _Toc30404200 \h </w:instrText>
            </w:r>
            <w:r>
              <w:rPr>
                <w:noProof/>
                <w:sz w:val="24"/>
                <w:szCs w:val="24"/>
              </w:rPr>
            </w:r>
            <w:r>
              <w:rPr>
                <w:noProof/>
                <w:sz w:val="24"/>
                <w:szCs w:val="24"/>
              </w:rPr>
              <w:fldChar w:fldCharType="separate"/>
            </w:r>
            <w:r>
              <w:rPr>
                <w:noProof/>
                <w:sz w:val="24"/>
                <w:szCs w:val="24"/>
              </w:rPr>
              <w:t>110</w:t>
            </w:r>
            <w:r>
              <w:rPr>
                <w:noProof/>
                <w:sz w:val="24"/>
                <w:szCs w:val="24"/>
              </w:rPr>
              <w:fldChar w:fldCharType="end"/>
            </w:r>
          </w:hyperlink>
        </w:p>
        <w:p>
          <w:pPr>
            <w:pStyle w:val="TOC3"/>
            <w:tabs>
              <w:tab w:val="left" w:pos="1445"/>
            </w:tabs>
            <w:rPr>
              <w:rFonts w:eastAsiaTheme="minorEastAsia"/>
              <w:noProof/>
              <w:sz w:val="24"/>
              <w:szCs w:val="24"/>
            </w:rPr>
          </w:pPr>
          <w:hyperlink w:anchor="_Toc30404201" w:history="1">
            <w:r>
              <w:rPr>
                <w:rStyle w:val="Hyperlink"/>
                <w:noProof/>
                <w:sz w:val="24"/>
                <w:szCs w:val="24"/>
              </w:rPr>
              <w:t>2.2.2.</w:t>
            </w:r>
            <w:r>
              <w:rPr>
                <w:rFonts w:eastAsiaTheme="minorEastAsia"/>
                <w:noProof/>
                <w:sz w:val="24"/>
                <w:szCs w:val="24"/>
              </w:rPr>
              <w:tab/>
            </w:r>
            <w:r>
              <w:rPr>
                <w:rStyle w:val="Hyperlink"/>
                <w:noProof/>
                <w:sz w:val="24"/>
                <w:szCs w:val="24"/>
              </w:rPr>
              <w:t>Water column litter</w:t>
            </w:r>
            <w:r>
              <w:rPr>
                <w:noProof/>
                <w:sz w:val="24"/>
                <w:szCs w:val="24"/>
              </w:rPr>
              <w:tab/>
            </w:r>
            <w:r>
              <w:rPr>
                <w:noProof/>
                <w:sz w:val="24"/>
                <w:szCs w:val="24"/>
              </w:rPr>
              <w:fldChar w:fldCharType="begin"/>
            </w:r>
            <w:r>
              <w:rPr>
                <w:noProof/>
                <w:sz w:val="24"/>
                <w:szCs w:val="24"/>
              </w:rPr>
              <w:instrText xml:space="preserve"> PAGEREF _Toc30404201 \h </w:instrText>
            </w:r>
            <w:r>
              <w:rPr>
                <w:noProof/>
                <w:sz w:val="24"/>
                <w:szCs w:val="24"/>
              </w:rPr>
            </w:r>
            <w:r>
              <w:rPr>
                <w:noProof/>
                <w:sz w:val="24"/>
                <w:szCs w:val="24"/>
              </w:rPr>
              <w:fldChar w:fldCharType="separate"/>
            </w:r>
            <w:r>
              <w:rPr>
                <w:noProof/>
                <w:sz w:val="24"/>
                <w:szCs w:val="24"/>
              </w:rPr>
              <w:t>112</w:t>
            </w:r>
            <w:r>
              <w:rPr>
                <w:noProof/>
                <w:sz w:val="24"/>
                <w:szCs w:val="24"/>
              </w:rPr>
              <w:fldChar w:fldCharType="end"/>
            </w:r>
          </w:hyperlink>
        </w:p>
        <w:p>
          <w:pPr>
            <w:pStyle w:val="TOC3"/>
            <w:tabs>
              <w:tab w:val="left" w:pos="1445"/>
            </w:tabs>
            <w:rPr>
              <w:rFonts w:eastAsiaTheme="minorEastAsia"/>
              <w:noProof/>
              <w:sz w:val="24"/>
              <w:szCs w:val="24"/>
            </w:rPr>
          </w:pPr>
          <w:hyperlink w:anchor="_Toc30404202" w:history="1">
            <w:r>
              <w:rPr>
                <w:rStyle w:val="Hyperlink"/>
                <w:noProof/>
                <w:sz w:val="24"/>
                <w:szCs w:val="24"/>
              </w:rPr>
              <w:t>2.2.3.</w:t>
            </w:r>
            <w:r>
              <w:rPr>
                <w:rFonts w:eastAsiaTheme="minorEastAsia"/>
                <w:noProof/>
                <w:sz w:val="24"/>
                <w:szCs w:val="24"/>
              </w:rPr>
              <w:tab/>
            </w:r>
            <w:r>
              <w:rPr>
                <w:rStyle w:val="Hyperlink"/>
                <w:noProof/>
                <w:sz w:val="24"/>
                <w:szCs w:val="24"/>
              </w:rPr>
              <w:t>Seafloor macro litter</w:t>
            </w:r>
            <w:r>
              <w:rPr>
                <w:noProof/>
                <w:sz w:val="24"/>
                <w:szCs w:val="24"/>
              </w:rPr>
              <w:tab/>
            </w:r>
            <w:r>
              <w:rPr>
                <w:noProof/>
                <w:sz w:val="24"/>
                <w:szCs w:val="24"/>
              </w:rPr>
              <w:fldChar w:fldCharType="begin"/>
            </w:r>
            <w:r>
              <w:rPr>
                <w:noProof/>
                <w:sz w:val="24"/>
                <w:szCs w:val="24"/>
              </w:rPr>
              <w:instrText xml:space="preserve"> PAGEREF _Toc30404202 \h </w:instrText>
            </w:r>
            <w:r>
              <w:rPr>
                <w:noProof/>
                <w:sz w:val="24"/>
                <w:szCs w:val="24"/>
              </w:rPr>
            </w:r>
            <w:r>
              <w:rPr>
                <w:noProof/>
                <w:sz w:val="24"/>
                <w:szCs w:val="24"/>
              </w:rPr>
              <w:fldChar w:fldCharType="separate"/>
            </w:r>
            <w:r>
              <w:rPr>
                <w:noProof/>
                <w:sz w:val="24"/>
                <w:szCs w:val="24"/>
              </w:rPr>
              <w:t>113</w:t>
            </w:r>
            <w:r>
              <w:rPr>
                <w:noProof/>
                <w:sz w:val="24"/>
                <w:szCs w:val="24"/>
              </w:rPr>
              <w:fldChar w:fldCharType="end"/>
            </w:r>
          </w:hyperlink>
        </w:p>
        <w:p>
          <w:pPr>
            <w:pStyle w:val="TOC3"/>
            <w:tabs>
              <w:tab w:val="left" w:pos="1445"/>
            </w:tabs>
            <w:rPr>
              <w:rFonts w:eastAsiaTheme="minorEastAsia"/>
              <w:noProof/>
              <w:sz w:val="24"/>
              <w:szCs w:val="24"/>
            </w:rPr>
          </w:pPr>
          <w:hyperlink w:anchor="_Toc30404203" w:history="1">
            <w:r>
              <w:rPr>
                <w:rStyle w:val="Hyperlink"/>
                <w:noProof/>
                <w:sz w:val="24"/>
                <w:szCs w:val="24"/>
              </w:rPr>
              <w:t>2.2.4.</w:t>
            </w:r>
            <w:r>
              <w:rPr>
                <w:rFonts w:eastAsiaTheme="minorEastAsia"/>
                <w:noProof/>
                <w:sz w:val="24"/>
                <w:szCs w:val="24"/>
              </w:rPr>
              <w:tab/>
            </w:r>
            <w:r>
              <w:rPr>
                <w:rStyle w:val="Hyperlink"/>
                <w:noProof/>
                <w:sz w:val="24"/>
                <w:szCs w:val="24"/>
              </w:rPr>
              <w:t>Micro-litter</w:t>
            </w:r>
            <w:r>
              <w:rPr>
                <w:noProof/>
                <w:sz w:val="24"/>
                <w:szCs w:val="24"/>
              </w:rPr>
              <w:tab/>
            </w:r>
            <w:r>
              <w:rPr>
                <w:noProof/>
                <w:sz w:val="24"/>
                <w:szCs w:val="24"/>
              </w:rPr>
              <w:fldChar w:fldCharType="begin"/>
            </w:r>
            <w:r>
              <w:rPr>
                <w:noProof/>
                <w:sz w:val="24"/>
                <w:szCs w:val="24"/>
              </w:rPr>
              <w:instrText xml:space="preserve"> PAGEREF _Toc30404203 \h </w:instrText>
            </w:r>
            <w:r>
              <w:rPr>
                <w:noProof/>
                <w:sz w:val="24"/>
                <w:szCs w:val="24"/>
              </w:rPr>
            </w:r>
            <w:r>
              <w:rPr>
                <w:noProof/>
                <w:sz w:val="24"/>
                <w:szCs w:val="24"/>
              </w:rPr>
              <w:fldChar w:fldCharType="separate"/>
            </w:r>
            <w:r>
              <w:rPr>
                <w:noProof/>
                <w:sz w:val="24"/>
                <w:szCs w:val="24"/>
              </w:rPr>
              <w:t>115</w:t>
            </w:r>
            <w:r>
              <w:rPr>
                <w:noProof/>
                <w:sz w:val="24"/>
                <w:szCs w:val="24"/>
              </w:rPr>
              <w:fldChar w:fldCharType="end"/>
            </w:r>
          </w:hyperlink>
        </w:p>
        <w:p>
          <w:pPr>
            <w:pStyle w:val="TOC1"/>
            <w:rPr>
              <w:rFonts w:eastAsiaTheme="minorEastAsia"/>
              <w:b w:val="0"/>
              <w:caps w:val="0"/>
              <w:noProof/>
              <w:sz w:val="24"/>
              <w:szCs w:val="24"/>
            </w:rPr>
          </w:pPr>
          <w:hyperlink w:anchor="_Toc30404204" w:history="1">
            <w:r>
              <w:rPr>
                <w:rStyle w:val="Hyperlink"/>
                <w:b w:val="0"/>
                <w:noProof/>
                <w:sz w:val="24"/>
                <w:szCs w:val="24"/>
              </w:rPr>
              <w:t>3.</w:t>
            </w:r>
            <w:r>
              <w:rPr>
                <w:rFonts w:eastAsiaTheme="minorEastAsia"/>
                <w:b w:val="0"/>
                <w:caps w:val="0"/>
                <w:noProof/>
                <w:sz w:val="24"/>
                <w:szCs w:val="24"/>
              </w:rPr>
              <w:tab/>
            </w:r>
            <w:r>
              <w:rPr>
                <w:rStyle w:val="Hyperlink"/>
                <w:b w:val="0"/>
                <w:noProof/>
                <w:sz w:val="24"/>
                <w:szCs w:val="24"/>
              </w:rPr>
              <w:t>Litter impacts</w:t>
            </w:r>
            <w:r>
              <w:rPr>
                <w:b w:val="0"/>
                <w:noProof/>
                <w:sz w:val="24"/>
                <w:szCs w:val="24"/>
              </w:rPr>
              <w:tab/>
            </w:r>
            <w:r>
              <w:rPr>
                <w:b w:val="0"/>
                <w:noProof/>
                <w:sz w:val="24"/>
                <w:szCs w:val="24"/>
              </w:rPr>
              <w:fldChar w:fldCharType="begin"/>
            </w:r>
            <w:r>
              <w:rPr>
                <w:b w:val="0"/>
                <w:noProof/>
                <w:sz w:val="24"/>
                <w:szCs w:val="24"/>
              </w:rPr>
              <w:instrText xml:space="preserve"> PAGEREF _Toc30404204 \h </w:instrText>
            </w:r>
            <w:r>
              <w:rPr>
                <w:b w:val="0"/>
                <w:noProof/>
                <w:sz w:val="24"/>
                <w:szCs w:val="24"/>
              </w:rPr>
            </w:r>
            <w:r>
              <w:rPr>
                <w:b w:val="0"/>
                <w:noProof/>
                <w:sz w:val="24"/>
                <w:szCs w:val="24"/>
              </w:rPr>
              <w:fldChar w:fldCharType="separate"/>
            </w:r>
            <w:r>
              <w:rPr>
                <w:b w:val="0"/>
                <w:noProof/>
                <w:sz w:val="24"/>
                <w:szCs w:val="24"/>
              </w:rPr>
              <w:t>116</w:t>
            </w:r>
            <w:r>
              <w:rPr>
                <w:b w:val="0"/>
                <w:noProof/>
                <w:sz w:val="24"/>
                <w:szCs w:val="24"/>
              </w:rPr>
              <w:fldChar w:fldCharType="end"/>
            </w:r>
          </w:hyperlink>
        </w:p>
        <w:p>
          <w:pPr>
            <w:pStyle w:val="TOC1"/>
            <w:rPr>
              <w:rFonts w:eastAsiaTheme="minorEastAsia"/>
              <w:b w:val="0"/>
              <w:caps w:val="0"/>
              <w:noProof/>
              <w:sz w:val="24"/>
              <w:szCs w:val="24"/>
            </w:rPr>
          </w:pPr>
          <w:hyperlink w:anchor="_Toc30404205" w:history="1">
            <w:r>
              <w:rPr>
                <w:rStyle w:val="Hyperlink"/>
                <w:b w:val="0"/>
                <w:noProof/>
                <w:sz w:val="24"/>
                <w:szCs w:val="24"/>
              </w:rPr>
              <w:t>4.</w:t>
            </w:r>
            <w:r>
              <w:rPr>
                <w:rFonts w:eastAsiaTheme="minorEastAsia"/>
                <w:b w:val="0"/>
                <w:caps w:val="0"/>
                <w:noProof/>
                <w:sz w:val="24"/>
                <w:szCs w:val="24"/>
              </w:rPr>
              <w:tab/>
            </w:r>
            <w:r>
              <w:rPr>
                <w:rStyle w:val="Hyperlink"/>
                <w:rFonts w:eastAsiaTheme="minorHAnsi"/>
                <w:b w:val="0"/>
                <w:noProof/>
                <w:sz w:val="24"/>
                <w:szCs w:val="24"/>
              </w:rPr>
              <w:t xml:space="preserve">Technical </w:t>
            </w:r>
            <w:r>
              <w:rPr>
                <w:rStyle w:val="Hyperlink"/>
                <w:b w:val="0"/>
                <w:noProof/>
                <w:sz w:val="24"/>
                <w:szCs w:val="24"/>
              </w:rPr>
              <w:t>observations</w:t>
            </w:r>
            <w:r>
              <w:rPr>
                <w:b w:val="0"/>
                <w:noProof/>
                <w:sz w:val="24"/>
                <w:szCs w:val="24"/>
              </w:rPr>
              <w:tab/>
            </w:r>
            <w:r>
              <w:rPr>
                <w:b w:val="0"/>
                <w:noProof/>
                <w:sz w:val="24"/>
                <w:szCs w:val="24"/>
              </w:rPr>
              <w:fldChar w:fldCharType="begin"/>
            </w:r>
            <w:r>
              <w:rPr>
                <w:b w:val="0"/>
                <w:noProof/>
                <w:sz w:val="24"/>
                <w:szCs w:val="24"/>
              </w:rPr>
              <w:instrText xml:space="preserve"> PAGEREF _Toc30404205 \h </w:instrText>
            </w:r>
            <w:r>
              <w:rPr>
                <w:b w:val="0"/>
                <w:noProof/>
                <w:sz w:val="24"/>
                <w:szCs w:val="24"/>
              </w:rPr>
            </w:r>
            <w:r>
              <w:rPr>
                <w:b w:val="0"/>
                <w:noProof/>
                <w:sz w:val="24"/>
                <w:szCs w:val="24"/>
              </w:rPr>
              <w:fldChar w:fldCharType="separate"/>
            </w:r>
            <w:r>
              <w:rPr>
                <w:b w:val="0"/>
                <w:noProof/>
                <w:sz w:val="24"/>
                <w:szCs w:val="24"/>
              </w:rPr>
              <w:t>117</w:t>
            </w:r>
            <w:r>
              <w:rPr>
                <w:b w:val="0"/>
                <w:noProof/>
                <w:sz w:val="24"/>
                <w:szCs w:val="24"/>
              </w:rPr>
              <w:fldChar w:fldCharType="end"/>
            </w:r>
          </w:hyperlink>
        </w:p>
        <w:p>
          <w:pPr>
            <w:pStyle w:val="TOC1"/>
            <w:rPr>
              <w:rFonts w:eastAsiaTheme="minorEastAsia"/>
              <w:b w:val="0"/>
              <w:caps w:val="0"/>
              <w:noProof/>
              <w:sz w:val="24"/>
              <w:szCs w:val="24"/>
            </w:rPr>
          </w:pPr>
          <w:hyperlink w:anchor="_Toc30404206" w:history="1">
            <w:r>
              <w:rPr>
                <w:rStyle w:val="Hyperlink"/>
                <w:b w:val="0"/>
                <w:noProof/>
                <w:sz w:val="24"/>
                <w:szCs w:val="24"/>
              </w:rPr>
              <w:t>5.</w:t>
            </w:r>
            <w:r>
              <w:rPr>
                <w:rFonts w:eastAsiaTheme="minorEastAsia"/>
                <w:b w:val="0"/>
                <w:caps w:val="0"/>
                <w:noProof/>
                <w:sz w:val="24"/>
                <w:szCs w:val="24"/>
              </w:rPr>
              <w:tab/>
            </w:r>
            <w:r>
              <w:rPr>
                <w:rStyle w:val="Hyperlink"/>
                <w:b w:val="0"/>
                <w:noProof/>
                <w:sz w:val="24"/>
                <w:szCs w:val="24"/>
              </w:rPr>
              <w:t>Key messages</w:t>
            </w:r>
            <w:r>
              <w:rPr>
                <w:b w:val="0"/>
                <w:noProof/>
                <w:sz w:val="24"/>
                <w:szCs w:val="24"/>
              </w:rPr>
              <w:tab/>
            </w:r>
            <w:r>
              <w:rPr>
                <w:b w:val="0"/>
                <w:noProof/>
                <w:sz w:val="24"/>
                <w:szCs w:val="24"/>
              </w:rPr>
              <w:fldChar w:fldCharType="begin"/>
            </w:r>
            <w:r>
              <w:rPr>
                <w:b w:val="0"/>
                <w:noProof/>
                <w:sz w:val="24"/>
                <w:szCs w:val="24"/>
              </w:rPr>
              <w:instrText xml:space="preserve"> PAGEREF _Toc30404206 \h </w:instrText>
            </w:r>
            <w:r>
              <w:rPr>
                <w:b w:val="0"/>
                <w:noProof/>
                <w:sz w:val="24"/>
                <w:szCs w:val="24"/>
              </w:rPr>
            </w:r>
            <w:r>
              <w:rPr>
                <w:b w:val="0"/>
                <w:noProof/>
                <w:sz w:val="24"/>
                <w:szCs w:val="24"/>
              </w:rPr>
              <w:fldChar w:fldCharType="separate"/>
            </w:r>
            <w:r>
              <w:rPr>
                <w:b w:val="0"/>
                <w:noProof/>
                <w:sz w:val="24"/>
                <w:szCs w:val="24"/>
              </w:rPr>
              <w:t>117</w:t>
            </w:r>
            <w:r>
              <w:rPr>
                <w:b w:val="0"/>
                <w:noProof/>
                <w:sz w:val="24"/>
                <w:szCs w:val="24"/>
              </w:rPr>
              <w:fldChar w:fldCharType="end"/>
            </w:r>
          </w:hyperlink>
        </w:p>
        <w:p>
          <w:pPr>
            <w:pStyle w:val="TOC5"/>
            <w:rPr>
              <w:rFonts w:eastAsiaTheme="minorEastAsia"/>
              <w:noProof/>
              <w:szCs w:val="24"/>
            </w:rPr>
          </w:pPr>
          <w:hyperlink w:anchor="_Toc30404207" w:history="1">
            <w:r>
              <w:rPr>
                <w:rStyle w:val="Hyperlink"/>
                <w:noProof/>
                <w:szCs w:val="24"/>
              </w:rPr>
              <w:t>Descriptor 11: Introduction of energy, including underwater noise, is at levels that do not adversely affect the marine environment</w:t>
            </w:r>
            <w:r>
              <w:rPr>
                <w:noProof/>
                <w:szCs w:val="24"/>
              </w:rPr>
              <w:tab/>
            </w:r>
            <w:r>
              <w:rPr>
                <w:noProof/>
                <w:szCs w:val="24"/>
              </w:rPr>
              <w:fldChar w:fldCharType="begin"/>
            </w:r>
            <w:r>
              <w:rPr>
                <w:noProof/>
                <w:szCs w:val="24"/>
              </w:rPr>
              <w:instrText xml:space="preserve"> PAGEREF _Toc30404207 \h </w:instrText>
            </w:r>
            <w:r>
              <w:rPr>
                <w:noProof/>
                <w:szCs w:val="24"/>
              </w:rPr>
            </w:r>
            <w:r>
              <w:rPr>
                <w:noProof/>
                <w:szCs w:val="24"/>
              </w:rPr>
              <w:fldChar w:fldCharType="separate"/>
            </w:r>
            <w:r>
              <w:rPr>
                <w:noProof/>
                <w:szCs w:val="24"/>
              </w:rPr>
              <w:t>119</w:t>
            </w:r>
            <w:r>
              <w:rPr>
                <w:noProof/>
                <w:szCs w:val="24"/>
              </w:rPr>
              <w:fldChar w:fldCharType="end"/>
            </w:r>
          </w:hyperlink>
        </w:p>
        <w:p>
          <w:pPr>
            <w:pStyle w:val="TOC1"/>
            <w:rPr>
              <w:rFonts w:eastAsiaTheme="minorEastAsia"/>
              <w:b w:val="0"/>
              <w:caps w:val="0"/>
              <w:noProof/>
              <w:sz w:val="24"/>
              <w:szCs w:val="24"/>
            </w:rPr>
          </w:pPr>
          <w:hyperlink w:anchor="_Toc30404208" w:history="1">
            <w:r>
              <w:rPr>
                <w:rStyle w:val="Hyperlink"/>
                <w:b w:val="0"/>
                <w:noProof/>
                <w:sz w:val="24"/>
                <w:szCs w:val="24"/>
              </w:rPr>
              <w:t>1.</w:t>
            </w:r>
            <w:r>
              <w:rPr>
                <w:rFonts w:eastAsiaTheme="minorEastAsia"/>
                <w:b w:val="0"/>
                <w:caps w:val="0"/>
                <w:noProof/>
                <w:sz w:val="24"/>
                <w:szCs w:val="24"/>
              </w:rPr>
              <w:tab/>
            </w:r>
            <w:r>
              <w:rPr>
                <w:rStyle w:val="Hyperlink"/>
                <w:b w:val="0"/>
                <w:noProof/>
                <w:sz w:val="24"/>
                <w:szCs w:val="24"/>
              </w:rPr>
              <w:t>MSFD framework</w:t>
            </w:r>
            <w:r>
              <w:rPr>
                <w:b w:val="0"/>
                <w:noProof/>
                <w:sz w:val="24"/>
                <w:szCs w:val="24"/>
              </w:rPr>
              <w:tab/>
            </w:r>
            <w:r>
              <w:rPr>
                <w:b w:val="0"/>
                <w:noProof/>
                <w:sz w:val="24"/>
                <w:szCs w:val="24"/>
              </w:rPr>
              <w:fldChar w:fldCharType="begin"/>
            </w:r>
            <w:r>
              <w:rPr>
                <w:b w:val="0"/>
                <w:noProof/>
                <w:sz w:val="24"/>
                <w:szCs w:val="24"/>
              </w:rPr>
              <w:instrText xml:space="preserve"> PAGEREF _Toc30404208 \h </w:instrText>
            </w:r>
            <w:r>
              <w:rPr>
                <w:b w:val="0"/>
                <w:noProof/>
                <w:sz w:val="24"/>
                <w:szCs w:val="24"/>
              </w:rPr>
            </w:r>
            <w:r>
              <w:rPr>
                <w:b w:val="0"/>
                <w:noProof/>
                <w:sz w:val="24"/>
                <w:szCs w:val="24"/>
              </w:rPr>
              <w:fldChar w:fldCharType="separate"/>
            </w:r>
            <w:r>
              <w:rPr>
                <w:b w:val="0"/>
                <w:noProof/>
                <w:sz w:val="24"/>
                <w:szCs w:val="24"/>
              </w:rPr>
              <w:t>119</w:t>
            </w:r>
            <w:r>
              <w:rPr>
                <w:b w:val="0"/>
                <w:noProof/>
                <w:sz w:val="24"/>
                <w:szCs w:val="24"/>
              </w:rPr>
              <w:fldChar w:fldCharType="end"/>
            </w:r>
          </w:hyperlink>
        </w:p>
        <w:p>
          <w:pPr>
            <w:pStyle w:val="TOC1"/>
            <w:rPr>
              <w:rFonts w:eastAsiaTheme="minorEastAsia"/>
              <w:b w:val="0"/>
              <w:caps w:val="0"/>
              <w:noProof/>
              <w:sz w:val="24"/>
              <w:szCs w:val="24"/>
            </w:rPr>
          </w:pPr>
          <w:hyperlink w:anchor="_Toc30404209" w:history="1">
            <w:r>
              <w:rPr>
                <w:rStyle w:val="Hyperlink"/>
                <w:b w:val="0"/>
                <w:noProof/>
                <w:sz w:val="24"/>
                <w:szCs w:val="24"/>
              </w:rPr>
              <w:t>2.</w:t>
            </w:r>
            <w:r>
              <w:rPr>
                <w:rFonts w:eastAsiaTheme="minorEastAsia"/>
                <w:b w:val="0"/>
                <w:caps w:val="0"/>
                <w:noProof/>
                <w:sz w:val="24"/>
                <w:szCs w:val="24"/>
              </w:rPr>
              <w:tab/>
            </w:r>
            <w:r>
              <w:rPr>
                <w:rStyle w:val="Hyperlink"/>
                <w:b w:val="0"/>
                <w:noProof/>
                <w:sz w:val="24"/>
                <w:szCs w:val="24"/>
              </w:rPr>
              <w:t>Underwater noise in the EU marine environment</w:t>
            </w:r>
            <w:r>
              <w:rPr>
                <w:b w:val="0"/>
                <w:noProof/>
                <w:sz w:val="24"/>
                <w:szCs w:val="24"/>
              </w:rPr>
              <w:tab/>
            </w:r>
            <w:r>
              <w:rPr>
                <w:b w:val="0"/>
                <w:noProof/>
                <w:sz w:val="24"/>
                <w:szCs w:val="24"/>
              </w:rPr>
              <w:fldChar w:fldCharType="begin"/>
            </w:r>
            <w:r>
              <w:rPr>
                <w:b w:val="0"/>
                <w:noProof/>
                <w:sz w:val="24"/>
                <w:szCs w:val="24"/>
              </w:rPr>
              <w:instrText xml:space="preserve"> PAGEREF _Toc30404209 \h </w:instrText>
            </w:r>
            <w:r>
              <w:rPr>
                <w:b w:val="0"/>
                <w:noProof/>
                <w:sz w:val="24"/>
                <w:szCs w:val="24"/>
              </w:rPr>
            </w:r>
            <w:r>
              <w:rPr>
                <w:b w:val="0"/>
                <w:noProof/>
                <w:sz w:val="24"/>
                <w:szCs w:val="24"/>
              </w:rPr>
              <w:fldChar w:fldCharType="separate"/>
            </w:r>
            <w:r>
              <w:rPr>
                <w:b w:val="0"/>
                <w:noProof/>
                <w:sz w:val="24"/>
                <w:szCs w:val="24"/>
              </w:rPr>
              <w:t>119</w:t>
            </w:r>
            <w:r>
              <w:rPr>
                <w:b w:val="0"/>
                <w:noProof/>
                <w:sz w:val="24"/>
                <w:szCs w:val="24"/>
              </w:rPr>
              <w:fldChar w:fldCharType="end"/>
            </w:r>
          </w:hyperlink>
        </w:p>
        <w:p>
          <w:pPr>
            <w:pStyle w:val="TOC2"/>
            <w:rPr>
              <w:rFonts w:eastAsiaTheme="minorEastAsia"/>
              <w:sz w:val="24"/>
              <w:szCs w:val="24"/>
            </w:rPr>
          </w:pPr>
          <w:hyperlink w:anchor="_Toc30404210" w:history="1">
            <w:r>
              <w:rPr>
                <w:rStyle w:val="Hyperlink"/>
                <w:sz w:val="24"/>
                <w:szCs w:val="24"/>
              </w:rPr>
              <w:t>2.1.</w:t>
            </w:r>
            <w:r>
              <w:rPr>
                <w:rFonts w:eastAsiaTheme="minorEastAsia"/>
                <w:sz w:val="24"/>
                <w:szCs w:val="24"/>
              </w:rPr>
              <w:tab/>
            </w:r>
            <w:r>
              <w:rPr>
                <w:rStyle w:val="Hyperlink"/>
                <w:sz w:val="24"/>
                <w:szCs w:val="24"/>
              </w:rPr>
              <w:t>Ongoing reporting under the MSFD</w:t>
            </w:r>
            <w:r>
              <w:rPr>
                <w:sz w:val="24"/>
                <w:szCs w:val="24"/>
              </w:rPr>
              <w:tab/>
            </w:r>
            <w:r>
              <w:rPr>
                <w:sz w:val="24"/>
                <w:szCs w:val="24"/>
              </w:rPr>
              <w:fldChar w:fldCharType="begin"/>
            </w:r>
            <w:r>
              <w:rPr>
                <w:sz w:val="24"/>
                <w:szCs w:val="24"/>
              </w:rPr>
              <w:instrText xml:space="preserve"> PAGEREF _Toc30404210 \h </w:instrText>
            </w:r>
            <w:r>
              <w:rPr>
                <w:sz w:val="24"/>
                <w:szCs w:val="24"/>
              </w:rPr>
            </w:r>
            <w:r>
              <w:rPr>
                <w:sz w:val="24"/>
                <w:szCs w:val="24"/>
              </w:rPr>
              <w:fldChar w:fldCharType="separate"/>
            </w:r>
            <w:r>
              <w:rPr>
                <w:sz w:val="24"/>
                <w:szCs w:val="24"/>
              </w:rPr>
              <w:t>119</w:t>
            </w:r>
            <w:r>
              <w:rPr>
                <w:sz w:val="24"/>
                <w:szCs w:val="24"/>
              </w:rPr>
              <w:fldChar w:fldCharType="end"/>
            </w:r>
          </w:hyperlink>
        </w:p>
        <w:p>
          <w:pPr>
            <w:pStyle w:val="TOC2"/>
            <w:rPr>
              <w:rFonts w:eastAsiaTheme="minorEastAsia"/>
              <w:sz w:val="24"/>
              <w:szCs w:val="24"/>
            </w:rPr>
          </w:pPr>
          <w:hyperlink w:anchor="_Toc30404211" w:history="1">
            <w:r>
              <w:rPr>
                <w:rStyle w:val="Hyperlink"/>
                <w:sz w:val="24"/>
                <w:szCs w:val="24"/>
              </w:rPr>
              <w:t>2.2.</w:t>
            </w:r>
            <w:r>
              <w:rPr>
                <w:rFonts w:eastAsiaTheme="minorEastAsia"/>
                <w:sz w:val="24"/>
                <w:szCs w:val="24"/>
              </w:rPr>
              <w:tab/>
            </w:r>
            <w:r>
              <w:rPr>
                <w:rStyle w:val="Hyperlink"/>
                <w:sz w:val="24"/>
                <w:szCs w:val="24"/>
              </w:rPr>
              <w:t>MSFD efforts to address underwater noise</w:t>
            </w:r>
            <w:r>
              <w:rPr>
                <w:sz w:val="24"/>
                <w:szCs w:val="24"/>
              </w:rPr>
              <w:tab/>
            </w:r>
            <w:r>
              <w:rPr>
                <w:sz w:val="24"/>
                <w:szCs w:val="24"/>
              </w:rPr>
              <w:fldChar w:fldCharType="begin"/>
            </w:r>
            <w:r>
              <w:rPr>
                <w:sz w:val="24"/>
                <w:szCs w:val="24"/>
              </w:rPr>
              <w:instrText xml:space="preserve"> PAGEREF _Toc30404211 \h </w:instrText>
            </w:r>
            <w:r>
              <w:rPr>
                <w:sz w:val="24"/>
                <w:szCs w:val="24"/>
              </w:rPr>
            </w:r>
            <w:r>
              <w:rPr>
                <w:sz w:val="24"/>
                <w:szCs w:val="24"/>
              </w:rPr>
              <w:fldChar w:fldCharType="separate"/>
            </w:r>
            <w:r>
              <w:rPr>
                <w:sz w:val="24"/>
                <w:szCs w:val="24"/>
              </w:rPr>
              <w:t>120</w:t>
            </w:r>
            <w:r>
              <w:rPr>
                <w:sz w:val="24"/>
                <w:szCs w:val="24"/>
              </w:rPr>
              <w:fldChar w:fldCharType="end"/>
            </w:r>
          </w:hyperlink>
        </w:p>
        <w:p>
          <w:pPr>
            <w:pStyle w:val="TOC2"/>
            <w:rPr>
              <w:rFonts w:eastAsiaTheme="minorEastAsia"/>
              <w:sz w:val="24"/>
              <w:szCs w:val="24"/>
            </w:rPr>
          </w:pPr>
          <w:hyperlink w:anchor="_Toc30404212" w:history="1">
            <w:r>
              <w:rPr>
                <w:rStyle w:val="Hyperlink"/>
                <w:sz w:val="24"/>
                <w:szCs w:val="24"/>
              </w:rPr>
              <w:t>2.3.</w:t>
            </w:r>
            <w:r>
              <w:rPr>
                <w:rFonts w:eastAsiaTheme="minorEastAsia"/>
                <w:sz w:val="24"/>
                <w:szCs w:val="24"/>
              </w:rPr>
              <w:tab/>
            </w:r>
            <w:r>
              <w:rPr>
                <w:rStyle w:val="Hyperlink"/>
                <w:sz w:val="24"/>
                <w:szCs w:val="24"/>
              </w:rPr>
              <w:t>Other assessments</w:t>
            </w:r>
            <w:r>
              <w:rPr>
                <w:sz w:val="24"/>
                <w:szCs w:val="24"/>
              </w:rPr>
              <w:tab/>
            </w:r>
            <w:r>
              <w:rPr>
                <w:sz w:val="24"/>
                <w:szCs w:val="24"/>
              </w:rPr>
              <w:fldChar w:fldCharType="begin"/>
            </w:r>
            <w:r>
              <w:rPr>
                <w:sz w:val="24"/>
                <w:szCs w:val="24"/>
              </w:rPr>
              <w:instrText xml:space="preserve"> PAGEREF _Toc30404212 \h </w:instrText>
            </w:r>
            <w:r>
              <w:rPr>
                <w:sz w:val="24"/>
                <w:szCs w:val="24"/>
              </w:rPr>
            </w:r>
            <w:r>
              <w:rPr>
                <w:sz w:val="24"/>
                <w:szCs w:val="24"/>
              </w:rPr>
              <w:fldChar w:fldCharType="separate"/>
            </w:r>
            <w:r>
              <w:rPr>
                <w:sz w:val="24"/>
                <w:szCs w:val="24"/>
              </w:rPr>
              <w:t>121</w:t>
            </w:r>
            <w:r>
              <w:rPr>
                <w:sz w:val="24"/>
                <w:szCs w:val="24"/>
              </w:rPr>
              <w:fldChar w:fldCharType="end"/>
            </w:r>
          </w:hyperlink>
        </w:p>
        <w:p>
          <w:pPr>
            <w:pStyle w:val="TOC1"/>
            <w:rPr>
              <w:rFonts w:eastAsiaTheme="minorEastAsia"/>
              <w:b w:val="0"/>
              <w:caps w:val="0"/>
              <w:noProof/>
              <w:sz w:val="24"/>
              <w:szCs w:val="24"/>
            </w:rPr>
          </w:pPr>
          <w:hyperlink w:anchor="_Toc30404213" w:history="1">
            <w:r>
              <w:rPr>
                <w:rStyle w:val="Hyperlink"/>
                <w:b w:val="0"/>
                <w:noProof/>
                <w:sz w:val="24"/>
                <w:szCs w:val="24"/>
              </w:rPr>
              <w:t>3.</w:t>
            </w:r>
            <w:r>
              <w:rPr>
                <w:rFonts w:eastAsiaTheme="minorEastAsia"/>
                <w:b w:val="0"/>
                <w:caps w:val="0"/>
                <w:noProof/>
                <w:sz w:val="24"/>
                <w:szCs w:val="24"/>
              </w:rPr>
              <w:tab/>
            </w:r>
            <w:r>
              <w:rPr>
                <w:rStyle w:val="Hyperlink"/>
                <w:b w:val="0"/>
                <w:noProof/>
                <w:sz w:val="24"/>
                <w:szCs w:val="24"/>
              </w:rPr>
              <w:t>Effects of underwater noise</w:t>
            </w:r>
            <w:r>
              <w:rPr>
                <w:b w:val="0"/>
                <w:noProof/>
                <w:sz w:val="24"/>
                <w:szCs w:val="24"/>
              </w:rPr>
              <w:tab/>
            </w:r>
            <w:r>
              <w:rPr>
                <w:b w:val="0"/>
                <w:noProof/>
                <w:sz w:val="24"/>
                <w:szCs w:val="24"/>
              </w:rPr>
              <w:fldChar w:fldCharType="begin"/>
            </w:r>
            <w:r>
              <w:rPr>
                <w:b w:val="0"/>
                <w:noProof/>
                <w:sz w:val="24"/>
                <w:szCs w:val="24"/>
              </w:rPr>
              <w:instrText xml:space="preserve"> PAGEREF _Toc30404213 \h </w:instrText>
            </w:r>
            <w:r>
              <w:rPr>
                <w:b w:val="0"/>
                <w:noProof/>
                <w:sz w:val="24"/>
                <w:szCs w:val="24"/>
              </w:rPr>
            </w:r>
            <w:r>
              <w:rPr>
                <w:b w:val="0"/>
                <w:noProof/>
                <w:sz w:val="24"/>
                <w:szCs w:val="24"/>
              </w:rPr>
              <w:fldChar w:fldCharType="separate"/>
            </w:r>
            <w:r>
              <w:rPr>
                <w:b w:val="0"/>
                <w:noProof/>
                <w:sz w:val="24"/>
                <w:szCs w:val="24"/>
              </w:rPr>
              <w:t>123</w:t>
            </w:r>
            <w:r>
              <w:rPr>
                <w:b w:val="0"/>
                <w:noProof/>
                <w:sz w:val="24"/>
                <w:szCs w:val="24"/>
              </w:rPr>
              <w:fldChar w:fldCharType="end"/>
            </w:r>
          </w:hyperlink>
        </w:p>
        <w:p>
          <w:pPr>
            <w:pStyle w:val="TOC1"/>
            <w:rPr>
              <w:rFonts w:eastAsiaTheme="minorEastAsia"/>
              <w:b w:val="0"/>
              <w:caps w:val="0"/>
              <w:noProof/>
              <w:sz w:val="24"/>
              <w:szCs w:val="24"/>
            </w:rPr>
          </w:pPr>
          <w:hyperlink w:anchor="_Toc30404214" w:history="1">
            <w:r>
              <w:rPr>
                <w:rStyle w:val="Hyperlink"/>
                <w:b w:val="0"/>
                <w:noProof/>
                <w:sz w:val="24"/>
                <w:szCs w:val="24"/>
              </w:rPr>
              <w:t>4.</w:t>
            </w:r>
            <w:r>
              <w:rPr>
                <w:rFonts w:eastAsiaTheme="minorEastAsia"/>
                <w:b w:val="0"/>
                <w:caps w:val="0"/>
                <w:noProof/>
                <w:sz w:val="24"/>
                <w:szCs w:val="24"/>
              </w:rPr>
              <w:tab/>
            </w:r>
            <w:r>
              <w:rPr>
                <w:rStyle w:val="Hyperlink"/>
                <w:rFonts w:eastAsiaTheme="minorHAnsi"/>
                <w:b w:val="0"/>
                <w:noProof/>
                <w:sz w:val="24"/>
                <w:szCs w:val="24"/>
              </w:rPr>
              <w:t xml:space="preserve">Technical </w:t>
            </w:r>
            <w:r>
              <w:rPr>
                <w:rStyle w:val="Hyperlink"/>
                <w:b w:val="0"/>
                <w:noProof/>
                <w:sz w:val="24"/>
                <w:szCs w:val="24"/>
              </w:rPr>
              <w:t>observations</w:t>
            </w:r>
            <w:r>
              <w:rPr>
                <w:b w:val="0"/>
                <w:noProof/>
                <w:sz w:val="24"/>
                <w:szCs w:val="24"/>
              </w:rPr>
              <w:tab/>
            </w:r>
            <w:r>
              <w:rPr>
                <w:b w:val="0"/>
                <w:noProof/>
                <w:sz w:val="24"/>
                <w:szCs w:val="24"/>
              </w:rPr>
              <w:fldChar w:fldCharType="begin"/>
            </w:r>
            <w:r>
              <w:rPr>
                <w:b w:val="0"/>
                <w:noProof/>
                <w:sz w:val="24"/>
                <w:szCs w:val="24"/>
              </w:rPr>
              <w:instrText xml:space="preserve"> PAGEREF _Toc30404214 \h </w:instrText>
            </w:r>
            <w:r>
              <w:rPr>
                <w:b w:val="0"/>
                <w:noProof/>
                <w:sz w:val="24"/>
                <w:szCs w:val="24"/>
              </w:rPr>
            </w:r>
            <w:r>
              <w:rPr>
                <w:b w:val="0"/>
                <w:noProof/>
                <w:sz w:val="24"/>
                <w:szCs w:val="24"/>
              </w:rPr>
              <w:fldChar w:fldCharType="separate"/>
            </w:r>
            <w:r>
              <w:rPr>
                <w:b w:val="0"/>
                <w:noProof/>
                <w:sz w:val="24"/>
                <w:szCs w:val="24"/>
              </w:rPr>
              <w:t>124</w:t>
            </w:r>
            <w:r>
              <w:rPr>
                <w:b w:val="0"/>
                <w:noProof/>
                <w:sz w:val="24"/>
                <w:szCs w:val="24"/>
              </w:rPr>
              <w:fldChar w:fldCharType="end"/>
            </w:r>
          </w:hyperlink>
        </w:p>
        <w:p>
          <w:pPr>
            <w:pStyle w:val="TOC1"/>
            <w:rPr>
              <w:rFonts w:eastAsiaTheme="minorEastAsia"/>
              <w:b w:val="0"/>
              <w:caps w:val="0"/>
              <w:noProof/>
              <w:sz w:val="24"/>
              <w:szCs w:val="24"/>
            </w:rPr>
          </w:pPr>
          <w:hyperlink w:anchor="_Toc30404215" w:history="1">
            <w:r>
              <w:rPr>
                <w:rStyle w:val="Hyperlink"/>
                <w:b w:val="0"/>
                <w:noProof/>
                <w:sz w:val="24"/>
                <w:szCs w:val="24"/>
              </w:rPr>
              <w:t>5.</w:t>
            </w:r>
            <w:r>
              <w:rPr>
                <w:rFonts w:eastAsiaTheme="minorEastAsia"/>
                <w:b w:val="0"/>
                <w:caps w:val="0"/>
                <w:noProof/>
                <w:sz w:val="24"/>
                <w:szCs w:val="24"/>
              </w:rPr>
              <w:tab/>
            </w:r>
            <w:r>
              <w:rPr>
                <w:rStyle w:val="Hyperlink"/>
                <w:b w:val="0"/>
                <w:noProof/>
                <w:sz w:val="24"/>
                <w:szCs w:val="24"/>
              </w:rPr>
              <w:t>Key messages</w:t>
            </w:r>
            <w:r>
              <w:rPr>
                <w:b w:val="0"/>
                <w:noProof/>
                <w:sz w:val="24"/>
                <w:szCs w:val="24"/>
              </w:rPr>
              <w:tab/>
            </w:r>
            <w:r>
              <w:rPr>
                <w:b w:val="0"/>
                <w:noProof/>
                <w:sz w:val="24"/>
                <w:szCs w:val="24"/>
              </w:rPr>
              <w:fldChar w:fldCharType="begin"/>
            </w:r>
            <w:r>
              <w:rPr>
                <w:b w:val="0"/>
                <w:noProof/>
                <w:sz w:val="24"/>
                <w:szCs w:val="24"/>
              </w:rPr>
              <w:instrText xml:space="preserve"> PAGEREF _Toc30404215 \h </w:instrText>
            </w:r>
            <w:r>
              <w:rPr>
                <w:b w:val="0"/>
                <w:noProof/>
                <w:sz w:val="24"/>
                <w:szCs w:val="24"/>
              </w:rPr>
            </w:r>
            <w:r>
              <w:rPr>
                <w:b w:val="0"/>
                <w:noProof/>
                <w:sz w:val="24"/>
                <w:szCs w:val="24"/>
              </w:rPr>
              <w:fldChar w:fldCharType="separate"/>
            </w:r>
            <w:r>
              <w:rPr>
                <w:b w:val="0"/>
                <w:noProof/>
                <w:sz w:val="24"/>
                <w:szCs w:val="24"/>
              </w:rPr>
              <w:t>124</w:t>
            </w:r>
            <w:r>
              <w:rPr>
                <w:b w:val="0"/>
                <w:noProof/>
                <w:sz w:val="24"/>
                <w:szCs w:val="24"/>
              </w:rPr>
              <w:fldChar w:fldCharType="end"/>
            </w:r>
          </w:hyperlink>
        </w:p>
        <w:p>
          <w:pPr>
            <w:pStyle w:val="TOC1"/>
            <w:rPr>
              <w:noProof/>
              <w:sz w:val="24"/>
              <w:szCs w:val="24"/>
            </w:rPr>
          </w:pPr>
        </w:p>
        <w:p>
          <w:pPr>
            <w:pStyle w:val="TOC1"/>
            <w:rPr>
              <w:rFonts w:eastAsiaTheme="minorEastAsia"/>
              <w:b w:val="0"/>
              <w:caps w:val="0"/>
              <w:noProof/>
              <w:sz w:val="24"/>
              <w:szCs w:val="24"/>
            </w:rPr>
          </w:pPr>
          <w:hyperlink w:anchor="_Toc30404216" w:history="1">
            <w:r>
              <w:rPr>
                <w:rStyle w:val="Hyperlink"/>
                <w:b w:val="0"/>
                <w:noProof/>
                <w:sz w:val="24"/>
                <w:szCs w:val="24"/>
              </w:rPr>
              <w:t>References</w:t>
            </w:r>
            <w:r>
              <w:rPr>
                <w:b w:val="0"/>
                <w:noProof/>
                <w:sz w:val="24"/>
                <w:szCs w:val="24"/>
              </w:rPr>
              <w:tab/>
            </w:r>
            <w:r>
              <w:rPr>
                <w:b w:val="0"/>
                <w:noProof/>
                <w:sz w:val="24"/>
                <w:szCs w:val="24"/>
              </w:rPr>
              <w:fldChar w:fldCharType="begin"/>
            </w:r>
            <w:r>
              <w:rPr>
                <w:b w:val="0"/>
                <w:noProof/>
                <w:sz w:val="24"/>
                <w:szCs w:val="24"/>
              </w:rPr>
              <w:instrText xml:space="preserve"> PAGEREF _Toc30404216 \h </w:instrText>
            </w:r>
            <w:r>
              <w:rPr>
                <w:b w:val="0"/>
                <w:noProof/>
                <w:sz w:val="24"/>
                <w:szCs w:val="24"/>
              </w:rPr>
            </w:r>
            <w:r>
              <w:rPr>
                <w:b w:val="0"/>
                <w:noProof/>
                <w:sz w:val="24"/>
                <w:szCs w:val="24"/>
              </w:rPr>
              <w:fldChar w:fldCharType="separate"/>
            </w:r>
            <w:r>
              <w:rPr>
                <w:b w:val="0"/>
                <w:noProof/>
                <w:sz w:val="24"/>
                <w:szCs w:val="24"/>
              </w:rPr>
              <w:t>126</w:t>
            </w:r>
            <w:r>
              <w:rPr>
                <w:b w:val="0"/>
                <w:noProof/>
                <w:sz w:val="24"/>
                <w:szCs w:val="24"/>
              </w:rPr>
              <w:fldChar w:fldCharType="end"/>
            </w:r>
          </w:hyperlink>
        </w:p>
        <w:p>
          <w:pPr>
            <w:rPr>
              <w:noProof/>
              <w:szCs w:val="24"/>
            </w:rPr>
          </w:pPr>
          <w:r>
            <w:rPr>
              <w:noProof/>
              <w:szCs w:val="24"/>
            </w:rPr>
            <w:fldChar w:fldCharType="end"/>
          </w:r>
        </w:p>
      </w:sdtContent>
    </w:sdt>
    <w:p>
      <w:pPr>
        <w:pStyle w:val="Heading1"/>
        <w:numPr>
          <w:ilvl w:val="0"/>
          <w:numId w:val="0"/>
        </w:numPr>
        <w:ind w:left="482" w:hanging="482"/>
        <w:rPr>
          <w:noProof/>
        </w:rPr>
      </w:pPr>
      <w:bookmarkStart w:id="2" w:name="_Toc30404103"/>
      <w:r>
        <w:rPr>
          <w:noProof/>
        </w:rPr>
        <w:br w:type="page"/>
        <w:t>Introduction</w:t>
      </w:r>
      <w:bookmarkEnd w:id="2"/>
    </w:p>
    <w:p>
      <w:pPr>
        <w:rPr>
          <w:noProof/>
        </w:rPr>
      </w:pPr>
      <w:r>
        <w:rPr>
          <w:noProof/>
        </w:rPr>
        <w:t>The first cycle of implementation of the Marine Strategy Framework Directive</w:t>
      </w:r>
      <w:r>
        <w:rPr>
          <w:rStyle w:val="FootnoteReference"/>
          <w:noProof/>
        </w:rPr>
        <w:footnoteReference w:id="1"/>
      </w:r>
      <w:r>
        <w:rPr>
          <w:noProof/>
        </w:rPr>
        <w:t xml:space="preserve"> (MSFD) – with its holistic and integrative approach, large implementation area and knowledge requirements – demonstrated to be challenging. The first ‘marine strategies’ developed by Member States are just finalised and the evidence base to evaluate their effectiveness is still scarce. </w:t>
      </w:r>
    </w:p>
    <w:p>
      <w:pPr>
        <w:rPr>
          <w:noProof/>
        </w:rPr>
      </w:pPr>
      <w:r>
        <w:rPr>
          <w:noProof/>
        </w:rPr>
        <w:t>The first assessment of EU marine waters was reported by Member States in 2012-13 under Article 8(1). Decision 2010/477/EU provided for methodological standards and criteria for determining good environmental status. From that first reporting, it was not possible to build a coherent marine knowledge base across Europe due to, among other reasons, inconsistency on indicators reported per criterion, high heterogeneity of methodological approaches, inconsistencies and gaps in the reported information, and lack of data or adequate time-series to assess all MSFD criteria. The number of unknown or not assessed areas largely outnumbered the assessed ones (Figures 1 and 2). To improve that situation, the Commission adopted in 2017 the new Decision 2017/848/EU, repealing the abovementioned 2010 Decision, setting out a detailed framework of criteria and methodological standards as well as methodologies for monitoring and assessment. Member States are required to work at regional or EU wide level to set threshold values to determine the extent to which good environmental status is achieved across the various descriptors</w:t>
      </w:r>
      <w:r>
        <w:rPr>
          <w:rStyle w:val="FootnoteReference"/>
          <w:noProof/>
        </w:rPr>
        <w:footnoteReference w:id="2"/>
      </w:r>
      <w:r>
        <w:rPr>
          <w:noProof/>
        </w:rPr>
        <w:t xml:space="preserve"> of the Directive. </w:t>
      </w:r>
    </w:p>
    <w:p>
      <w:pPr>
        <w:spacing w:after="0"/>
        <w:jc w:val="center"/>
        <w:rPr>
          <w:noProof/>
          <w:color w:val="FF0000"/>
        </w:rPr>
      </w:pPr>
      <w:r>
        <w:rPr>
          <w:noProof/>
          <w:color w:val="FF0000"/>
        </w:rPr>
        <w:drawing>
          <wp:inline distT="0" distB="0" distL="0" distR="0">
            <wp:extent cx="5137842" cy="4675806"/>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jpg"/>
                    <pic:cNvPicPr/>
                  </pic:nvPicPr>
                  <pic:blipFill>
                    <a:blip r:embed="rId19">
                      <a:extLst>
                        <a:ext uri="{28A0092B-C50C-407E-A947-70E740481C1C}">
                          <a14:useLocalDpi xmlns:a14="http://schemas.microsoft.com/office/drawing/2010/main" val="0"/>
                        </a:ext>
                      </a:extLst>
                    </a:blip>
                    <a:stretch>
                      <a:fillRect/>
                    </a:stretch>
                  </pic:blipFill>
                  <pic:spPr>
                    <a:xfrm>
                      <a:off x="0" y="0"/>
                      <a:ext cx="5151792" cy="4688502"/>
                    </a:xfrm>
                    <a:prstGeom prst="rect">
                      <a:avLst/>
                    </a:prstGeom>
                  </pic:spPr>
                </pic:pic>
              </a:graphicData>
            </a:graphic>
          </wp:inline>
        </w:drawing>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Pr>
          <w:noProof/>
        </w:rPr>
        <w:t>: Status assessment of natural features reported by EU Member States under MSFD Article 8(1) in 2012-13 (</w:t>
      </w:r>
      <w:hyperlink r:id="rId20" w:history="1">
        <w:r>
          <w:rPr>
            <w:rStyle w:val="Hyperlink"/>
            <w:noProof/>
          </w:rPr>
          <w:t>https://www.eea.europa.eu/data-and-maps/figures/status-assessment-of-natural-features-1</w:t>
        </w:r>
      </w:hyperlink>
      <w:r>
        <w:rPr>
          <w:noProof/>
        </w:rPr>
        <w:t>). Green=good, red=not good, beige=other, grey=unknown. The figures in parenthesis are the number of reported features by EU Member States. Disclaimers: the associated confidence rating of the information is rarely high; the numbers are not comparable across regions; there are no marine reptiles in the Baltic and the Black Seas.</w:t>
      </w:r>
    </w:p>
    <w:p>
      <w:pPr>
        <w:spacing w:after="0"/>
        <w:rPr>
          <w:noProof/>
        </w:rPr>
      </w:pPr>
      <w:r>
        <w:rPr>
          <w:noProof/>
        </w:rPr>
        <w:drawing>
          <wp:inline distT="0" distB="0" distL="0" distR="0">
            <wp:extent cx="5472430" cy="241173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2.png"/>
                    <pic:cNvPicPr/>
                  </pic:nvPicPr>
                  <pic:blipFill>
                    <a:blip r:embed="rId21">
                      <a:extLst>
                        <a:ext uri="{28A0092B-C50C-407E-A947-70E740481C1C}">
                          <a14:useLocalDpi xmlns:a14="http://schemas.microsoft.com/office/drawing/2010/main" val="0"/>
                        </a:ext>
                      </a:extLst>
                    </a:blip>
                    <a:stretch>
                      <a:fillRect/>
                    </a:stretch>
                  </pic:blipFill>
                  <pic:spPr>
                    <a:xfrm>
                      <a:off x="0" y="0"/>
                      <a:ext cx="5472430" cy="2411730"/>
                    </a:xfrm>
                    <a:prstGeom prst="rect">
                      <a:avLst/>
                    </a:prstGeom>
                  </pic:spPr>
                </pic:pic>
              </a:graphicData>
            </a:graphic>
          </wp:inline>
        </w:drawing>
      </w:r>
    </w:p>
    <w:p>
      <w:pPr>
        <w:pStyle w:val="Caption"/>
        <w:rPr>
          <w:b/>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rPr>
          <w:noProof/>
        </w:rPr>
        <w:t>: Status assessment of pressures reported by EU Member States under</w:t>
      </w:r>
      <w:r>
        <w:rPr>
          <w:b/>
          <w:noProof/>
        </w:rPr>
        <w:t xml:space="preserve"> </w:t>
      </w:r>
      <w:r>
        <w:rPr>
          <w:noProof/>
        </w:rPr>
        <w:t>MSFD Article 8(1) in 2012-13 (</w:t>
      </w:r>
      <w:hyperlink r:id="rId22" w:anchor="tab-chart_1" w:history="1">
        <w:r>
          <w:rPr>
            <w:rStyle w:val="Hyperlink"/>
            <w:noProof/>
            <w:color w:val="auto"/>
          </w:rPr>
          <w:t>https://www.eea.europa.eu/data-and-maps/daviz/percentage-of-area-with-different#tab-chart_1</w:t>
        </w:r>
      </w:hyperlink>
      <w:r>
        <w:rPr>
          <w:noProof/>
        </w:rPr>
        <w:t xml:space="preserve">). </w:t>
      </w:r>
      <w:r>
        <w:rPr>
          <w:rStyle w:val="Strong"/>
          <w:b w:val="0"/>
          <w:noProof/>
        </w:rPr>
        <w:t>The figure shows the percentage of area with different assessment status with respect to the size of the MSFD marine regions.</w:t>
      </w:r>
      <w:r>
        <w:rPr>
          <w:noProof/>
        </w:rPr>
        <w:t xml:space="preserve"> </w:t>
      </w:r>
      <w:r>
        <w:rPr>
          <w:rStyle w:val="Strong"/>
          <w:b w:val="0"/>
          <w:noProof/>
        </w:rPr>
        <w:t>The “not reported” class (in orange) may be overestimated since not all pressures are relevant for all regions and Member States.</w:t>
      </w:r>
    </w:p>
    <w:p>
      <w:pPr>
        <w:rPr>
          <w:noProof/>
        </w:rPr>
      </w:pPr>
      <w:r>
        <w:rPr>
          <w:noProof/>
        </w:rPr>
        <w:t>By October 2018, Member States had to update their initial assessments (as well as their determinations of good environmental status and their targets), as required by Article 17 of the MSFD. By October 2019, one year after the deadline, only 14 Member States had reported in paper format, of which only 10 had reported through the agreed electronic sheets. The aggregated information coming from those 10 electronic reports is shown at the beginning of each chapter of this Staff Working Document</w:t>
      </w:r>
      <w:r>
        <w:rPr>
          <w:rStyle w:val="FootnoteReference"/>
          <w:noProof/>
        </w:rPr>
        <w:footnoteReference w:id="3"/>
      </w:r>
      <w:r>
        <w:rPr>
          <w:noProof/>
        </w:rPr>
        <w:t xml:space="preserve">. </w:t>
      </w:r>
      <w:r>
        <w:rPr>
          <w:noProof/>
        </w:rPr>
        <w:fldChar w:fldCharType="begin"/>
      </w:r>
      <w:r>
        <w:rPr>
          <w:noProof/>
        </w:rPr>
        <w:instrText xml:space="preserve"> REF _Ref29367735 \h </w:instrText>
      </w:r>
      <w:r>
        <w:rPr>
          <w:noProof/>
        </w:rPr>
      </w:r>
      <w:r>
        <w:rPr>
          <w:noProof/>
        </w:rPr>
        <w:fldChar w:fldCharType="separate"/>
      </w:r>
      <w:r>
        <w:rPr>
          <w:noProof/>
        </w:rPr>
        <w:t>Table 1</w:t>
      </w:r>
      <w:r>
        <w:rPr>
          <w:noProof/>
        </w:rPr>
        <w:fldChar w:fldCharType="end"/>
      </w:r>
      <w:r>
        <w:rPr>
          <w:noProof/>
        </w:rPr>
        <w:t xml:space="preserve"> shows the legend code used to illustrate the status assessments. For more updated information, see the online dashboards on the WISE-Marine website</w:t>
      </w:r>
      <w:r>
        <w:rPr>
          <w:rStyle w:val="FootnoteReference"/>
          <w:noProof/>
        </w:rPr>
        <w:footnoteReference w:id="4"/>
      </w:r>
      <w:r>
        <w:rPr>
          <w:noProof/>
        </w:rPr>
        <w:t>.</w:t>
      </w:r>
    </w:p>
    <w:tbl>
      <w:tblPr>
        <w:tblStyle w:val="TableGrid"/>
        <w:tblW w:w="0" w:type="auto"/>
        <w:tblInd w:w="108" w:type="dxa"/>
        <w:tblLook w:val="04A0" w:firstRow="1" w:lastRow="0" w:firstColumn="1" w:lastColumn="0" w:noHBand="0" w:noVBand="1"/>
      </w:tblPr>
      <w:tblGrid>
        <w:gridCol w:w="466"/>
        <w:gridCol w:w="4161"/>
        <w:gridCol w:w="4098"/>
      </w:tblGrid>
      <w:tr>
        <w:trPr>
          <w:trHeight w:val="265"/>
        </w:trPr>
        <w:tc>
          <w:tcPr>
            <w:tcW w:w="347" w:type="dxa"/>
          </w:tcPr>
          <w:p>
            <w:pPr>
              <w:spacing w:before="20" w:after="20"/>
              <w:rPr>
                <w:rFonts w:ascii="Times New Roman" w:hAnsi="Times New Roman" w:cs="Times New Roman"/>
                <w:i/>
                <w:noProof/>
              </w:rPr>
            </w:pPr>
          </w:p>
        </w:tc>
        <w:tc>
          <w:tcPr>
            <w:tcW w:w="4440" w:type="dxa"/>
          </w:tcPr>
          <w:p>
            <w:pPr>
              <w:spacing w:before="20" w:after="20"/>
              <w:rPr>
                <w:rFonts w:ascii="Times New Roman" w:hAnsi="Times New Roman" w:cs="Times New Roman"/>
                <w:i/>
                <w:noProof/>
              </w:rPr>
            </w:pPr>
            <w:r>
              <w:rPr>
                <w:rFonts w:ascii="Times New Roman" w:hAnsi="Times New Roman" w:cs="Times New Roman"/>
                <w:i/>
                <w:noProof/>
              </w:rPr>
              <w:t xml:space="preserve">Overall level: Good environmental status assessments provided per descriptor and feature </w:t>
            </w:r>
          </w:p>
        </w:tc>
        <w:tc>
          <w:tcPr>
            <w:tcW w:w="4347" w:type="dxa"/>
          </w:tcPr>
          <w:p>
            <w:pPr>
              <w:spacing w:before="20" w:after="20"/>
              <w:rPr>
                <w:rFonts w:ascii="Times New Roman" w:hAnsi="Times New Roman" w:cs="Times New Roman"/>
                <w:i/>
                <w:noProof/>
              </w:rPr>
            </w:pPr>
            <w:r>
              <w:rPr>
                <w:rFonts w:ascii="Times New Roman" w:hAnsi="Times New Roman" w:cs="Times New Roman"/>
                <w:i/>
                <w:noProof/>
              </w:rPr>
              <w:t>Criteria level: Criteria status assessments</w:t>
            </w:r>
          </w:p>
        </w:tc>
      </w:tr>
      <w:tr>
        <w:trPr>
          <w:trHeight w:val="265"/>
        </w:trPr>
        <w:tc>
          <w:tcPr>
            <w:tcW w:w="347" w:type="dxa"/>
          </w:tcPr>
          <w:p>
            <w:pPr>
              <w:spacing w:before="20" w:after="20"/>
              <w:rPr>
                <w:rFonts w:ascii="Times New Roman" w:hAnsi="Times New Roman" w:cs="Times New Roman"/>
                <w:noProof/>
              </w:rPr>
            </w:pPr>
            <w:r>
              <w:rPr>
                <w:rFonts w:ascii="Times New Roman" w:eastAsia="Times New Roman" w:hAnsi="Times New Roman" w:cs="Times New Roman"/>
                <w:noProof/>
                <w:sz w:val="24"/>
                <w:szCs w:val="20"/>
                <w:lang w:eastAsia="en-GB"/>
              </w:rPr>
              <w:object w:dxaOrig="225" w:dyaOrig="225">
                <v:shape id="_x0000_i1026" type="#_x0000_t75" style="width:12.75pt;height:12.75pt" o:ole="">
                  <v:imagedata r:id="rId23" o:title=""/>
                </v:shape>
                <o:OLEObject Type="Embed" ProgID="PBrush" ShapeID="_x0000_i1026" DrawAspect="Content" ObjectID="_1653806890" r:id="rId24"/>
              </w:object>
            </w:r>
          </w:p>
        </w:tc>
        <w:tc>
          <w:tcPr>
            <w:tcW w:w="4440" w:type="dxa"/>
          </w:tcPr>
          <w:p>
            <w:pPr>
              <w:spacing w:before="20" w:after="20"/>
              <w:rPr>
                <w:rFonts w:ascii="Times New Roman" w:hAnsi="Times New Roman" w:cs="Times New Roman"/>
                <w:noProof/>
              </w:rPr>
            </w:pPr>
            <w:r>
              <w:rPr>
                <w:rFonts w:ascii="Times New Roman" w:hAnsi="Times New Roman" w:cs="Times New Roman"/>
                <w:noProof/>
              </w:rPr>
              <w:t>GES achieved</w:t>
            </w:r>
          </w:p>
        </w:tc>
        <w:tc>
          <w:tcPr>
            <w:tcW w:w="4347" w:type="dxa"/>
          </w:tcPr>
          <w:p>
            <w:pPr>
              <w:spacing w:before="20" w:after="20"/>
              <w:rPr>
                <w:rFonts w:ascii="Times New Roman" w:hAnsi="Times New Roman" w:cs="Times New Roman"/>
                <w:noProof/>
              </w:rPr>
            </w:pPr>
            <w:r>
              <w:rPr>
                <w:rFonts w:ascii="Times New Roman" w:hAnsi="Times New Roman" w:cs="Times New Roman"/>
                <w:noProof/>
              </w:rPr>
              <w:t>Good</w:t>
            </w:r>
          </w:p>
        </w:tc>
      </w:tr>
      <w:tr>
        <w:trPr>
          <w:trHeight w:val="240"/>
        </w:trPr>
        <w:tc>
          <w:tcPr>
            <w:tcW w:w="347" w:type="dxa"/>
          </w:tcPr>
          <w:p>
            <w:pPr>
              <w:spacing w:before="20" w:after="20"/>
              <w:rPr>
                <w:rFonts w:ascii="Times New Roman" w:hAnsi="Times New Roman" w:cs="Times New Roman"/>
                <w:noProof/>
              </w:rPr>
            </w:pPr>
            <w:r>
              <w:rPr>
                <w:rFonts w:ascii="Times New Roman" w:eastAsia="Times New Roman" w:hAnsi="Times New Roman" w:cs="Times New Roman"/>
                <w:noProof/>
                <w:sz w:val="24"/>
                <w:szCs w:val="20"/>
                <w:lang w:eastAsia="en-GB"/>
              </w:rPr>
              <w:object w:dxaOrig="225" w:dyaOrig="225">
                <v:shape id="_x0000_i1027" type="#_x0000_t75" style="width:12.75pt;height:12.75pt" o:ole="">
                  <v:imagedata r:id="rId25" o:title=""/>
                </v:shape>
                <o:OLEObject Type="Embed" ProgID="PBrush" ShapeID="_x0000_i1027" DrawAspect="Content" ObjectID="_1653806891" r:id="rId26"/>
              </w:object>
            </w:r>
          </w:p>
        </w:tc>
        <w:tc>
          <w:tcPr>
            <w:tcW w:w="4440" w:type="dxa"/>
          </w:tcPr>
          <w:p>
            <w:pPr>
              <w:spacing w:before="20" w:after="20"/>
              <w:rPr>
                <w:rFonts w:ascii="Times New Roman" w:hAnsi="Times New Roman" w:cs="Times New Roman"/>
                <w:noProof/>
              </w:rPr>
            </w:pPr>
            <w:r>
              <w:rPr>
                <w:rFonts w:ascii="Times New Roman" w:hAnsi="Times New Roman" w:cs="Times New Roman"/>
                <w:bCs/>
                <w:noProof/>
                <w:shd w:val="clear" w:color="auto" w:fill="FFFFFF"/>
              </w:rPr>
              <w:t>GES expected to be achieved by 2020</w:t>
            </w:r>
          </w:p>
        </w:tc>
        <w:tc>
          <w:tcPr>
            <w:tcW w:w="4347" w:type="dxa"/>
          </w:tcPr>
          <w:p>
            <w:pPr>
              <w:spacing w:before="20" w:after="20"/>
              <w:rPr>
                <w:rFonts w:ascii="Times New Roman" w:hAnsi="Times New Roman" w:cs="Times New Roman"/>
                <w:bCs/>
                <w:noProof/>
                <w:shd w:val="clear" w:color="auto" w:fill="FFFFFF"/>
              </w:rPr>
            </w:pPr>
            <w:r>
              <w:rPr>
                <w:rFonts w:ascii="Times New Roman" w:hAnsi="Times New Roman" w:cs="Times New Roman"/>
                <w:noProof/>
              </w:rPr>
              <w:t>Good, based on low risk</w:t>
            </w:r>
          </w:p>
        </w:tc>
      </w:tr>
      <w:tr>
        <w:trPr>
          <w:trHeight w:val="234"/>
        </w:trPr>
        <w:tc>
          <w:tcPr>
            <w:tcW w:w="347" w:type="dxa"/>
          </w:tcPr>
          <w:p>
            <w:pPr>
              <w:spacing w:before="20" w:after="20"/>
              <w:rPr>
                <w:rFonts w:ascii="Times New Roman" w:hAnsi="Times New Roman" w:cs="Times New Roman"/>
                <w:noProof/>
              </w:rPr>
            </w:pPr>
            <w:r>
              <w:rPr>
                <w:rFonts w:ascii="Times New Roman" w:eastAsia="Times New Roman" w:hAnsi="Times New Roman" w:cs="Times New Roman"/>
                <w:noProof/>
                <w:sz w:val="24"/>
                <w:szCs w:val="20"/>
                <w:lang w:eastAsia="en-GB"/>
              </w:rPr>
              <w:object w:dxaOrig="225" w:dyaOrig="225">
                <v:shape id="_x0000_i1028" type="#_x0000_t75" style="width:12.75pt;height:12.75pt" o:ole="">
                  <v:imagedata r:id="rId27" o:title=""/>
                </v:shape>
                <o:OLEObject Type="Embed" ProgID="PBrush" ShapeID="_x0000_i1028" DrawAspect="Content" ObjectID="_1653806892" r:id="rId28"/>
              </w:object>
            </w:r>
          </w:p>
        </w:tc>
        <w:tc>
          <w:tcPr>
            <w:tcW w:w="4440" w:type="dxa"/>
          </w:tcPr>
          <w:p>
            <w:pPr>
              <w:spacing w:before="20" w:after="20"/>
              <w:rPr>
                <w:rFonts w:ascii="Times New Roman" w:hAnsi="Times New Roman" w:cs="Times New Roman"/>
                <w:noProof/>
              </w:rPr>
            </w:pPr>
            <w:r>
              <w:rPr>
                <w:rFonts w:ascii="Times New Roman" w:hAnsi="Times New Roman" w:cs="Times New Roman"/>
                <w:bCs/>
                <w:noProof/>
                <w:shd w:val="clear" w:color="auto" w:fill="FFFFFF"/>
              </w:rPr>
              <w:t>GES expected to be achieved later than 2020, Article 14 exception reported</w:t>
            </w:r>
          </w:p>
        </w:tc>
        <w:tc>
          <w:tcPr>
            <w:tcW w:w="4347" w:type="dxa"/>
          </w:tcPr>
          <w:p>
            <w:pPr>
              <w:spacing w:before="20" w:after="20"/>
              <w:rPr>
                <w:rFonts w:ascii="Times New Roman" w:hAnsi="Times New Roman" w:cs="Times New Roman"/>
                <w:bCs/>
                <w:noProof/>
                <w:shd w:val="clear" w:color="auto" w:fill="FFFFFF"/>
              </w:rPr>
            </w:pPr>
            <w:r>
              <w:rPr>
                <w:rFonts w:ascii="Times New Roman" w:hAnsi="Times New Roman" w:cs="Times New Roman"/>
                <w:bCs/>
                <w:noProof/>
                <w:shd w:val="clear" w:color="auto" w:fill="FFFFFF"/>
              </w:rPr>
              <w:t>Not good</w:t>
            </w:r>
          </w:p>
        </w:tc>
      </w:tr>
      <w:tr>
        <w:trPr>
          <w:trHeight w:val="234"/>
        </w:trPr>
        <w:tc>
          <w:tcPr>
            <w:tcW w:w="347" w:type="dxa"/>
          </w:tcPr>
          <w:p>
            <w:pPr>
              <w:spacing w:before="20" w:after="20"/>
              <w:rPr>
                <w:rFonts w:ascii="Times New Roman" w:hAnsi="Times New Roman" w:cs="Times New Roman"/>
                <w:noProof/>
              </w:rPr>
            </w:pPr>
            <w:r>
              <w:rPr>
                <w:rFonts w:ascii="Times New Roman" w:eastAsia="Times New Roman" w:hAnsi="Times New Roman" w:cs="Times New Roman"/>
                <w:noProof/>
                <w:sz w:val="24"/>
                <w:szCs w:val="20"/>
                <w:lang w:eastAsia="en-GB"/>
              </w:rPr>
              <w:object w:dxaOrig="225" w:dyaOrig="225">
                <v:shape id="_x0000_i1029" type="#_x0000_t75" style="width:12.75pt;height:12.75pt" o:ole="">
                  <v:imagedata r:id="rId29" o:title=""/>
                </v:shape>
                <o:OLEObject Type="Embed" ProgID="PBrush" ShapeID="_x0000_i1029" DrawAspect="Content" ObjectID="_1653806893" r:id="rId30"/>
              </w:object>
            </w:r>
          </w:p>
        </w:tc>
        <w:tc>
          <w:tcPr>
            <w:tcW w:w="4440" w:type="dxa"/>
          </w:tcPr>
          <w:p>
            <w:pPr>
              <w:spacing w:before="20" w:after="20"/>
              <w:rPr>
                <w:rFonts w:ascii="Times New Roman" w:hAnsi="Times New Roman" w:cs="Times New Roman"/>
                <w:noProof/>
              </w:rPr>
            </w:pPr>
            <w:r>
              <w:rPr>
                <w:rFonts w:ascii="Times New Roman" w:hAnsi="Times New Roman" w:cs="Times New Roman"/>
                <w:bCs/>
                <w:noProof/>
                <w:shd w:val="clear" w:color="auto" w:fill="FFFFFF"/>
              </w:rPr>
              <w:t>GES expected to be achieved later than 2020, no Article 14 exception reported</w:t>
            </w:r>
          </w:p>
        </w:tc>
        <w:tc>
          <w:tcPr>
            <w:tcW w:w="4347" w:type="dxa"/>
          </w:tcPr>
          <w:p>
            <w:pPr>
              <w:spacing w:before="20" w:after="20"/>
              <w:rPr>
                <w:rFonts w:ascii="Times New Roman" w:hAnsi="Times New Roman" w:cs="Times New Roman"/>
                <w:bCs/>
                <w:noProof/>
                <w:shd w:val="clear" w:color="auto" w:fill="FFFFFF"/>
              </w:rPr>
            </w:pPr>
          </w:p>
        </w:tc>
      </w:tr>
      <w:tr>
        <w:trPr>
          <w:trHeight w:val="240"/>
        </w:trPr>
        <w:tc>
          <w:tcPr>
            <w:tcW w:w="347" w:type="dxa"/>
          </w:tcPr>
          <w:p>
            <w:pPr>
              <w:spacing w:before="20" w:after="20"/>
              <w:rPr>
                <w:rFonts w:ascii="Times New Roman" w:hAnsi="Times New Roman" w:cs="Times New Roman"/>
                <w:noProof/>
              </w:rPr>
            </w:pPr>
            <w:r>
              <w:rPr>
                <w:rFonts w:ascii="Times New Roman" w:eastAsia="Times New Roman" w:hAnsi="Times New Roman" w:cs="Times New Roman"/>
                <w:noProof/>
                <w:sz w:val="24"/>
                <w:szCs w:val="20"/>
                <w:lang w:eastAsia="en-GB"/>
              </w:rPr>
              <w:object w:dxaOrig="225" w:dyaOrig="225">
                <v:shape id="_x0000_i1030" type="#_x0000_t75" style="width:12.75pt;height:12.75pt" o:ole="">
                  <v:imagedata r:id="rId31" o:title=""/>
                </v:shape>
                <o:OLEObject Type="Embed" ProgID="PBrush" ShapeID="_x0000_i1030" DrawAspect="Content" ObjectID="_1653806894" r:id="rId32"/>
              </w:object>
            </w:r>
          </w:p>
        </w:tc>
        <w:tc>
          <w:tcPr>
            <w:tcW w:w="4440" w:type="dxa"/>
          </w:tcPr>
          <w:p>
            <w:pPr>
              <w:spacing w:before="20" w:after="20"/>
              <w:rPr>
                <w:rFonts w:ascii="Times New Roman" w:hAnsi="Times New Roman" w:cs="Times New Roman"/>
                <w:noProof/>
              </w:rPr>
            </w:pPr>
            <w:r>
              <w:rPr>
                <w:rFonts w:ascii="Times New Roman" w:hAnsi="Times New Roman" w:cs="Times New Roman"/>
                <w:noProof/>
              </w:rPr>
              <w:t>Not relevant</w:t>
            </w:r>
          </w:p>
        </w:tc>
        <w:tc>
          <w:tcPr>
            <w:tcW w:w="4347" w:type="dxa"/>
          </w:tcPr>
          <w:p>
            <w:pPr>
              <w:spacing w:before="20" w:after="20"/>
              <w:rPr>
                <w:rFonts w:ascii="Times New Roman" w:hAnsi="Times New Roman" w:cs="Times New Roman"/>
                <w:noProof/>
              </w:rPr>
            </w:pPr>
          </w:p>
        </w:tc>
      </w:tr>
      <w:tr>
        <w:trPr>
          <w:trHeight w:val="234"/>
        </w:trPr>
        <w:tc>
          <w:tcPr>
            <w:tcW w:w="347" w:type="dxa"/>
          </w:tcPr>
          <w:p>
            <w:pPr>
              <w:spacing w:before="20" w:after="20"/>
              <w:rPr>
                <w:rFonts w:ascii="Times New Roman" w:hAnsi="Times New Roman" w:cs="Times New Roman"/>
                <w:noProof/>
              </w:rPr>
            </w:pPr>
            <w:r>
              <w:rPr>
                <w:rFonts w:ascii="Times New Roman" w:eastAsia="Times New Roman" w:hAnsi="Times New Roman" w:cs="Times New Roman"/>
                <w:noProof/>
                <w:sz w:val="24"/>
                <w:szCs w:val="20"/>
                <w:lang w:eastAsia="en-GB"/>
              </w:rPr>
              <w:object w:dxaOrig="225" w:dyaOrig="225">
                <v:shape id="_x0000_i1031" type="#_x0000_t75" style="width:12.75pt;height:12.75pt" o:ole="">
                  <v:imagedata r:id="rId33" o:title=""/>
                </v:shape>
                <o:OLEObject Type="Embed" ProgID="PBrush" ShapeID="_x0000_i1031" DrawAspect="Content" ObjectID="_1653806895" r:id="rId34"/>
              </w:object>
            </w:r>
          </w:p>
        </w:tc>
        <w:tc>
          <w:tcPr>
            <w:tcW w:w="4440" w:type="dxa"/>
          </w:tcPr>
          <w:p>
            <w:pPr>
              <w:spacing w:before="20" w:after="20"/>
              <w:rPr>
                <w:rFonts w:ascii="Times New Roman" w:hAnsi="Times New Roman" w:cs="Times New Roman"/>
                <w:noProof/>
              </w:rPr>
            </w:pPr>
            <w:r>
              <w:rPr>
                <w:rFonts w:ascii="Times New Roman" w:hAnsi="Times New Roman" w:cs="Times New Roman"/>
                <w:noProof/>
              </w:rPr>
              <w:t>Not assessed</w:t>
            </w:r>
          </w:p>
        </w:tc>
        <w:tc>
          <w:tcPr>
            <w:tcW w:w="4347" w:type="dxa"/>
          </w:tcPr>
          <w:p>
            <w:pPr>
              <w:spacing w:before="20" w:after="20"/>
              <w:rPr>
                <w:rFonts w:ascii="Times New Roman" w:hAnsi="Times New Roman" w:cs="Times New Roman"/>
                <w:noProof/>
              </w:rPr>
            </w:pPr>
            <w:r>
              <w:rPr>
                <w:rFonts w:ascii="Times New Roman" w:hAnsi="Times New Roman" w:cs="Times New Roman"/>
                <w:noProof/>
              </w:rPr>
              <w:t>Not assessed</w:t>
            </w:r>
          </w:p>
        </w:tc>
      </w:tr>
      <w:tr>
        <w:trPr>
          <w:trHeight w:val="234"/>
        </w:trPr>
        <w:tc>
          <w:tcPr>
            <w:tcW w:w="347" w:type="dxa"/>
          </w:tcPr>
          <w:p>
            <w:pPr>
              <w:spacing w:before="20" w:after="20"/>
              <w:rPr>
                <w:rFonts w:ascii="Times New Roman" w:hAnsi="Times New Roman" w:cs="Times New Roman"/>
                <w:noProof/>
              </w:rPr>
            </w:pPr>
            <w:r>
              <w:rPr>
                <w:rFonts w:ascii="Times New Roman" w:eastAsia="Times New Roman" w:hAnsi="Times New Roman" w:cs="Times New Roman"/>
                <w:noProof/>
                <w:sz w:val="24"/>
                <w:szCs w:val="20"/>
                <w:lang w:eastAsia="en-GB"/>
              </w:rPr>
              <w:object w:dxaOrig="225" w:dyaOrig="225">
                <v:shape id="_x0000_i1032" type="#_x0000_t75" style="width:12.75pt;height:12.75pt" o:ole="">
                  <v:imagedata r:id="rId35" o:title=""/>
                </v:shape>
                <o:OLEObject Type="Embed" ProgID="PBrush" ShapeID="_x0000_i1032" DrawAspect="Content" ObjectID="_1653806896" r:id="rId36"/>
              </w:object>
            </w:r>
          </w:p>
        </w:tc>
        <w:tc>
          <w:tcPr>
            <w:tcW w:w="4440" w:type="dxa"/>
          </w:tcPr>
          <w:p>
            <w:pPr>
              <w:spacing w:before="20" w:after="20"/>
              <w:rPr>
                <w:rFonts w:ascii="Times New Roman" w:hAnsi="Times New Roman" w:cs="Times New Roman"/>
                <w:noProof/>
              </w:rPr>
            </w:pPr>
            <w:r>
              <w:rPr>
                <w:rFonts w:ascii="Times New Roman" w:hAnsi="Times New Roman" w:cs="Times New Roman"/>
                <w:noProof/>
              </w:rPr>
              <w:t>Unknown</w:t>
            </w:r>
          </w:p>
        </w:tc>
        <w:tc>
          <w:tcPr>
            <w:tcW w:w="4347" w:type="dxa"/>
          </w:tcPr>
          <w:p>
            <w:pPr>
              <w:spacing w:before="20" w:after="20"/>
              <w:rPr>
                <w:rFonts w:ascii="Times New Roman" w:hAnsi="Times New Roman" w:cs="Times New Roman"/>
                <w:noProof/>
              </w:rPr>
            </w:pPr>
            <w:r>
              <w:rPr>
                <w:rFonts w:ascii="Times New Roman" w:hAnsi="Times New Roman" w:cs="Times New Roman"/>
                <w:noProof/>
              </w:rPr>
              <w:t>Unknown</w:t>
            </w:r>
          </w:p>
        </w:tc>
      </w:tr>
      <w:tr>
        <w:trPr>
          <w:trHeight w:val="234"/>
        </w:trPr>
        <w:tc>
          <w:tcPr>
            <w:tcW w:w="347" w:type="dxa"/>
          </w:tcPr>
          <w:p>
            <w:pPr>
              <w:spacing w:before="20" w:after="20"/>
              <w:rPr>
                <w:rFonts w:ascii="Times New Roman" w:hAnsi="Times New Roman" w:cs="Times New Roman"/>
                <w:noProof/>
              </w:rPr>
            </w:pPr>
            <w:r>
              <w:rPr>
                <w:rFonts w:ascii="Times New Roman" w:eastAsia="Times New Roman" w:hAnsi="Times New Roman" w:cs="Times New Roman"/>
                <w:noProof/>
                <w:sz w:val="24"/>
                <w:szCs w:val="20"/>
                <w:lang w:eastAsia="en-GB"/>
              </w:rPr>
              <w:object w:dxaOrig="225" w:dyaOrig="240">
                <v:shape id="_x0000_i1033" type="#_x0000_t75" style="width:12.75pt;height:13.5pt" o:ole="">
                  <v:imagedata r:id="rId37" o:title=""/>
                </v:shape>
                <o:OLEObject Type="Embed" ProgID="PBrush" ShapeID="_x0000_i1033" DrawAspect="Content" ObjectID="_1653806897" r:id="rId38"/>
              </w:object>
            </w:r>
          </w:p>
        </w:tc>
        <w:tc>
          <w:tcPr>
            <w:tcW w:w="4440" w:type="dxa"/>
          </w:tcPr>
          <w:p>
            <w:pPr>
              <w:spacing w:before="20" w:after="20"/>
              <w:rPr>
                <w:rFonts w:ascii="Times New Roman" w:hAnsi="Times New Roman" w:cs="Times New Roman"/>
                <w:noProof/>
              </w:rPr>
            </w:pPr>
          </w:p>
        </w:tc>
        <w:tc>
          <w:tcPr>
            <w:tcW w:w="4347" w:type="dxa"/>
          </w:tcPr>
          <w:p>
            <w:pPr>
              <w:spacing w:before="20" w:after="20"/>
              <w:rPr>
                <w:rFonts w:ascii="Times New Roman" w:hAnsi="Times New Roman" w:cs="Times New Roman"/>
                <w:noProof/>
              </w:rPr>
            </w:pPr>
            <w:r>
              <w:rPr>
                <w:rFonts w:ascii="Times New Roman" w:hAnsi="Times New Roman" w:cs="Times New Roman"/>
                <w:noProof/>
              </w:rPr>
              <w:t>Contributes to assessment of another criterion/element</w:t>
            </w:r>
          </w:p>
        </w:tc>
      </w:tr>
    </w:tbl>
    <w:p>
      <w:pPr>
        <w:pStyle w:val="Caption"/>
        <w:rPr>
          <w:b/>
          <w:noProof/>
          <w:color w:val="FF0000"/>
        </w:rPr>
      </w:pPr>
      <w:bookmarkStart w:id="3" w:name="_Ref29367735"/>
      <w:r>
        <w:rPr>
          <w:noProof/>
        </w:rP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3"/>
      <w:r>
        <w:rPr>
          <w:noProof/>
        </w:rPr>
        <w:t>: Colour legend of the status assessments reported under the MSFD</w:t>
      </w:r>
      <w:r>
        <w:rPr>
          <w:rStyle w:val="Strong"/>
          <w:b w:val="0"/>
          <w:noProof/>
        </w:rPr>
        <w:t xml:space="preserve">. The available assessments will be illustrated under each descriptor’s section. </w:t>
      </w:r>
    </w:p>
    <w:p>
      <w:pPr>
        <w:rPr>
          <w:noProof/>
        </w:rPr>
      </w:pPr>
      <w:r>
        <w:rPr>
          <w:noProof/>
        </w:rPr>
        <w:t>Given the lack of MSFD-reported information that could give a broad (geographical and temporal) overview of the status of the EU marine environment, this Staff Working Document complements the official data reported by Member States with assessments coming from a variety of non-MSFD sources, such as the most recent quality status reports coming from the Regional Sea Conventions</w:t>
      </w:r>
      <w:r>
        <w:rPr>
          <w:rStyle w:val="FootnoteReference"/>
          <w:noProof/>
        </w:rPr>
        <w:footnoteReference w:id="5"/>
      </w:r>
      <w:r>
        <w:rPr>
          <w:noProof/>
        </w:rPr>
        <w:t xml:space="preserve"> or independent studies. The European Environmental Agency and the European Commission’s Joint Research Centre compiled the available information about the European marine regions and framed it to feed this report. Over time, MSFD-reported information is expected to be readily available and increasingly delivered according to defined methods and standards.</w:t>
      </w:r>
    </w:p>
    <w:p>
      <w:pPr>
        <w:rPr>
          <w:noProof/>
        </w:rPr>
      </w:pPr>
      <w:r>
        <w:rPr>
          <w:noProof/>
        </w:rPr>
        <w:t>This Staff Working Document presents evidences or proxies of the status of EU marine ecosystems and the pressures acting on them through the 11 MSFD descriptors. The criteria are briefly introduced for each descriptor, allowing for a comparison between those used for the 2010 (reviewed and repealed by the following) and 2017 Commission Decision, respectively. This is followed by an overview of the (still incomplete) update of the status of marine waters by Member States, a scientific assessment of the available information (on status and/or pressures), an analysis of trends and impacts (if feasible), technical observations (regarding methodologies or knowledge gaps), and key messages (conclusions). Although understanding the consequences of cumulative impacts is intrinsic to the MSFD, the lack of systematic information prevents this review to tackle this important issue yet.</w:t>
      </w:r>
    </w:p>
    <w:p>
      <w:pPr>
        <w:spacing w:after="0"/>
        <w:jc w:val="left"/>
        <w:rPr>
          <w:b/>
          <w:noProof/>
          <w:sz w:val="32"/>
        </w:rPr>
      </w:pPr>
      <w:r>
        <w:rPr>
          <w:noProof/>
        </w:rPr>
        <w:br w:type="page"/>
      </w:r>
    </w:p>
    <w:p>
      <w:pPr>
        <w:pStyle w:val="ChapterTitle"/>
        <w:rPr>
          <w:noProof/>
        </w:rPr>
      </w:pPr>
      <w:bookmarkStart w:id="4" w:name="_Toc30404104"/>
      <w:r>
        <w:rPr>
          <w:noProof/>
        </w:rPr>
        <w:t>Descriptor 1: ‘Biological diversity is maintained. The quality and occurrence of habitats and the distribution and abundance of species are in line with prevailing physiographic, geographic and climatic conditions’</w:t>
      </w:r>
      <w:bookmarkEnd w:id="4"/>
    </w:p>
    <w:p>
      <w:pPr>
        <w:pStyle w:val="Heading1"/>
        <w:rPr>
          <w:noProof/>
        </w:rPr>
      </w:pPr>
      <w:bookmarkStart w:id="5" w:name="_Toc30404105"/>
      <w:r>
        <w:rPr>
          <w:noProof/>
        </w:rPr>
        <w:t>MSFD framework</w:t>
      </w:r>
      <w:bookmarkEnd w:id="5"/>
    </w:p>
    <w:tbl>
      <w:tblPr>
        <w:tblStyle w:val="TableGrid"/>
        <w:tblW w:w="0" w:type="auto"/>
        <w:tblLook w:val="04A0" w:firstRow="1" w:lastRow="0" w:firstColumn="1" w:lastColumn="0" w:noHBand="0" w:noVBand="1"/>
      </w:tblPr>
      <w:tblGrid>
        <w:gridCol w:w="2634"/>
        <w:gridCol w:w="3278"/>
        <w:gridCol w:w="2921"/>
      </w:tblGrid>
      <w:tr>
        <w:tc>
          <w:tcPr>
            <w:tcW w:w="5913" w:type="dxa"/>
            <w:gridSpan w:val="2"/>
            <w:tcBorders>
              <w:bottom w:val="single" w:sz="4" w:space="0" w:color="auto"/>
            </w:tcBorders>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COM DEC 2017/848/EU</w:t>
            </w:r>
          </w:p>
        </w:tc>
        <w:tc>
          <w:tcPr>
            <w:tcW w:w="2921" w:type="dxa"/>
            <w:tcBorders>
              <w:bottom w:val="single" w:sz="4" w:space="0" w:color="auto"/>
            </w:tcBorders>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COM DEC 2010/477/EU</w:t>
            </w:r>
          </w:p>
        </w:tc>
      </w:tr>
      <w:tr>
        <w:tc>
          <w:tcPr>
            <w:tcW w:w="8834" w:type="dxa"/>
            <w:gridSpan w:val="3"/>
            <w:shd w:val="pct10" w:color="auto" w:fill="auto"/>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D1 Biodiversity – species</w:t>
            </w:r>
            <w:r>
              <w:rPr>
                <w:rStyle w:val="FootnoteReference"/>
                <w:rFonts w:ascii="Times New Roman" w:hAnsi="Times New Roman" w:cs="Times New Roman"/>
                <w:noProof/>
                <w:sz w:val="20"/>
                <w:szCs w:val="20"/>
              </w:rPr>
              <w:footnoteReference w:id="6"/>
            </w:r>
          </w:p>
        </w:tc>
      </w:tr>
      <w:tr>
        <w:tc>
          <w:tcPr>
            <w:tcW w:w="2635" w:type="dxa"/>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D1C1 Incidental by-catch rate</w:t>
            </w:r>
          </w:p>
        </w:tc>
        <w:tc>
          <w:tcPr>
            <w:tcW w:w="3278"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The mortality rate per species from incidental by-catch is below levels which threaten the species</w:t>
            </w:r>
          </w:p>
        </w:tc>
        <w:tc>
          <w:tcPr>
            <w:tcW w:w="2921" w:type="dxa"/>
            <w:noWrap/>
          </w:tcPr>
          <w:p>
            <w:pPr>
              <w:spacing w:after="0"/>
              <w:jc w:val="left"/>
              <w:rPr>
                <w:rFonts w:ascii="Times New Roman" w:hAnsi="Times New Roman" w:cs="Times New Roman"/>
                <w:noProof/>
                <w:sz w:val="20"/>
                <w:szCs w:val="20"/>
              </w:rPr>
            </w:pPr>
          </w:p>
        </w:tc>
      </w:tr>
      <w:tr>
        <w:tc>
          <w:tcPr>
            <w:tcW w:w="2635" w:type="dxa"/>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D1C2 Population abundance</w:t>
            </w:r>
          </w:p>
        </w:tc>
        <w:tc>
          <w:tcPr>
            <w:tcW w:w="3278"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The population abundance of the species is not adversely affected due to anthropogenic pressures, such that its long-term viability is ensured</w:t>
            </w:r>
          </w:p>
        </w:tc>
        <w:tc>
          <w:tcPr>
            <w:tcW w:w="2921" w:type="dxa"/>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1.2 Population size</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1.2.1 Population abundance</w:t>
            </w:r>
          </w:p>
        </w:tc>
      </w:tr>
      <w:tr>
        <w:tc>
          <w:tcPr>
            <w:tcW w:w="2635" w:type="dxa"/>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D1C3 Population demographics</w:t>
            </w:r>
          </w:p>
        </w:tc>
        <w:tc>
          <w:tcPr>
            <w:tcW w:w="3278"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The population demographic characteristics of the species are indicative of a natural population which is not adversely affected due to anthropogenic pressures</w:t>
            </w:r>
          </w:p>
        </w:tc>
        <w:tc>
          <w:tcPr>
            <w:tcW w:w="2921" w:type="dxa"/>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1.3 Population condition</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1.3.1 Population demographics</w:t>
            </w:r>
          </w:p>
        </w:tc>
      </w:tr>
      <w:tr>
        <w:tc>
          <w:tcPr>
            <w:tcW w:w="2635" w:type="dxa"/>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D1C4 Population distributional range and pattern</w:t>
            </w:r>
          </w:p>
        </w:tc>
        <w:tc>
          <w:tcPr>
            <w:tcW w:w="3278"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The species distributional range and, where relevant, pattern is in line with prevailing physiographic, geographic and climatic conditions</w:t>
            </w:r>
          </w:p>
        </w:tc>
        <w:tc>
          <w:tcPr>
            <w:tcW w:w="2921" w:type="dxa"/>
            <w:noWrap/>
            <w:hideMark/>
          </w:tcPr>
          <w:p>
            <w:pPr>
              <w:pStyle w:val="ListParagraph"/>
              <w:numPr>
                <w:ilvl w:val="1"/>
                <w:numId w:val="19"/>
              </w:numPr>
              <w:spacing w:before="0" w:after="0"/>
              <w:rPr>
                <w:rFonts w:ascii="Times New Roman" w:hAnsi="Times New Roman" w:cs="Times New Roman"/>
                <w:noProof/>
                <w:sz w:val="20"/>
                <w:szCs w:val="20"/>
              </w:rPr>
            </w:pPr>
            <w:r>
              <w:rPr>
                <w:rFonts w:ascii="Times New Roman" w:hAnsi="Times New Roman" w:cs="Times New Roman"/>
                <w:noProof/>
                <w:sz w:val="20"/>
                <w:szCs w:val="20"/>
              </w:rPr>
              <w:t>Species distribution</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1.1.1 Species range</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1.1.2 Species pattern</w:t>
            </w:r>
          </w:p>
        </w:tc>
      </w:tr>
      <w:tr>
        <w:tc>
          <w:tcPr>
            <w:tcW w:w="2635" w:type="dxa"/>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D1C5 Habitat for species</w:t>
            </w:r>
          </w:p>
        </w:tc>
        <w:tc>
          <w:tcPr>
            <w:tcW w:w="3278"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The habitat for the species has the necessary extent and condition to support the different stages in the life history of the species</w:t>
            </w:r>
          </w:p>
        </w:tc>
        <w:tc>
          <w:tcPr>
            <w:tcW w:w="2921" w:type="dxa"/>
            <w:noWrap/>
            <w:hideMark/>
          </w:tcPr>
          <w:p>
            <w:pPr>
              <w:spacing w:after="0"/>
              <w:jc w:val="left"/>
              <w:rPr>
                <w:rFonts w:ascii="Times New Roman" w:hAnsi="Times New Roman" w:cs="Times New Roman"/>
                <w:noProof/>
                <w:sz w:val="20"/>
                <w:szCs w:val="20"/>
              </w:rPr>
            </w:pPr>
          </w:p>
        </w:tc>
      </w:tr>
      <w:tr>
        <w:tc>
          <w:tcPr>
            <w:tcW w:w="2635" w:type="dxa"/>
            <w:noWrap/>
          </w:tcPr>
          <w:p>
            <w:pPr>
              <w:spacing w:after="0"/>
              <w:jc w:val="left"/>
              <w:rPr>
                <w:rFonts w:ascii="Times New Roman" w:hAnsi="Times New Roman" w:cs="Times New Roman"/>
                <w:noProof/>
                <w:sz w:val="20"/>
                <w:szCs w:val="20"/>
              </w:rPr>
            </w:pPr>
          </w:p>
        </w:tc>
        <w:tc>
          <w:tcPr>
            <w:tcW w:w="3278" w:type="dxa"/>
          </w:tcPr>
          <w:p>
            <w:pPr>
              <w:spacing w:after="0"/>
              <w:jc w:val="left"/>
              <w:rPr>
                <w:rFonts w:ascii="Times New Roman" w:hAnsi="Times New Roman" w:cs="Times New Roman"/>
                <w:noProof/>
                <w:sz w:val="20"/>
                <w:szCs w:val="20"/>
              </w:rPr>
            </w:pPr>
          </w:p>
        </w:tc>
        <w:tc>
          <w:tcPr>
            <w:tcW w:w="2921" w:type="dxa"/>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1.1.3 Area covered by species</w:t>
            </w:r>
          </w:p>
        </w:tc>
      </w:tr>
      <w:tr>
        <w:tc>
          <w:tcPr>
            <w:tcW w:w="2635" w:type="dxa"/>
            <w:tcBorders>
              <w:bottom w:val="single" w:sz="4" w:space="0" w:color="auto"/>
            </w:tcBorders>
            <w:noWrap/>
          </w:tcPr>
          <w:p>
            <w:pPr>
              <w:spacing w:after="0"/>
              <w:jc w:val="left"/>
              <w:rPr>
                <w:rFonts w:ascii="Times New Roman" w:hAnsi="Times New Roman" w:cs="Times New Roman"/>
                <w:noProof/>
                <w:sz w:val="20"/>
                <w:szCs w:val="20"/>
              </w:rPr>
            </w:pPr>
          </w:p>
        </w:tc>
        <w:tc>
          <w:tcPr>
            <w:tcW w:w="3278" w:type="dxa"/>
            <w:tcBorders>
              <w:bottom w:val="single" w:sz="4" w:space="0" w:color="auto"/>
            </w:tcBorders>
          </w:tcPr>
          <w:p>
            <w:pPr>
              <w:spacing w:after="0"/>
              <w:jc w:val="left"/>
              <w:rPr>
                <w:rFonts w:ascii="Times New Roman" w:hAnsi="Times New Roman" w:cs="Times New Roman"/>
                <w:noProof/>
                <w:sz w:val="20"/>
                <w:szCs w:val="20"/>
              </w:rPr>
            </w:pPr>
          </w:p>
        </w:tc>
        <w:tc>
          <w:tcPr>
            <w:tcW w:w="2921" w:type="dxa"/>
            <w:tcBorders>
              <w:bottom w:val="single" w:sz="4" w:space="0" w:color="auto"/>
            </w:tcBorders>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1.3.2 Population genetic structure</w:t>
            </w:r>
          </w:p>
        </w:tc>
      </w:tr>
      <w:tr>
        <w:tc>
          <w:tcPr>
            <w:tcW w:w="8834" w:type="dxa"/>
            <w:gridSpan w:val="3"/>
            <w:shd w:val="pct10" w:color="auto" w:fill="auto"/>
            <w:noWrap/>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D1 Biodiversity – pelagic habitats</w:t>
            </w:r>
          </w:p>
        </w:tc>
      </w:tr>
      <w:tr>
        <w:tc>
          <w:tcPr>
            <w:tcW w:w="2635" w:type="dxa"/>
            <w:noWrap/>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 xml:space="preserve">D1C6 Pelagic habitat condition </w:t>
            </w:r>
          </w:p>
        </w:tc>
        <w:tc>
          <w:tcPr>
            <w:tcW w:w="3278"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The condition of the habitat type, including its biotic and abiotic structure and its functions is not adversely affected due to anthropogenic pressures</w:t>
            </w:r>
          </w:p>
        </w:tc>
        <w:tc>
          <w:tcPr>
            <w:tcW w:w="2921" w:type="dxa"/>
            <w:noWrap/>
          </w:tcPr>
          <w:p>
            <w:pPr>
              <w:spacing w:after="0"/>
              <w:jc w:val="left"/>
              <w:rPr>
                <w:rFonts w:ascii="Times New Roman" w:hAnsi="Times New Roman" w:cs="Times New Roman"/>
                <w:noProof/>
                <w:sz w:val="20"/>
                <w:szCs w:val="20"/>
                <w:lang w:val="fr-BE"/>
              </w:rPr>
            </w:pPr>
            <w:r>
              <w:rPr>
                <w:rFonts w:ascii="Times New Roman" w:hAnsi="Times New Roman" w:cs="Times New Roman"/>
                <w:noProof/>
                <w:sz w:val="20"/>
                <w:szCs w:val="20"/>
                <w:lang w:val="fr-BE"/>
              </w:rPr>
              <w:t>1.6 Habitat condition</w:t>
            </w:r>
          </w:p>
          <w:p>
            <w:pPr>
              <w:spacing w:after="0"/>
              <w:jc w:val="left"/>
              <w:rPr>
                <w:rFonts w:ascii="Times New Roman" w:hAnsi="Times New Roman" w:cs="Times New Roman"/>
                <w:noProof/>
                <w:sz w:val="20"/>
                <w:szCs w:val="20"/>
                <w:lang w:val="fr-BE"/>
              </w:rPr>
            </w:pPr>
            <w:r>
              <w:rPr>
                <w:rFonts w:ascii="Times New Roman" w:hAnsi="Times New Roman" w:cs="Times New Roman"/>
                <w:noProof/>
                <w:sz w:val="20"/>
                <w:szCs w:val="20"/>
                <w:lang w:val="fr-BE"/>
              </w:rPr>
              <w:t>1.6.1 Condition typical species</w:t>
            </w:r>
          </w:p>
          <w:p>
            <w:pPr>
              <w:spacing w:after="0"/>
              <w:jc w:val="left"/>
              <w:rPr>
                <w:rFonts w:ascii="Times New Roman" w:hAnsi="Times New Roman" w:cs="Times New Roman"/>
                <w:noProof/>
                <w:sz w:val="20"/>
                <w:szCs w:val="20"/>
                <w:lang w:val="fr-BE"/>
              </w:rPr>
            </w:pPr>
            <w:r>
              <w:rPr>
                <w:rFonts w:ascii="Times New Roman" w:hAnsi="Times New Roman" w:cs="Times New Roman"/>
                <w:noProof/>
                <w:sz w:val="20"/>
                <w:szCs w:val="20"/>
                <w:lang w:val="fr-BE"/>
              </w:rPr>
              <w:t>1.6.2 Relative abundance</w:t>
            </w:r>
          </w:p>
          <w:p>
            <w:pPr>
              <w:spacing w:after="0"/>
              <w:jc w:val="left"/>
              <w:rPr>
                <w:rFonts w:ascii="Times New Roman" w:hAnsi="Times New Roman" w:cs="Times New Roman"/>
                <w:noProof/>
                <w:sz w:val="20"/>
                <w:szCs w:val="20"/>
                <w:lang w:val="fr-BE"/>
              </w:rPr>
            </w:pPr>
            <w:r>
              <w:rPr>
                <w:rFonts w:ascii="Times New Roman" w:hAnsi="Times New Roman" w:cs="Times New Roman"/>
                <w:noProof/>
                <w:sz w:val="20"/>
                <w:szCs w:val="20"/>
                <w:lang w:val="fr-BE"/>
              </w:rPr>
              <w:t>1.6.3 Habitat condition</w:t>
            </w:r>
          </w:p>
        </w:tc>
      </w:tr>
    </w:tbl>
    <w:p>
      <w:pPr>
        <w:spacing w:after="0"/>
        <w:rPr>
          <w:b/>
          <w:noProof/>
          <w:lang w:val="fr-BE"/>
        </w:rPr>
      </w:pPr>
    </w:p>
    <w:p>
      <w:pPr>
        <w:pStyle w:val="Heading1"/>
        <w:rPr>
          <w:noProof/>
        </w:rPr>
      </w:pPr>
      <w:bookmarkStart w:id="6" w:name="_Toc30404106"/>
      <w:r>
        <w:rPr>
          <w:noProof/>
        </w:rPr>
        <w:t>Observed status of EU marine biodiversity</w:t>
      </w:r>
      <w:bookmarkEnd w:id="6"/>
    </w:p>
    <w:p>
      <w:pPr>
        <w:pStyle w:val="Heading2"/>
        <w:rPr>
          <w:noProof/>
        </w:rPr>
      </w:pPr>
      <w:bookmarkStart w:id="7" w:name="_Toc30404107"/>
      <w:bookmarkStart w:id="8" w:name="_Ref979190"/>
      <w:r>
        <w:rPr>
          <w:noProof/>
        </w:rPr>
        <w:t>Ongoing reporting under the MSFD</w:t>
      </w:r>
      <w:bookmarkEnd w:id="7"/>
    </w:p>
    <w:p>
      <w:pPr>
        <w:spacing w:after="0"/>
        <w:jc w:val="left"/>
        <w:rPr>
          <w:rStyle w:val="Emphasis"/>
          <w:noProof/>
          <w:u w:val="single"/>
        </w:rPr>
      </w:pPr>
      <w:r>
        <w:rPr>
          <w:rStyle w:val="Emphasis"/>
          <w:noProof/>
          <w:u w:val="single"/>
        </w:rPr>
        <w:br w:type="page"/>
      </w:r>
    </w:p>
    <w:p>
      <w:pPr>
        <w:rPr>
          <w:rStyle w:val="Emphasis"/>
          <w:noProof/>
          <w:u w:val="single"/>
        </w:rPr>
      </w:pPr>
      <w:r>
        <w:rPr>
          <w:rStyle w:val="Emphasis"/>
          <w:noProof/>
          <w:u w:val="single"/>
        </w:rPr>
        <w:t>Mammals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7"/>
        <w:gridCol w:w="4776"/>
      </w:tblGrid>
      <w:tr>
        <w:trPr>
          <w:cantSplit/>
          <w:trHeight w:val="1134"/>
        </w:trPr>
        <w:tc>
          <w:tcPr>
            <w:tcW w:w="4058" w:type="dxa"/>
            <w:vAlign w:val="center"/>
          </w:tcPr>
          <w:p>
            <w:pPr>
              <w:spacing w:after="0"/>
              <w:jc w:val="center"/>
              <w:rPr>
                <w:noProof/>
              </w:rPr>
            </w:pPr>
            <w:r>
              <w:rPr>
                <w:noProof/>
              </w:rPr>
              <w:drawing>
                <wp:inline distT="0" distB="0" distL="0" distR="0">
                  <wp:extent cx="2353586" cy="3805882"/>
                  <wp:effectExtent l="0" t="0" r="889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53586" cy="3805882"/>
                          </a:xfrm>
                          <a:prstGeom prst="rect">
                            <a:avLst/>
                          </a:prstGeom>
                          <a:noFill/>
                        </pic:spPr>
                      </pic:pic>
                    </a:graphicData>
                  </a:graphic>
                </wp:inline>
              </w:drawing>
            </w:r>
          </w:p>
        </w:tc>
        <w:tc>
          <w:tcPr>
            <w:tcW w:w="4776" w:type="dxa"/>
          </w:tcPr>
          <w:p>
            <w:pPr>
              <w:spacing w:after="0"/>
              <w:jc w:val="center"/>
              <w:rPr>
                <w:noProof/>
              </w:rPr>
            </w:pPr>
            <w:r>
              <w:rPr>
                <w:noProof/>
              </w:rPr>
              <w:drawing>
                <wp:inline distT="0" distB="0" distL="0" distR="0">
                  <wp:extent cx="2891767" cy="3188474"/>
                  <wp:effectExtent l="0" t="0" r="4445"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11556" cy="3210294"/>
                          </a:xfrm>
                          <a:prstGeom prst="rect">
                            <a:avLst/>
                          </a:prstGeom>
                          <a:noFill/>
                        </pic:spPr>
                      </pic:pic>
                    </a:graphicData>
                  </a:graphic>
                </wp:inline>
              </w:drawing>
            </w:r>
          </w:p>
        </w:tc>
      </w:tr>
      <w:tr>
        <w:trPr>
          <w:cantSplit/>
          <w:trHeight w:val="1134"/>
        </w:trPr>
        <w:tc>
          <w:tcPr>
            <w:tcW w:w="8834" w:type="dxa"/>
            <w:gridSpan w:val="2"/>
            <w:vAlign w:val="center"/>
          </w:tcPr>
          <w:p>
            <w:pPr>
              <w:spacing w:after="0"/>
              <w:jc w:val="center"/>
              <w:rPr>
                <w:noProof/>
              </w:rPr>
            </w:pPr>
            <w:r>
              <w:rPr>
                <w:noProof/>
              </w:rPr>
              <w:drawing>
                <wp:inline distT="0" distB="0" distL="0" distR="0">
                  <wp:extent cx="5465445" cy="1069145"/>
                  <wp:effectExtent l="0" t="0" r="0" b="0"/>
                  <wp:docPr id="1074949841" name="Picture 1074949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22051"/>
                          <a:stretch/>
                        </pic:blipFill>
                        <pic:spPr bwMode="auto">
                          <a:xfrm>
                            <a:off x="0" y="0"/>
                            <a:ext cx="5465445" cy="10691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rPr>
          <w:noProof/>
        </w:rPr>
        <w:t>: Latest MSFD assessments of good environmental status per species group (left) and per criteria (right) under Descriptor 1: Mammals. The information comes from 10 Member States’ electronic reports.</w:t>
      </w:r>
    </w:p>
    <w:p>
      <w:pPr>
        <w:rPr>
          <w:noProof/>
          <w:szCs w:val="24"/>
        </w:rPr>
      </w:pPr>
      <w:r>
        <w:rPr>
          <w:noProof/>
          <w:szCs w:val="24"/>
        </w:rPr>
        <w:t>Most of the assessments of marine mammals refer to seals and small toothed cetaceans. For seals, GES is achieved only in 3 assessments, but 15 assessments report that GES will be achieved by 2020. However, the situation of the small toothed cetaceans is more concerning. None of the reported assessments has resulted in an achievement of the GES, and, in almost 70% of the cases, GES will be achieved only later than 2020 without any exception having been reported under Article 14. In the case of baleen whales and deep-diving toothed cetaceans, in 3 out of the 4 assessments that have been reported for each group, GES will be achieved only later than 2020 without any exception having been reported under Article 14.</w:t>
      </w:r>
    </w:p>
    <w:p>
      <w:pPr>
        <w:rPr>
          <w:noProof/>
          <w:szCs w:val="24"/>
        </w:rPr>
      </w:pPr>
      <w:r>
        <w:rPr>
          <w:noProof/>
          <w:szCs w:val="24"/>
        </w:rPr>
        <w:t>Most of the criteria of Descriptor 1 for mammals have been assessed and reported. For the population abundance (D1C2), the population distribution (D1C4) and the habitats condition for the species (D1C5), they have achieved the ‘good’ status in 30 , 41 and 13 assessments respectively, although also a big number of assessments result in the criteria being ‘not good’ (25, 19 and 18 respectively). On the other hand, only 5 assessments on by-catch (D1C1) and 4 assessments on the demographic characteristics (D1C3) have been reported as ‘good’ while 5 and 23 respectively are ‘not good’.</w:t>
      </w:r>
    </w:p>
    <w:p>
      <w:pPr>
        <w:rPr>
          <w:rStyle w:val="Emphasis"/>
          <w:noProof/>
          <w:u w:val="single"/>
        </w:rPr>
      </w:pPr>
      <w:r>
        <w:rPr>
          <w:rStyle w:val="Emphasis"/>
          <w:noProof/>
          <w:u w:val="single"/>
        </w:rPr>
        <w:t>Birds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1"/>
        <w:gridCol w:w="4182"/>
      </w:tblGrid>
      <w:tr>
        <w:trPr>
          <w:cantSplit/>
          <w:trHeight w:val="1134"/>
        </w:trPr>
        <w:tc>
          <w:tcPr>
            <w:tcW w:w="4644" w:type="dxa"/>
            <w:vAlign w:val="center"/>
          </w:tcPr>
          <w:p>
            <w:pPr>
              <w:spacing w:after="0"/>
              <w:jc w:val="center"/>
              <w:rPr>
                <w:noProof/>
              </w:rPr>
            </w:pPr>
            <w:r>
              <w:rPr>
                <w:noProof/>
              </w:rPr>
              <w:drawing>
                <wp:inline distT="0" distB="0" distL="0" distR="0">
                  <wp:extent cx="2873801" cy="39687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82675" cy="3981006"/>
                          </a:xfrm>
                          <a:prstGeom prst="rect">
                            <a:avLst/>
                          </a:prstGeom>
                          <a:noFill/>
                        </pic:spPr>
                      </pic:pic>
                    </a:graphicData>
                  </a:graphic>
                </wp:inline>
              </w:drawing>
            </w:r>
          </w:p>
        </w:tc>
        <w:tc>
          <w:tcPr>
            <w:tcW w:w="4266" w:type="dxa"/>
          </w:tcPr>
          <w:p>
            <w:pPr>
              <w:spacing w:after="0"/>
              <w:jc w:val="center"/>
              <w:rPr>
                <w:noProof/>
              </w:rPr>
            </w:pPr>
            <w:r>
              <w:rPr>
                <w:noProof/>
              </w:rPr>
              <w:drawing>
                <wp:inline distT="0" distB="0" distL="0" distR="0">
                  <wp:extent cx="2567940" cy="3508649"/>
                  <wp:effectExtent l="0" t="0" r="381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5657" cy="3519193"/>
                          </a:xfrm>
                          <a:prstGeom prst="rect">
                            <a:avLst/>
                          </a:prstGeom>
                          <a:noFill/>
                        </pic:spPr>
                      </pic:pic>
                    </a:graphicData>
                  </a:graphic>
                </wp:inline>
              </w:drawing>
            </w:r>
          </w:p>
        </w:tc>
      </w:tr>
    </w:tbl>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rPr>
          <w:noProof/>
        </w:rPr>
        <w:t>: Latest MSFD assessments of good environmental status per species group (left) and per criteria (right) under Descriptor 1: Birds. The information comes from 10 Member State’s electronic reports. See legend in Figure 3.</w:t>
      </w:r>
    </w:p>
    <w:p>
      <w:pPr>
        <w:rPr>
          <w:noProof/>
          <w:szCs w:val="24"/>
        </w:rPr>
      </w:pPr>
      <w:r>
        <w:rPr>
          <w:noProof/>
          <w:szCs w:val="24"/>
        </w:rPr>
        <w:t xml:space="preserve">Except one report that has been done for all birds, the rest of the assessments have been reported per species groups. The status of the species groups is very diverse, the best one being the grazing birds (where almost 60% of assessments achieved GES), followed by the pelagic-feeding birds (where almost 50% of cases achieved GES) and the surface-feeding birds (around 30%). </w:t>
      </w:r>
    </w:p>
    <w:p>
      <w:pPr>
        <w:rPr>
          <w:noProof/>
          <w:szCs w:val="24"/>
        </w:rPr>
      </w:pPr>
      <w:r>
        <w:rPr>
          <w:noProof/>
          <w:szCs w:val="24"/>
        </w:rPr>
        <w:t>On the other hand, the benthic-feeding birds and the wading birds seem not to be in good shape (in both cases there are only 2 assessments where GES is achieved). However, the reports show for these groups that Member States expect to achieve GES by 2020 at a great extent. Member States have not reported exceptions under Article 14 when GES is expected to be achieved later than 2020.</w:t>
      </w:r>
    </w:p>
    <w:p>
      <w:pPr>
        <w:rPr>
          <w:noProof/>
          <w:szCs w:val="24"/>
        </w:rPr>
      </w:pPr>
      <w:r>
        <w:rPr>
          <w:noProof/>
          <w:szCs w:val="24"/>
        </w:rPr>
        <w:t>For the criterion on by-catch (D1C1), 16 assessments conclude that the status is ‘good, based on low risk’, while 68 cases have been reported as ‘not assessed’. Similarly, both the population distribution (D1C4) and the habitats condition for the species (D1C5) have been reported as ‘not assessed’ or ‘unknown’ at a great extent.</w:t>
      </w:r>
    </w:p>
    <w:p>
      <w:pPr>
        <w:rPr>
          <w:noProof/>
          <w:szCs w:val="24"/>
        </w:rPr>
      </w:pPr>
      <w:r>
        <w:rPr>
          <w:noProof/>
          <w:szCs w:val="24"/>
        </w:rPr>
        <w:t>The most frequently assessed criteria are the population abundance (D1C2) and the demographic characteristics (D1C3). In the first case, the status has been reported as ‘good’ in 230 assessments, and as ‘not good’ in 180 assessments. In the second case, there are 59 cases reported as ‘not assessed’, and 37 assessments resulting in ‘not good’, 33 in ‘good’ and 17 in ‘good, based on low risk’.</w:t>
      </w:r>
    </w:p>
    <w:p>
      <w:pPr>
        <w:rPr>
          <w:rStyle w:val="Emphasis"/>
          <w:noProof/>
          <w:u w:val="single"/>
        </w:rPr>
      </w:pPr>
    </w:p>
    <w:p>
      <w:pPr>
        <w:rPr>
          <w:rStyle w:val="Emphasis"/>
          <w:noProof/>
          <w:u w:val="single"/>
        </w:rPr>
      </w:pPr>
      <w:r>
        <w:rPr>
          <w:rStyle w:val="Emphasis"/>
          <w:noProof/>
          <w:u w:val="single"/>
        </w:rPr>
        <w:t>Fish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4"/>
        <w:gridCol w:w="4509"/>
      </w:tblGrid>
      <w:tr>
        <w:trPr>
          <w:cantSplit/>
          <w:trHeight w:val="1134"/>
        </w:trPr>
        <w:tc>
          <w:tcPr>
            <w:tcW w:w="4644" w:type="dxa"/>
            <w:vAlign w:val="center"/>
          </w:tcPr>
          <w:p>
            <w:pPr>
              <w:spacing w:after="0"/>
              <w:jc w:val="center"/>
              <w:rPr>
                <w:noProof/>
              </w:rPr>
            </w:pPr>
            <w:r>
              <w:rPr>
                <w:noProof/>
              </w:rPr>
              <w:drawing>
                <wp:inline distT="0" distB="0" distL="0" distR="0">
                  <wp:extent cx="2209800" cy="37795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13912" cy="3786540"/>
                          </a:xfrm>
                          <a:prstGeom prst="rect">
                            <a:avLst/>
                          </a:prstGeom>
                          <a:noFill/>
                        </pic:spPr>
                      </pic:pic>
                    </a:graphicData>
                  </a:graphic>
                </wp:inline>
              </w:drawing>
            </w:r>
          </w:p>
        </w:tc>
        <w:tc>
          <w:tcPr>
            <w:tcW w:w="4266" w:type="dxa"/>
          </w:tcPr>
          <w:p>
            <w:pPr>
              <w:spacing w:after="0"/>
              <w:jc w:val="center"/>
              <w:rPr>
                <w:noProof/>
              </w:rPr>
            </w:pPr>
            <w:r>
              <w:rPr>
                <w:noProof/>
              </w:rPr>
              <w:drawing>
                <wp:inline distT="0" distB="0" distL="0" distR="0">
                  <wp:extent cx="2726458" cy="3172571"/>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0303" cy="3188681"/>
                          </a:xfrm>
                          <a:prstGeom prst="rect">
                            <a:avLst/>
                          </a:prstGeom>
                          <a:noFill/>
                        </pic:spPr>
                      </pic:pic>
                    </a:graphicData>
                  </a:graphic>
                </wp:inline>
              </w:drawing>
            </w:r>
          </w:p>
        </w:tc>
      </w:tr>
    </w:tbl>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rPr>
          <w:noProof/>
        </w:rPr>
        <w:t>: Latest MSFD assessments of good environmental status per species group (left) and per criteria (right) under Descriptor 1: Fish. The information comes from 10 Member State’s electronic reports. See legend in Figure 3.</w:t>
      </w:r>
    </w:p>
    <w:p>
      <w:pPr>
        <w:rPr>
          <w:noProof/>
          <w:szCs w:val="24"/>
        </w:rPr>
      </w:pPr>
      <w:r>
        <w:rPr>
          <w:noProof/>
          <w:szCs w:val="24"/>
        </w:rPr>
        <w:t>Except one report that was done for all fish, the rest of the assessments have been reported per species groups. GES is achieved in very few cases for coastal fish (in 2 assessments) and pelagic shelf fish (in 1 assessment), and no cases of GES achieved have been reported for demersal shelf fish nor for deep-sea fish (where only 1 assessment has been reported and is ‘unknown’). It is worth noting that for coastal fish a significant number of assessments have been reported as ‘not relevant’, and a lot of cases in all the species groups have been reported as ‘not assessed’ or as ‘unknown’.</w:t>
      </w:r>
    </w:p>
    <w:p>
      <w:pPr>
        <w:rPr>
          <w:noProof/>
          <w:szCs w:val="24"/>
        </w:rPr>
      </w:pPr>
      <w:r>
        <w:rPr>
          <w:noProof/>
          <w:szCs w:val="24"/>
        </w:rPr>
        <w:t>The reports show that Member States expect to achieve GES by 2020 in some cases. Member States have not reported exceptions under Article 14 when GES is expected to be achieved later than 2020.</w:t>
      </w:r>
    </w:p>
    <w:p>
      <w:pPr>
        <w:rPr>
          <w:noProof/>
          <w:szCs w:val="24"/>
        </w:rPr>
      </w:pPr>
      <w:r>
        <w:rPr>
          <w:noProof/>
          <w:szCs w:val="24"/>
        </w:rPr>
        <w:t>The majority of criteria assessments have been reported as ‘not assessed’, except for population abundance (D1C2), which has been assessed in almost 30% of the cases. For the abundance, 53 assessments have been reported as in ‘good’ status, while 62 conclude that the status of this criterion is ‘not good’. In the case of the demographic characteristics (D1C3) and the habitats condition for the species (D1C5), only one assessment has been reported as ‘good’. For the by-catch (D1C1) and the population distribution (D1C4) only 3 and 8 assessments respectively have been reported as ‘good’.</w:t>
      </w:r>
    </w:p>
    <w:p>
      <w:pPr>
        <w:rPr>
          <w:noProof/>
          <w:szCs w:val="24"/>
        </w:rPr>
      </w:pPr>
      <w:r>
        <w:rPr>
          <w:noProof/>
          <w:szCs w:val="24"/>
        </w:rPr>
        <w:t>To date, there has been almost no reports on cephalopods and reptiles. Hence, the corresponding figures have not been added to the present summary.</w:t>
      </w:r>
    </w:p>
    <w:p>
      <w:pPr>
        <w:rPr>
          <w:rStyle w:val="Emphasis"/>
          <w:noProof/>
          <w:u w:val="single"/>
        </w:rPr>
      </w:pPr>
    </w:p>
    <w:p>
      <w:pPr>
        <w:rPr>
          <w:rStyle w:val="Emphasis"/>
          <w:noProof/>
          <w:u w:val="single"/>
        </w:rPr>
      </w:pPr>
      <w:r>
        <w:rPr>
          <w:rStyle w:val="Emphasis"/>
          <w:noProof/>
          <w:u w:val="single"/>
        </w:rPr>
        <w:t>Habitats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4597"/>
      </w:tblGrid>
      <w:tr>
        <w:trPr>
          <w:cantSplit/>
          <w:trHeight w:val="1134"/>
        </w:trPr>
        <w:tc>
          <w:tcPr>
            <w:tcW w:w="4236" w:type="dxa"/>
            <w:vAlign w:val="center"/>
          </w:tcPr>
          <w:p>
            <w:pPr>
              <w:spacing w:after="0"/>
              <w:jc w:val="center"/>
              <w:rPr>
                <w:noProof/>
              </w:rPr>
            </w:pPr>
            <w:r>
              <w:rPr>
                <w:noProof/>
              </w:rPr>
              <w:drawing>
                <wp:inline distT="0" distB="0" distL="0" distR="0">
                  <wp:extent cx="2611164" cy="3101009"/>
                  <wp:effectExtent l="0" t="0" r="0" b="444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6">
                            <a:extLst>
                              <a:ext uri="{28A0092B-C50C-407E-A947-70E740481C1C}">
                                <a14:useLocalDpi xmlns:a14="http://schemas.microsoft.com/office/drawing/2010/main" val="0"/>
                              </a:ext>
                            </a:extLst>
                          </a:blip>
                          <a:srcRect r="55138"/>
                          <a:stretch/>
                        </pic:blipFill>
                        <pic:spPr bwMode="auto">
                          <a:xfrm>
                            <a:off x="0" y="0"/>
                            <a:ext cx="2623045" cy="31151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98" w:type="dxa"/>
          </w:tcPr>
          <w:p>
            <w:pPr>
              <w:spacing w:after="0"/>
              <w:jc w:val="center"/>
              <w:rPr>
                <w:noProof/>
              </w:rPr>
            </w:pPr>
            <w:r>
              <w:rPr>
                <w:noProof/>
              </w:rPr>
              <w:drawing>
                <wp:inline distT="0" distB="0" distL="0" distR="0">
                  <wp:extent cx="2846567" cy="3115310"/>
                  <wp:effectExtent l="0" t="0" r="0" b="889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7">
                            <a:extLst>
                              <a:ext uri="{28A0092B-C50C-407E-A947-70E740481C1C}">
                                <a14:useLocalDpi xmlns:a14="http://schemas.microsoft.com/office/drawing/2010/main" val="0"/>
                              </a:ext>
                            </a:extLst>
                          </a:blip>
                          <a:srcRect r="19958"/>
                          <a:stretch/>
                        </pic:blipFill>
                        <pic:spPr bwMode="auto">
                          <a:xfrm>
                            <a:off x="0" y="0"/>
                            <a:ext cx="2860151" cy="3130177"/>
                          </a:xfrm>
                          <a:prstGeom prst="rect">
                            <a:avLst/>
                          </a:prstGeom>
                          <a:noFill/>
                          <a:ln>
                            <a:noFill/>
                          </a:ln>
                          <a:extLst>
                            <a:ext uri="{53640926-AAD7-44D8-BBD7-CCE9431645EC}">
                              <a14:shadowObscured xmlns:a14="http://schemas.microsoft.com/office/drawing/2010/main"/>
                            </a:ext>
                          </a:extLst>
                        </pic:spPr>
                      </pic:pic>
                    </a:graphicData>
                  </a:graphic>
                </wp:inline>
              </w:drawing>
            </w:r>
          </w:p>
        </w:tc>
      </w:tr>
    </w:tbl>
    <w:p>
      <w:pPr>
        <w:pStyle w:val="Caption"/>
        <w:rPr>
          <w:noProof/>
        </w:rPr>
      </w:pPr>
      <w:bookmarkStart w:id="9" w:name="_Ref29299494"/>
      <w:r>
        <w:rPr>
          <w:noProof/>
        </w:rP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9"/>
      <w:r>
        <w:rPr>
          <w:noProof/>
        </w:rPr>
        <w:t>: Latest MSFD assessments of good environmental status per ecosystem component (left) and per criteria (right) under Descriptors 1: Habitats (in this case only pelagic habitats, as benthic habitats are shown under Descriptor 6). The information comes from 10 Member State’s electronic reports. See legend in Figure 3.</w:t>
      </w:r>
    </w:p>
    <w:p>
      <w:pPr>
        <w:rPr>
          <w:noProof/>
        </w:rPr>
      </w:pPr>
      <w:r>
        <w:rPr>
          <w:noProof/>
        </w:rPr>
        <w:t>GES is achieved in very few cases for the pelagic habitats (only 6 assessments), and is expected to be achieved by 2020 in very few cases as well. Most Member States have not reported exceptions under Article 14 when GES is expected to be achieved later than 2020. A significant number of assessments have been reported as ‘not assessed’ or ‘not relevant’. The status of benthic habitats (although also linked to Descriptor 1) will be discussed under Descriptor 6.</w:t>
      </w:r>
    </w:p>
    <w:p>
      <w:pPr>
        <w:rPr>
          <w:noProof/>
        </w:rPr>
      </w:pPr>
      <w:r>
        <w:rPr>
          <w:noProof/>
        </w:rPr>
        <w:t xml:space="preserve">The pelagic habitats do not seem to be in good shape. The habitat condition (D1C6) has only achieved the ‘good’ status in 14 cases, while 64 assessments have been reported as ‘not good’. </w:t>
      </w:r>
    </w:p>
    <w:p>
      <w:pPr>
        <w:pStyle w:val="Heading2"/>
        <w:rPr>
          <w:noProof/>
        </w:rPr>
      </w:pPr>
      <w:bookmarkStart w:id="10" w:name="_Toc30404108"/>
      <w:r>
        <w:rPr>
          <w:noProof/>
        </w:rPr>
        <w:t>Other assessments of marine biodiversity</w:t>
      </w:r>
      <w:bookmarkEnd w:id="10"/>
    </w:p>
    <w:p>
      <w:pPr>
        <w:rPr>
          <w:noProof/>
          <w:szCs w:val="24"/>
        </w:rPr>
      </w:pPr>
      <w:r>
        <w:rPr>
          <w:noProof/>
        </w:rPr>
        <w:t xml:space="preserve">The information presented in this section aims to shed light on the MSFD criteria and to contribute to the overall goal of Descriptor 1, i.e. to know whether species groups and habitat types are reaching a ‘good environmental status’. The status categories used here (see </w:t>
      </w:r>
      <w:r>
        <w:rPr>
          <w:noProof/>
        </w:rPr>
        <w:fldChar w:fldCharType="begin"/>
      </w:r>
      <w:r>
        <w:rPr>
          <w:noProof/>
        </w:rPr>
        <w:instrText xml:space="preserve"> REF _Ref30273752 \h </w:instrText>
      </w:r>
      <w:r>
        <w:rPr>
          <w:noProof/>
        </w:rPr>
      </w:r>
      <w:r>
        <w:rPr>
          <w:noProof/>
        </w:rPr>
        <w:fldChar w:fldCharType="separate"/>
      </w:r>
      <w:r>
        <w:rPr>
          <w:noProof/>
        </w:rPr>
        <w:t>Table 2</w:t>
      </w:r>
      <w:r>
        <w:rPr>
          <w:noProof/>
        </w:rPr>
        <w:fldChar w:fldCharType="end"/>
      </w:r>
      <w:r>
        <w:rPr>
          <w:noProof/>
        </w:rPr>
        <w:t xml:space="preserve">) however do not refer to any established MSFD methodology, given the Directive only speaks of </w:t>
      </w:r>
      <w:r>
        <w:rPr>
          <w:i/>
          <w:noProof/>
        </w:rPr>
        <w:t xml:space="preserve">good </w:t>
      </w:r>
      <w:r>
        <w:rPr>
          <w:noProof/>
        </w:rPr>
        <w:t>environmental status. In the absence of most MSFD reporting under the second implementation cycle, the main sources of information are the quality status reports from the Regional Seas Conventions, additional knowledge from Red List assessments about special or threatened species and habitats, and information from the previous reporting of the Habitats Directive (i.e. the 2007-2012 period) (</w:t>
      </w:r>
      <w:r>
        <w:rPr>
          <w:noProof/>
        </w:rPr>
        <w:fldChar w:fldCharType="begin"/>
      </w:r>
      <w:r>
        <w:rPr>
          <w:noProof/>
        </w:rPr>
        <w:instrText xml:space="preserve"> REF _Ref30273752 \h  \* MERGEFORMAT </w:instrText>
      </w:r>
      <w:r>
        <w:rPr>
          <w:noProof/>
        </w:rPr>
      </w:r>
      <w:r>
        <w:rPr>
          <w:noProof/>
        </w:rPr>
        <w:fldChar w:fldCharType="separate"/>
      </w:r>
      <w:r>
        <w:rPr>
          <w:noProof/>
        </w:rPr>
        <w:t>Table 2</w:t>
      </w:r>
      <w:r>
        <w:rPr>
          <w:noProof/>
        </w:rPr>
        <w:fldChar w:fldCharType="end"/>
      </w:r>
      <w:r>
        <w:rPr>
          <w:noProof/>
        </w:rPr>
        <w:t xml:space="preserve">). Most of this information comes from </w:t>
      </w:r>
      <w:r>
        <w:rPr>
          <w:noProof/>
          <w:szCs w:val="24"/>
        </w:rPr>
        <w:t>ETC/ICM (2019a).</w:t>
      </w:r>
    </w:p>
    <w:p>
      <w:pPr>
        <w:rPr>
          <w:noProof/>
        </w:rPr>
      </w:pPr>
    </w:p>
    <w:p>
      <w:pPr>
        <w:jc w:val="center"/>
        <w:rPr>
          <w:noProof/>
        </w:rPr>
      </w:pPr>
    </w:p>
    <w:tbl>
      <w:tblPr>
        <w:tblStyle w:val="GridTableLight"/>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1701"/>
        <w:gridCol w:w="1290"/>
        <w:gridCol w:w="1290"/>
        <w:gridCol w:w="1291"/>
        <w:gridCol w:w="1290"/>
        <w:gridCol w:w="1291"/>
      </w:tblGrid>
      <w:tr>
        <w:tc>
          <w:tcPr>
            <w:tcW w:w="2303" w:type="dxa"/>
            <w:gridSpan w:val="2"/>
            <w:shd w:val="clear" w:color="auto" w:fill="FFFFFF" w:themeFill="background1"/>
          </w:tcPr>
          <w:bookmarkEnd w:id="8"/>
          <w:p>
            <w:pPr>
              <w:keepNext/>
              <w:spacing w:before="20" w:after="20"/>
              <w:rPr>
                <w:rFonts w:ascii="Times New Roman" w:hAnsi="Times New Roman" w:cs="Times New Roman"/>
                <w:noProof/>
              </w:rPr>
            </w:pPr>
            <w:r>
              <w:rPr>
                <w:rFonts w:ascii="Times New Roman" w:hAnsi="Times New Roman" w:cs="Times New Roman"/>
                <w:noProof/>
              </w:rPr>
              <w:t>Ecosystem Component</w:t>
            </w:r>
          </w:p>
        </w:tc>
        <w:tc>
          <w:tcPr>
            <w:tcW w:w="1290" w:type="dxa"/>
            <w:shd w:val="clear" w:color="auto" w:fill="FFFFFF" w:themeFill="background1"/>
          </w:tcPr>
          <w:p>
            <w:pPr>
              <w:keepNext/>
              <w:spacing w:before="20" w:after="20"/>
              <w:jc w:val="center"/>
              <w:rPr>
                <w:rFonts w:ascii="Times New Roman" w:hAnsi="Times New Roman" w:cs="Times New Roman"/>
                <w:noProof/>
              </w:rPr>
            </w:pPr>
            <w:r>
              <w:rPr>
                <w:rFonts w:ascii="Times New Roman" w:hAnsi="Times New Roman" w:cs="Times New Roman"/>
                <w:noProof/>
              </w:rPr>
              <w:t>North-east Atlantic Ocean by OSPAR</w:t>
            </w:r>
          </w:p>
        </w:tc>
        <w:tc>
          <w:tcPr>
            <w:tcW w:w="1290" w:type="dxa"/>
            <w:shd w:val="clear" w:color="auto" w:fill="FFFFFF" w:themeFill="background1"/>
          </w:tcPr>
          <w:p>
            <w:pPr>
              <w:keepNext/>
              <w:spacing w:before="20" w:after="20"/>
              <w:jc w:val="center"/>
              <w:rPr>
                <w:rFonts w:ascii="Times New Roman" w:hAnsi="Times New Roman" w:cs="Times New Roman"/>
                <w:noProof/>
              </w:rPr>
            </w:pPr>
            <w:r>
              <w:rPr>
                <w:rFonts w:ascii="Times New Roman" w:hAnsi="Times New Roman" w:cs="Times New Roman"/>
                <w:noProof/>
              </w:rPr>
              <w:t>Baltic Sea by HELCOM</w:t>
            </w:r>
          </w:p>
        </w:tc>
        <w:tc>
          <w:tcPr>
            <w:tcW w:w="1291" w:type="dxa"/>
            <w:shd w:val="clear" w:color="auto" w:fill="FFFFFF" w:themeFill="background1"/>
          </w:tcPr>
          <w:p>
            <w:pPr>
              <w:keepNext/>
              <w:spacing w:before="20" w:after="20"/>
              <w:jc w:val="center"/>
              <w:rPr>
                <w:rFonts w:ascii="Times New Roman" w:hAnsi="Times New Roman" w:cs="Times New Roman"/>
                <w:noProof/>
              </w:rPr>
            </w:pPr>
            <w:r>
              <w:rPr>
                <w:rFonts w:ascii="Times New Roman" w:hAnsi="Times New Roman" w:cs="Times New Roman"/>
                <w:noProof/>
              </w:rPr>
              <w:t>Mediterranean Sea by UNEP-MAP</w:t>
            </w:r>
          </w:p>
        </w:tc>
        <w:tc>
          <w:tcPr>
            <w:tcW w:w="1290" w:type="dxa"/>
            <w:shd w:val="clear" w:color="auto" w:fill="FFFFFF" w:themeFill="background1"/>
          </w:tcPr>
          <w:p>
            <w:pPr>
              <w:keepNext/>
              <w:spacing w:before="20" w:after="20"/>
              <w:jc w:val="center"/>
              <w:rPr>
                <w:rFonts w:ascii="Times New Roman" w:hAnsi="Times New Roman" w:cs="Times New Roman"/>
                <w:noProof/>
              </w:rPr>
            </w:pPr>
            <w:r>
              <w:rPr>
                <w:rFonts w:ascii="Times New Roman" w:hAnsi="Times New Roman" w:cs="Times New Roman"/>
                <w:noProof/>
              </w:rPr>
              <w:t>European assessment by the Red List</w:t>
            </w:r>
            <w:r>
              <w:rPr>
                <w:rStyle w:val="FootnoteReference"/>
                <w:rFonts w:ascii="Times New Roman" w:hAnsi="Times New Roman" w:cs="Times New Roman"/>
                <w:noProof/>
              </w:rPr>
              <w:footnoteReference w:id="7"/>
            </w:r>
          </w:p>
        </w:tc>
        <w:tc>
          <w:tcPr>
            <w:tcW w:w="1291" w:type="dxa"/>
            <w:shd w:val="clear" w:color="auto" w:fill="FFFFFF" w:themeFill="background1"/>
          </w:tcPr>
          <w:p>
            <w:pPr>
              <w:keepNext/>
              <w:spacing w:before="20" w:after="20"/>
              <w:jc w:val="center"/>
              <w:rPr>
                <w:rFonts w:ascii="Times New Roman" w:hAnsi="Times New Roman" w:cs="Times New Roman"/>
                <w:noProof/>
              </w:rPr>
            </w:pPr>
            <w:r>
              <w:rPr>
                <w:rFonts w:ascii="Times New Roman" w:hAnsi="Times New Roman" w:cs="Times New Roman"/>
                <w:noProof/>
              </w:rPr>
              <w:t>European assessment based on the Habitats Directive</w:t>
            </w:r>
          </w:p>
        </w:tc>
      </w:tr>
      <w:tr>
        <w:tc>
          <w:tcPr>
            <w:tcW w:w="602" w:type="dxa"/>
            <w:vMerge w:val="restart"/>
            <w:shd w:val="clear" w:color="auto" w:fill="FFFFFF" w:themeFill="background1"/>
            <w:textDirection w:val="btLr"/>
          </w:tcPr>
          <w:p>
            <w:pPr>
              <w:keepNext/>
              <w:spacing w:before="20" w:after="20"/>
              <w:ind w:left="113" w:right="113"/>
              <w:jc w:val="center"/>
              <w:rPr>
                <w:rFonts w:ascii="Times New Roman" w:hAnsi="Times New Roman" w:cs="Times New Roman"/>
                <w:noProof/>
              </w:rPr>
            </w:pPr>
            <w:r>
              <w:rPr>
                <w:rFonts w:ascii="Times New Roman" w:hAnsi="Times New Roman" w:cs="Times New Roman"/>
                <w:noProof/>
              </w:rPr>
              <w:t>Species</w:t>
            </w:r>
          </w:p>
        </w:tc>
        <w:tc>
          <w:tcPr>
            <w:tcW w:w="1701" w:type="dxa"/>
            <w:shd w:val="clear" w:color="auto" w:fill="FFFFFF" w:themeFill="background1"/>
          </w:tcPr>
          <w:p>
            <w:pPr>
              <w:keepNext/>
              <w:spacing w:before="20" w:after="20"/>
              <w:rPr>
                <w:rFonts w:ascii="Times New Roman" w:hAnsi="Times New Roman" w:cs="Times New Roman"/>
                <w:noProof/>
              </w:rPr>
            </w:pPr>
            <w:r>
              <w:rPr>
                <w:rFonts w:ascii="Times New Roman" w:hAnsi="Times New Roman" w:cs="Times New Roman"/>
                <w:noProof/>
              </w:rPr>
              <w:t>Seals</w:t>
            </w:r>
          </w:p>
        </w:tc>
        <w:tc>
          <w:tcPr>
            <w:tcW w:w="1290" w:type="dxa"/>
            <w:shd w:val="clear" w:color="auto" w:fill="FBF7C2"/>
          </w:tcPr>
          <w:p>
            <w:pPr>
              <w:spacing w:before="20" w:after="20"/>
              <w:jc w:val="center"/>
              <w:rPr>
                <w:rFonts w:ascii="Times New Roman" w:hAnsi="Times New Roman" w:cs="Times New Roman"/>
                <w:noProof/>
                <w:sz w:val="20"/>
                <w:szCs w:val="20"/>
              </w:rPr>
            </w:pPr>
          </w:p>
        </w:tc>
        <w:tc>
          <w:tcPr>
            <w:tcW w:w="1290" w:type="dxa"/>
            <w:shd w:val="clear" w:color="auto" w:fill="FBF7C2"/>
          </w:tcPr>
          <w:p>
            <w:pPr>
              <w:spacing w:before="20" w:after="20"/>
              <w:jc w:val="center"/>
              <w:rPr>
                <w:rFonts w:ascii="Times New Roman" w:hAnsi="Times New Roman" w:cs="Times New Roman"/>
                <w:noProof/>
                <w:sz w:val="20"/>
                <w:szCs w:val="20"/>
              </w:rPr>
            </w:pPr>
          </w:p>
        </w:tc>
        <w:tc>
          <w:tcPr>
            <w:tcW w:w="1291" w:type="dxa"/>
            <w:shd w:val="clear" w:color="auto" w:fill="FBF7C2"/>
          </w:tcPr>
          <w:p>
            <w:pPr>
              <w:spacing w:before="20" w:after="20"/>
              <w:jc w:val="center"/>
              <w:rPr>
                <w:rFonts w:ascii="Times New Roman" w:hAnsi="Times New Roman" w:cs="Times New Roman"/>
                <w:noProof/>
                <w:sz w:val="20"/>
                <w:szCs w:val="20"/>
              </w:rPr>
            </w:pPr>
          </w:p>
        </w:tc>
        <w:tc>
          <w:tcPr>
            <w:tcW w:w="1290" w:type="dxa"/>
            <w:shd w:val="clear" w:color="auto" w:fill="FAA85F"/>
          </w:tcPr>
          <w:p>
            <w:pPr>
              <w:keepNext/>
              <w:spacing w:before="20" w:after="20"/>
              <w:rPr>
                <w:rFonts w:ascii="Times New Roman" w:hAnsi="Times New Roman" w:cs="Times New Roman"/>
                <w:noProof/>
              </w:rPr>
            </w:pPr>
          </w:p>
        </w:tc>
        <w:tc>
          <w:tcPr>
            <w:tcW w:w="1291" w:type="dxa"/>
            <w:shd w:val="clear" w:color="auto" w:fill="FAA85F"/>
          </w:tcPr>
          <w:p>
            <w:pPr>
              <w:keepNext/>
              <w:spacing w:before="20" w:after="20"/>
              <w:rPr>
                <w:rFonts w:ascii="Times New Roman" w:hAnsi="Times New Roman" w:cs="Times New Roman"/>
                <w:noProof/>
              </w:rPr>
            </w:pPr>
          </w:p>
        </w:tc>
      </w:tr>
      <w:tr>
        <w:tc>
          <w:tcPr>
            <w:tcW w:w="602" w:type="dxa"/>
            <w:vMerge/>
            <w:shd w:val="clear" w:color="auto" w:fill="FFFFFF" w:themeFill="background1"/>
          </w:tcPr>
          <w:p>
            <w:pPr>
              <w:keepNext/>
              <w:spacing w:before="20" w:after="20"/>
              <w:jc w:val="center"/>
              <w:rPr>
                <w:rFonts w:ascii="Times New Roman" w:hAnsi="Times New Roman" w:cs="Times New Roman"/>
                <w:noProof/>
              </w:rPr>
            </w:pPr>
          </w:p>
        </w:tc>
        <w:tc>
          <w:tcPr>
            <w:tcW w:w="1701" w:type="dxa"/>
            <w:shd w:val="clear" w:color="auto" w:fill="FFFFFF" w:themeFill="background1"/>
          </w:tcPr>
          <w:p>
            <w:pPr>
              <w:keepNext/>
              <w:spacing w:before="20" w:after="20"/>
              <w:rPr>
                <w:rFonts w:ascii="Times New Roman" w:hAnsi="Times New Roman" w:cs="Times New Roman"/>
                <w:noProof/>
              </w:rPr>
            </w:pPr>
            <w:r>
              <w:rPr>
                <w:rFonts w:ascii="Times New Roman" w:hAnsi="Times New Roman" w:cs="Times New Roman"/>
                <w:noProof/>
              </w:rPr>
              <w:t>Cetaceans</w:t>
            </w:r>
          </w:p>
        </w:tc>
        <w:tc>
          <w:tcPr>
            <w:tcW w:w="1290" w:type="dxa"/>
            <w:shd w:val="clear" w:color="auto" w:fill="E6E7E8"/>
          </w:tcPr>
          <w:p>
            <w:pPr>
              <w:keepNext/>
              <w:spacing w:before="20" w:after="20"/>
              <w:rPr>
                <w:rFonts w:ascii="Times New Roman" w:hAnsi="Times New Roman" w:cs="Times New Roman"/>
                <w:noProof/>
              </w:rPr>
            </w:pPr>
          </w:p>
        </w:tc>
        <w:tc>
          <w:tcPr>
            <w:tcW w:w="1290" w:type="dxa"/>
            <w:shd w:val="clear" w:color="auto" w:fill="FAA85F"/>
          </w:tcPr>
          <w:p>
            <w:pPr>
              <w:keepNext/>
              <w:spacing w:before="20" w:after="20"/>
              <w:rPr>
                <w:rFonts w:ascii="Times New Roman" w:hAnsi="Times New Roman" w:cs="Times New Roman"/>
                <w:noProof/>
              </w:rPr>
            </w:pPr>
          </w:p>
        </w:tc>
        <w:tc>
          <w:tcPr>
            <w:tcW w:w="1291" w:type="dxa"/>
            <w:shd w:val="clear" w:color="auto" w:fill="FAA85F"/>
          </w:tcPr>
          <w:p>
            <w:pPr>
              <w:keepNext/>
              <w:spacing w:before="20" w:after="20"/>
              <w:rPr>
                <w:rFonts w:ascii="Times New Roman" w:hAnsi="Times New Roman" w:cs="Times New Roman"/>
                <w:noProof/>
              </w:rPr>
            </w:pPr>
          </w:p>
        </w:tc>
        <w:tc>
          <w:tcPr>
            <w:tcW w:w="1290" w:type="dxa"/>
            <w:shd w:val="clear" w:color="auto" w:fill="FAA85F"/>
          </w:tcPr>
          <w:p>
            <w:pPr>
              <w:keepNext/>
              <w:spacing w:before="20" w:after="20"/>
              <w:rPr>
                <w:rFonts w:ascii="Times New Roman" w:hAnsi="Times New Roman" w:cs="Times New Roman"/>
                <w:noProof/>
              </w:rPr>
            </w:pPr>
          </w:p>
        </w:tc>
        <w:tc>
          <w:tcPr>
            <w:tcW w:w="1291" w:type="dxa"/>
            <w:shd w:val="clear" w:color="auto" w:fill="E6E7E8"/>
          </w:tcPr>
          <w:p>
            <w:pPr>
              <w:keepNext/>
              <w:spacing w:before="20" w:after="20"/>
              <w:rPr>
                <w:rFonts w:ascii="Times New Roman" w:hAnsi="Times New Roman" w:cs="Times New Roman"/>
                <w:noProof/>
              </w:rPr>
            </w:pPr>
          </w:p>
        </w:tc>
      </w:tr>
      <w:tr>
        <w:tc>
          <w:tcPr>
            <w:tcW w:w="602" w:type="dxa"/>
            <w:vMerge/>
            <w:shd w:val="clear" w:color="auto" w:fill="FFFFFF" w:themeFill="background1"/>
          </w:tcPr>
          <w:p>
            <w:pPr>
              <w:keepNext/>
              <w:spacing w:before="20" w:after="20"/>
              <w:jc w:val="center"/>
              <w:rPr>
                <w:rFonts w:ascii="Times New Roman" w:hAnsi="Times New Roman" w:cs="Times New Roman"/>
                <w:noProof/>
              </w:rPr>
            </w:pPr>
          </w:p>
        </w:tc>
        <w:tc>
          <w:tcPr>
            <w:tcW w:w="1701" w:type="dxa"/>
            <w:shd w:val="clear" w:color="auto" w:fill="FFFFFF" w:themeFill="background1"/>
          </w:tcPr>
          <w:p>
            <w:pPr>
              <w:keepNext/>
              <w:spacing w:before="20" w:after="20"/>
              <w:rPr>
                <w:rFonts w:ascii="Times New Roman" w:hAnsi="Times New Roman" w:cs="Times New Roman"/>
                <w:noProof/>
              </w:rPr>
            </w:pPr>
            <w:r>
              <w:rPr>
                <w:rFonts w:ascii="Times New Roman" w:hAnsi="Times New Roman" w:cs="Times New Roman"/>
                <w:noProof/>
              </w:rPr>
              <w:t>Birds</w:t>
            </w:r>
          </w:p>
        </w:tc>
        <w:tc>
          <w:tcPr>
            <w:tcW w:w="1290" w:type="dxa"/>
            <w:tcBorders>
              <w:bottom w:val="single" w:sz="4" w:space="0" w:color="auto"/>
            </w:tcBorders>
            <w:shd w:val="clear" w:color="auto" w:fill="FAA85F"/>
          </w:tcPr>
          <w:p>
            <w:pPr>
              <w:keepNext/>
              <w:spacing w:before="20" w:after="20"/>
              <w:rPr>
                <w:rFonts w:ascii="Times New Roman" w:hAnsi="Times New Roman" w:cs="Times New Roman"/>
                <w:noProof/>
              </w:rPr>
            </w:pPr>
          </w:p>
        </w:tc>
        <w:tc>
          <w:tcPr>
            <w:tcW w:w="1290" w:type="dxa"/>
            <w:shd w:val="clear" w:color="auto" w:fill="FAA85F"/>
          </w:tcPr>
          <w:p>
            <w:pPr>
              <w:keepNext/>
              <w:spacing w:before="20" w:after="20"/>
              <w:rPr>
                <w:rFonts w:ascii="Times New Roman" w:hAnsi="Times New Roman" w:cs="Times New Roman"/>
                <w:noProof/>
              </w:rPr>
            </w:pPr>
          </w:p>
        </w:tc>
        <w:tc>
          <w:tcPr>
            <w:tcW w:w="1291" w:type="dxa"/>
            <w:shd w:val="clear" w:color="auto" w:fill="FAA85F"/>
          </w:tcPr>
          <w:p>
            <w:pPr>
              <w:keepNext/>
              <w:spacing w:before="20" w:after="20"/>
              <w:rPr>
                <w:rFonts w:ascii="Times New Roman" w:hAnsi="Times New Roman" w:cs="Times New Roman"/>
                <w:noProof/>
              </w:rPr>
            </w:pPr>
          </w:p>
        </w:tc>
        <w:tc>
          <w:tcPr>
            <w:tcW w:w="1290" w:type="dxa"/>
            <w:shd w:val="clear" w:color="auto" w:fill="DC4D28"/>
          </w:tcPr>
          <w:p>
            <w:pPr>
              <w:keepNext/>
              <w:spacing w:before="20" w:after="20"/>
              <w:rPr>
                <w:rFonts w:ascii="Times New Roman" w:hAnsi="Times New Roman" w:cs="Times New Roman"/>
                <w:noProof/>
              </w:rPr>
            </w:pPr>
          </w:p>
        </w:tc>
        <w:tc>
          <w:tcPr>
            <w:tcW w:w="1291" w:type="dxa"/>
            <w:shd w:val="clear" w:color="auto" w:fill="auto"/>
          </w:tcPr>
          <w:p>
            <w:pPr>
              <w:keepNext/>
              <w:spacing w:before="20" w:after="20"/>
              <w:jc w:val="center"/>
              <w:rPr>
                <w:rFonts w:ascii="Times New Roman" w:hAnsi="Times New Roman" w:cs="Times New Roman"/>
                <w:noProof/>
              </w:rPr>
            </w:pPr>
            <w:r>
              <w:rPr>
                <w:rFonts w:ascii="Times New Roman" w:hAnsi="Times New Roman" w:cs="Times New Roman"/>
                <w:noProof/>
              </w:rPr>
              <w:t>n/a</w:t>
            </w:r>
          </w:p>
        </w:tc>
      </w:tr>
      <w:tr>
        <w:tc>
          <w:tcPr>
            <w:tcW w:w="602" w:type="dxa"/>
            <w:vMerge/>
            <w:shd w:val="clear" w:color="auto" w:fill="FFFFFF" w:themeFill="background1"/>
          </w:tcPr>
          <w:p>
            <w:pPr>
              <w:keepNext/>
              <w:spacing w:before="20" w:after="20"/>
              <w:jc w:val="center"/>
              <w:rPr>
                <w:rFonts w:ascii="Times New Roman" w:hAnsi="Times New Roman" w:cs="Times New Roman"/>
                <w:noProof/>
              </w:rPr>
            </w:pPr>
          </w:p>
        </w:tc>
        <w:tc>
          <w:tcPr>
            <w:tcW w:w="1701" w:type="dxa"/>
            <w:shd w:val="clear" w:color="auto" w:fill="FFFFFF" w:themeFill="background1"/>
          </w:tcPr>
          <w:p>
            <w:pPr>
              <w:keepNext/>
              <w:spacing w:before="20" w:after="20"/>
              <w:rPr>
                <w:rFonts w:ascii="Times New Roman" w:hAnsi="Times New Roman" w:cs="Times New Roman"/>
                <w:noProof/>
              </w:rPr>
            </w:pPr>
            <w:r>
              <w:rPr>
                <w:rFonts w:ascii="Times New Roman" w:hAnsi="Times New Roman" w:cs="Times New Roman"/>
                <w:noProof/>
              </w:rPr>
              <w:t>Bony fish</w:t>
            </w:r>
          </w:p>
        </w:tc>
        <w:tc>
          <w:tcPr>
            <w:tcW w:w="1290" w:type="dxa"/>
            <w:shd w:val="clear" w:color="auto" w:fill="70AD47" w:themeFill="accent6"/>
          </w:tcPr>
          <w:p>
            <w:pPr>
              <w:keepNext/>
              <w:spacing w:before="20" w:after="20"/>
              <w:rPr>
                <w:rFonts w:ascii="Times New Roman" w:hAnsi="Times New Roman" w:cs="Times New Roman"/>
                <w:noProof/>
              </w:rPr>
            </w:pPr>
          </w:p>
        </w:tc>
        <w:tc>
          <w:tcPr>
            <w:tcW w:w="1290" w:type="dxa"/>
            <w:shd w:val="clear" w:color="auto" w:fill="FBF7C2"/>
          </w:tcPr>
          <w:p>
            <w:pPr>
              <w:keepNext/>
              <w:spacing w:before="20" w:after="20"/>
              <w:rPr>
                <w:rFonts w:ascii="Times New Roman" w:hAnsi="Times New Roman" w:cs="Times New Roman"/>
                <w:noProof/>
              </w:rPr>
            </w:pPr>
          </w:p>
        </w:tc>
        <w:tc>
          <w:tcPr>
            <w:tcW w:w="1291" w:type="dxa"/>
            <w:shd w:val="clear" w:color="auto" w:fill="FAA85F"/>
          </w:tcPr>
          <w:p>
            <w:pPr>
              <w:keepNext/>
              <w:spacing w:before="20" w:after="20"/>
              <w:rPr>
                <w:rFonts w:ascii="Times New Roman" w:hAnsi="Times New Roman" w:cs="Times New Roman"/>
                <w:noProof/>
              </w:rPr>
            </w:pPr>
          </w:p>
        </w:tc>
        <w:tc>
          <w:tcPr>
            <w:tcW w:w="1290" w:type="dxa"/>
            <w:shd w:val="clear" w:color="auto" w:fill="FBF7C2"/>
          </w:tcPr>
          <w:p>
            <w:pPr>
              <w:keepNext/>
              <w:spacing w:before="20" w:after="20"/>
              <w:rPr>
                <w:rFonts w:ascii="Times New Roman" w:hAnsi="Times New Roman" w:cs="Times New Roman"/>
                <w:noProof/>
              </w:rPr>
            </w:pPr>
          </w:p>
        </w:tc>
        <w:tc>
          <w:tcPr>
            <w:tcW w:w="1291" w:type="dxa"/>
            <w:shd w:val="clear" w:color="auto" w:fill="E6E7E8"/>
          </w:tcPr>
          <w:p>
            <w:pPr>
              <w:keepNext/>
              <w:spacing w:before="20" w:after="20"/>
              <w:rPr>
                <w:rFonts w:ascii="Times New Roman" w:hAnsi="Times New Roman" w:cs="Times New Roman"/>
                <w:noProof/>
              </w:rPr>
            </w:pPr>
          </w:p>
        </w:tc>
      </w:tr>
      <w:tr>
        <w:tc>
          <w:tcPr>
            <w:tcW w:w="602" w:type="dxa"/>
            <w:vMerge/>
            <w:shd w:val="clear" w:color="auto" w:fill="FFFFFF" w:themeFill="background1"/>
          </w:tcPr>
          <w:p>
            <w:pPr>
              <w:keepNext/>
              <w:spacing w:before="20" w:after="20"/>
              <w:jc w:val="center"/>
              <w:rPr>
                <w:rFonts w:ascii="Times New Roman" w:hAnsi="Times New Roman" w:cs="Times New Roman"/>
                <w:noProof/>
              </w:rPr>
            </w:pPr>
          </w:p>
        </w:tc>
        <w:tc>
          <w:tcPr>
            <w:tcW w:w="1701" w:type="dxa"/>
            <w:shd w:val="clear" w:color="auto" w:fill="FFFFFF" w:themeFill="background1"/>
          </w:tcPr>
          <w:p>
            <w:pPr>
              <w:keepNext/>
              <w:spacing w:before="20" w:after="20"/>
              <w:rPr>
                <w:rFonts w:ascii="Times New Roman" w:hAnsi="Times New Roman" w:cs="Times New Roman"/>
                <w:noProof/>
              </w:rPr>
            </w:pPr>
            <w:r>
              <w:rPr>
                <w:rFonts w:ascii="Times New Roman" w:hAnsi="Times New Roman" w:cs="Times New Roman"/>
                <w:noProof/>
              </w:rPr>
              <w:t>Elasmobranchs</w:t>
            </w:r>
          </w:p>
        </w:tc>
        <w:tc>
          <w:tcPr>
            <w:tcW w:w="1290" w:type="dxa"/>
            <w:shd w:val="clear" w:color="auto" w:fill="FAA85F"/>
          </w:tcPr>
          <w:p>
            <w:pPr>
              <w:keepNext/>
              <w:spacing w:before="20" w:after="20"/>
              <w:rPr>
                <w:rFonts w:ascii="Times New Roman" w:hAnsi="Times New Roman" w:cs="Times New Roman"/>
                <w:noProof/>
              </w:rPr>
            </w:pPr>
          </w:p>
        </w:tc>
        <w:tc>
          <w:tcPr>
            <w:tcW w:w="1290" w:type="dxa"/>
            <w:shd w:val="clear" w:color="auto" w:fill="FAA85F"/>
          </w:tcPr>
          <w:p>
            <w:pPr>
              <w:keepNext/>
              <w:spacing w:before="20" w:after="20"/>
              <w:rPr>
                <w:rFonts w:ascii="Times New Roman" w:hAnsi="Times New Roman" w:cs="Times New Roman"/>
                <w:noProof/>
              </w:rPr>
            </w:pPr>
          </w:p>
        </w:tc>
        <w:tc>
          <w:tcPr>
            <w:tcW w:w="1291" w:type="dxa"/>
            <w:shd w:val="clear" w:color="auto" w:fill="E7E6E6" w:themeFill="background2"/>
          </w:tcPr>
          <w:p>
            <w:pPr>
              <w:keepNext/>
              <w:spacing w:before="20" w:after="20"/>
              <w:rPr>
                <w:rFonts w:ascii="Times New Roman" w:hAnsi="Times New Roman" w:cs="Times New Roman"/>
                <w:noProof/>
              </w:rPr>
            </w:pPr>
          </w:p>
        </w:tc>
        <w:tc>
          <w:tcPr>
            <w:tcW w:w="1290" w:type="dxa"/>
            <w:shd w:val="clear" w:color="auto" w:fill="DC4D28"/>
          </w:tcPr>
          <w:p>
            <w:pPr>
              <w:keepNext/>
              <w:spacing w:before="20" w:after="20"/>
              <w:rPr>
                <w:rFonts w:ascii="Times New Roman" w:hAnsi="Times New Roman" w:cs="Times New Roman"/>
                <w:noProof/>
              </w:rPr>
            </w:pPr>
          </w:p>
        </w:tc>
        <w:tc>
          <w:tcPr>
            <w:tcW w:w="1291" w:type="dxa"/>
            <w:shd w:val="clear" w:color="auto" w:fill="auto"/>
          </w:tcPr>
          <w:p>
            <w:pPr>
              <w:keepNext/>
              <w:spacing w:before="20" w:after="20"/>
              <w:jc w:val="center"/>
              <w:rPr>
                <w:rFonts w:ascii="Times New Roman" w:hAnsi="Times New Roman" w:cs="Times New Roman"/>
                <w:noProof/>
              </w:rPr>
            </w:pPr>
            <w:r>
              <w:rPr>
                <w:rFonts w:ascii="Times New Roman" w:hAnsi="Times New Roman" w:cs="Times New Roman"/>
                <w:noProof/>
              </w:rPr>
              <w:t>n/a</w:t>
            </w:r>
          </w:p>
        </w:tc>
      </w:tr>
      <w:tr>
        <w:tc>
          <w:tcPr>
            <w:tcW w:w="602" w:type="dxa"/>
            <w:vMerge/>
            <w:shd w:val="clear" w:color="auto" w:fill="FFFFFF" w:themeFill="background1"/>
          </w:tcPr>
          <w:p>
            <w:pPr>
              <w:keepNext/>
              <w:spacing w:before="20" w:after="20"/>
              <w:jc w:val="center"/>
              <w:rPr>
                <w:rFonts w:ascii="Times New Roman" w:hAnsi="Times New Roman" w:cs="Times New Roman"/>
                <w:noProof/>
              </w:rPr>
            </w:pPr>
          </w:p>
        </w:tc>
        <w:tc>
          <w:tcPr>
            <w:tcW w:w="1701" w:type="dxa"/>
            <w:shd w:val="clear" w:color="auto" w:fill="FFFFFF" w:themeFill="background1"/>
          </w:tcPr>
          <w:p>
            <w:pPr>
              <w:keepNext/>
              <w:spacing w:before="20" w:after="20"/>
              <w:rPr>
                <w:rFonts w:ascii="Times New Roman" w:hAnsi="Times New Roman" w:cs="Times New Roman"/>
                <w:noProof/>
              </w:rPr>
            </w:pPr>
            <w:r>
              <w:rPr>
                <w:rFonts w:ascii="Times New Roman" w:hAnsi="Times New Roman" w:cs="Times New Roman"/>
                <w:noProof/>
              </w:rPr>
              <w:t>Cephalopods</w:t>
            </w:r>
          </w:p>
        </w:tc>
        <w:tc>
          <w:tcPr>
            <w:tcW w:w="1290" w:type="dxa"/>
            <w:shd w:val="clear" w:color="auto" w:fill="E6E7E8"/>
          </w:tcPr>
          <w:p>
            <w:pPr>
              <w:keepNext/>
              <w:spacing w:before="20" w:after="20"/>
              <w:rPr>
                <w:rFonts w:ascii="Times New Roman" w:hAnsi="Times New Roman" w:cs="Times New Roman"/>
                <w:noProof/>
              </w:rPr>
            </w:pPr>
          </w:p>
        </w:tc>
        <w:tc>
          <w:tcPr>
            <w:tcW w:w="1290" w:type="dxa"/>
            <w:shd w:val="clear" w:color="auto" w:fill="E6E7E8"/>
          </w:tcPr>
          <w:p>
            <w:pPr>
              <w:keepNext/>
              <w:spacing w:before="20" w:after="20"/>
              <w:rPr>
                <w:rFonts w:ascii="Times New Roman" w:hAnsi="Times New Roman" w:cs="Times New Roman"/>
                <w:noProof/>
              </w:rPr>
            </w:pPr>
          </w:p>
        </w:tc>
        <w:tc>
          <w:tcPr>
            <w:tcW w:w="1291" w:type="dxa"/>
            <w:shd w:val="clear" w:color="auto" w:fill="E6E7E8"/>
          </w:tcPr>
          <w:p>
            <w:pPr>
              <w:keepNext/>
              <w:spacing w:before="20" w:after="20"/>
              <w:rPr>
                <w:rFonts w:ascii="Times New Roman" w:hAnsi="Times New Roman" w:cs="Times New Roman"/>
                <w:noProof/>
              </w:rPr>
            </w:pPr>
          </w:p>
        </w:tc>
        <w:tc>
          <w:tcPr>
            <w:tcW w:w="1290" w:type="dxa"/>
            <w:shd w:val="clear" w:color="auto" w:fill="E6E7E8"/>
          </w:tcPr>
          <w:p>
            <w:pPr>
              <w:keepNext/>
              <w:spacing w:before="20" w:after="20"/>
              <w:rPr>
                <w:rFonts w:ascii="Times New Roman" w:hAnsi="Times New Roman" w:cs="Times New Roman"/>
                <w:noProof/>
              </w:rPr>
            </w:pPr>
          </w:p>
        </w:tc>
        <w:tc>
          <w:tcPr>
            <w:tcW w:w="1291" w:type="dxa"/>
            <w:shd w:val="clear" w:color="auto" w:fill="auto"/>
          </w:tcPr>
          <w:p>
            <w:pPr>
              <w:keepNext/>
              <w:spacing w:before="20" w:after="20"/>
              <w:jc w:val="center"/>
              <w:rPr>
                <w:rFonts w:ascii="Times New Roman" w:hAnsi="Times New Roman" w:cs="Times New Roman"/>
                <w:noProof/>
              </w:rPr>
            </w:pPr>
            <w:r>
              <w:rPr>
                <w:rFonts w:ascii="Times New Roman" w:hAnsi="Times New Roman" w:cs="Times New Roman"/>
                <w:noProof/>
              </w:rPr>
              <w:t>n/a</w:t>
            </w:r>
          </w:p>
        </w:tc>
      </w:tr>
      <w:tr>
        <w:tc>
          <w:tcPr>
            <w:tcW w:w="602" w:type="dxa"/>
            <w:vMerge/>
            <w:shd w:val="clear" w:color="auto" w:fill="FFFFFF" w:themeFill="background1"/>
          </w:tcPr>
          <w:p>
            <w:pPr>
              <w:keepNext/>
              <w:spacing w:before="20" w:after="20"/>
              <w:jc w:val="center"/>
              <w:rPr>
                <w:rFonts w:ascii="Times New Roman" w:hAnsi="Times New Roman" w:cs="Times New Roman"/>
                <w:noProof/>
              </w:rPr>
            </w:pPr>
          </w:p>
        </w:tc>
        <w:tc>
          <w:tcPr>
            <w:tcW w:w="1701" w:type="dxa"/>
            <w:shd w:val="clear" w:color="auto" w:fill="FFFFFF" w:themeFill="background1"/>
          </w:tcPr>
          <w:p>
            <w:pPr>
              <w:keepNext/>
              <w:spacing w:before="20" w:after="20"/>
              <w:rPr>
                <w:rFonts w:ascii="Times New Roman" w:hAnsi="Times New Roman" w:cs="Times New Roman"/>
                <w:noProof/>
              </w:rPr>
            </w:pPr>
            <w:r>
              <w:rPr>
                <w:rFonts w:ascii="Times New Roman" w:hAnsi="Times New Roman" w:cs="Times New Roman"/>
                <w:noProof/>
              </w:rPr>
              <w:t>Reptiles</w:t>
            </w:r>
          </w:p>
        </w:tc>
        <w:tc>
          <w:tcPr>
            <w:tcW w:w="1290" w:type="dxa"/>
            <w:shd w:val="clear" w:color="auto" w:fill="E6E7E8"/>
          </w:tcPr>
          <w:p>
            <w:pPr>
              <w:keepNext/>
              <w:spacing w:before="20" w:after="20"/>
              <w:rPr>
                <w:rFonts w:ascii="Times New Roman" w:hAnsi="Times New Roman" w:cs="Times New Roman"/>
                <w:noProof/>
              </w:rPr>
            </w:pPr>
          </w:p>
        </w:tc>
        <w:tc>
          <w:tcPr>
            <w:tcW w:w="1290" w:type="dxa"/>
            <w:shd w:val="clear" w:color="auto" w:fill="auto"/>
          </w:tcPr>
          <w:p>
            <w:pPr>
              <w:keepNext/>
              <w:spacing w:before="20" w:after="20"/>
              <w:jc w:val="center"/>
              <w:rPr>
                <w:rFonts w:ascii="Times New Roman" w:hAnsi="Times New Roman" w:cs="Times New Roman"/>
                <w:noProof/>
              </w:rPr>
            </w:pPr>
            <w:r>
              <w:rPr>
                <w:rFonts w:ascii="Times New Roman" w:hAnsi="Times New Roman" w:cs="Times New Roman"/>
                <w:noProof/>
              </w:rPr>
              <w:t>n/a</w:t>
            </w:r>
          </w:p>
        </w:tc>
        <w:tc>
          <w:tcPr>
            <w:tcW w:w="1291" w:type="dxa"/>
            <w:shd w:val="clear" w:color="auto" w:fill="E6E7E8"/>
          </w:tcPr>
          <w:p>
            <w:pPr>
              <w:keepNext/>
              <w:spacing w:before="20" w:after="20"/>
              <w:rPr>
                <w:rFonts w:ascii="Times New Roman" w:hAnsi="Times New Roman" w:cs="Times New Roman"/>
                <w:noProof/>
              </w:rPr>
            </w:pPr>
          </w:p>
        </w:tc>
        <w:tc>
          <w:tcPr>
            <w:tcW w:w="1290" w:type="dxa"/>
            <w:shd w:val="clear" w:color="auto" w:fill="DC4D28"/>
          </w:tcPr>
          <w:p>
            <w:pPr>
              <w:keepNext/>
              <w:spacing w:before="20" w:after="20"/>
              <w:rPr>
                <w:rFonts w:ascii="Times New Roman" w:hAnsi="Times New Roman" w:cs="Times New Roman"/>
                <w:noProof/>
              </w:rPr>
            </w:pPr>
          </w:p>
        </w:tc>
        <w:tc>
          <w:tcPr>
            <w:tcW w:w="1291" w:type="dxa"/>
            <w:shd w:val="clear" w:color="auto" w:fill="E6E7E8"/>
          </w:tcPr>
          <w:p>
            <w:pPr>
              <w:keepNext/>
              <w:spacing w:before="20" w:after="20"/>
              <w:rPr>
                <w:rFonts w:ascii="Times New Roman" w:hAnsi="Times New Roman" w:cs="Times New Roman"/>
                <w:noProof/>
              </w:rPr>
            </w:pPr>
          </w:p>
        </w:tc>
      </w:tr>
      <w:tr>
        <w:tc>
          <w:tcPr>
            <w:tcW w:w="602" w:type="dxa"/>
            <w:vMerge w:val="restart"/>
            <w:shd w:val="clear" w:color="auto" w:fill="FFFFFF" w:themeFill="background1"/>
            <w:textDirection w:val="btLr"/>
          </w:tcPr>
          <w:p>
            <w:pPr>
              <w:keepNext/>
              <w:spacing w:before="20" w:after="20"/>
              <w:ind w:left="113" w:right="113"/>
              <w:rPr>
                <w:rFonts w:ascii="Times New Roman" w:hAnsi="Times New Roman" w:cs="Times New Roman"/>
                <w:noProof/>
              </w:rPr>
            </w:pPr>
            <w:r>
              <w:rPr>
                <w:rFonts w:ascii="Times New Roman" w:hAnsi="Times New Roman" w:cs="Times New Roman"/>
                <w:noProof/>
              </w:rPr>
              <w:t>Habitats</w:t>
            </w:r>
          </w:p>
        </w:tc>
        <w:tc>
          <w:tcPr>
            <w:tcW w:w="1701" w:type="dxa"/>
            <w:shd w:val="clear" w:color="auto" w:fill="FFFFFF" w:themeFill="background1"/>
          </w:tcPr>
          <w:p>
            <w:pPr>
              <w:keepNext/>
              <w:spacing w:before="20" w:after="20"/>
              <w:rPr>
                <w:rFonts w:ascii="Times New Roman" w:hAnsi="Times New Roman" w:cs="Times New Roman"/>
                <w:noProof/>
              </w:rPr>
            </w:pPr>
            <w:r>
              <w:rPr>
                <w:rFonts w:ascii="Times New Roman" w:hAnsi="Times New Roman" w:cs="Times New Roman"/>
                <w:noProof/>
              </w:rPr>
              <w:t>Benthic</w:t>
            </w:r>
            <w:r>
              <w:rPr>
                <w:rStyle w:val="FootnoteReference"/>
                <w:rFonts w:ascii="Times New Roman" w:hAnsi="Times New Roman" w:cs="Times New Roman"/>
                <w:noProof/>
              </w:rPr>
              <w:footnoteReference w:id="8"/>
            </w:r>
          </w:p>
        </w:tc>
        <w:tc>
          <w:tcPr>
            <w:tcW w:w="1290" w:type="dxa"/>
            <w:shd w:val="clear" w:color="auto" w:fill="FBF7C2"/>
          </w:tcPr>
          <w:p>
            <w:pPr>
              <w:keepNext/>
              <w:spacing w:before="20" w:after="20"/>
              <w:rPr>
                <w:rFonts w:ascii="Times New Roman" w:hAnsi="Times New Roman" w:cs="Times New Roman"/>
                <w:noProof/>
              </w:rPr>
            </w:pPr>
          </w:p>
        </w:tc>
        <w:tc>
          <w:tcPr>
            <w:tcW w:w="1290" w:type="dxa"/>
            <w:shd w:val="clear" w:color="auto" w:fill="FBF7C2"/>
          </w:tcPr>
          <w:p>
            <w:pPr>
              <w:keepNext/>
              <w:spacing w:before="20" w:after="20"/>
              <w:rPr>
                <w:rFonts w:ascii="Times New Roman" w:hAnsi="Times New Roman" w:cs="Times New Roman"/>
                <w:noProof/>
              </w:rPr>
            </w:pPr>
          </w:p>
        </w:tc>
        <w:tc>
          <w:tcPr>
            <w:tcW w:w="1291" w:type="dxa"/>
            <w:shd w:val="clear" w:color="auto" w:fill="E6E7E8"/>
          </w:tcPr>
          <w:p>
            <w:pPr>
              <w:keepNext/>
              <w:spacing w:before="20" w:after="20"/>
              <w:rPr>
                <w:rFonts w:ascii="Times New Roman" w:hAnsi="Times New Roman" w:cs="Times New Roman"/>
                <w:noProof/>
              </w:rPr>
            </w:pPr>
          </w:p>
        </w:tc>
        <w:tc>
          <w:tcPr>
            <w:tcW w:w="1290" w:type="dxa"/>
            <w:shd w:val="clear" w:color="auto" w:fill="FAA85F"/>
          </w:tcPr>
          <w:p>
            <w:pPr>
              <w:keepNext/>
              <w:spacing w:before="20" w:after="20"/>
              <w:rPr>
                <w:rFonts w:ascii="Times New Roman" w:hAnsi="Times New Roman" w:cs="Times New Roman"/>
                <w:noProof/>
              </w:rPr>
            </w:pPr>
          </w:p>
        </w:tc>
        <w:tc>
          <w:tcPr>
            <w:tcW w:w="1291" w:type="dxa"/>
            <w:shd w:val="clear" w:color="auto" w:fill="DC4D28"/>
          </w:tcPr>
          <w:p>
            <w:pPr>
              <w:keepNext/>
              <w:spacing w:before="20" w:after="20"/>
              <w:rPr>
                <w:rFonts w:ascii="Times New Roman" w:hAnsi="Times New Roman" w:cs="Times New Roman"/>
                <w:noProof/>
              </w:rPr>
            </w:pPr>
          </w:p>
        </w:tc>
      </w:tr>
      <w:tr>
        <w:tc>
          <w:tcPr>
            <w:tcW w:w="602" w:type="dxa"/>
            <w:vMerge/>
            <w:shd w:val="clear" w:color="auto" w:fill="FFFFFF" w:themeFill="background1"/>
          </w:tcPr>
          <w:p>
            <w:pPr>
              <w:keepNext/>
              <w:spacing w:before="20" w:after="20"/>
              <w:rPr>
                <w:rFonts w:ascii="Times New Roman" w:hAnsi="Times New Roman" w:cs="Times New Roman"/>
                <w:noProof/>
              </w:rPr>
            </w:pPr>
          </w:p>
        </w:tc>
        <w:tc>
          <w:tcPr>
            <w:tcW w:w="1701" w:type="dxa"/>
            <w:shd w:val="clear" w:color="auto" w:fill="FFFFFF" w:themeFill="background1"/>
          </w:tcPr>
          <w:p>
            <w:pPr>
              <w:keepNext/>
              <w:spacing w:before="20" w:after="20"/>
              <w:rPr>
                <w:rFonts w:ascii="Times New Roman" w:hAnsi="Times New Roman" w:cs="Times New Roman"/>
                <w:noProof/>
              </w:rPr>
            </w:pPr>
            <w:r>
              <w:rPr>
                <w:rFonts w:ascii="Times New Roman" w:hAnsi="Times New Roman" w:cs="Times New Roman"/>
                <w:noProof/>
              </w:rPr>
              <w:t>Pelagic</w:t>
            </w:r>
          </w:p>
        </w:tc>
        <w:tc>
          <w:tcPr>
            <w:tcW w:w="1290" w:type="dxa"/>
            <w:shd w:val="clear" w:color="auto" w:fill="E6E7E8"/>
          </w:tcPr>
          <w:p>
            <w:pPr>
              <w:keepNext/>
              <w:spacing w:before="20" w:after="20"/>
              <w:rPr>
                <w:rFonts w:ascii="Times New Roman" w:hAnsi="Times New Roman" w:cs="Times New Roman"/>
                <w:noProof/>
              </w:rPr>
            </w:pPr>
          </w:p>
        </w:tc>
        <w:tc>
          <w:tcPr>
            <w:tcW w:w="1290" w:type="dxa"/>
            <w:shd w:val="clear" w:color="auto" w:fill="FBF7C2"/>
          </w:tcPr>
          <w:p>
            <w:pPr>
              <w:keepNext/>
              <w:spacing w:before="20" w:after="20"/>
              <w:rPr>
                <w:rFonts w:ascii="Times New Roman" w:hAnsi="Times New Roman" w:cs="Times New Roman"/>
                <w:noProof/>
              </w:rPr>
            </w:pPr>
          </w:p>
        </w:tc>
        <w:tc>
          <w:tcPr>
            <w:tcW w:w="1291" w:type="dxa"/>
            <w:shd w:val="clear" w:color="auto" w:fill="E6E7E8"/>
          </w:tcPr>
          <w:p>
            <w:pPr>
              <w:keepNext/>
              <w:spacing w:before="20" w:after="20"/>
              <w:rPr>
                <w:rFonts w:ascii="Times New Roman" w:hAnsi="Times New Roman" w:cs="Times New Roman"/>
                <w:noProof/>
              </w:rPr>
            </w:pPr>
          </w:p>
        </w:tc>
        <w:tc>
          <w:tcPr>
            <w:tcW w:w="1290" w:type="dxa"/>
          </w:tcPr>
          <w:p>
            <w:pPr>
              <w:keepNext/>
              <w:spacing w:before="20" w:after="20"/>
              <w:jc w:val="center"/>
              <w:rPr>
                <w:rFonts w:ascii="Times New Roman" w:hAnsi="Times New Roman" w:cs="Times New Roman"/>
                <w:noProof/>
              </w:rPr>
            </w:pPr>
            <w:r>
              <w:rPr>
                <w:rFonts w:ascii="Times New Roman" w:hAnsi="Times New Roman" w:cs="Times New Roman"/>
                <w:noProof/>
              </w:rPr>
              <w:t>n/a</w:t>
            </w:r>
          </w:p>
        </w:tc>
        <w:tc>
          <w:tcPr>
            <w:tcW w:w="1291" w:type="dxa"/>
            <w:shd w:val="clear" w:color="auto" w:fill="auto"/>
          </w:tcPr>
          <w:p>
            <w:pPr>
              <w:keepNext/>
              <w:spacing w:before="20" w:after="20"/>
              <w:jc w:val="center"/>
              <w:rPr>
                <w:rFonts w:ascii="Times New Roman" w:hAnsi="Times New Roman" w:cs="Times New Roman"/>
                <w:noProof/>
              </w:rPr>
            </w:pPr>
            <w:r>
              <w:rPr>
                <w:rFonts w:ascii="Times New Roman" w:hAnsi="Times New Roman" w:cs="Times New Roman"/>
                <w:noProof/>
              </w:rPr>
              <w:t>n/a</w:t>
            </w:r>
          </w:p>
        </w:tc>
      </w:tr>
    </w:tbl>
    <w:p>
      <w:pPr>
        <w:pStyle w:val="Caption"/>
        <w:rPr>
          <w:noProof/>
        </w:rPr>
      </w:pPr>
      <w:bookmarkStart w:id="11" w:name="_Ref30273752"/>
      <w:bookmarkStart w:id="12" w:name="_Ref30273724"/>
      <w:r>
        <w:rPr>
          <w:noProof/>
        </w:rPr>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bookmarkEnd w:id="11"/>
      <w:r>
        <w:rPr>
          <w:noProof/>
        </w:rPr>
        <w:t>: Summary of the main marine biodiversity assessments found at regional or pan-European level. More detailed evidence is presented in the following tables. Green: positive trends or status. Yellow: mixed or no clear trends. Orange: negative trends or low status. Red: very negative trends or bad status. Grey: insufficient data.</w:t>
      </w:r>
      <w:bookmarkEnd w:id="12"/>
    </w:p>
    <w:p>
      <w:pPr>
        <w:rPr>
          <w:noProof/>
        </w:rPr>
      </w:pPr>
      <w:r>
        <w:rPr>
          <w:noProof/>
        </w:rPr>
        <w:t xml:space="preserve">The general EU picture is worrying, with many knowledge gaps and an overall status that ranges from bad to moderate. </w:t>
      </w:r>
    </w:p>
    <w:p>
      <w:pPr>
        <w:pStyle w:val="Heading3"/>
        <w:rPr>
          <w:rStyle w:val="Emphasis"/>
          <w:i/>
          <w:iCs w:val="0"/>
          <w:noProof/>
        </w:rPr>
      </w:pPr>
      <w:bookmarkStart w:id="13" w:name="_Toc30404109"/>
      <w:r>
        <w:rPr>
          <w:rStyle w:val="Emphasis"/>
          <w:i/>
          <w:iCs w:val="0"/>
          <w:noProof/>
        </w:rPr>
        <w:t>Mammals</w:t>
      </w:r>
      <w:bookmarkEnd w:id="13"/>
    </w:p>
    <w:p>
      <w:pPr>
        <w:rPr>
          <w:noProof/>
        </w:rPr>
      </w:pPr>
      <w:r>
        <w:rPr>
          <w:noProof/>
        </w:rPr>
        <w:t xml:space="preserve">The abundance and condition of marine mammals, as top predators, can help indicate whether a marine ecosystem is in a good state or not. Seals and cetaceans (whales and dolphins) are assessed separately because they have different life histories and ecological requirements. Seals are also much easier to study and count because they come onto land to rest and to breed. Cetaceans range widely across Europe’s seas, and are therefore more difficult to monitor and there are generally not enough long synoptic time series to accurately assess the status of their populations. During the first MSFD cycle, the Regional Sea Conventions have greatly aligned their assessment methodologies with the MSFD requirements. In many cases, the Regional Sea Conventions play a leading role in the development and implementation of harmonised methods to assess the status of species and habitats. On the contrary, the IUCN criteria are not well aligned with the MSFD criteria, as they have been developed to determine the extinction risk of species, rather than their population status. </w:t>
      </w:r>
      <w:r>
        <w:rPr>
          <w:noProof/>
        </w:rPr>
        <w:fldChar w:fldCharType="begin"/>
      </w:r>
      <w:r>
        <w:rPr>
          <w:noProof/>
        </w:rPr>
        <w:instrText xml:space="preserve"> REF _Ref30340750 \h  \* MERGEFORMAT </w:instrText>
      </w:r>
      <w:r>
        <w:rPr>
          <w:noProof/>
        </w:rPr>
      </w:r>
      <w:r>
        <w:rPr>
          <w:noProof/>
        </w:rPr>
        <w:fldChar w:fldCharType="separate"/>
      </w:r>
      <w:r>
        <w:rPr>
          <w:noProof/>
        </w:rPr>
        <w:t>Table 3</w:t>
      </w:r>
      <w:r>
        <w:rPr>
          <w:noProof/>
        </w:rPr>
        <w:fldChar w:fldCharType="end"/>
      </w:r>
      <w:r>
        <w:rPr>
          <w:noProof/>
        </w:rPr>
        <w:t xml:space="preserve"> summarises all available assessments.</w:t>
      </w:r>
    </w:p>
    <w:tbl>
      <w:tblPr>
        <w:tblStyle w:val="TableGrid"/>
        <w:tblW w:w="889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00" w:firstRow="0" w:lastRow="0" w:firstColumn="0" w:lastColumn="0" w:noHBand="1" w:noVBand="1"/>
      </w:tblPr>
      <w:tblGrid>
        <w:gridCol w:w="1242"/>
        <w:gridCol w:w="7655"/>
      </w:tblGrid>
      <w:tr>
        <w:trPr>
          <w:trHeight w:val="729"/>
        </w:trPr>
        <w:tc>
          <w:tcPr>
            <w:tcW w:w="1242" w:type="dxa"/>
            <w:shd w:val="clear" w:color="auto" w:fill="FAA85F"/>
          </w:tcPr>
          <w:p>
            <w:pPr>
              <w:spacing w:after="120"/>
              <w:rPr>
                <w:rFonts w:ascii="Times New Roman" w:hAnsi="Times New Roman" w:cs="Times New Roman"/>
                <w:noProof/>
              </w:rPr>
            </w:pPr>
            <w:r>
              <w:rPr>
                <w:rFonts w:ascii="Times New Roman" w:hAnsi="Times New Roman" w:cs="Times New Roman"/>
                <w:noProof/>
              </w:rPr>
              <w:t>IUCN</w:t>
            </w:r>
          </w:p>
        </w:tc>
        <w:tc>
          <w:tcPr>
            <w:tcW w:w="7655" w:type="dxa"/>
          </w:tcPr>
          <w:p>
            <w:pPr>
              <w:spacing w:after="120"/>
              <w:rPr>
                <w:rFonts w:ascii="Times New Roman" w:hAnsi="Times New Roman" w:cs="Times New Roman"/>
                <w:noProof/>
              </w:rPr>
            </w:pPr>
            <w:r>
              <w:rPr>
                <w:rFonts w:ascii="Times New Roman" w:hAnsi="Times New Roman" w:cs="Times New Roman"/>
                <w:noProof/>
              </w:rPr>
              <w:t xml:space="preserve">In Red List assessments of status and trends in European seal populations, most species are of Least Concern, except for the Mediterranean monk seal </w:t>
            </w:r>
            <w:r>
              <w:rPr>
                <w:noProof/>
              </w:rPr>
              <w:fldChar w:fldCharType="begin"/>
            </w:r>
            <w:r>
              <w:rPr>
                <w:rFonts w:ascii="Times New Roman" w:hAnsi="Times New Roman" w:cs="Times New Roman"/>
                <w:noProof/>
              </w:rPr>
              <w:instrText xml:space="preserve"> ADDIN ZOTERO_ITEM CSL_CITATION {"citationID":"arihug2sru","properties":{"formattedCitation":"(Temple, H.J. and Terry, A., 2007)","plainCitation":"(Temple, H.J. and Terry, A., 2007)"},"citationItems":[{"id":76,"uris":["http://zotero.org/users/5337207/items/52UU2D2B"],"uri":["http://zotero.org/users/5337207/items/52UU2D2B"],"itemData":{"id":76,"type":"article","title":"The Status and Distribution of European Mammals. Luxembourg: Office for Official Publications of the European Communities. viii + 48pp, 210 x 297 mm","author":[{"family":"Temple, H.J. and Terry, A.","given":""}],"issued":{"date-parts":[["2007"]]}}}],"schema":"https://github.com/citation-style-language/schema/raw/master/csl-citation.json"} </w:instrText>
            </w:r>
            <w:r>
              <w:rPr>
                <w:noProof/>
              </w:rPr>
              <w:fldChar w:fldCharType="separate"/>
            </w:r>
            <w:r>
              <w:rPr>
                <w:rFonts w:ascii="Times New Roman" w:hAnsi="Times New Roman" w:cs="Times New Roman"/>
                <w:noProof/>
              </w:rPr>
              <w:t>(Temple and Terry, 2007)</w:t>
            </w:r>
            <w:r>
              <w:rPr>
                <w:noProof/>
              </w:rPr>
              <w:fldChar w:fldCharType="end"/>
            </w:r>
            <w:r>
              <w:rPr>
                <w:rFonts w:ascii="Times New Roman" w:hAnsi="Times New Roman" w:cs="Times New Roman"/>
                <w:noProof/>
              </w:rPr>
              <w:t xml:space="preserve">. Still, many trends are unknown (see </w:t>
            </w:r>
            <w:r>
              <w:rPr>
                <w:noProof/>
              </w:rPr>
              <w:fldChar w:fldCharType="begin"/>
            </w:r>
            <w:r>
              <w:rPr>
                <w:rFonts w:ascii="Times New Roman" w:hAnsi="Times New Roman" w:cs="Times New Roman"/>
                <w:noProof/>
              </w:rPr>
              <w:instrText xml:space="preserve"> REF _Ref30273945 \h  \* MERGEFORMAT </w:instrText>
            </w:r>
            <w:r>
              <w:rPr>
                <w:noProof/>
              </w:rPr>
            </w:r>
            <w:r>
              <w:rPr>
                <w:noProof/>
              </w:rPr>
              <w:fldChar w:fldCharType="separate"/>
            </w:r>
            <w:r>
              <w:rPr>
                <w:rFonts w:ascii="Times New Roman" w:hAnsi="Times New Roman" w:cs="Times New Roman"/>
                <w:noProof/>
              </w:rPr>
              <w:t>Table 10</w:t>
            </w:r>
            <w:r>
              <w:rPr>
                <w:noProof/>
              </w:rPr>
              <w:fldChar w:fldCharType="end"/>
            </w:r>
            <w:r>
              <w:rPr>
                <w:rFonts w:ascii="Times New Roman" w:hAnsi="Times New Roman" w:cs="Times New Roman"/>
                <w:noProof/>
              </w:rPr>
              <w:t>).</w:t>
            </w:r>
          </w:p>
        </w:tc>
      </w:tr>
      <w:tr>
        <w:trPr>
          <w:trHeight w:val="729"/>
        </w:trPr>
        <w:tc>
          <w:tcPr>
            <w:tcW w:w="1242" w:type="dxa"/>
            <w:shd w:val="clear" w:color="auto" w:fill="FAA85F"/>
          </w:tcPr>
          <w:p>
            <w:pPr>
              <w:spacing w:after="120"/>
              <w:rPr>
                <w:rFonts w:ascii="Times New Roman" w:hAnsi="Times New Roman" w:cs="Times New Roman"/>
                <w:noProof/>
              </w:rPr>
            </w:pPr>
            <w:r>
              <w:rPr>
                <w:rFonts w:ascii="Times New Roman" w:hAnsi="Times New Roman" w:cs="Times New Roman"/>
                <w:noProof/>
              </w:rPr>
              <w:t>Habitats Directive</w:t>
            </w:r>
          </w:p>
        </w:tc>
        <w:tc>
          <w:tcPr>
            <w:tcW w:w="7655" w:type="dxa"/>
          </w:tcPr>
          <w:p>
            <w:pPr>
              <w:spacing w:after="120"/>
              <w:rPr>
                <w:rFonts w:ascii="Times New Roman" w:hAnsi="Times New Roman" w:cs="Times New Roman"/>
                <w:noProof/>
              </w:rPr>
            </w:pPr>
            <w:r>
              <w:rPr>
                <w:rFonts w:ascii="Times New Roman" w:hAnsi="Times New Roman" w:cs="Times New Roman"/>
                <w:noProof/>
              </w:rPr>
              <w:t>While the Habitats Directive includes seven seals in its Annexes, three of them are vagrant in the EU waters and only four can be assessed: grey seal, Mediterranean monk seal, ringed seal and common or harbour seal.</w:t>
            </w:r>
          </w:p>
          <w:p>
            <w:pPr>
              <w:spacing w:after="120"/>
              <w:rPr>
                <w:rFonts w:ascii="Times New Roman" w:hAnsi="Times New Roman" w:cs="Times New Roman"/>
                <w:noProof/>
              </w:rPr>
            </w:pPr>
            <w:r>
              <w:rPr>
                <w:rFonts w:ascii="Times New Roman" w:hAnsi="Times New Roman" w:cs="Times New Roman"/>
                <w:noProof/>
              </w:rPr>
              <w:t xml:space="preserve">Only the monk seal populations in the Mediterranean and Macaronesia regions were reported in 2013 under Article 17 of the Habitats Directive where four member states reported unfavourable status, and one reported the status as unknown </w:t>
            </w:r>
            <w:r>
              <w:rPr>
                <w:noProof/>
              </w:rPr>
              <w:fldChar w:fldCharType="begin"/>
            </w:r>
            <w:r>
              <w:rPr>
                <w:rFonts w:ascii="Times New Roman" w:hAnsi="Times New Roman" w:cs="Times New Roman"/>
                <w:noProof/>
              </w:rPr>
              <w:instrText xml:space="preserve"> ADDIN ZOTERO_ITEM CSL_CITATION {"citationID":"loX813O2","properties":{"formattedCitation":"(European Environment Agency, 2013a)","plainCitation":"(European Environment Agency, 2013a)","noteIndex":0},"citationItems":[{"id":28309,"uris":["http://zotero.org/groups/2256879/items/7AEB4MZU"],"uri":["http://zotero.org/groups/2256879/items/7AEB4MZU"],"itemData":{"id":28309,"type":"webpage","title":"Conservation status of habitat types and species (Article 17, Habitats Directive 92/43/EEC)","container-title":"European Environment Agency","genre":"Data","abstract":"All Member States are requested by the Habitats Directive (1992) to monitor habitat types and species considered to be of Community interest.","URL":"https://www.eea.europa.eu/data-and-maps/data/article-17-database-habitats-directive-92-43-eec-1","language":"en","author":[{"family":"European Environment Agency","given":""}],"issued":{"date-parts":[["2013"]]},"accessed":{"date-parts":[["2019",2,13]]}}}],"schema":"https://github.com/citation-style-language/schema/raw/master/csl-citation.json"} </w:instrText>
            </w:r>
            <w:r>
              <w:rPr>
                <w:noProof/>
              </w:rPr>
              <w:fldChar w:fldCharType="separate"/>
            </w:r>
            <w:r>
              <w:rPr>
                <w:rFonts w:ascii="Times New Roman" w:hAnsi="Times New Roman" w:cs="Times New Roman"/>
                <w:noProof/>
              </w:rPr>
              <w:t>(EEA, 2013a)</w:t>
            </w:r>
            <w:r>
              <w:rPr>
                <w:noProof/>
              </w:rPr>
              <w:fldChar w:fldCharType="end"/>
            </w:r>
            <w:r>
              <w:rPr>
                <w:rFonts w:ascii="Times New Roman" w:hAnsi="Times New Roman" w:cs="Times New Roman"/>
                <w:noProof/>
              </w:rPr>
              <w:t>.</w:t>
            </w:r>
          </w:p>
        </w:tc>
      </w:tr>
      <w:tr>
        <w:trPr>
          <w:trHeight w:val="729"/>
        </w:trPr>
        <w:tc>
          <w:tcPr>
            <w:tcW w:w="1242" w:type="dxa"/>
            <w:shd w:val="clear" w:color="auto" w:fill="FBF7C2"/>
          </w:tcPr>
          <w:p>
            <w:pPr>
              <w:spacing w:after="120"/>
              <w:rPr>
                <w:rFonts w:ascii="Times New Roman" w:hAnsi="Times New Roman" w:cs="Times New Roman"/>
                <w:noProof/>
              </w:rPr>
            </w:pPr>
            <w:r>
              <w:rPr>
                <w:rFonts w:ascii="Times New Roman" w:hAnsi="Times New Roman" w:cs="Times New Roman"/>
                <w:noProof/>
              </w:rPr>
              <w:t>OSPAR</w:t>
            </w:r>
          </w:p>
        </w:tc>
        <w:tc>
          <w:tcPr>
            <w:tcW w:w="7655" w:type="dxa"/>
          </w:tcPr>
          <w:p>
            <w:pPr>
              <w:spacing w:after="120"/>
              <w:rPr>
                <w:rFonts w:ascii="Times New Roman" w:hAnsi="Times New Roman" w:cs="Times New Roman"/>
                <w:noProof/>
              </w:rPr>
            </w:pPr>
            <w:r>
              <w:rPr>
                <w:rFonts w:ascii="Times New Roman" w:hAnsi="Times New Roman" w:cs="Times New Roman"/>
                <w:noProof/>
              </w:rPr>
              <w:t xml:space="preserve">In the non-Arctic OSPAR region grey seal populations are generally stable or increasing in most assessed areas although some harbour seal populations are declining </w:t>
            </w:r>
            <w:r>
              <w:rPr>
                <w:noProof/>
              </w:rPr>
              <w:fldChar w:fldCharType="begin"/>
            </w:r>
            <w:r>
              <w:rPr>
                <w:rFonts w:ascii="Times New Roman" w:hAnsi="Times New Roman" w:cs="Times New Roman"/>
                <w:noProof/>
              </w:rPr>
              <w:instrText xml:space="preserve"> ADDIN ZOTERO_ITEM CSL_CITATION {"citationID":"Vztjohzo","properties":{"formattedCitation":"(OSPAR Commission, 2017c)","plainCitation":"(OSPAR Commission, 2017c)","noteIndex":0},"citationItems":[{"id":28057,"uris":["http://zotero.org/groups/2256879/items/I9MBAGKT"],"uri":["http://zotero.org/groups/2256879/items/I9MBAGKT"],"itemData":{"id":28057,"type":"webpage","title":"OSPAR Intermediate Assessment 2017 Marine mammals","URL":"https://oap.ospar.org/en/ospar-assessments/intermediate-assessment-2017/key-messages-and-highlights/marine-mammals/","language":"en","author":[{"family":"OSPAR Commission","given":""}],"issued":{"date-parts":[["2017",4,7]]},"accessed":{"date-parts":[["2019",1,30]]}}}],"schema":"https://github.com/citation-style-language/schema/raw/master/csl-citation.json"} </w:instrText>
            </w:r>
            <w:r>
              <w:rPr>
                <w:noProof/>
              </w:rPr>
              <w:fldChar w:fldCharType="separate"/>
            </w:r>
            <w:r>
              <w:rPr>
                <w:rFonts w:ascii="Times New Roman" w:hAnsi="Times New Roman" w:cs="Times New Roman"/>
                <w:noProof/>
              </w:rPr>
              <w:t>(OSPAR, 2017a)</w:t>
            </w:r>
            <w:r>
              <w:rPr>
                <w:noProof/>
              </w:rPr>
              <w:fldChar w:fldCharType="end"/>
            </w:r>
            <w:r>
              <w:rPr>
                <w:rFonts w:ascii="Times New Roman" w:hAnsi="Times New Roman" w:cs="Times New Roman"/>
                <w:noProof/>
              </w:rPr>
              <w:t>.</w:t>
            </w:r>
          </w:p>
        </w:tc>
      </w:tr>
      <w:tr>
        <w:trPr>
          <w:trHeight w:val="940"/>
        </w:trPr>
        <w:tc>
          <w:tcPr>
            <w:tcW w:w="1242" w:type="dxa"/>
            <w:shd w:val="clear" w:color="auto" w:fill="FBF7C2"/>
          </w:tcPr>
          <w:p>
            <w:pPr>
              <w:spacing w:after="120"/>
              <w:rPr>
                <w:rFonts w:ascii="Times New Roman" w:hAnsi="Times New Roman" w:cs="Times New Roman"/>
                <w:noProof/>
              </w:rPr>
            </w:pPr>
            <w:r>
              <w:rPr>
                <w:rFonts w:ascii="Times New Roman" w:hAnsi="Times New Roman" w:cs="Times New Roman"/>
                <w:noProof/>
              </w:rPr>
              <w:t>HELCOM</w:t>
            </w:r>
          </w:p>
        </w:tc>
        <w:tc>
          <w:tcPr>
            <w:tcW w:w="7655" w:type="dxa"/>
          </w:tcPr>
          <w:p>
            <w:pPr>
              <w:spacing w:after="120"/>
              <w:rPr>
                <w:rFonts w:ascii="Times New Roman" w:hAnsi="Times New Roman" w:cs="Times New Roman"/>
                <w:noProof/>
              </w:rPr>
            </w:pPr>
            <w:r>
              <w:rPr>
                <w:rFonts w:ascii="Times New Roman" w:hAnsi="Times New Roman" w:cs="Times New Roman"/>
                <w:noProof/>
              </w:rPr>
              <w:t xml:space="preserve">In the Baltic Sea, grey seal populations are increasing but their nutritional and reproductive states are not good. Harbour seals are only in a good state in one sub-region and the state of the ringed seal population is critical with less than 100 animals </w:t>
            </w:r>
            <w:r>
              <w:rPr>
                <w:noProof/>
                <w:vertAlign w:val="superscript"/>
              </w:rPr>
              <w:fldChar w:fldCharType="begin"/>
            </w:r>
            <w:r>
              <w:rPr>
                <w:rFonts w:ascii="Times New Roman" w:hAnsi="Times New Roman" w:cs="Times New Roman"/>
                <w:noProof/>
                <w:vertAlign w:val="superscript"/>
              </w:rPr>
              <w:instrText xml:space="preserve"> ADDIN ZOTERO_ITEM CSL_CITATION {"citationID":"aqoqi0ulde","properties":{"formattedCitation":"(Helsinki Commission, 2018)","plainCitation":"(Helsinki Commission, 2018)"},"citationItems":[{"id":4,"uris":["http://zotero.org/groups/2256879/items/QMGXPPZY"],"uri":["http://zotero.org/groups/2256879/items/QMGXPPZY"],"itemData":{"id":4,"type":"report","title":"State of the Baltic Sea - Second HELCOM Holistic assessment 2011-2016.","collection-title":"Baltic Sea Environment Proceedings No. 155","publisher":"Helsinki Commission","publisher-place":"Helsinki, Finland","event-place":"Helsinki, Finland","URL":"www.helcom.fi/baltic-sea-trends/holistic-assessments/state-of-the-baltic-sea-2018/reports-and-materials/","author":[{"family":"Helsinki Commission","given":""}],"issued":{"date-parts":[["2018"]]}}}],"schema":"https://github.com/citation-style-language/schema/raw/master/csl-citation.json"} </w:instrText>
            </w:r>
            <w:r>
              <w:rPr>
                <w:noProof/>
                <w:vertAlign w:val="superscript"/>
              </w:rPr>
              <w:fldChar w:fldCharType="separate"/>
            </w:r>
            <w:r>
              <w:rPr>
                <w:rFonts w:ascii="Times New Roman" w:hAnsi="Times New Roman" w:cs="Times New Roman"/>
                <w:noProof/>
              </w:rPr>
              <w:t>(HELCOM, 2018a)</w:t>
            </w:r>
            <w:r>
              <w:rPr>
                <w:noProof/>
                <w:vertAlign w:val="superscript"/>
              </w:rPr>
              <w:fldChar w:fldCharType="end"/>
            </w:r>
            <w:r>
              <w:rPr>
                <w:rFonts w:ascii="Times New Roman" w:hAnsi="Times New Roman" w:cs="Times New Roman"/>
                <w:noProof/>
              </w:rPr>
              <w:t>.</w:t>
            </w:r>
          </w:p>
        </w:tc>
      </w:tr>
      <w:tr>
        <w:trPr>
          <w:trHeight w:val="743"/>
        </w:trPr>
        <w:tc>
          <w:tcPr>
            <w:tcW w:w="1242" w:type="dxa"/>
            <w:shd w:val="clear" w:color="auto" w:fill="FBF7C2"/>
          </w:tcPr>
          <w:p>
            <w:pPr>
              <w:spacing w:after="120"/>
              <w:rPr>
                <w:rFonts w:ascii="Times New Roman" w:hAnsi="Times New Roman" w:cs="Times New Roman"/>
                <w:noProof/>
              </w:rPr>
            </w:pPr>
            <w:r>
              <w:rPr>
                <w:rFonts w:ascii="Times New Roman" w:hAnsi="Times New Roman" w:cs="Times New Roman"/>
                <w:noProof/>
              </w:rPr>
              <w:t>UNEP-MAP</w:t>
            </w:r>
          </w:p>
        </w:tc>
        <w:tc>
          <w:tcPr>
            <w:tcW w:w="7655" w:type="dxa"/>
          </w:tcPr>
          <w:p>
            <w:pPr>
              <w:spacing w:after="120"/>
              <w:rPr>
                <w:rFonts w:ascii="Times New Roman" w:hAnsi="Times New Roman" w:cs="Times New Roman"/>
                <w:noProof/>
              </w:rPr>
            </w:pPr>
            <w:r>
              <w:rPr>
                <w:rFonts w:ascii="Times New Roman" w:hAnsi="Times New Roman" w:cs="Times New Roman"/>
                <w:noProof/>
              </w:rPr>
              <w:t xml:space="preserve">The distribution of monk seal in the Mediterranean remains stable or expanding though it is still endangered and systematic monitoring is needed to assess overall status </w:t>
            </w:r>
            <w:r>
              <w:rPr>
                <w:noProof/>
              </w:rPr>
              <w:fldChar w:fldCharType="begin"/>
            </w:r>
            <w:r>
              <w:rPr>
                <w:rFonts w:ascii="Times New Roman" w:hAnsi="Times New Roman" w:cs="Times New Roman"/>
                <w:noProof/>
              </w:rPr>
              <w:instrText xml:space="preserve"> ADDIN ZOTERO_ITEM CSL_CITATION {"citationID":"3mazOkuW","properties":{"formattedCitation":"(United Nations Environment Programme, 2018)","plainCitation":"(United Nations Environment Programme, 2018)"},"citationItems":[{"id":96,"uris":["http://zotero.org/groups/2256879/items/EHWBDJ9I"],"uri":["http://zotero.org/groups/2256879/items/EHWBDJ9I"],"itemData":{"id":96,"type":"webpage","title":"UNEPMAP QSR Biodiversity and Ecosystems (EO1)","URL":"https://www.medqsr.org/biodiversity-and-ecosystems-eo1","author":[{"family":"United Nations Environment Programme","given":"Mediterranean Action Plan (Barcelona Convention)"}],"issued":{"date-parts":[["2018"]]},"accessed":{"date-parts":[["2019",1,30]]}}}],"schema":"https://github.com/citation-style-language/schema/raw/master/csl-citation.json"} </w:instrText>
            </w:r>
            <w:r>
              <w:rPr>
                <w:noProof/>
              </w:rPr>
              <w:fldChar w:fldCharType="separate"/>
            </w:r>
            <w:r>
              <w:rPr>
                <w:rFonts w:ascii="Times New Roman" w:hAnsi="Times New Roman" w:cs="Times New Roman"/>
                <w:noProof/>
              </w:rPr>
              <w:t>(UNEP-MAP, 2018)</w:t>
            </w:r>
            <w:r>
              <w:rPr>
                <w:noProof/>
              </w:rPr>
              <w:fldChar w:fldCharType="end"/>
            </w:r>
            <w:r>
              <w:rPr>
                <w:rFonts w:ascii="Times New Roman" w:hAnsi="Times New Roman" w:cs="Times New Roman"/>
                <w:noProof/>
              </w:rPr>
              <w:t xml:space="preserve"> </w:t>
            </w:r>
          </w:p>
        </w:tc>
      </w:tr>
    </w:tbl>
    <w:p>
      <w:pPr>
        <w:pStyle w:val="Caption"/>
        <w:rPr>
          <w:noProof/>
        </w:rPr>
      </w:pPr>
      <w:bookmarkStart w:id="14" w:name="_Ref30340750"/>
      <w:bookmarkStart w:id="15" w:name="_Ref2611000"/>
      <w:r>
        <w:rPr>
          <w:noProof/>
        </w:rPr>
        <w:t xml:space="preserve">Table </w:t>
      </w:r>
      <w:r>
        <w:rPr>
          <w:noProof/>
        </w:rPr>
        <w:fldChar w:fldCharType="begin"/>
      </w:r>
      <w:r>
        <w:rPr>
          <w:noProof/>
        </w:rPr>
        <w:instrText xml:space="preserve"> SEQ Table \* ARABIC </w:instrText>
      </w:r>
      <w:r>
        <w:rPr>
          <w:noProof/>
        </w:rPr>
        <w:fldChar w:fldCharType="separate"/>
      </w:r>
      <w:r>
        <w:rPr>
          <w:noProof/>
        </w:rPr>
        <w:t>3</w:t>
      </w:r>
      <w:r>
        <w:rPr>
          <w:noProof/>
        </w:rPr>
        <w:fldChar w:fldCharType="end"/>
      </w:r>
      <w:bookmarkEnd w:id="14"/>
      <w:r>
        <w:rPr>
          <w:noProof/>
        </w:rPr>
        <w:t xml:space="preserve">: Conclusions from different assessments about the status of seals’ populations in the European seas. </w:t>
      </w:r>
    </w:p>
    <w:tbl>
      <w:tblPr>
        <w:tblStyle w:val="TableGrid"/>
        <w:tblW w:w="889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00" w:firstRow="0" w:lastRow="0" w:firstColumn="0" w:lastColumn="0" w:noHBand="1" w:noVBand="1"/>
      </w:tblPr>
      <w:tblGrid>
        <w:gridCol w:w="1242"/>
        <w:gridCol w:w="7655"/>
      </w:tblGrid>
      <w:tr>
        <w:trPr>
          <w:trHeight w:val="416"/>
        </w:trPr>
        <w:tc>
          <w:tcPr>
            <w:tcW w:w="1242" w:type="dxa"/>
            <w:shd w:val="clear" w:color="auto" w:fill="FAA85F"/>
          </w:tcPr>
          <w:p>
            <w:pPr>
              <w:spacing w:after="120"/>
              <w:rPr>
                <w:rFonts w:ascii="Times New Roman" w:hAnsi="Times New Roman" w:cs="Times New Roman"/>
                <w:noProof/>
              </w:rPr>
            </w:pPr>
            <w:r>
              <w:rPr>
                <w:rFonts w:ascii="Times New Roman" w:hAnsi="Times New Roman" w:cs="Times New Roman"/>
                <w:noProof/>
              </w:rPr>
              <w:t>IUCN</w:t>
            </w:r>
          </w:p>
        </w:tc>
        <w:tc>
          <w:tcPr>
            <w:tcW w:w="7655" w:type="dxa"/>
          </w:tcPr>
          <w:p>
            <w:pPr>
              <w:spacing w:after="120"/>
              <w:rPr>
                <w:rFonts w:ascii="Times New Roman" w:hAnsi="Times New Roman" w:cs="Times New Roman"/>
                <w:noProof/>
              </w:rPr>
            </w:pPr>
            <w:r>
              <w:rPr>
                <w:rFonts w:ascii="Times New Roman" w:hAnsi="Times New Roman" w:cs="Times New Roman"/>
                <w:noProof/>
              </w:rPr>
              <w:t xml:space="preserve">Of the 20 cetacean species present in European waters (excluding those with marginal occurrences), 60% were assessed as data deficient. 3 species were regarded as threatened (Atlantic right whale, Sei whale and Blue whale) while 2 species, harbour porpoises and sperm whales, were regarded as Near Threatened </w:t>
            </w:r>
            <w:r>
              <w:rPr>
                <w:noProof/>
              </w:rPr>
              <w:fldChar w:fldCharType="begin"/>
            </w:r>
            <w:r>
              <w:rPr>
                <w:rFonts w:ascii="Times New Roman" w:hAnsi="Times New Roman" w:cs="Times New Roman"/>
                <w:noProof/>
              </w:rPr>
              <w:instrText xml:space="preserve"> ADDIN ZOTERO_ITEM CSL_CITATION {"citationID":"a215rppohlq","properties":{"formattedCitation":"(Temple, H.J. and Terry, A., 2007)","plainCitation":"(Temple, H.J. and Terry, A., 2007)"},"citationItems":[{"id":76,"uris":["http://zotero.org/users/5337207/items/52UU2D2B"],"uri":["http://zotero.org/users/5337207/items/52UU2D2B"],"itemData":{"id":76,"type":"article","title":"The Status and Distribution of European Mammals. Luxembourg: Office for Official Publications of the European Communities. viii + 48pp, 210 x 297 mm","author":[{"family":"Temple, H.J. and Terry, A.","given":""}],"issued":{"date-parts":[["2007"]]}}}],"schema":"https://github.com/citation-style-language/schema/raw/master/csl-citation.json"} </w:instrText>
            </w:r>
            <w:r>
              <w:rPr>
                <w:noProof/>
              </w:rPr>
              <w:fldChar w:fldCharType="separate"/>
            </w:r>
            <w:r>
              <w:rPr>
                <w:rFonts w:ascii="Times New Roman" w:hAnsi="Times New Roman" w:cs="Times New Roman"/>
                <w:noProof/>
              </w:rPr>
              <w:t>(Temple and Terry, 2007)</w:t>
            </w:r>
            <w:r>
              <w:rPr>
                <w:noProof/>
              </w:rPr>
              <w:fldChar w:fldCharType="end"/>
            </w:r>
            <w:r>
              <w:rPr>
                <w:rFonts w:ascii="Times New Roman" w:hAnsi="Times New Roman" w:cs="Times New Roman"/>
                <w:noProof/>
              </w:rPr>
              <w:t>.</w:t>
            </w:r>
          </w:p>
        </w:tc>
      </w:tr>
      <w:tr>
        <w:trPr>
          <w:trHeight w:val="1055"/>
        </w:trPr>
        <w:tc>
          <w:tcPr>
            <w:tcW w:w="1242" w:type="dxa"/>
            <w:shd w:val="clear" w:color="auto" w:fill="E6E7E8"/>
          </w:tcPr>
          <w:p>
            <w:pPr>
              <w:spacing w:after="120"/>
              <w:rPr>
                <w:rFonts w:ascii="Times New Roman" w:hAnsi="Times New Roman" w:cs="Times New Roman"/>
                <w:noProof/>
              </w:rPr>
            </w:pPr>
            <w:r>
              <w:rPr>
                <w:rFonts w:ascii="Times New Roman" w:hAnsi="Times New Roman" w:cs="Times New Roman"/>
                <w:noProof/>
              </w:rPr>
              <w:t>Habitats Directive</w:t>
            </w:r>
          </w:p>
        </w:tc>
        <w:tc>
          <w:tcPr>
            <w:tcW w:w="7655" w:type="dxa"/>
          </w:tcPr>
          <w:p>
            <w:pPr>
              <w:spacing w:after="120"/>
              <w:rPr>
                <w:rFonts w:ascii="Times New Roman" w:hAnsi="Times New Roman" w:cs="Times New Roman"/>
                <w:noProof/>
              </w:rPr>
            </w:pPr>
            <w:r>
              <w:rPr>
                <w:rFonts w:ascii="Times New Roman" w:hAnsi="Times New Roman" w:cs="Times New Roman"/>
                <w:noProof/>
              </w:rPr>
              <w:t xml:space="preserve">In the 2013 reporting of the Habitats Directive for cetaceans in Annexes I, III and IV, the status was generally reported as ‘unknown’ (73% at European level, with 18% ‘unfavourable’ and 9% ‘favourable’). These proportions differed in the Black Sea (67% ‘unfavourable’, 3 cetaceans) and the Baltic Sea (100% ‘unfavourable’, 1 species </w:t>
            </w:r>
            <w:r>
              <w:rPr>
                <w:rFonts w:ascii="Times New Roman" w:hAnsi="Times New Roman" w:cs="Times New Roman"/>
                <w:i/>
                <w:noProof/>
              </w:rPr>
              <w:t>Phocoena phocoena</w:t>
            </w:r>
            <w:r>
              <w:rPr>
                <w:rFonts w:ascii="Times New Roman" w:hAnsi="Times New Roman" w:cs="Times New Roman"/>
                <w:noProof/>
              </w:rPr>
              <w:t>).</w:t>
            </w:r>
          </w:p>
        </w:tc>
      </w:tr>
      <w:tr>
        <w:trPr>
          <w:trHeight w:val="1055"/>
        </w:trPr>
        <w:tc>
          <w:tcPr>
            <w:tcW w:w="1242" w:type="dxa"/>
            <w:shd w:val="clear" w:color="auto" w:fill="E6E7E8"/>
          </w:tcPr>
          <w:p>
            <w:pPr>
              <w:spacing w:after="120"/>
              <w:rPr>
                <w:rFonts w:ascii="Times New Roman" w:hAnsi="Times New Roman" w:cs="Times New Roman"/>
                <w:noProof/>
              </w:rPr>
            </w:pPr>
            <w:r>
              <w:rPr>
                <w:rFonts w:ascii="Times New Roman" w:hAnsi="Times New Roman" w:cs="Times New Roman"/>
                <w:noProof/>
              </w:rPr>
              <w:t>OSPAR</w:t>
            </w:r>
          </w:p>
        </w:tc>
        <w:tc>
          <w:tcPr>
            <w:tcW w:w="7655" w:type="dxa"/>
          </w:tcPr>
          <w:p>
            <w:pPr>
              <w:spacing w:after="120"/>
              <w:rPr>
                <w:rFonts w:ascii="Times New Roman" w:hAnsi="Times New Roman" w:cs="Times New Roman"/>
                <w:noProof/>
              </w:rPr>
            </w:pPr>
            <w:r>
              <w:rPr>
                <w:rFonts w:ascii="Times New Roman" w:hAnsi="Times New Roman" w:cs="Times New Roman"/>
                <w:noProof/>
              </w:rPr>
              <w:t xml:space="preserve">In the OSPAR region, there is no evidence of changes in abundance for white-beaked dolphin, minke whale and harbour porpoise since 1994 </w:t>
            </w:r>
            <w:r>
              <w:rPr>
                <w:noProof/>
              </w:rPr>
              <w:fldChar w:fldCharType="begin"/>
            </w:r>
            <w:r>
              <w:rPr>
                <w:rFonts w:ascii="Times New Roman" w:hAnsi="Times New Roman" w:cs="Times New Roman"/>
                <w:noProof/>
              </w:rPr>
              <w:instrText xml:space="preserve"> ADDIN ZOTERO_ITEM CSL_CITATION {"citationID":"a1866jee3ak","properties":{"formattedCitation":"(OSPAR Commission, 2017c)","plainCitation":"(OSPAR Commission, 2017c)","noteIndex":0},"citationItems":[{"id":28057,"uris":["http://zotero.org/groups/2256879/items/I9MBAGKT"],"uri":["http://zotero.org/groups/2256879/items/I9MBAGKT"],"itemData":{"id":28057,"type":"webpage","title":"OSPAR Intermediate Assessment 2017 Marine mammals","URL":"https://oap.ospar.org/en/ospar-assessments/intermediate-assessment-2017/key-messages-and-highlights/marine-mammals/","language":"en","author":[{"family":"OSPAR Commission","given":""}],"issued":{"date-parts":[["2017",4,7]]},"accessed":{"date-parts":[["2019",1,30]]}}}],"schema":"https://github.com/citation-style-language/schema/raw/master/csl-citation.json"} </w:instrText>
            </w:r>
            <w:r>
              <w:rPr>
                <w:noProof/>
              </w:rPr>
              <w:fldChar w:fldCharType="separate"/>
            </w:r>
            <w:r>
              <w:rPr>
                <w:rFonts w:ascii="Times New Roman" w:hAnsi="Times New Roman" w:cs="Times New Roman"/>
                <w:noProof/>
              </w:rPr>
              <w:t>(OSPAR, 2017a)</w:t>
            </w:r>
            <w:r>
              <w:rPr>
                <w:noProof/>
              </w:rPr>
              <w:fldChar w:fldCharType="end"/>
            </w:r>
            <w:r>
              <w:rPr>
                <w:rFonts w:ascii="Times New Roman" w:hAnsi="Times New Roman" w:cs="Times New Roman"/>
                <w:noProof/>
              </w:rPr>
              <w:t xml:space="preserve">. There is insufficient evidence for other species except for some coastal bottlenose dolphin populations which have remained low but stable. </w:t>
            </w:r>
          </w:p>
          <w:p>
            <w:pPr>
              <w:spacing w:after="120"/>
              <w:rPr>
                <w:rFonts w:ascii="Times New Roman" w:hAnsi="Times New Roman" w:cs="Times New Roman"/>
                <w:noProof/>
              </w:rPr>
            </w:pPr>
            <w:r>
              <w:rPr>
                <w:rFonts w:ascii="Times New Roman" w:hAnsi="Times New Roman" w:cs="Times New Roman"/>
                <w:noProof/>
              </w:rPr>
              <w:t xml:space="preserve">An assessment of killer whales, another top predator in the North-east Atlantic Ocean, could only be performed as a pilot exercise due to lack of data. However, the potential impacts from accumulation of pollutants were noted as these could have led to a reduction in numbers due to reproductive failure </w:t>
            </w:r>
            <w:r>
              <w:rPr>
                <w:noProof/>
              </w:rPr>
              <w:fldChar w:fldCharType="begin"/>
            </w:r>
            <w:r>
              <w:rPr>
                <w:rFonts w:ascii="Times New Roman" w:hAnsi="Times New Roman" w:cs="Times New Roman"/>
                <w:noProof/>
              </w:rPr>
              <w:instrText xml:space="preserve"> ADDIN ZOTERO_ITEM CSL_CITATION {"citationID":"a1dii6en29c","properties":{"formattedCitation":"(OSPAR Commission, 2017d)","plainCitation":"(OSPAR Commission, 2017d)","noteIndex":0},"citationItems":[{"id":28055,"uris":["http://zotero.org/groups/2256879/items/9IS7DQR9"],"uri":["http://zotero.org/groups/2256879/items/9IS7DQR9"],"itemData":{"id":28055,"type":"webpage","title":"OSPAR Intermediate Assessment Abundance and Distribution of Cetaceans","URL":"https://oap.ospar.org/en/ospar-assessments/intermediate-assessment-2017/biodiversity-status/marine-mammals/abundance-distribution-cetaceans/abundance-and-distribution-cetaceans/","language":"en","author":[{"family":"OSPAR Commission","given":""}],"issued":{"date-parts":[["2017",4,5]]},"accessed":{"date-parts":[["2019",1,30]]}}}],"schema":"https://github.com/citation-style-language/schema/raw/master/csl-citation.json"} </w:instrText>
            </w:r>
            <w:r>
              <w:rPr>
                <w:noProof/>
              </w:rPr>
              <w:fldChar w:fldCharType="separate"/>
            </w:r>
            <w:r>
              <w:rPr>
                <w:rFonts w:ascii="Times New Roman" w:hAnsi="Times New Roman" w:cs="Times New Roman"/>
                <w:noProof/>
              </w:rPr>
              <w:t>(OSPAR, 2017b)</w:t>
            </w:r>
            <w:r>
              <w:rPr>
                <w:noProof/>
              </w:rPr>
              <w:fldChar w:fldCharType="end"/>
            </w:r>
            <w:r>
              <w:rPr>
                <w:rFonts w:ascii="Times New Roman" w:hAnsi="Times New Roman" w:cs="Times New Roman"/>
                <w:noProof/>
              </w:rPr>
              <w:t xml:space="preserve">. Recent scientific studies of populations of killer whales show adverse effects of PCB on their reproduction, threatening &gt;50% of the global population. This may cause the disappearance of killer whales from the most contaminated areas within 50 years despite PCB having been banned for 30 years. These waters include areas around the UK and around the Strait of Gibraltar </w:t>
            </w:r>
            <w:r>
              <w:rPr>
                <w:noProof/>
              </w:rPr>
              <w:fldChar w:fldCharType="begin"/>
            </w:r>
            <w:r>
              <w:rPr>
                <w:rFonts w:ascii="Times New Roman" w:hAnsi="Times New Roman" w:cs="Times New Roman"/>
                <w:noProof/>
              </w:rPr>
              <w:instrText xml:space="preserve"> ADDIN ZOTERO_ITEM CSL_CITATION {"citationID":"wvZUJ5o6","properties":{"formattedCitation":"(Desforges et al., 2018)","plainCitation":"(Desforges et al., 2018)","dontUpdate":true,"noteIndex":0},"citationItems":[{"id":24745,"uris":["http://zotero.org/groups/122386/items/6J97TFQK"],"uri":["http://zotero.org/groups/122386/items/6J97TFQK"],"itemData":{"id":24745,"type":"article-journal","title":"Predicting global killer whale population collapse from PCB pollution","container-title":"Science (New York, N.Y.)","page":"1373-1376","volume":"361","issue":"6409","source":"PubMed","abstract":"Killer whales (Orcinus orca) are among the most highly polychlorinated biphenyl (PCB)-contaminated mammals in the world, raising concern about the health consequences of current PCB exposures. Using an individual-based model framework and globally available data on PCB concentrations in killer whale tissues, we show that PCB-mediated effects on reproduction and immune function threaten the long-term viability of &gt;50% of the world's killer whale populations. PCB-mediated effects over the coming 100 years predicted that killer whale populations near industrialized regions, and those feeding at high trophic levels regardless of location, are at high risk of population collapse. Despite a near-global ban of PCBs more than 30 years ago, the world's killer whales illustrate the troubling persistence of this chemical class.","DOI":"10.1126/science.aat1953","ISSN":"1095-9203","note":"PMID: 30262502","journalAbbreviation":"Science","language":"eng","author":[{"family":"Desforges","given":"Jean-Pierre"},{"family":"Hall","given":"Ailsa"},{"family":"McConnell","given":"Bernie"},{"family":"Rosing-Asvid","given":"Aqqalu"},{"family":"Barber","given":"Jonathan L."},{"family":"Brownlow","given":"Andrew"},{"family":"De Guise","given":"Sylvain"},{"family":"Eulaers","given":"Igor"},{"family":"Jepson","given":"Paul D."},{"family":"Letcher","given":"Robert J."},{"family":"Levin","given":"Milton"},{"family":"Ross","given":"Peter S."},{"family":"Samarra","given":"Filipa"},{"family":"Víkingson","given":"Gísli"},{"family":"Sonne","given":"Christian"},{"family":"Dietz","given":"Rune"}],"issued":{"date-parts":[["2018"]],"season":"28"}}}],"schema":"https://github.com/citation-style-language/schema/raw/master/csl-citation.json"} </w:instrText>
            </w:r>
            <w:r>
              <w:rPr>
                <w:noProof/>
              </w:rPr>
              <w:fldChar w:fldCharType="separate"/>
            </w:r>
            <w:r>
              <w:rPr>
                <w:rFonts w:ascii="Times New Roman" w:hAnsi="Times New Roman" w:cs="Times New Roman"/>
                <w:noProof/>
              </w:rPr>
              <w:t>(Desforges et al., 2018</w:t>
            </w:r>
            <w:r>
              <w:rPr>
                <w:noProof/>
              </w:rPr>
              <w:fldChar w:fldCharType="end"/>
            </w:r>
            <w:r>
              <w:rPr>
                <w:rFonts w:ascii="Times New Roman" w:hAnsi="Times New Roman" w:cs="Times New Roman"/>
                <w:noProof/>
              </w:rPr>
              <w:t>).</w:t>
            </w:r>
          </w:p>
        </w:tc>
      </w:tr>
      <w:tr>
        <w:trPr>
          <w:trHeight w:val="693"/>
        </w:trPr>
        <w:tc>
          <w:tcPr>
            <w:tcW w:w="1242" w:type="dxa"/>
            <w:shd w:val="clear" w:color="auto" w:fill="FAA85F"/>
          </w:tcPr>
          <w:p>
            <w:pPr>
              <w:spacing w:after="120"/>
              <w:rPr>
                <w:rFonts w:ascii="Times New Roman" w:hAnsi="Times New Roman" w:cs="Times New Roman"/>
                <w:noProof/>
              </w:rPr>
            </w:pPr>
            <w:r>
              <w:rPr>
                <w:rFonts w:ascii="Times New Roman" w:hAnsi="Times New Roman" w:cs="Times New Roman"/>
                <w:noProof/>
              </w:rPr>
              <w:t>HELCOM</w:t>
            </w:r>
          </w:p>
        </w:tc>
        <w:tc>
          <w:tcPr>
            <w:tcW w:w="7655" w:type="dxa"/>
          </w:tcPr>
          <w:p>
            <w:pPr>
              <w:spacing w:after="120"/>
              <w:rPr>
                <w:rFonts w:ascii="Times New Roman" w:hAnsi="Times New Roman" w:cs="Times New Roman"/>
                <w:noProof/>
              </w:rPr>
            </w:pPr>
            <w:r>
              <w:rPr>
                <w:rFonts w:ascii="Times New Roman" w:hAnsi="Times New Roman" w:cs="Times New Roman"/>
                <w:noProof/>
              </w:rPr>
              <w:t xml:space="preserve">A particular concern is the local population of harbour porpoise in the Baltic Proper, with a population size recently estimated at around 500 animals </w:t>
            </w:r>
            <w:r>
              <w:rPr>
                <w:noProof/>
                <w:vertAlign w:val="superscript"/>
              </w:rPr>
              <w:fldChar w:fldCharType="begin"/>
            </w:r>
            <w:r>
              <w:rPr>
                <w:rFonts w:ascii="Times New Roman" w:hAnsi="Times New Roman" w:cs="Times New Roman"/>
                <w:noProof/>
                <w:vertAlign w:val="superscript"/>
              </w:rPr>
              <w:instrText xml:space="preserve"> ADDIN ZOTERO_ITEM CSL_CITATION {"citationID":"aqoqi0ulde","properties":{"formattedCitation":"(Helsinki Commission, 2018)","plainCitation":"(Helsinki Commission, 2018)"},"citationItems":[{"id":4,"uris":["http://zotero.org/groups/2256879/items/QMGXPPZY"],"uri":["http://zotero.org/groups/2256879/items/QMGXPPZY"],"itemData":{"id":4,"type":"report","title":"State of the Baltic Sea - Second HELCOM Holistic assessment 2011-2016.","collection-title":"Baltic Sea Environment Proceedings No. 155","publisher":"Helsinki Commission","publisher-place":"Helsinki, Finland","event-place":"Helsinki, Finland","URL":"www.helcom.fi/baltic-sea-trends/holistic-assessments/state-of-the-baltic-sea-2018/reports-and-materials/","author":[{"family":"Helsinki Commission","given":""}],"issued":{"date-parts":[["2018"]]}}}],"schema":"https://github.com/citation-style-language/schema/raw/master/csl-citation.json"} </w:instrText>
            </w:r>
            <w:r>
              <w:rPr>
                <w:noProof/>
                <w:vertAlign w:val="superscript"/>
              </w:rPr>
              <w:fldChar w:fldCharType="separate"/>
            </w:r>
            <w:r>
              <w:rPr>
                <w:rFonts w:ascii="Times New Roman" w:hAnsi="Times New Roman" w:cs="Times New Roman"/>
                <w:noProof/>
              </w:rPr>
              <w:t>(HELCOM, 2018a)</w:t>
            </w:r>
            <w:r>
              <w:rPr>
                <w:noProof/>
                <w:vertAlign w:val="superscript"/>
              </w:rPr>
              <w:fldChar w:fldCharType="end"/>
            </w:r>
            <w:r>
              <w:rPr>
                <w:rFonts w:ascii="Times New Roman" w:hAnsi="Times New Roman" w:cs="Times New Roman"/>
                <w:noProof/>
              </w:rPr>
              <w:t>.</w:t>
            </w:r>
          </w:p>
        </w:tc>
      </w:tr>
      <w:tr>
        <w:trPr>
          <w:trHeight w:val="627"/>
        </w:trPr>
        <w:tc>
          <w:tcPr>
            <w:tcW w:w="1242" w:type="dxa"/>
            <w:shd w:val="clear" w:color="auto" w:fill="FAA85F"/>
          </w:tcPr>
          <w:p>
            <w:pPr>
              <w:spacing w:after="120"/>
              <w:rPr>
                <w:rFonts w:ascii="Times New Roman" w:hAnsi="Times New Roman" w:cs="Times New Roman"/>
                <w:noProof/>
              </w:rPr>
            </w:pPr>
            <w:r>
              <w:rPr>
                <w:rFonts w:ascii="Times New Roman" w:hAnsi="Times New Roman" w:cs="Times New Roman"/>
                <w:noProof/>
              </w:rPr>
              <w:t>UNEP-MAP</w:t>
            </w:r>
          </w:p>
        </w:tc>
        <w:tc>
          <w:tcPr>
            <w:tcW w:w="7655" w:type="dxa"/>
          </w:tcPr>
          <w:p>
            <w:pPr>
              <w:spacing w:after="120"/>
              <w:rPr>
                <w:rFonts w:ascii="Times New Roman" w:hAnsi="Times New Roman" w:cs="Times New Roman"/>
                <w:noProof/>
              </w:rPr>
            </w:pPr>
            <w:r>
              <w:rPr>
                <w:rFonts w:ascii="Times New Roman" w:hAnsi="Times New Roman" w:cs="Times New Roman"/>
                <w:noProof/>
              </w:rPr>
              <w:t xml:space="preserve">In the Mediterranean Sea, there is some evidence of declining numbers of fin whales and common dolphins </w:t>
            </w:r>
            <w:r>
              <w:rPr>
                <w:noProof/>
              </w:rPr>
              <w:fldChar w:fldCharType="begin"/>
            </w:r>
            <w:r>
              <w:rPr>
                <w:rFonts w:ascii="Times New Roman" w:hAnsi="Times New Roman" w:cs="Times New Roman"/>
                <w:noProof/>
              </w:rPr>
              <w:instrText xml:space="preserve"> ADDIN ZOTERO_ITEM CSL_CITATION {"citationID":"a1amokqjk4t","properties":{"formattedCitation":"(United Nations Environment Programme, 2018)","plainCitation":"(United Nations Environment Programme, 2018)"},"citationItems":[{"id":96,"uris":["http://zotero.org/groups/2256879/items/EHWBDJ9I"],"uri":["http://zotero.org/groups/2256879/items/EHWBDJ9I"],"itemData":{"id":96,"type":"webpage","title":"UNEPMAP QSR Biodiversity and Ecosystems (EO1)","URL":"https://www.medqsr.org/biodiversity-and-ecosystems-eo1","author":[{"family":"United Nations Environment Programme","given":"Mediterranean Action Plan (Barcelona Convention)"}],"issued":{"date-parts":[["2018"]]},"accessed":{"date-parts":[["2019",1,30]]}}}],"schema":"https://github.com/citation-style-language/schema/raw/master/csl-citation.json"} </w:instrText>
            </w:r>
            <w:r>
              <w:rPr>
                <w:noProof/>
              </w:rPr>
              <w:fldChar w:fldCharType="separate"/>
            </w:r>
            <w:r>
              <w:rPr>
                <w:rFonts w:ascii="Times New Roman" w:hAnsi="Times New Roman" w:cs="Times New Roman"/>
                <w:noProof/>
              </w:rPr>
              <w:t>(UNEP-MAP, 2018)</w:t>
            </w:r>
            <w:r>
              <w:rPr>
                <w:noProof/>
              </w:rPr>
              <w:fldChar w:fldCharType="end"/>
            </w:r>
            <w:r>
              <w:rPr>
                <w:rFonts w:ascii="Times New Roman" w:hAnsi="Times New Roman" w:cs="Times New Roman"/>
                <w:noProof/>
              </w:rPr>
              <w:t xml:space="preserve">. Fin whale abundance in the Western Mediterranean was estimated as 3,500 in the mid-1990s </w:t>
            </w:r>
            <w:r>
              <w:rPr>
                <w:noProof/>
              </w:rPr>
              <w:fldChar w:fldCharType="begin"/>
            </w:r>
            <w:r>
              <w:rPr>
                <w:rFonts w:ascii="Times New Roman" w:hAnsi="Times New Roman" w:cs="Times New Roman"/>
                <w:noProof/>
              </w:rPr>
              <w:instrText xml:space="preserve"> ADDIN ZOTERO_ITEM CSL_CITATION {"citationID":"a1ieavh1cj0","properties":{"formattedCitation":"(Forcada Jaume, 2011)","plainCitation":"(Forcada Jaume, 2011)"},"citationItems":[{"id":285,"uris":["http://zotero.org/groups/2256879/items/ZAM2AAWU"],"uri":["http://zotero.org/groups/2256879/items/ZAM2AAWU"],"itemData":{"id":285,"type":"webpage","title":"Distribution and abundance of fin whales (Balaenoptera physalus) in the western Mediterranean Sea during the summer | Request PDF","container-title":"ResearchGate","abstract":"ResearchGate is a network dedicated to science and research. Connect, collaborate and discover scientific publications, jobs and conferences. All for free.","URL":"https://www.researchgate.net/publication/229587947_Distribution_and_abundance_of_fin_whales_Balaenoptera_physalus_in_the_western_Mediterranean_Sea_during_the_summer","language":"en","author":[{"family":"Forcada Jaume","given":"Aguilar Alex"}],"issued":{"date-parts":[["2011",10]]},"accessed":{"date-parts":[["2019",2,14]]}}}],"schema":"https://github.com/citation-style-language/schema/raw/master/csl-citation.json"} </w:instrText>
            </w:r>
            <w:r>
              <w:rPr>
                <w:noProof/>
              </w:rPr>
              <w:fldChar w:fldCharType="separate"/>
            </w:r>
            <w:r>
              <w:rPr>
                <w:rFonts w:ascii="Times New Roman" w:hAnsi="Times New Roman" w:cs="Times New Roman"/>
                <w:noProof/>
              </w:rPr>
              <w:t>(Forcada, 2011)</w:t>
            </w:r>
            <w:r>
              <w:rPr>
                <w:noProof/>
              </w:rPr>
              <w:fldChar w:fldCharType="end"/>
            </w:r>
            <w:r>
              <w:rPr>
                <w:rFonts w:ascii="Times New Roman" w:hAnsi="Times New Roman" w:cs="Times New Roman"/>
                <w:noProof/>
              </w:rPr>
              <w:t xml:space="preserve">, but more recent estimates in 2017 suggested 460 individuals. The first estimate, however, includes individuals entering the Mediterranean from the Atlantic Ocean, while the second estimate refers only to the Mediterranean residents. </w:t>
            </w:r>
            <w:r>
              <w:rPr>
                <w:rStyle w:val="CommentReference"/>
                <w:rFonts w:ascii="Times New Roman" w:eastAsia="Times New Roman" w:hAnsi="Times New Roman" w:cs="Times New Roman"/>
                <w:noProof/>
                <w:sz w:val="22"/>
                <w:szCs w:val="22"/>
                <w:lang w:eastAsia="en-GB"/>
              </w:rPr>
              <w:t xml:space="preserve"> </w:t>
            </w:r>
          </w:p>
        </w:tc>
      </w:tr>
    </w:tbl>
    <w:p>
      <w:pPr>
        <w:pStyle w:val="Caption"/>
        <w:rPr>
          <w:noProof/>
        </w:rPr>
      </w:pPr>
      <w:bookmarkStart w:id="16" w:name="_Ref1324648"/>
      <w:r>
        <w:rPr>
          <w:noProof/>
        </w:rPr>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r>
        <w:rPr>
          <w:noProof/>
        </w:rPr>
        <w:t xml:space="preserve">: Conclusions from different assessments about the status of cetaceans’ populations in the European seas. </w:t>
      </w:r>
    </w:p>
    <w:p>
      <w:pPr>
        <w:pStyle w:val="Heading3"/>
        <w:rPr>
          <w:rStyle w:val="Emphasis"/>
          <w:i/>
          <w:iCs w:val="0"/>
          <w:noProof/>
        </w:rPr>
      </w:pPr>
      <w:bookmarkStart w:id="17" w:name="_Toc30404110"/>
      <w:bookmarkEnd w:id="15"/>
      <w:bookmarkEnd w:id="16"/>
      <w:r>
        <w:rPr>
          <w:rStyle w:val="Emphasis"/>
          <w:i/>
          <w:iCs w:val="0"/>
          <w:noProof/>
        </w:rPr>
        <w:t>Birds</w:t>
      </w:r>
      <w:bookmarkEnd w:id="17"/>
    </w:p>
    <w:p>
      <w:pPr>
        <w:rPr>
          <w:noProof/>
        </w:rPr>
      </w:pPr>
      <w:bookmarkStart w:id="18" w:name="_Hlk536794600"/>
      <w:r>
        <w:rPr>
          <w:noProof/>
        </w:rPr>
        <w:t>There are around 150-200 species of birds in Europe that, at some point in their annual life cycle, are reliant on coastal and/or offshore marine areas (</w:t>
      </w:r>
      <w:r>
        <w:rPr>
          <w:noProof/>
        </w:rPr>
        <w:fldChar w:fldCharType="begin"/>
      </w:r>
      <w:r>
        <w:rPr>
          <w:noProof/>
        </w:rPr>
        <w:instrText xml:space="preserve"> ADDIN ZOTERO_ITEM CSL_CITATION {"citationID":"Wp0vbRaU","properties":{"formattedCitation":"(IUCN and BirdLife International, 2014)","plainCitation":"(IUCN and BirdLife International, 2014)"},"citationItems":[{"id":139,"uris":["http://zotero.org/groups/2256879/items/57AXKGFF"],"uri":["http://zotero.org/groups/2256879/items/57AXKGFF"],"itemData":{"id":139,"type":"webpage","title":"European Red List of Birds","container-title":"BirdLife","abstract":"Europe is home to more than 530 regularly occurring wild bird species, with a total estimated breeding population of around two billion pairs. Millions more migrate through the continent en route to Africa, and millions of others from the Arctic or Russia spend the winter in Europe., BirdLife is the world leader in Bird Conservation. Rigorous science and projects in important sites and habitats for the conservation of birds and all nature.","URL":"https://www.birdlife.org/europe-and-central-asia/european-red-list-birds-0","language":"en-us","author":[{"family":"IUCN","given":""},{"family":"BirdLife International","given":""}],"issued":{"date-parts":[["2014"]]},"accessed":{"date-parts":[["2019",1,31]]}}}],"schema":"https://github.com/citation-style-language/schema/raw/master/csl-citation.json"} </w:instrText>
      </w:r>
      <w:r>
        <w:rPr>
          <w:noProof/>
        </w:rPr>
        <w:fldChar w:fldCharType="separate"/>
      </w:r>
      <w:r>
        <w:rPr>
          <w:noProof/>
        </w:rPr>
        <w:t>IUCN and BirdLife International, 2014</w:t>
      </w:r>
      <w:r>
        <w:rPr>
          <w:noProof/>
        </w:rPr>
        <w:fldChar w:fldCharType="end"/>
      </w:r>
      <w:r>
        <w:rPr>
          <w:noProof/>
        </w:rPr>
        <w:t>). These include waders and waterbirds, such as ducks, geese, swans, divers and grebes; as well as birds that are usually referred to as seabirds: petrels, shearwaters, gannets, cormorants, skuas, gulls, terns and auks. The assessments below were based on monitoring data from breeding populations and/or non-breeding populations during migration or over the winter, depending on the species</w:t>
      </w:r>
      <w:bookmarkEnd w:id="18"/>
      <w:r>
        <w:rPr>
          <w:noProof/>
        </w:rPr>
        <w:t>, primarily for the OSPAR and HELCOM areas. Similar long-term trend data within the Mediterranean and Black Sea regions are rare.</w:t>
      </w:r>
    </w:p>
    <w:tbl>
      <w:tblPr>
        <w:tblStyle w:val="TableGrid"/>
        <w:tblW w:w="889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42"/>
        <w:gridCol w:w="7655"/>
      </w:tblGrid>
      <w:tr>
        <w:tc>
          <w:tcPr>
            <w:tcW w:w="1242" w:type="dxa"/>
            <w:shd w:val="clear" w:color="auto" w:fill="DC4D28"/>
          </w:tcPr>
          <w:p>
            <w:pPr>
              <w:spacing w:after="120"/>
              <w:rPr>
                <w:rFonts w:ascii="Times New Roman" w:eastAsia="ヒラギノ角ゴ Pro W3" w:hAnsi="Times New Roman" w:cs="Times New Roman"/>
                <w:noProof/>
              </w:rPr>
            </w:pPr>
            <w:r>
              <w:rPr>
                <w:rFonts w:ascii="Times New Roman" w:eastAsia="ヒラギノ角ゴ Pro W3" w:hAnsi="Times New Roman" w:cs="Times New Roman"/>
                <w:noProof/>
              </w:rPr>
              <w:t>IUCN</w:t>
            </w:r>
          </w:p>
        </w:tc>
        <w:tc>
          <w:tcPr>
            <w:tcW w:w="7655" w:type="dxa"/>
          </w:tcPr>
          <w:p>
            <w:pPr>
              <w:spacing w:after="120"/>
              <w:rPr>
                <w:rFonts w:ascii="Times New Roman" w:hAnsi="Times New Roman" w:cs="Times New Roman"/>
                <w:noProof/>
              </w:rPr>
            </w:pPr>
            <w:r>
              <w:rPr>
                <w:rFonts w:ascii="Times New Roman" w:hAnsi="Times New Roman" w:cs="Times New Roman"/>
                <w:noProof/>
              </w:rPr>
              <w:t xml:space="preserve">Birds associated with marine habitats in Europe have a relatively high proportion of threatened species (20%), which reflect the prevalence of human pressures such as habitat disturbance, bycatch and pollution, but also predation at colony sites often by invasive species </w:t>
            </w:r>
            <w:r>
              <w:rPr>
                <w:noProof/>
              </w:rPr>
              <w:fldChar w:fldCharType="begin"/>
            </w:r>
            <w:r>
              <w:rPr>
                <w:rFonts w:ascii="Times New Roman" w:hAnsi="Times New Roman" w:cs="Times New Roman"/>
                <w:noProof/>
              </w:rPr>
              <w:instrText xml:space="preserve"> ADDIN ZOTERO_ITEM CSL_CITATION {"citationID":"a15o8sfr2n6","properties":{"formattedCitation":"(IUCN and BirdLife International, 2014)","plainCitation":"(IUCN and BirdLife International, 2014)"},"citationItems":[{"id":139,"uris":["http://zotero.org/groups/2256879/items/57AXKGFF"],"uri":["http://zotero.org/groups/2256879/items/57AXKGFF"],"itemData":{"id":139,"type":"webpage","title":"European Red List of Birds","container-title":"BirdLife","abstract":"Europe is home to more than 530 regularly occurring wild bird species, with a total estimated breeding population of around two billion pairs. Millions more migrate through the continent en route to Africa, and millions of others from the Arctic or Russia spend the winter in Europe., BirdLife is the world leader in Bird Conservation. Rigorous science and projects in important sites and habitats for the conservation of birds and all nature.","URL":"https://www.birdlife.org/europe-and-central-asia/european-red-list-birds-0","language":"en-us","author":[{"family":"IUCN","given":""},{"family":"BirdLife International","given":""}],"issued":{"date-parts":[["2014"]]},"accessed":{"date-parts":[["2019",1,31]]}}}],"schema":"https://github.com/citation-style-language/schema/raw/master/csl-citation.json"} </w:instrText>
            </w:r>
            <w:r>
              <w:rPr>
                <w:noProof/>
              </w:rPr>
              <w:fldChar w:fldCharType="separate"/>
            </w:r>
            <w:r>
              <w:rPr>
                <w:rFonts w:ascii="Times New Roman" w:hAnsi="Times New Roman" w:cs="Times New Roman"/>
                <w:noProof/>
              </w:rPr>
              <w:t>(IUCN and BirdLife International, 2014)</w:t>
            </w:r>
            <w:r>
              <w:rPr>
                <w:noProof/>
              </w:rPr>
              <w:fldChar w:fldCharType="end"/>
            </w:r>
            <w:r>
              <w:rPr>
                <w:rFonts w:ascii="Times New Roman" w:hAnsi="Times New Roman" w:cs="Times New Roman"/>
                <w:noProof/>
              </w:rPr>
              <w:t xml:space="preserve"> This is the case for the Critically Endangered Balearic Shearwater. </w:t>
            </w:r>
          </w:p>
        </w:tc>
      </w:tr>
      <w:tr>
        <w:tc>
          <w:tcPr>
            <w:tcW w:w="1242" w:type="dxa"/>
            <w:shd w:val="clear" w:color="auto" w:fill="FAA85F"/>
          </w:tcPr>
          <w:p>
            <w:pPr>
              <w:spacing w:after="120"/>
              <w:rPr>
                <w:rFonts w:ascii="Times New Roman" w:hAnsi="Times New Roman" w:cs="Times New Roman"/>
                <w:noProof/>
              </w:rPr>
            </w:pPr>
            <w:r>
              <w:rPr>
                <w:rFonts w:ascii="Times New Roman" w:hAnsi="Times New Roman" w:cs="Times New Roman"/>
                <w:noProof/>
              </w:rPr>
              <w:t>OSPAR</w:t>
            </w:r>
          </w:p>
        </w:tc>
        <w:tc>
          <w:tcPr>
            <w:tcW w:w="7655" w:type="dxa"/>
          </w:tcPr>
          <w:p>
            <w:pPr>
              <w:spacing w:after="120"/>
              <w:rPr>
                <w:rFonts w:ascii="Times New Roman" w:hAnsi="Times New Roman" w:cs="Times New Roman"/>
                <w:noProof/>
              </w:rPr>
            </w:pPr>
            <w:r>
              <w:rPr>
                <w:rFonts w:ascii="Times New Roman" w:hAnsi="Times New Roman" w:cs="Times New Roman"/>
                <w:noProof/>
              </w:rPr>
              <w:t>Since the mid-2000s, the breeding abundance of more than a quarter of the marine bird species which breed in the OSPAR Maritime Area has been below the 1992 baseline, indicating that the populations are not healthy (</w:t>
            </w:r>
            <w:r>
              <w:rPr>
                <w:noProof/>
              </w:rPr>
              <w:fldChar w:fldCharType="begin"/>
            </w:r>
            <w:r>
              <w:rPr>
                <w:rFonts w:ascii="Times New Roman" w:hAnsi="Times New Roman" w:cs="Times New Roman"/>
                <w:noProof/>
              </w:rPr>
              <w:instrText xml:space="preserve"> REF _Ref30275491 \h  \* MERGEFORMAT </w:instrText>
            </w:r>
            <w:r>
              <w:rPr>
                <w:noProof/>
              </w:rPr>
            </w:r>
            <w:r>
              <w:rPr>
                <w:noProof/>
              </w:rPr>
              <w:fldChar w:fldCharType="separate"/>
            </w:r>
            <w:r>
              <w:rPr>
                <w:rFonts w:ascii="Times New Roman" w:hAnsi="Times New Roman" w:cs="Times New Roman"/>
                <w:noProof/>
              </w:rPr>
              <w:t>Figure 8</w:t>
            </w:r>
            <w:r>
              <w:rPr>
                <w:noProof/>
              </w:rPr>
              <w:fldChar w:fldCharType="end"/>
            </w:r>
            <w:r>
              <w:rPr>
                <w:rFonts w:ascii="Times New Roman" w:hAnsi="Times New Roman" w:cs="Times New Roman"/>
                <w:noProof/>
              </w:rPr>
              <w:t xml:space="preserve">) </w:t>
            </w:r>
            <w:r>
              <w:rPr>
                <w:noProof/>
              </w:rPr>
              <w:fldChar w:fldCharType="begin"/>
            </w:r>
            <w:r>
              <w:rPr>
                <w:rFonts w:ascii="Times New Roman" w:hAnsi="Times New Roman" w:cs="Times New Roman"/>
                <w:noProof/>
              </w:rPr>
              <w:instrText xml:space="preserve"> ADDIN ZOTERO_ITEM CSL_CITATION {"citationID":"lp58n4AP","properties":{"formattedCitation":"(OSPAR Commission, 2017b)","plainCitation":"(OSPAR Commission, 2017b)","noteIndex":0},"citationItems":[{"id":28038,"uris":["http://zotero.org/groups/2256879/items/NQ7VP7ZN"],"uri":["http://zotero.org/groups/2256879/items/NQ7VP7ZN"],"itemData":{"id":28038,"type":"webpage","title":"OSPAR Intermediate Assessment 2017 Marine birds in trouble","URL":"https://oap.ospar.org/en/ospar-assessments/intermediate-assessment-2017/key-messages-and-highlights/marine-birds-trouble/","language":"en","author":[{"family":"OSPAR Commission","given":""}],"issued":{"date-parts":[["2017",4,7]]},"accessed":{"date-parts":[["2019",1,31]]}}}],"schema":"https://github.com/citation-style-language/schema/raw/master/csl-citation.json"} </w:instrText>
            </w:r>
            <w:r>
              <w:rPr>
                <w:noProof/>
              </w:rPr>
              <w:fldChar w:fldCharType="separate"/>
            </w:r>
            <w:r>
              <w:rPr>
                <w:rFonts w:ascii="Times New Roman" w:hAnsi="Times New Roman" w:cs="Times New Roman"/>
                <w:noProof/>
              </w:rPr>
              <w:t>(OSPAR, 2017c)</w:t>
            </w:r>
            <w:r>
              <w:rPr>
                <w:noProof/>
              </w:rPr>
              <w:fldChar w:fldCharType="end"/>
            </w:r>
            <w:r>
              <w:rPr>
                <w:rFonts w:ascii="Times New Roman" w:hAnsi="Times New Roman" w:cs="Times New Roman"/>
                <w:noProof/>
              </w:rPr>
              <w:t xml:space="preserve">. A similar pattern was found in the non-breeding abundance of species that visit the Arctic Waters and Celtic Seas during migration and/or during winter. In contrast, non-breeding populations in the Greater North Sea are doing much better, and with 75% or more of species meeting assessment values in every year since 1993 are considered healthy </w:t>
            </w:r>
            <w:r>
              <w:rPr>
                <w:noProof/>
              </w:rPr>
              <w:fldChar w:fldCharType="begin"/>
            </w:r>
            <w:r>
              <w:rPr>
                <w:rFonts w:ascii="Times New Roman" w:hAnsi="Times New Roman" w:cs="Times New Roman"/>
                <w:noProof/>
              </w:rPr>
              <w:instrText xml:space="preserve"> ADDIN ZOTERO_ITEM CSL_CITATION {"citationID":"XwiBtr2V","properties":{"formattedCitation":"(OSPAR Commission, 2017b)","plainCitation":"(OSPAR Commission, 2017b)","noteIndex":0},"citationItems":[{"id":28038,"uris":["http://zotero.org/groups/2256879/items/NQ7VP7ZN"],"uri":["http://zotero.org/groups/2256879/items/NQ7VP7ZN"],"itemData":{"id":28038,"type":"webpage","title":"OSPAR Intermediate Assessment 2017 Marine birds in trouble","URL":"https://oap.ospar.org/en/ospar-assessments/intermediate-assessment-2017/key-messages-and-highlights/marine-birds-trouble/","language":"en","author":[{"family":"OSPAR Commission","given":""}],"issued":{"date-parts":[["2017",4,7]]},"accessed":{"date-parts":[["2019",1,31]]}}}],"schema":"https://github.com/citation-style-language/schema/raw/master/csl-citation.json"} </w:instrText>
            </w:r>
            <w:r>
              <w:rPr>
                <w:noProof/>
              </w:rPr>
              <w:fldChar w:fldCharType="separate"/>
            </w:r>
            <w:r>
              <w:rPr>
                <w:rFonts w:ascii="Times New Roman" w:hAnsi="Times New Roman" w:cs="Times New Roman"/>
                <w:noProof/>
              </w:rPr>
              <w:t>(OSPAR, 2017c)</w:t>
            </w:r>
            <w:r>
              <w:rPr>
                <w:noProof/>
              </w:rPr>
              <w:fldChar w:fldCharType="end"/>
            </w:r>
            <w:r>
              <w:rPr>
                <w:rFonts w:ascii="Times New Roman" w:hAnsi="Times New Roman" w:cs="Times New Roman"/>
                <w:noProof/>
              </w:rPr>
              <w:t xml:space="preserve">. Within the breeding birds, populations of water column feeders (e.g. gannets) were healthier than those in feeding at the surface, indicating changes in availability of small surface dwelling fish. This was also reflected in widespread breeding failure in surface-feeding species </w:t>
            </w:r>
            <w:r>
              <w:rPr>
                <w:noProof/>
              </w:rPr>
              <w:fldChar w:fldCharType="begin"/>
            </w:r>
            <w:r>
              <w:rPr>
                <w:rFonts w:ascii="Times New Roman" w:hAnsi="Times New Roman" w:cs="Times New Roman"/>
                <w:noProof/>
              </w:rPr>
              <w:instrText xml:space="preserve"> ADDIN ZOTERO_ITEM CSL_CITATION {"citationID":"a1l5q39hdkq","properties":{"formattedCitation":"(OSPAR Commission, 2017b)","plainCitation":"(OSPAR Commission, 2017b)","noteIndex":0},"citationItems":[{"id":28038,"uris":["http://zotero.org/groups/2256879/items/NQ7VP7ZN"],"uri":["http://zotero.org/groups/2256879/items/NQ7VP7ZN"],"itemData":{"id":28038,"type":"webpage","title":"OSPAR Intermediate Assessment 2017 Marine birds in trouble","URL":"https://oap.ospar.org/en/ospar-assessments/intermediate-assessment-2017/key-messages-and-highlights/marine-birds-trouble/","language":"en","author":[{"family":"OSPAR Commission","given":""}],"issued":{"date-parts":[["2017",4,7]]},"accessed":{"date-parts":[["2019",1,31]]}}}],"schema":"https://github.com/citation-style-language/schema/raw/master/csl-citation.json"} </w:instrText>
            </w:r>
            <w:r>
              <w:rPr>
                <w:noProof/>
              </w:rPr>
              <w:fldChar w:fldCharType="separate"/>
            </w:r>
            <w:r>
              <w:rPr>
                <w:rFonts w:ascii="Times New Roman" w:hAnsi="Times New Roman" w:cs="Times New Roman"/>
                <w:noProof/>
              </w:rPr>
              <w:t>(OSPAR, 2017c)</w:t>
            </w:r>
            <w:r>
              <w:rPr>
                <w:noProof/>
              </w:rPr>
              <w:fldChar w:fldCharType="end"/>
            </w:r>
            <w:r>
              <w:rPr>
                <w:rFonts w:ascii="Times New Roman" w:hAnsi="Times New Roman" w:cs="Times New Roman"/>
                <w:noProof/>
              </w:rPr>
              <w:t>.</w:t>
            </w:r>
          </w:p>
        </w:tc>
      </w:tr>
      <w:tr>
        <w:tc>
          <w:tcPr>
            <w:tcW w:w="1242" w:type="dxa"/>
            <w:shd w:val="clear" w:color="auto" w:fill="FAA85F"/>
          </w:tcPr>
          <w:p>
            <w:pPr>
              <w:spacing w:after="120"/>
              <w:rPr>
                <w:rFonts w:ascii="Times New Roman" w:hAnsi="Times New Roman" w:cs="Times New Roman"/>
                <w:noProof/>
              </w:rPr>
            </w:pPr>
            <w:r>
              <w:rPr>
                <w:rFonts w:ascii="Times New Roman" w:hAnsi="Times New Roman" w:cs="Times New Roman"/>
                <w:noProof/>
              </w:rPr>
              <w:t>HELCOM</w:t>
            </w:r>
          </w:p>
        </w:tc>
        <w:tc>
          <w:tcPr>
            <w:tcW w:w="7655" w:type="dxa"/>
          </w:tcPr>
          <w:p>
            <w:pPr>
              <w:spacing w:after="120"/>
              <w:rPr>
                <w:rFonts w:ascii="Times New Roman" w:hAnsi="Times New Roman" w:cs="Times New Roman"/>
                <w:noProof/>
              </w:rPr>
            </w:pPr>
            <w:r>
              <w:rPr>
                <w:rFonts w:ascii="Times New Roman" w:hAnsi="Times New Roman" w:cs="Times New Roman"/>
                <w:noProof/>
              </w:rPr>
              <w:t>A similar pattern of decline is suggested in the Baltic Sea where open sea species are considered to have strongly declining trends, though the formal assessment covered primarily coastal-dwelling species. Here, 31% of waterbirds in the breeding season have declined, compared to 18% of over-wintering species. The pattern of status for feeding groups differs in the HELCOM assessment from the OSPAR region, as in the Baltic Sea, surface and pelagic feeders have a good status (HELCOM, 2018a).</w:t>
            </w:r>
          </w:p>
        </w:tc>
      </w:tr>
      <w:tr>
        <w:tc>
          <w:tcPr>
            <w:tcW w:w="1242" w:type="dxa"/>
            <w:shd w:val="clear" w:color="auto" w:fill="FAA85F"/>
          </w:tcPr>
          <w:p>
            <w:pPr>
              <w:spacing w:after="120"/>
              <w:rPr>
                <w:rFonts w:ascii="Times New Roman" w:hAnsi="Times New Roman" w:cs="Times New Roman"/>
                <w:noProof/>
              </w:rPr>
            </w:pPr>
            <w:r>
              <w:rPr>
                <w:rFonts w:ascii="Times New Roman" w:hAnsi="Times New Roman" w:cs="Times New Roman"/>
                <w:noProof/>
              </w:rPr>
              <w:t>UNEP-MAP</w:t>
            </w:r>
          </w:p>
        </w:tc>
        <w:tc>
          <w:tcPr>
            <w:tcW w:w="7655" w:type="dxa"/>
          </w:tcPr>
          <w:p>
            <w:pPr>
              <w:keepNext/>
              <w:spacing w:after="120"/>
              <w:rPr>
                <w:rFonts w:ascii="Times New Roman" w:hAnsi="Times New Roman" w:cs="Times New Roman"/>
                <w:noProof/>
              </w:rPr>
            </w:pPr>
            <w:r>
              <w:rPr>
                <w:rFonts w:ascii="Times New Roman" w:hAnsi="Times New Roman" w:cs="Times New Roman"/>
                <w:noProof/>
              </w:rPr>
              <w:t xml:space="preserve">Status of birds from the Mediterranean Sea is unclear with most of the data coming from North-western areas. Trends in the critically endangered Balearic shearwater suggest marked declines </w:t>
            </w:r>
            <w:r>
              <w:rPr>
                <w:noProof/>
              </w:rPr>
              <w:fldChar w:fldCharType="begin"/>
            </w:r>
            <w:r>
              <w:rPr>
                <w:rFonts w:ascii="Times New Roman" w:hAnsi="Times New Roman" w:cs="Times New Roman"/>
                <w:noProof/>
              </w:rPr>
              <w:instrText xml:space="preserve"> ADDIN ZOTERO_ITEM CSL_CITATION {"citationID":"abjmk6djdt","properties":{"formattedCitation":"(United Nations Environment Programme, 2018)","plainCitation":"(United Nations Environment Programme, 2018)"},"citationItems":[{"id":96,"uris":["http://zotero.org/groups/2256879/items/EHWBDJ9I"],"uri":["http://zotero.org/groups/2256879/items/EHWBDJ9I"],"itemData":{"id":96,"type":"webpage","title":"UNEPMAP QSR Biodiversity and Ecosystems (EO1)","URL":"https://www.medqsr.org/biodiversity-and-ecosystems-eo1","author":[{"family":"United Nations Environment Programme","given":"Mediterranean Action Plan (Barcelona Convention)"}],"issued":{"date-parts":[["2018"]]},"accessed":{"date-parts":[["2019",1,30]]}}}],"schema":"https://github.com/citation-style-language/schema/raw/master/csl-citation.json"} </w:instrText>
            </w:r>
            <w:r>
              <w:rPr>
                <w:noProof/>
              </w:rPr>
              <w:fldChar w:fldCharType="separate"/>
            </w:r>
            <w:r>
              <w:rPr>
                <w:rFonts w:ascii="Times New Roman" w:hAnsi="Times New Roman" w:cs="Times New Roman"/>
                <w:noProof/>
              </w:rPr>
              <w:t>(UNEP-MAP, 2018)</w:t>
            </w:r>
            <w:r>
              <w:rPr>
                <w:noProof/>
              </w:rPr>
              <w:fldChar w:fldCharType="end"/>
            </w:r>
            <w:r>
              <w:rPr>
                <w:rFonts w:ascii="Times New Roman" w:hAnsi="Times New Roman" w:cs="Times New Roman"/>
                <w:noProof/>
              </w:rPr>
              <w:t xml:space="preserve"> primarily from predation by introduced land carnivores and from fisheries by-catch </w:t>
            </w:r>
            <w:r>
              <w:rPr>
                <w:noProof/>
              </w:rPr>
              <w:fldChar w:fldCharType="begin"/>
            </w:r>
            <w:r>
              <w:rPr>
                <w:rFonts w:ascii="Times New Roman" w:hAnsi="Times New Roman" w:cs="Times New Roman"/>
                <w:noProof/>
              </w:rPr>
              <w:instrText xml:space="preserve"> ADDIN ZOTERO_ITEM CSL_CITATION {"citationID":"a24e6vd0ma1","properties":{"formattedCitation":"(IUCN and BirdLife International, 2014)","plainCitation":"(IUCN and BirdLife International, 2014)"},"citationItems":[{"id":139,"uris":["http://zotero.org/groups/2256879/items/57AXKGFF"],"uri":["http://zotero.org/groups/2256879/items/57AXKGFF"],"itemData":{"id":139,"type":"webpage","title":"European Red List of Birds","container-title":"BirdLife","abstract":"Europe is home to more than 530 regularly occurring wild bird species, with a total estimated breeding population of around two billion pairs. Millions more migrate through the continent en route to Africa, and millions of others from the Arctic or Russia spend the winter in Europe., BirdLife is the world leader in Bird Conservation. Rigorous science and projects in important sites and habitats for the conservation of birds and all nature.","URL":"https://www.birdlife.org/europe-and-central-asia/european-red-list-birds-0","language":"en-us","author":[{"family":"IUCN","given":""},{"family":"BirdLife International","given":""}],"issued":{"date-parts":[["2014"]]},"accessed":{"date-parts":[["2019",1,31]]}}}],"schema":"https://github.com/citation-style-language/schema/raw/master/csl-citation.json"} </w:instrText>
            </w:r>
            <w:r>
              <w:rPr>
                <w:noProof/>
              </w:rPr>
              <w:fldChar w:fldCharType="separate"/>
            </w:r>
            <w:r>
              <w:rPr>
                <w:rFonts w:ascii="Times New Roman" w:hAnsi="Times New Roman" w:cs="Times New Roman"/>
                <w:noProof/>
              </w:rPr>
              <w:t>(IUCN and BirdLife International, 2014)</w:t>
            </w:r>
            <w:r>
              <w:rPr>
                <w:noProof/>
              </w:rPr>
              <w:fldChar w:fldCharType="end"/>
            </w:r>
            <w:r>
              <w:rPr>
                <w:rFonts w:ascii="Times New Roman" w:hAnsi="Times New Roman" w:cs="Times New Roman"/>
                <w:noProof/>
              </w:rPr>
              <w:t xml:space="preserve">. Of the 16 bird species regarded as Endangered or Vulnerable in the IUCN Red List assessment, all are marine species </w:t>
            </w:r>
            <w:r>
              <w:rPr>
                <w:noProof/>
              </w:rPr>
              <w:fldChar w:fldCharType="begin"/>
            </w:r>
            <w:r>
              <w:rPr>
                <w:rFonts w:ascii="Times New Roman" w:hAnsi="Times New Roman" w:cs="Times New Roman"/>
                <w:noProof/>
              </w:rPr>
              <w:instrText xml:space="preserve"> ADDIN ZOTERO_ITEM CSL_CITATION {"citationID":"a2esk78dq35","properties":{"formattedCitation":"(IUCN and BirdLife International, 2014)","plainCitation":"(IUCN and BirdLife International, 2014)"},"citationItems":[{"id":139,"uris":["http://zotero.org/groups/2256879/items/57AXKGFF"],"uri":["http://zotero.org/groups/2256879/items/57AXKGFF"],"itemData":{"id":139,"type":"webpage","title":"European Red List of Birds","container-title":"BirdLife","abstract":"Europe is home to more than 530 regularly occurring wild bird species, with a total estimated breeding population of around two billion pairs. Millions more migrate through the continent en route to Africa, and millions of others from the Arctic or Russia spend the winter in Europe., BirdLife is the world leader in Bird Conservation. Rigorous science and projects in important sites and habitats for the conservation of birds and all nature.","URL":"https://www.birdlife.org/europe-and-central-asia/european-red-list-birds-0","language":"en-us","author":[{"family":"IUCN","given":""},{"family":"BirdLife International","given":""}],"issued":{"date-parts":[["2014"]]},"accessed":{"date-parts":[["2019",1,31]]}}}],"schema":"https://github.com/citation-style-language/schema/raw/master/csl-citation.json"} </w:instrText>
            </w:r>
            <w:r>
              <w:rPr>
                <w:noProof/>
              </w:rPr>
              <w:fldChar w:fldCharType="separate"/>
            </w:r>
            <w:r>
              <w:rPr>
                <w:rFonts w:ascii="Times New Roman" w:hAnsi="Times New Roman" w:cs="Times New Roman"/>
                <w:noProof/>
              </w:rPr>
              <w:t>(IUCN and BirdLife International, 2014)</w:t>
            </w:r>
            <w:r>
              <w:rPr>
                <w:noProof/>
              </w:rPr>
              <w:fldChar w:fldCharType="end"/>
            </w:r>
            <w:r>
              <w:rPr>
                <w:rFonts w:ascii="Times New Roman" w:hAnsi="Times New Roman" w:cs="Times New Roman"/>
                <w:noProof/>
              </w:rPr>
              <w:t>.</w:t>
            </w:r>
          </w:p>
        </w:tc>
      </w:tr>
    </w:tbl>
    <w:p>
      <w:pPr>
        <w:pStyle w:val="Caption"/>
        <w:rPr>
          <w:noProof/>
        </w:rPr>
      </w:pPr>
      <w:bookmarkStart w:id="19" w:name="_Ref30342506"/>
      <w:bookmarkStart w:id="20" w:name="_Ref2611018"/>
      <w:r>
        <w:rPr>
          <w:noProof/>
        </w:rPr>
        <w:t xml:space="preserve">Table </w:t>
      </w:r>
      <w:r>
        <w:rPr>
          <w:noProof/>
        </w:rPr>
        <w:fldChar w:fldCharType="begin"/>
      </w:r>
      <w:r>
        <w:rPr>
          <w:noProof/>
        </w:rPr>
        <w:instrText xml:space="preserve"> SEQ Table \* ARABIC </w:instrText>
      </w:r>
      <w:r>
        <w:rPr>
          <w:noProof/>
        </w:rPr>
        <w:fldChar w:fldCharType="separate"/>
      </w:r>
      <w:r>
        <w:rPr>
          <w:noProof/>
        </w:rPr>
        <w:t>5</w:t>
      </w:r>
      <w:r>
        <w:rPr>
          <w:noProof/>
        </w:rPr>
        <w:fldChar w:fldCharType="end"/>
      </w:r>
      <w:bookmarkEnd w:id="19"/>
      <w:r>
        <w:rPr>
          <w:noProof/>
        </w:rPr>
        <w:t xml:space="preserve">: Conclusions from different assessments about the status of marine birds’ populations in the European seas. </w:t>
      </w:r>
    </w:p>
    <w:p>
      <w:pPr>
        <w:pStyle w:val="Heading3"/>
        <w:rPr>
          <w:rStyle w:val="Emphasis"/>
          <w:i/>
          <w:noProof/>
        </w:rPr>
      </w:pPr>
      <w:bookmarkStart w:id="21" w:name="_Toc30404111"/>
      <w:bookmarkEnd w:id="20"/>
      <w:r>
        <w:rPr>
          <w:rStyle w:val="Emphasis"/>
          <w:i/>
          <w:noProof/>
        </w:rPr>
        <w:t>Fish</w:t>
      </w:r>
      <w:bookmarkEnd w:id="21"/>
    </w:p>
    <w:p>
      <w:pPr>
        <w:rPr>
          <w:noProof/>
        </w:rPr>
      </w:pPr>
      <w:r>
        <w:rPr>
          <w:noProof/>
        </w:rPr>
        <w:t xml:space="preserve">There are over 1200 fish species in the North-east Atlantic Ocean and Mediterranean Sea </w:t>
      </w:r>
      <w:r>
        <w:rPr>
          <w:noProof/>
        </w:rPr>
        <w:fldChar w:fldCharType="begin"/>
      </w:r>
      <w:r>
        <w:rPr>
          <w:noProof/>
        </w:rPr>
        <w:instrText xml:space="preserve"> ADDIN ZOTERO_ITEM CSL_CITATION {"citationID":"a3in3v9ml7","properties":{"formattedCitation":"(Nieto et al., 2015)","plainCitation":"(Nieto et al., 2015)"},"citationItems":[{"id":111,"uris":["http://zotero.org/groups/2256879/items/7BTH6AZ7"],"uri":["http://zotero.org/groups/2256879/items/7BTH6AZ7"],"itemData":{"id":111,"type":"book","title":"IUCN European red list of marine fishes.","publisher":"Publications Office","publisher-place":"Luxembourg","source":"Open WorldCat","event-place":"Luxembourg","URL":"http://bookshop.europa.eu/uri?target=EUB:NOTICE:KH0215051:EN:HTML","ISBN":"978-92-79-45412-7","note":"OCLC: 954062324","language":"English","author":[{"family":"Nieto","given":"A"},{"family":"Ralph","given":"G. M"},{"family":"Comeros-Raynal","given":"M. T"},{"family":"Kemp","given":"J"},{"family":"García Criado","given":"M"},{"family":"Allen","given":"D. J"},{"family":"Dulvy","given":"N. K"},{"family":"Walls","given":"R. H. L"},{"family":"Russell","given":"B"},{"family":"Pollard","given":"D"},{"family":"García","given":"S"},{"family":"Craig","given":"M"},{"family":"Collette","given":"B. B"},{"family":"Pollom","given":"R"},{"family":"Biscoito","given":"M"},{"family":"Labbish Chao","given":"N"},{"family":"Abella","given":"A"},{"family":"Afonso","given":"P"},{"family":"Álvarez","given":"H"},{"family":"Carpenter","given":"K. E"},{"family":"Clò","given":"S"},{"family":"Cook","given":"R"},{"family":"Costa","given":"M. J"},{"family":"Delgado","given":"J"},{"family":"Dureuil","given":"M"},{"family":"Ellis","given":"J. R"},{"family":"Farrell","given":"E. D"},{"family":"Fernandes","given":"P"},{"family":"Florin","given":"A-B"},{"family":"Fordham","given":"S"},{"family":"Fowler","given":"S"},{"family":"Gil de Sola","given":"L"},{"family":"Gil Herrera","given":"J"},{"family":"Goodpaster","given":"A"},{"family":"Harvey","given":"M"},{"family":"Herler","given":"J"},{"family":"Jung","given":"A"},{"family":"Karmovskaya","given":"E"},{"family":"Keskin","given":"C"},{"family":"Knudsen","given":"S. W"},{"family":"Kobyliansky","given":"S"},{"family":"Kovačić","given":"M"},{"family":"Lawson","given":"J. M"},{"family":"Lorance","given":"P"},{"family":"McCully Phillips","given":"S"},{"family":"Munroe","given":"T"},{"family":"Nedreaas","given":"K"},{"family":"Nielsen","given":"J"},{"family":"Papaconstantinou","given":"C"},{"family":"Polidoro","given":"B"},{"family":"Pollock","given":"C. M"},{"family":"Rijnsdorp","given":"A. D"},{"family":"Sayer","given":"C"},{"family":"Scott","given":"J"},{"family":"Serena","given":"F"},{"family":"Smith-Vaniz","given":"W. F"},{"family":"Soldo","given":"A"},{"family":"Stump","given":"E"},{"family":"Williams","given":"J. T"},{"literal":"European Commission"},{"literal":"Directorate-General for the Environment"},{"literal":"International Union for Conservation of Nature"}],"issued":{"date-parts":[["2015"]]},"accessed":{"date-parts":[["2019",1,30]]}}}],"schema":"https://github.com/citation-style-language/schema/raw/master/csl-citation.json"} </w:instrText>
      </w:r>
      <w:r>
        <w:rPr>
          <w:noProof/>
        </w:rPr>
        <w:fldChar w:fldCharType="separate"/>
      </w:r>
      <w:r>
        <w:rPr>
          <w:noProof/>
        </w:rPr>
        <w:t>(Nieto et al., 2015)</w:t>
      </w:r>
      <w:r>
        <w:rPr>
          <w:noProof/>
        </w:rPr>
        <w:fldChar w:fldCharType="end"/>
      </w:r>
      <w:r>
        <w:rPr>
          <w:noProof/>
        </w:rPr>
        <w:t xml:space="preserve">, which includes both commercial and non-marketable species. 15% of these are endemic to the region. The areas with the highest diversity of fish species are the coast of Portugal, the archipelagos in Macaronesia and the western Mediterranean Sea which are also the areas with the highest number of threatened species </w:t>
      </w:r>
      <w:r>
        <w:rPr>
          <w:noProof/>
        </w:rPr>
        <w:fldChar w:fldCharType="begin"/>
      </w:r>
      <w:r>
        <w:rPr>
          <w:noProof/>
        </w:rPr>
        <w:instrText xml:space="preserve"> ADDIN ZOTERO_ITEM CSL_CITATION {"citationID":"d31OPY9P","properties":{"formattedCitation":"(Nieto et al., 2015; European Environment Agency, 2019)","plainCitation":"(Nieto et al., 2015; European Environment Agency, 2019)"},"citationItems":[{"id":111,"uris":["http://zotero.org/groups/2256879/items/7BTH6AZ7"],"uri":["http://zotero.org/groups/2256879/items/7BTH6AZ7"],"itemData":{"id":111,"type":"book","title":"IUCN European red list of marine fishes.","publisher":"Publications Office","publisher-place":"Luxembourg","source":"Open WorldCat","event-place":"Luxembourg","URL":"http://bookshop.europa.eu/uri?target=EUB:NOTICE:KH0215051:EN:HTML","ISBN":"978-92-79-45412-7","note":"OCLC: 954062324","language":"English","author":[{"family":"Nieto","given":"A"},{"family":"Ralph","given":"G. M"},{"family":"Comeros-Raynal","given":"M. T"},{"family":"Kemp","given":"J"},{"family":"García Criado","given":"M"},{"family":"Allen","given":"D. J"},{"family":"Dulvy","given":"N. K"},{"family":"Walls","given":"R. H. L"},{"family":"Russell","given":"B"},{"family":"Pollard","given":"D"},{"family":"García","given":"S"},{"family":"Craig","given":"M"},{"family":"Collette","given":"B. B"},{"family":"Pollom","given":"R"},{"family":"Biscoito","given":"M"},{"family":"Labbish Chao","given":"N"},{"family":"Abella","given":"A"},{"family":"Afonso","given":"P"},{"family":"Álvarez","given":"H"},{"family":"Carpenter","given":"K. E"},{"family":"Clò","given":"S"},{"family":"Cook","given":"R"},{"family":"Costa","given":"M. J"},{"family":"Delgado","given":"J"},{"family":"Dureuil","given":"M"},{"family":"Ellis","given":"J. R"},{"family":"Farrell","given":"E. D"},{"family":"Fernandes","given":"P"},{"family":"Florin","given":"A-B"},{"family":"Fordham","given":"S"},{"family":"Fowler","given":"S"},{"family":"Gil de Sola","given":"L"},{"family":"Gil Herrera","given":"J"},{"family":"Goodpaster","given":"A"},{"family":"Harvey","given":"M"},{"family":"Herler","given":"J"},{"family":"Jung","given":"A"},{"family":"Karmovskaya","given":"E"},{"family":"Keskin","given":"C"},{"family":"Knudsen","given":"S. W"},{"family":"Kobyliansky","given":"S"},{"family":"Kovačić","given":"M"},{"family":"Lawson","given":"J. M"},{"family":"Lorance","given":"P"},{"family":"McCully Phillips","given":"S"},{"family":"Munroe","given":"T"},{"family":"Nedreaas","given":"K"},{"family":"Nielsen","given":"J"},{"family":"Papaconstantinou","given":"C"},{"family":"Polidoro","given":"B"},{"family":"Pollock","given":"C. M"},{"family":"Rijnsdorp","given":"A. D"},{"family":"Sayer","given":"C"},{"family":"Scott","given":"J"},{"family":"Serena","given":"F"},{"family":"Smith-Vaniz","given":"W. F"},{"family":"Soldo","given":"A"},{"family":"Stump","given":"E"},{"family":"Williams","given":"J. T"},{"literal":"European Commission"},{"literal":"Directorate-General for the Environment"},{"literal":"International Union for Conservation of Nature"}],"issued":{"date-parts":[["2015"]]},"accessed":{"date-parts":[["2019",1,30]]}}},{"id":292,"uris":["http://zotero.org/groups/2256879/items/DN7TQCJH"],"uri":["http://zotero.org/groups/2256879/items/DN7TQCJH"],"itemData":{"id":292,"type":"webpage","title":"Marine fish stocks","container-title":"European Environment Agency","genre":"Briefing","abstract":"Information on the environment for those involved in developing, adopting, implementing and evaluating environmental policy, and also the general public","URL":"https://www.eea.europa.eu/airs/2018/natural-capital/marine-fish-stocks","language":"en","author":[{"family":"European Environment Agency","given":""}],"issued":{"date-parts":[["2019"]]},"accessed":{"date-parts":[["2019",2,15]]}}}],"schema":"https://github.com/citation-style-language/schema/raw/master/csl-citation.json"} </w:instrText>
      </w:r>
      <w:r>
        <w:rPr>
          <w:noProof/>
        </w:rPr>
        <w:fldChar w:fldCharType="separate"/>
      </w:r>
      <w:r>
        <w:rPr>
          <w:noProof/>
        </w:rPr>
        <w:t>(Nieto et al., 2015; EEA, 2019a)</w:t>
      </w:r>
      <w:r>
        <w:rPr>
          <w:noProof/>
        </w:rPr>
        <w:fldChar w:fldCharType="end"/>
      </w:r>
      <w:r>
        <w:rPr>
          <w:noProof/>
        </w:rPr>
        <w:t>. While fish populations appear to be recovering in the North-east Atlantic Ocean, populations in the Black and Mediterranean seas are under continuing downward pressures. This conclusion refers to commercial fish species and to fisheries subjected to several management measures, especially in the North-east Atlantic.</w:t>
      </w:r>
    </w:p>
    <w:tbl>
      <w:tblPr>
        <w:tblStyle w:val="TableGrid"/>
        <w:tblW w:w="889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42"/>
        <w:gridCol w:w="7655"/>
      </w:tblGrid>
      <w:tr>
        <w:tc>
          <w:tcPr>
            <w:tcW w:w="1242" w:type="dxa"/>
            <w:shd w:val="clear" w:color="auto" w:fill="FBF7C2"/>
          </w:tcPr>
          <w:p>
            <w:pPr>
              <w:spacing w:after="120"/>
              <w:rPr>
                <w:rFonts w:ascii="Times New Roman" w:eastAsia="ヒラギノ角ゴ Pro W3" w:hAnsi="Times New Roman" w:cs="Times New Roman"/>
                <w:noProof/>
              </w:rPr>
            </w:pPr>
            <w:r>
              <w:rPr>
                <w:rFonts w:ascii="Times New Roman" w:eastAsia="ヒラギノ角ゴ Pro W3" w:hAnsi="Times New Roman" w:cs="Times New Roman"/>
                <w:noProof/>
              </w:rPr>
              <w:t>IUCN</w:t>
            </w:r>
          </w:p>
        </w:tc>
        <w:tc>
          <w:tcPr>
            <w:tcW w:w="7655" w:type="dxa"/>
          </w:tcPr>
          <w:p>
            <w:pPr>
              <w:spacing w:after="120"/>
              <w:rPr>
                <w:rFonts w:ascii="Times New Roman" w:hAnsi="Times New Roman" w:cs="Times New Roman"/>
                <w:noProof/>
              </w:rPr>
            </w:pPr>
            <w:r>
              <w:rPr>
                <w:rFonts w:ascii="Times New Roman" w:hAnsi="Times New Roman" w:cs="Times New Roman"/>
                <w:noProof/>
              </w:rPr>
              <w:t xml:space="preserve">85 fish species (7 % of the total of European marine fish species) and 11 of the endemic species are either Threatened or Near Threatened under the IUCN Red List classification. </w:t>
            </w:r>
          </w:p>
          <w:p>
            <w:pPr>
              <w:spacing w:after="120"/>
              <w:rPr>
                <w:rFonts w:ascii="Times New Roman" w:hAnsi="Times New Roman" w:cs="Times New Roman"/>
                <w:noProof/>
              </w:rPr>
            </w:pPr>
            <w:r>
              <w:rPr>
                <w:rFonts w:ascii="Times New Roman" w:hAnsi="Times New Roman" w:cs="Times New Roman"/>
                <w:noProof/>
              </w:rPr>
              <w:t>Among the bony fish, only &lt;3 % of the species are classified threatened, but with the uncertainties related to the smaller species this share may theoretically extend up to 23 % if all data deficient species were threatened.</w:t>
            </w:r>
          </w:p>
        </w:tc>
      </w:tr>
      <w:tr>
        <w:tc>
          <w:tcPr>
            <w:tcW w:w="1242" w:type="dxa"/>
            <w:shd w:val="clear" w:color="auto" w:fill="70AD47" w:themeFill="accent6"/>
          </w:tcPr>
          <w:p>
            <w:pPr>
              <w:spacing w:after="120"/>
              <w:rPr>
                <w:rFonts w:ascii="Times New Roman" w:eastAsia="ヒラギノ角ゴ Pro W3" w:hAnsi="Times New Roman" w:cs="Times New Roman"/>
                <w:noProof/>
              </w:rPr>
            </w:pPr>
            <w:r>
              <w:rPr>
                <w:rFonts w:ascii="Times New Roman" w:eastAsia="ヒラギノ角ゴ Pro W3" w:hAnsi="Times New Roman" w:cs="Times New Roman"/>
                <w:noProof/>
              </w:rPr>
              <w:t xml:space="preserve">OSPAR </w:t>
            </w:r>
          </w:p>
        </w:tc>
        <w:tc>
          <w:tcPr>
            <w:tcW w:w="7655" w:type="dxa"/>
          </w:tcPr>
          <w:p>
            <w:pPr>
              <w:spacing w:after="120"/>
              <w:rPr>
                <w:rFonts w:ascii="Times New Roman" w:hAnsi="Times New Roman" w:cs="Times New Roman"/>
                <w:noProof/>
              </w:rPr>
            </w:pPr>
            <w:r>
              <w:rPr>
                <w:rFonts w:ascii="Times New Roman" w:hAnsi="Times New Roman" w:cs="Times New Roman"/>
                <w:noProof/>
              </w:rPr>
              <w:t xml:space="preserve">The OSPAR assessment showed that there has been an improvement in the proportion of large demersal fish at least in the Greater North Sea, leading to recovery by 2022 but only if current trends continue </w:t>
            </w:r>
            <w:r>
              <w:rPr>
                <w:noProof/>
              </w:rPr>
              <w:fldChar w:fldCharType="begin"/>
            </w:r>
            <w:r>
              <w:rPr>
                <w:rFonts w:ascii="Times New Roman" w:hAnsi="Times New Roman" w:cs="Times New Roman"/>
                <w:noProof/>
              </w:rPr>
              <w:instrText xml:space="preserve"> ADDIN ZOTERO_ITEM CSL_CITATION {"citationID":"a1g5ocvbj30","properties":{"formattedCitation":"(OSPAR Commission, 2017a)","plainCitation":"(OSPAR Commission, 2017a)","noteIndex":0},"citationItems":[{"id":25622,"uris":["http://zotero.org/groups/2256879/items/7HCYKFH7"],"uri":["http://zotero.org/groups/2256879/items/7HCYKFH7"],"itemData":{"id":25622,"type":"report","title":"OSPAR Intermediate Assessment 2017","publisher":"OSPAR Commission","publisher-place":"London","event-place":"London","URL":"https://oap.ospar.org/en/ospar-assessments/intermediate-assessment-2017","author":[{"family":"OSPAR Commission","given":""}],"issued":{"date-parts":[["2017"]]},"accessed":{"date-parts":[["2019",1,30]]}}}],"schema":"https://github.com/citation-style-language/schema/raw/master/csl-citation.json"} </w:instrText>
            </w:r>
            <w:r>
              <w:rPr>
                <w:noProof/>
              </w:rPr>
              <w:fldChar w:fldCharType="separate"/>
            </w:r>
            <w:r>
              <w:rPr>
                <w:rFonts w:ascii="Times New Roman" w:hAnsi="Times New Roman" w:cs="Times New Roman"/>
                <w:noProof/>
              </w:rPr>
              <w:t>(OSPAR, 2017d)</w:t>
            </w:r>
            <w:r>
              <w:rPr>
                <w:noProof/>
              </w:rPr>
              <w:fldChar w:fldCharType="end"/>
            </w:r>
            <w:r>
              <w:rPr>
                <w:rFonts w:ascii="Times New Roman" w:hAnsi="Times New Roman" w:cs="Times New Roman"/>
                <w:noProof/>
              </w:rPr>
              <w:t xml:space="preserve">. More sensitive demersal species have shown a recovery in the Celtic Seas at least and typical lengths are increasing, suggesting higher proportion of mature individuals since 2010 in the Greater North Sea and Celtic Seas. The pelagic fish assemblage shows no long-term change in much of the OSPAR maritime area </w:t>
            </w:r>
            <w:r>
              <w:rPr>
                <w:noProof/>
              </w:rPr>
              <w:fldChar w:fldCharType="begin"/>
            </w:r>
            <w:r>
              <w:rPr>
                <w:rFonts w:ascii="Times New Roman" w:hAnsi="Times New Roman" w:cs="Times New Roman"/>
                <w:noProof/>
              </w:rPr>
              <w:instrText xml:space="preserve"> ADDIN ZOTERO_ITEM CSL_CITATION {"citationID":"a2ovj9sn4ca","properties":{"formattedCitation":"(OSPAR Commission, 2017a)","plainCitation":"(OSPAR Commission, 2017a)","noteIndex":0},"citationItems":[{"id":25622,"uris":["http://zotero.org/groups/2256879/items/7HCYKFH7"],"uri":["http://zotero.org/groups/2256879/items/7HCYKFH7"],"itemData":{"id":25622,"type":"report","title":"OSPAR Intermediate Assessment 2017","publisher":"OSPAR Commission","publisher-place":"London","event-place":"London","URL":"https://oap.ospar.org/en/ospar-assessments/intermediate-assessment-2017","author":[{"family":"OSPAR Commission","given":""}],"issued":{"date-parts":[["2017"]]},"accessed":{"date-parts":[["2019",1,30]]}}}],"schema":"https://github.com/citation-style-language/schema/raw/master/csl-citation.json"} </w:instrText>
            </w:r>
            <w:r>
              <w:rPr>
                <w:noProof/>
              </w:rPr>
              <w:fldChar w:fldCharType="separate"/>
            </w:r>
            <w:r>
              <w:rPr>
                <w:rFonts w:ascii="Times New Roman" w:hAnsi="Times New Roman" w:cs="Times New Roman"/>
                <w:noProof/>
              </w:rPr>
              <w:t>(OSPAR, 2017d)</w:t>
            </w:r>
            <w:r>
              <w:rPr>
                <w:noProof/>
              </w:rPr>
              <w:fldChar w:fldCharType="end"/>
            </w:r>
            <w:r>
              <w:rPr>
                <w:noProof/>
              </w:rPr>
              <w:t>.</w:t>
            </w:r>
          </w:p>
        </w:tc>
      </w:tr>
      <w:tr>
        <w:tc>
          <w:tcPr>
            <w:tcW w:w="1242" w:type="dxa"/>
            <w:shd w:val="clear" w:color="auto" w:fill="FBF7C2"/>
          </w:tcPr>
          <w:p>
            <w:pPr>
              <w:spacing w:after="120"/>
              <w:rPr>
                <w:rFonts w:ascii="Times New Roman" w:eastAsia="ヒラギノ角ゴ Pro W3" w:hAnsi="Times New Roman" w:cs="Times New Roman"/>
                <w:noProof/>
              </w:rPr>
            </w:pPr>
            <w:r>
              <w:rPr>
                <w:rFonts w:ascii="Times New Roman" w:eastAsia="ヒラギノ角ゴ Pro W3" w:hAnsi="Times New Roman" w:cs="Times New Roman"/>
                <w:noProof/>
              </w:rPr>
              <w:t>HELCOM</w:t>
            </w:r>
          </w:p>
        </w:tc>
        <w:tc>
          <w:tcPr>
            <w:tcW w:w="7655" w:type="dxa"/>
          </w:tcPr>
          <w:p>
            <w:pPr>
              <w:spacing w:after="120"/>
              <w:rPr>
                <w:rFonts w:ascii="Times New Roman" w:hAnsi="Times New Roman" w:cs="Times New Roman"/>
                <w:noProof/>
              </w:rPr>
            </w:pPr>
            <w:r>
              <w:rPr>
                <w:rFonts w:ascii="Times New Roman" w:hAnsi="Times New Roman" w:cs="Times New Roman"/>
                <w:noProof/>
              </w:rPr>
              <w:t xml:space="preserve">HELCOM has two indicators for the species that can be allocated under Descriptor 1: (1) </w:t>
            </w:r>
            <w:r>
              <w:rPr>
                <w:rFonts w:ascii="Times New Roman" w:hAnsi="Times New Roman" w:cs="Times New Roman"/>
                <w:bCs/>
                <w:noProof/>
              </w:rPr>
              <w:t xml:space="preserve">abundance of key coastal fish species, and (2) abundance of coastal fish key functional groups </w:t>
            </w:r>
            <w:r>
              <w:rPr>
                <w:noProof/>
                <w:vertAlign w:val="superscript"/>
              </w:rPr>
              <w:fldChar w:fldCharType="begin"/>
            </w:r>
            <w:r>
              <w:rPr>
                <w:rFonts w:ascii="Times New Roman" w:hAnsi="Times New Roman" w:cs="Times New Roman"/>
                <w:noProof/>
                <w:vertAlign w:val="superscript"/>
              </w:rPr>
              <w:instrText xml:space="preserve"> ADDIN ZOTERO_ITEM CSL_CITATION {"citationID":"aqoqi0ulde","properties":{"formattedCitation":"(Helsinki Commission, 2018)","plainCitation":"(Helsinki Commission, 2018)"},"citationItems":[{"id":4,"uris":["http://zotero.org/groups/2256879/items/QMGXPPZY"],"uri":["http://zotero.org/groups/2256879/items/QMGXPPZY"],"itemData":{"id":4,"type":"report","title":"State of the Baltic Sea - Second HELCOM Holistic assessment 2011-2016.","collection-title":"Baltic Sea Environment Proceedings No. 155","publisher":"Helsinki Commission","publisher-place":"Helsinki, Finland","event-place":"Helsinki, Finland","URL":"www.helcom.fi/baltic-sea-trends/holistic-assessments/state-of-the-baltic-sea-2018/reports-and-materials/","author":[{"family":"Helsinki Commission","given":""}],"issued":{"date-parts":[["2018"]]}}}],"schema":"https://github.com/citation-style-language/schema/raw/master/csl-citation.json"} </w:instrText>
            </w:r>
            <w:r>
              <w:rPr>
                <w:noProof/>
                <w:vertAlign w:val="superscript"/>
              </w:rPr>
              <w:fldChar w:fldCharType="separate"/>
            </w:r>
            <w:r>
              <w:rPr>
                <w:rFonts w:ascii="Times New Roman" w:hAnsi="Times New Roman" w:cs="Times New Roman"/>
                <w:noProof/>
              </w:rPr>
              <w:t>(HELCOM, 2018a)</w:t>
            </w:r>
            <w:r>
              <w:rPr>
                <w:noProof/>
                <w:vertAlign w:val="superscript"/>
              </w:rPr>
              <w:fldChar w:fldCharType="end"/>
            </w:r>
            <w:r>
              <w:rPr>
                <w:rFonts w:ascii="Times New Roman" w:hAnsi="Times New Roman" w:cs="Times New Roman"/>
                <w:noProof/>
              </w:rPr>
              <w:t>.</w:t>
            </w:r>
            <w:r>
              <w:rPr>
                <w:rFonts w:ascii="Calibri" w:hAnsi="Calibri" w:cs="Calibri"/>
                <w:noProof/>
                <w:color w:val="6E6E6E"/>
                <w:sz w:val="23"/>
                <w:szCs w:val="23"/>
                <w:shd w:val="clear" w:color="auto" w:fill="FFFFFF"/>
              </w:rPr>
              <w:t xml:space="preserve"> </w:t>
            </w:r>
            <w:r>
              <w:rPr>
                <w:rFonts w:ascii="Times New Roman" w:hAnsi="Times New Roman" w:cs="Times New Roman"/>
                <w:bCs/>
                <w:noProof/>
              </w:rPr>
              <w:t xml:space="preserve">For the first </w:t>
            </w:r>
            <w:r>
              <w:rPr>
                <w:rFonts w:ascii="Times New Roman" w:hAnsi="Times New Roman" w:cs="Times New Roman"/>
                <w:noProof/>
              </w:rPr>
              <w:t>indicator, good status is achieved in 13 out of the 21 coastal HELCOM assessment units that were assessed. Generally, good status is more often reached in the Northern and Eastern parts of the Baltic Sea where perch is the key species, while in the Western and Southern areas, where flounder is the key species, the status is more often not good. For the second indicator, good status is achieved in 13 coastal HELCOM assessment units out of the 16 that were evaluated for piscivores, and in 7 of the 16 evaluated assessment units for cyprinids/mesopredators.</w:t>
            </w:r>
          </w:p>
        </w:tc>
      </w:tr>
      <w:tr>
        <w:tc>
          <w:tcPr>
            <w:tcW w:w="1242" w:type="dxa"/>
            <w:shd w:val="clear" w:color="auto" w:fill="FAA85F"/>
          </w:tcPr>
          <w:p>
            <w:pPr>
              <w:spacing w:after="120"/>
              <w:rPr>
                <w:rFonts w:ascii="Times New Roman" w:eastAsia="ヒラギノ角ゴ Pro W3" w:hAnsi="Times New Roman" w:cs="Times New Roman"/>
                <w:noProof/>
              </w:rPr>
            </w:pPr>
            <w:r>
              <w:rPr>
                <w:rFonts w:ascii="Times New Roman" w:eastAsia="ヒラギノ角ゴ Pro W3" w:hAnsi="Times New Roman" w:cs="Times New Roman"/>
                <w:noProof/>
              </w:rPr>
              <w:t>UNEP-MAP</w:t>
            </w:r>
          </w:p>
        </w:tc>
        <w:tc>
          <w:tcPr>
            <w:tcW w:w="7655" w:type="dxa"/>
          </w:tcPr>
          <w:p>
            <w:pPr>
              <w:spacing w:after="120"/>
              <w:rPr>
                <w:rFonts w:ascii="Times New Roman" w:hAnsi="Times New Roman" w:cs="Times New Roman"/>
                <w:noProof/>
              </w:rPr>
            </w:pPr>
            <w:r>
              <w:rPr>
                <w:rFonts w:ascii="Times New Roman" w:hAnsi="Times New Roman" w:cs="Times New Roman"/>
                <w:noProof/>
              </w:rPr>
              <w:t xml:space="preserve">Around 85% of the analysed stocks in the Mediterranean and the Black sea have been overfished. The situation is particularly alarming for demersal fish that experience higher mortality rates than the target. For example, hake, a charismatic and economically important species in the Mediterranean, shows the highest fishing mortality with a rate that is on average 5 times higher than the target and reaches up to 12 times higher for some stocks. On the other hand, small pelagic fish show moderate fishing mortality rates close to the target or even below the target for some specific species. Data expressed through Spawning Stock Biomass indicates that up to 42% of the stocks assessed in the Mediterranean show a low biomass </w:t>
            </w:r>
            <w:r>
              <w:rPr>
                <w:noProof/>
              </w:rPr>
              <w:fldChar w:fldCharType="begin"/>
            </w:r>
            <w:r>
              <w:rPr>
                <w:rFonts w:ascii="Times New Roman" w:hAnsi="Times New Roman" w:cs="Times New Roman"/>
                <w:noProof/>
              </w:rPr>
              <w:instrText xml:space="preserve"> ADDIN ZOTERO_ITEM CSL_CITATION {"citationID":"abjmk6djdt","properties":{"formattedCitation":"(United Nations Environment Programme, 2018)","plainCitation":"(United Nations Environment Programme, 2018)"},"citationItems":[{"id":96,"uris":["http://zotero.org/groups/2256879/items/EHWBDJ9I"],"uri":["http://zotero.org/groups/2256879/items/EHWBDJ9I"],"itemData":{"id":96,"type":"webpage","title":"UNEPMAP QSR Biodiversity and Ecosystems (EO1)","URL":"https://www.medqsr.org/biodiversity-and-ecosystems-eo1","author":[{"family":"United Nations Environment Programme","given":"Mediterranean Action Plan (Barcelona Convention)"}],"issued":{"date-parts":[["2018"]]},"accessed":{"date-parts":[["2019",1,30]]}}}],"schema":"https://github.com/citation-style-language/schema/raw/master/csl-citation.json"} </w:instrText>
            </w:r>
            <w:r>
              <w:rPr>
                <w:noProof/>
              </w:rPr>
              <w:fldChar w:fldCharType="separate"/>
            </w:r>
            <w:r>
              <w:rPr>
                <w:rFonts w:ascii="Times New Roman" w:hAnsi="Times New Roman" w:cs="Times New Roman"/>
                <w:noProof/>
              </w:rPr>
              <w:t>(UNEP-MAP, 2018)</w:t>
            </w:r>
            <w:r>
              <w:rPr>
                <w:noProof/>
              </w:rPr>
              <w:fldChar w:fldCharType="end"/>
            </w:r>
            <w:r>
              <w:rPr>
                <w:rFonts w:ascii="Times New Roman" w:hAnsi="Times New Roman" w:cs="Times New Roman"/>
                <w:noProof/>
              </w:rPr>
              <w:t>.</w:t>
            </w:r>
          </w:p>
        </w:tc>
      </w:tr>
    </w:tbl>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6</w:t>
      </w:r>
      <w:r>
        <w:rPr>
          <w:noProof/>
        </w:rPr>
        <w:fldChar w:fldCharType="end"/>
      </w:r>
      <w:r>
        <w:rPr>
          <w:noProof/>
        </w:rPr>
        <w:t xml:space="preserve">: Conclusions from different assessments about the status of teleost (ray-finned fish) in the European seas. </w:t>
      </w:r>
    </w:p>
    <w:p>
      <w:pPr>
        <w:rPr>
          <w:noProof/>
        </w:rPr>
      </w:pPr>
      <w:r>
        <w:rPr>
          <w:noProof/>
        </w:rPr>
        <w:t xml:space="preserve">Cartilaginous fish (sharks, skates and rays) is less fished in Europe than in previous times, but by-catch is still a significant problem, both for demersal and pelagic species </w:t>
      </w:r>
      <w:r>
        <w:rPr>
          <w:noProof/>
        </w:rPr>
        <w:fldChar w:fldCharType="begin"/>
      </w:r>
      <w:r>
        <w:rPr>
          <w:noProof/>
        </w:rPr>
        <w:instrText xml:space="preserve"> ADDIN ZOTERO_ITEM CSL_CITATION {"citationID":"VSD7vTmQ","properties":{"formattedCitation":"(European Commission, 2016)","plainCitation":"(European Commission, 2016)"},"citationItems":[{"id":304,"uris":["http://zotero.org/groups/2256879/items/MP69M2VX"],"uri":["http://zotero.org/groups/2256879/items/MP69M2VX"],"itemData":{"id":304,"type":"webpage","title":"Shark fisheries in Europe","container-title":"Fisheries - European Commission","genre":"Text","abstract":"Sharks","URL":"https://ec.europa.eu/fisheries/marine_species/wild_species/sharks_en","language":"en","author":[{"family":"European Commission","given":""}],"issued":{"date-parts":[["2016",9,16]]},"accessed":{"date-parts":[["2019",2,15]]}}}],"schema":"https://github.com/citation-style-language/schema/raw/master/csl-citation.json"} </w:instrText>
      </w:r>
      <w:r>
        <w:rPr>
          <w:noProof/>
        </w:rPr>
        <w:fldChar w:fldCharType="separate"/>
      </w:r>
      <w:r>
        <w:rPr>
          <w:noProof/>
        </w:rPr>
        <w:t>(European Commission, 2016)</w:t>
      </w:r>
      <w:r>
        <w:rPr>
          <w:noProof/>
        </w:rPr>
        <w:fldChar w:fldCharType="end"/>
      </w:r>
      <w:r>
        <w:rPr>
          <w:noProof/>
        </w:rPr>
        <w:t>.</w:t>
      </w:r>
    </w:p>
    <w:tbl>
      <w:tblPr>
        <w:tblStyle w:val="TableGrid"/>
        <w:tblW w:w="889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42"/>
        <w:gridCol w:w="7655"/>
      </w:tblGrid>
      <w:tr>
        <w:tc>
          <w:tcPr>
            <w:tcW w:w="1242" w:type="dxa"/>
            <w:shd w:val="clear" w:color="auto" w:fill="DC4D28"/>
          </w:tcPr>
          <w:p>
            <w:pPr>
              <w:spacing w:after="120"/>
              <w:rPr>
                <w:rFonts w:ascii="Times New Roman" w:eastAsia="ヒラギノ角ゴ Pro W3" w:hAnsi="Times New Roman" w:cs="Times New Roman"/>
                <w:noProof/>
              </w:rPr>
            </w:pPr>
            <w:r>
              <w:rPr>
                <w:rFonts w:ascii="Times New Roman" w:eastAsia="ヒラギノ角ゴ Pro W3" w:hAnsi="Times New Roman" w:cs="Times New Roman"/>
                <w:noProof/>
              </w:rPr>
              <w:t>IUCN</w:t>
            </w:r>
          </w:p>
        </w:tc>
        <w:tc>
          <w:tcPr>
            <w:tcW w:w="7655" w:type="dxa"/>
          </w:tcPr>
          <w:p>
            <w:pPr>
              <w:spacing w:after="120"/>
              <w:rPr>
                <w:rFonts w:ascii="Times New Roman" w:hAnsi="Times New Roman" w:cs="Times New Roman"/>
                <w:noProof/>
              </w:rPr>
            </w:pPr>
            <w:r>
              <w:rPr>
                <w:rFonts w:ascii="Times New Roman" w:hAnsi="Times New Roman" w:cs="Times New Roman"/>
                <w:noProof/>
              </w:rPr>
              <w:t>Sharks, rays and skates cover two thirds (56 species) of all the threatened species. Many of these chondrichthyans are poorly known and of the 204 Data Deficient species many were benthic sharks.</w:t>
            </w:r>
          </w:p>
          <w:p>
            <w:pPr>
              <w:spacing w:after="120"/>
              <w:rPr>
                <w:rFonts w:ascii="Times New Roman" w:hAnsi="Times New Roman" w:cs="Times New Roman"/>
                <w:noProof/>
              </w:rPr>
            </w:pPr>
            <w:r>
              <w:rPr>
                <w:rFonts w:ascii="Times New Roman" w:hAnsi="Times New Roman" w:cs="Times New Roman"/>
                <w:noProof/>
              </w:rPr>
              <w:t xml:space="preserve">In the Mediterranean Sea, sharks, skates and rays are particularly threatened with almost 40% of species facing a declining population trend </w:t>
            </w:r>
            <w:r>
              <w:rPr>
                <w:noProof/>
              </w:rPr>
              <w:fldChar w:fldCharType="begin"/>
            </w:r>
            <w:r>
              <w:rPr>
                <w:rFonts w:ascii="Times New Roman" w:hAnsi="Times New Roman" w:cs="Times New Roman"/>
                <w:noProof/>
              </w:rPr>
              <w:instrText xml:space="preserve"> ADDIN ZOTERO_ITEM CSL_CITATION {"citationID":"VuR2loaa","properties":{"formattedCitation":"(FAO, 2012)","plainCitation":"(FAO, 2012)","noteIndex":0},"citationItems":[{"id":28094,"uris":["http://zotero.org/groups/2256879/items/HKGXEEDF"],"uri":["http://zotero.org/groups/2256879/items/HKGXEEDF"],"itemData":{"id":28094,"type":"book","title":"Elasmobranchs of the Mediterranean and Black Sea: status, ecology and biology ; bibliographic analysis","collection-title":"Studies and reviews / General Fisheries Commission for the Mediterranean, Food and Agriculture Organization of the United Nations","collection-number":"91","publisher":"Food and Agriculture Organization of the United Nations","publisher-place":"Rome","number-of-pages":"103","source":"Gemeinsamer Bibliotheksverbund ISBN","event-place":"Rome","ISBN":"978-92-5-107386-5","note":"OCLC: 830884720","shortTitle":"Elasmobranchs of the Mediterranean and Black Sea","language":"eng","author":[{"family":"FAO","given":""}],"issued":{"date-parts":[["2012"]]}}}],"schema":"https://github.com/citation-style-language/schema/raw/master/csl-citation.json"} </w:instrText>
            </w:r>
            <w:r>
              <w:rPr>
                <w:noProof/>
              </w:rPr>
              <w:fldChar w:fldCharType="separate"/>
            </w:r>
            <w:r>
              <w:rPr>
                <w:rFonts w:ascii="Times New Roman" w:hAnsi="Times New Roman" w:cs="Times New Roman"/>
                <w:noProof/>
              </w:rPr>
              <w:t>(FAO, 2012</w:t>
            </w:r>
            <w:r>
              <w:rPr>
                <w:noProof/>
              </w:rPr>
              <w:fldChar w:fldCharType="end"/>
            </w:r>
            <w:r>
              <w:rPr>
                <w:rFonts w:ascii="Times New Roman" w:hAnsi="Times New Roman" w:cs="Times New Roman"/>
                <w:noProof/>
              </w:rPr>
              <w:t xml:space="preserve">; </w:t>
            </w:r>
            <w:r>
              <w:rPr>
                <w:noProof/>
              </w:rPr>
              <w:fldChar w:fldCharType="begin"/>
            </w:r>
            <w:r>
              <w:rPr>
                <w:rFonts w:ascii="Times New Roman" w:hAnsi="Times New Roman" w:cs="Times New Roman"/>
                <w:noProof/>
              </w:rPr>
              <w:instrText xml:space="preserve"> ADDIN ZOTERO_ITEM CSL_CITATION {"citationID":"gQU82UB2","properties":{"formattedCitation":"{\\rtf (Elasmobranchs of the Mediterranean and Black Sea: status, ecology and biology\\uc0\\u8239{}; bibliographic analysis, 2012; Nieto et al., 2015)}","plainCitation":"(Elasmobranchs of the Mediterranean and Black Sea: status, ecology and biology ; bibliographic analysis, 2012; Nieto et al., 2015)"},"citationItems":[{"id":159,"uris":["http://zotero.org/groups/2256879/items/HKGXEEDF"],"uri":["http://zotero.org/groups/2256879/items/HKGXEEDF"],"itemData":{"id":159,"type":"book","title":"Elasmobranchs of the Mediterranean and Black Sea: status, ecology and biology ; bibliographic analysis","collection-title":"Studies and reviews / General Fisheries Commission for the Mediterranean, Food and Agriculture Organization of the United Nations","collection-number":"91","publisher":"Food and Agriculture Organization of the United Nations","publisher-place":"Rome","number-of-pages":"103","source":"Gemeinsamer Bibliotheksverbund ISBN","event-place":"Rome","ISBN":"978-92-5-107386-5","note":"OCLC: 830884720","shortTitle":"Elasmobranchs of the Mediterranean and Black Sea","language":"eng","issued":{"date-parts":[["2012"]]}}},{"id":111,"uris":["http://zotero.org/groups/2256879/items/7BTH6AZ7"],"uri":["http://zotero.org/groups/2256879/items/7BTH6AZ7"],"itemData":{"id":111,"type":"book","title":"IUCN European red list of marine fishes.","publisher":"Publications Office","publisher-place":"Luxembourg","source":"Open WorldCat","event-place":"Luxembourg","URL":"http://bookshop.europa.eu/uri?target=EUB:NOTICE:KH0215051:EN:HTML","ISBN":"978-92-79-45412-7","note":"OCLC: 954062324","language":"English","author":[{"family":"Nieto","given":"A"},{"family":"Ralph","given":"G. M"},{"family":"Comeros-Raynal","given":"M. T"},{"family":"Kemp","given":"J"},{"family":"García Criado","given":"M"},{"family":"Allen","given":"D. J"},{"family":"Dulvy","given":"N. K"},{"family":"Walls","given":"R. H. L"},{"family":"Russell","given":"B"},{"family":"Pollard","given":"D"},{"family":"García","given":"S"},{"family":"Craig","given":"M"},{"family":"Collette","given":"B. B"},{"family":"Pollom","given":"R"},{"family":"Biscoito","given":"M"},{"family":"Labbish Chao","given":"N"},{"family":"Abella","given":"A"},{"family":"Afonso","given":"P"},{"family":"Álvarez","given":"H"},{"family":"Carpenter","given":"K. E"},{"family":"Clò","given":"S"},{"family":"Cook","given":"R"},{"family":"Costa","given":"M. J"},{"family":"Delgado","given":"J"},{"family":"Dureuil","given":"M"},{"family":"Ellis","given":"J. R"},{"family":"Farrell","given":"E. D"},{"family":"Fernandes","given":"P"},{"family":"Florin","given":"A-B"},{"family":"Fordham","given":"S"},{"family":"Fowler","given":"S"},{"family":"Gil de Sola","given":"L"},{"family":"Gil Herrera","given":"J"},{"family":"Goodpaster","given":"A"},{"family":"Harvey","given":"M"},{"family":"Herler","given":"J"},{"family":"Jung","given":"A"},{"family":"Karmovskaya","given":"E"},{"family":"Keskin","given":"C"},{"family":"Knudsen","given":"S. W"},{"family":"Kobyliansky","given":"S"},{"family":"Kovačić","given":"M"},{"family":"Lawson","given":"J. M"},{"family":"Lorance","given":"P"},{"family":"McCully Phillips","given":"S"},{"family":"Munroe","given":"T"},{"family":"Nedreaas","given":"K"},{"family":"Nielsen","given":"J"},{"family":"Papaconstantinou","given":"C"},{"family":"Polidoro","given":"B"},{"family":"Pollock","given":"C. M"},{"family":"Rijnsdorp","given":"A. D"},{"family":"Sayer","given":"C"},{"family":"Scott","given":"J"},{"family":"Serena","given":"F"},{"family":"Smith-Vaniz","given":"W. F"},{"family":"Soldo","given":"A"},{"family":"Stump","given":"E"},{"family":"Williams","given":"J. T"},{"literal":"European Commission"},{"literal":"Directorate-General for the Environment"},{"literal":"International Union for Conservation of Nature"}],"issued":{"date-parts":[["2015"]]},"accessed":{"date-parts":[["2019",1,30]]}}}],"schema":"https://github.com/citation-style-language/schema/raw/master/csl-citation.json"} </w:instrText>
            </w:r>
            <w:r>
              <w:rPr>
                <w:noProof/>
              </w:rPr>
              <w:fldChar w:fldCharType="separate"/>
            </w:r>
            <w:r>
              <w:rPr>
                <w:rFonts w:ascii="Times New Roman" w:hAnsi="Times New Roman" w:cs="Times New Roman"/>
                <w:noProof/>
              </w:rPr>
              <w:t>Nieto et al., 2015)</w:t>
            </w:r>
            <w:r>
              <w:rPr>
                <w:noProof/>
              </w:rPr>
              <w:fldChar w:fldCharType="end"/>
            </w:r>
            <w:r>
              <w:rPr>
                <w:rFonts w:ascii="Times New Roman" w:hAnsi="Times New Roman" w:cs="Times New Roman"/>
                <w:noProof/>
              </w:rPr>
              <w:t>. The increased extinction risk of many of these species can be linked fishing practices in the Mediterranean Sea, where their status has worsened (Cavanagh and Gibson, 2007; Nieto et al., 2015).</w:t>
            </w:r>
          </w:p>
        </w:tc>
      </w:tr>
      <w:tr>
        <w:tc>
          <w:tcPr>
            <w:tcW w:w="1242" w:type="dxa"/>
            <w:shd w:val="clear" w:color="auto" w:fill="FAA85F"/>
          </w:tcPr>
          <w:p>
            <w:pPr>
              <w:spacing w:after="120"/>
              <w:rPr>
                <w:rFonts w:ascii="Times New Roman" w:eastAsia="ヒラギノ角ゴ Pro W3" w:hAnsi="Times New Roman" w:cs="Times New Roman"/>
                <w:noProof/>
              </w:rPr>
            </w:pPr>
            <w:r>
              <w:rPr>
                <w:rFonts w:ascii="Times New Roman" w:eastAsia="ヒラギノ角ゴ Pro W3" w:hAnsi="Times New Roman" w:cs="Times New Roman"/>
                <w:noProof/>
              </w:rPr>
              <w:t xml:space="preserve">OSPAR </w:t>
            </w:r>
          </w:p>
        </w:tc>
        <w:tc>
          <w:tcPr>
            <w:tcW w:w="7655" w:type="dxa"/>
          </w:tcPr>
          <w:p>
            <w:pPr>
              <w:spacing w:after="120"/>
              <w:rPr>
                <w:rFonts w:ascii="Times New Roman" w:hAnsi="Times New Roman" w:cs="Times New Roman"/>
                <w:noProof/>
              </w:rPr>
            </w:pPr>
            <w:r>
              <w:rPr>
                <w:rFonts w:ascii="Times New Roman" w:hAnsi="Times New Roman" w:cs="Times New Roman"/>
                <w:noProof/>
              </w:rPr>
              <w:t>OSPAR has included 11 chondrichthyan species on the OSPAR list of Threatened and Declining species, covering species at most risk (</w:t>
            </w:r>
            <w:r>
              <w:rPr>
                <w:noProof/>
              </w:rPr>
              <w:fldChar w:fldCharType="begin"/>
            </w:r>
            <w:r>
              <w:rPr>
                <w:rFonts w:ascii="Times New Roman" w:hAnsi="Times New Roman" w:cs="Times New Roman"/>
                <w:noProof/>
              </w:rPr>
              <w:instrText xml:space="preserve"> ADDIN ZOTERO_ITEM CSL_CITATION {"citationID":"N8PMS2ug","properties":{"formattedCitation":"(List of Threatened and/or Declining Species &amp; Habitats, forthcoming)","plainCitation":"(List of Threatened and/or Declining Species &amp; Habitats, forthcoming)"},"citationItems":[{"id":280,"uris":["http://zotero.org/groups/2256879/items/WTQ9J85B"],"uri":["http://zotero.org/groups/2256879/items/WTQ9J85B"],"itemData":{"id":280,"type":"webpage","title":"List of Threatened and/or Declining Species &amp; Habitats","container-title":"OSPAR Commission","abstract":"The OSPAR Biological Diversity and Ecosystems Strategy sets out that the OSPAR Commission will assess which species and habitats need to be protected. This OSPAR List of Threatened and/or Declining Species and Habitats has been developed to fulfil th...","URL":"https://www.ospar.org/work-areas/bdc/species-habitats/list-of-threatened-declining-species-habitats","accessed":{"date-parts":[["2019",2,14]]}}}],"schema":"https://github.com/citation-style-language/schema/raw/master/csl-citation.json"} </w:instrText>
            </w:r>
            <w:r>
              <w:rPr>
                <w:noProof/>
              </w:rPr>
              <w:fldChar w:fldCharType="separate"/>
            </w:r>
            <w:r>
              <w:rPr>
                <w:rFonts w:ascii="Times New Roman" w:hAnsi="Times New Roman" w:cs="Times New Roman"/>
                <w:noProof/>
              </w:rPr>
              <w:t>OSPAR, 2019a)</w:t>
            </w:r>
            <w:r>
              <w:rPr>
                <w:noProof/>
              </w:rPr>
              <w:fldChar w:fldCharType="end"/>
            </w:r>
            <w:r>
              <w:rPr>
                <w:rFonts w:ascii="Times New Roman" w:hAnsi="Times New Roman" w:cs="Times New Roman"/>
                <w:noProof/>
              </w:rPr>
              <w:t xml:space="preserve">. Long-term trend assessment indicated population decline particularly in larger species (spurdog and common skate) where commercial fisheries existed </w:t>
            </w:r>
            <w:r>
              <w:rPr>
                <w:noProof/>
              </w:rPr>
              <w:fldChar w:fldCharType="begin"/>
            </w:r>
            <w:r>
              <w:rPr>
                <w:rFonts w:ascii="Times New Roman" w:hAnsi="Times New Roman" w:cs="Times New Roman"/>
                <w:noProof/>
              </w:rPr>
              <w:instrText xml:space="preserve"> ADDIN ZOTERO_ITEM CSL_CITATION {"citationID":"b0ZX5fU7","properties":{"formattedCitation":"(Sguotti et al., 2016)","plainCitation":"(Sguotti et al., 2016)"},"citationItems":[{"id":77,"uris":["http://zotero.org/users/5337207/items/NEE5QYZW"],"uri":["http://zotero.org/users/5337207/items/NEE5QYZW"],"itemData":{"id":77,"type":"article-journal","title":"Distribution of skates and sharks in the North Sea: 112 years of change","container-title":"Global Change Biology","page":"2729-2743","volume":"22","issue":"8","source":"Crossref","DOI":"10.1111/gcb.13316","ISSN":"13541013","shortTitle":"Distribution of skates and sharks in the North Sea","language":"en","author":[{"family":"Sguotti","given":"Camilla"},{"family":"Lynam","given":"Christopher P."},{"family":"García-Carreras","given":"Bernardo"},{"family":"Ellis","given":"Jim R."},{"family":"Engelhard","given":"Georg H."}],"issued":{"date-parts":[["2016",8]]}}}],"schema":"https://github.com/citation-style-language/schema/raw/master/csl-citation.json"} </w:instrText>
            </w:r>
            <w:r>
              <w:rPr>
                <w:noProof/>
              </w:rPr>
              <w:fldChar w:fldCharType="separate"/>
            </w:r>
            <w:r>
              <w:rPr>
                <w:rFonts w:ascii="Times New Roman" w:hAnsi="Times New Roman" w:cs="Times New Roman"/>
                <w:noProof/>
              </w:rPr>
              <w:t>(Sguotti et al., 2016)</w:t>
            </w:r>
            <w:r>
              <w:rPr>
                <w:noProof/>
              </w:rPr>
              <w:fldChar w:fldCharType="end"/>
            </w:r>
            <w:r>
              <w:rPr>
                <w:rFonts w:ascii="Times New Roman" w:hAnsi="Times New Roman" w:cs="Times New Roman"/>
                <w:noProof/>
              </w:rPr>
              <w:t>. Catches has been highly variable and declining until 2010.</w:t>
            </w:r>
          </w:p>
        </w:tc>
      </w:tr>
      <w:tr>
        <w:tc>
          <w:tcPr>
            <w:tcW w:w="1242" w:type="dxa"/>
            <w:shd w:val="clear" w:color="auto" w:fill="FAA85F"/>
          </w:tcPr>
          <w:p>
            <w:pPr>
              <w:spacing w:after="120"/>
              <w:rPr>
                <w:rFonts w:ascii="Times New Roman" w:eastAsia="ヒラギノ角ゴ Pro W3" w:hAnsi="Times New Roman" w:cs="Times New Roman"/>
                <w:noProof/>
              </w:rPr>
            </w:pPr>
            <w:r>
              <w:rPr>
                <w:rFonts w:ascii="Times New Roman" w:eastAsia="ヒラギノ角ゴ Pro W3" w:hAnsi="Times New Roman" w:cs="Times New Roman"/>
                <w:noProof/>
              </w:rPr>
              <w:t>HELCOM</w:t>
            </w:r>
          </w:p>
        </w:tc>
        <w:tc>
          <w:tcPr>
            <w:tcW w:w="7655" w:type="dxa"/>
          </w:tcPr>
          <w:p>
            <w:pPr>
              <w:spacing w:after="120"/>
              <w:rPr>
                <w:rFonts w:ascii="Times New Roman" w:hAnsi="Times New Roman" w:cs="Times New Roman"/>
                <w:noProof/>
              </w:rPr>
            </w:pPr>
            <w:r>
              <w:rPr>
                <w:rFonts w:ascii="Times New Roman" w:hAnsi="Times New Roman" w:cs="Times New Roman"/>
                <w:noProof/>
              </w:rPr>
              <w:t>HELCOM’s Red List assessment also included two shark species (porbeagle and spurdog) that have suffered dramatic reduction in populations.</w:t>
            </w:r>
          </w:p>
        </w:tc>
      </w:tr>
    </w:tbl>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7</w:t>
      </w:r>
      <w:r>
        <w:rPr>
          <w:noProof/>
        </w:rPr>
        <w:fldChar w:fldCharType="end"/>
      </w:r>
      <w:r>
        <w:rPr>
          <w:noProof/>
        </w:rPr>
        <w:t xml:space="preserve">: Conclusions from different assessments about the status of elasmobranchs (cartilaginous fish) in the European seas. </w:t>
      </w:r>
    </w:p>
    <w:p>
      <w:pPr>
        <w:pStyle w:val="Heading3"/>
        <w:rPr>
          <w:rStyle w:val="Emphasis"/>
          <w:i/>
          <w:noProof/>
        </w:rPr>
      </w:pPr>
      <w:bookmarkStart w:id="22" w:name="_Toc30404112"/>
      <w:r>
        <w:rPr>
          <w:rStyle w:val="Emphasis"/>
          <w:i/>
          <w:noProof/>
        </w:rPr>
        <w:t>Reptiles</w:t>
      </w:r>
      <w:bookmarkEnd w:id="22"/>
    </w:p>
    <w:tbl>
      <w:tblPr>
        <w:tblStyle w:val="TableGrid"/>
        <w:tblW w:w="889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101"/>
        <w:gridCol w:w="7796"/>
      </w:tblGrid>
      <w:tr>
        <w:tc>
          <w:tcPr>
            <w:tcW w:w="1101" w:type="dxa"/>
            <w:shd w:val="clear" w:color="auto" w:fill="E6E7E8"/>
          </w:tcPr>
          <w:p>
            <w:pPr>
              <w:spacing w:after="120"/>
              <w:rPr>
                <w:rFonts w:ascii="Times New Roman" w:eastAsia="ヒラギノ角ゴ Pro W3" w:hAnsi="Times New Roman" w:cs="Times New Roman"/>
                <w:noProof/>
                <w:lang w:eastAsia="en-GB"/>
              </w:rPr>
            </w:pPr>
            <w:r>
              <w:rPr>
                <w:rFonts w:ascii="Times New Roman" w:eastAsia="ヒラギノ角ゴ Pro W3" w:hAnsi="Times New Roman" w:cs="Times New Roman"/>
                <w:noProof/>
                <w:lang w:eastAsia="en-GB"/>
              </w:rPr>
              <w:t>IUCN</w:t>
            </w:r>
          </w:p>
        </w:tc>
        <w:tc>
          <w:tcPr>
            <w:tcW w:w="7796" w:type="dxa"/>
          </w:tcPr>
          <w:p>
            <w:pPr>
              <w:spacing w:after="120"/>
              <w:rPr>
                <w:rFonts w:ascii="Times New Roman" w:hAnsi="Times New Roman" w:cs="Times New Roman"/>
                <w:noProof/>
              </w:rPr>
            </w:pPr>
            <w:r>
              <w:rPr>
                <w:rFonts w:ascii="Times New Roman" w:hAnsi="Times New Roman" w:cs="Times New Roman"/>
                <w:noProof/>
              </w:rPr>
              <w:t xml:space="preserve">In the North-east Atlantic Ocean and the Mediterranean Sea, both OSPAR and the Barcelona Convention list the loggerhead and leatherback turtles as threatened and/or declining species (OSPAR, 2019a; UNEP-MAP, 2018). Marine turtles are very rare visitors in the Black Sea, while they have not been observed in the Baltic Sea. The Mediterranean poses the highest average threats to marine turtles out of all global ocean basins </w:t>
            </w:r>
            <w:r>
              <w:rPr>
                <w:noProof/>
              </w:rPr>
              <w:fldChar w:fldCharType="begin"/>
            </w:r>
            <w:r>
              <w:rPr>
                <w:rFonts w:ascii="Times New Roman" w:hAnsi="Times New Roman" w:cs="Times New Roman"/>
                <w:noProof/>
              </w:rPr>
              <w:instrText xml:space="preserve"> ADDIN ZOTERO_ITEM CSL_CITATION {"citationID":"a100e31dqli","properties":{"formattedCitation":"(Wallace et al., 2011)","plainCitation":"(Wallace et al., 2011)"},"citationItems":[{"id":282,"uris":["http://zotero.org/groups/2256879/items/DAXN6KMB"],"uri":["http://zotero.org/groups/2256879/items/DAXN6KMB"],"itemData":{"id":282,"type":"article-journal","title":"Global Conservation Priorities for Marine Turtles","container-title":"PLOS ONE","page":"e24510","volume":"6","issue":"9","source":"PLoS Journals","abstract":"Where conservation resources are limited and conservation targets are diverse, robust yet flexible priority-setting frameworks are vital. Priority-setting is especially important for geographically widespread species with distinct populations subject to multiple threats that operate on different spatial and temporal scales. Marine turtles are widely distributed and exhibit intra-specific variations in population sizes and trends, as well as reproduction and morphology. However, current global extinction risk assessment frameworks do not assess conservation status of spatially and biologically distinct marine turtle Regional Management Units (RMUs), and thus do not capture variations in population trends, impacts of threats, or necessary conservation actions across individual populations. To address this issue, we developed a new assessment framework that allowed us to evaluate, compare and organize marine turtle RMUs according to status and threats criteria. Because conservation priorities can vary widely (i.e. from avoiding imminent extinction to maintaining long-term monitoring efforts) we developed a “conservation priorities portfolio” system using categories of paired risk and threats scores for all RMUs (n = 58). We performed these assessments and rankings globally, by species, by ocean basin, and by recognized geopolitical bodies to identify patterns in risk, threats, and data gaps at different scales. This process resulted in characterization of risk and threats to all marine turtle RMUs, including identification of the world's 11 most endangered marine turtle RMUs based on highest risk and threats scores. This system also highlighted important gaps in available information that is crucial for accurate conservation assessments. Overall, this priority-setting framework can provide guidance for research and conservation priorities at multiple relevant scales, and should serve as a model for conservation status assessments and priority-setting for widespread, long-lived taxa.","DOI":"10.1371/journal.pone.0024510","ISSN":"1932-6203","journalAbbreviation":"PLOS ONE","language":"en","author":[{"family":"Wallace","given":"Bryan P."},{"family":"DiMatteo","given":"Andrew D."},{"family":"Bolten","given":"Alan B."},{"family":"Chaloupka","given":"Milani Y."},{"family":"Hutchinson","given":"Brian J."},{"family":"Abreu-Grobois","given":"F. Alberto"},{"family":"Mortimer","given":"Jeanne A."},{"family":"Seminoff","given":"Jeffrey A."},{"family":"Amorocho","given":"Diego"},{"family":"Bjorndal","given":"Karen A."},{"family":"Bourjea","given":"Jérôme"},{"family":"Bowen","given":"Brian W."},{"family":"Dueñas","given":"Raquel Briseño"},{"family":"Casale","given":"Paolo"},{"family":"Choudhury","given":"B. C."},{"family":"Costa","given":"Alice"},{"family":"Dutton","given":"Peter H."},{"family":"Fallabrino","given":"Alejandro"},{"family":"Finkbeiner","given":"Elena M."},{"family":"Girard","given":"Alexandre"},{"family":"Girondot","given":"Marc"},{"family":"Hamann","given":"Mark"},{"family":"Hurley","given":"Brendan J."},{"family":"López-Mendilaharsu","given":"Milagros"},{"family":"Marcovaldi","given":"Maria Angela"},{"family":"Musick","given":"John A."},{"family":"Nel","given":"Ronel"},{"family":"Pilcher","given":"Nicolas J."},{"family":"Troëng","given":"Sebastian"},{"family":"Witherington","given":"Blair"},{"family":"Mast","given":"Roderic B."}],"issued":{"date-parts":[["2011",9,28]]}}}],"schema":"https://github.com/citation-style-language/schema/raw/master/csl-citation.json"} </w:instrText>
            </w:r>
            <w:r>
              <w:rPr>
                <w:noProof/>
              </w:rPr>
              <w:fldChar w:fldCharType="separate"/>
            </w:r>
            <w:r>
              <w:rPr>
                <w:rFonts w:ascii="Times New Roman" w:hAnsi="Times New Roman" w:cs="Times New Roman"/>
                <w:noProof/>
              </w:rPr>
              <w:t>(Wallace et al., 2011)</w:t>
            </w:r>
            <w:r>
              <w:rPr>
                <w:noProof/>
              </w:rPr>
              <w:fldChar w:fldCharType="end"/>
            </w:r>
            <w:r>
              <w:rPr>
                <w:rFonts w:ascii="Times New Roman" w:hAnsi="Times New Roman" w:cs="Times New Roman"/>
                <w:noProof/>
              </w:rPr>
              <w:t>.</w:t>
            </w:r>
          </w:p>
        </w:tc>
      </w:tr>
      <w:tr>
        <w:tc>
          <w:tcPr>
            <w:tcW w:w="1101" w:type="dxa"/>
            <w:shd w:val="clear" w:color="auto" w:fill="E6E7E8"/>
          </w:tcPr>
          <w:p>
            <w:pPr>
              <w:spacing w:after="120"/>
              <w:rPr>
                <w:rFonts w:ascii="Times New Roman" w:eastAsia="ヒラギノ角ゴ Pro W3" w:hAnsi="Times New Roman" w:cs="Times New Roman"/>
                <w:noProof/>
                <w:lang w:eastAsia="en-GB"/>
              </w:rPr>
            </w:pPr>
            <w:r>
              <w:rPr>
                <w:rFonts w:ascii="Times New Roman" w:hAnsi="Times New Roman" w:cs="Times New Roman"/>
                <w:noProof/>
              </w:rPr>
              <w:t>Habitats Directive</w:t>
            </w:r>
          </w:p>
        </w:tc>
        <w:tc>
          <w:tcPr>
            <w:tcW w:w="7796" w:type="dxa"/>
          </w:tcPr>
          <w:p>
            <w:pPr>
              <w:spacing w:after="120"/>
              <w:rPr>
                <w:rFonts w:ascii="Times New Roman" w:hAnsi="Times New Roman" w:cs="Times New Roman"/>
                <w:noProof/>
              </w:rPr>
            </w:pPr>
            <w:r>
              <w:rPr>
                <w:rFonts w:ascii="Times New Roman" w:hAnsi="Times New Roman" w:cs="Times New Roman"/>
                <w:noProof/>
              </w:rPr>
              <w:t xml:space="preserve">The Habitats Directive Annex IV includes the following species: </w:t>
            </w:r>
            <w:r>
              <w:rPr>
                <w:rFonts w:ascii="Times New Roman" w:hAnsi="Times New Roman" w:cs="Times New Roman"/>
                <w:i/>
                <w:noProof/>
              </w:rPr>
              <w:t xml:space="preserve">Caretta caretta, Chelonia mydas, Dermochelys coriacea, Eretmochelys imbricate, Lepidochelys kempii. </w:t>
            </w:r>
            <w:r>
              <w:rPr>
                <w:rFonts w:ascii="Times New Roman" w:hAnsi="Times New Roman" w:cs="Times New Roman"/>
                <w:noProof/>
              </w:rPr>
              <w:t>However, only the two first species are assessed in the Mediterranean and the North-east Atlantic. There are no data or established populations for the other species.</w:t>
            </w:r>
          </w:p>
          <w:p>
            <w:pPr>
              <w:spacing w:after="120"/>
              <w:rPr>
                <w:rFonts w:ascii="Times New Roman" w:hAnsi="Times New Roman" w:cs="Times New Roman"/>
                <w:noProof/>
              </w:rPr>
            </w:pPr>
            <w:r>
              <w:rPr>
                <w:rFonts w:ascii="Times New Roman" w:hAnsi="Times New Roman" w:cs="Times New Roman"/>
                <w:noProof/>
              </w:rPr>
              <w:t>Overall, the conservation status of marine reptiles was unknown in 67% of the reports, with 33% in unfavourable status. However, for the marine Mediterranean region, 60% of the reports were unfavourable, compared to 40% unknown (</w:t>
            </w:r>
            <w:r>
              <w:rPr>
                <w:noProof/>
              </w:rPr>
              <w:fldChar w:fldCharType="begin"/>
            </w:r>
            <w:r>
              <w:rPr>
                <w:rFonts w:ascii="Times New Roman" w:hAnsi="Times New Roman" w:cs="Times New Roman"/>
                <w:noProof/>
              </w:rPr>
              <w:instrText xml:space="preserve"> ADDIN ZOTERO_ITEM CSL_CITATION {"citationID":"a2ej3pg1hl9","properties":{"formattedCitation":"(European Environment Agency, 2013a)","plainCitation":"(European Environment Agency, 2013a)","noteIndex":0},"citationItems":[{"id":28309,"uris":["http://zotero.org/groups/2256879/items/7AEB4MZU"],"uri":["http://zotero.org/groups/2256879/items/7AEB4MZU"],"itemData":{"id":28309,"type":"webpage","title":"Conservation status of habitat types and species (Article 17, Habitats Directive 92/43/EEC)","container-title":"European Environment Agency","genre":"Data","abstract":"All Member States are requested by the Habitats Directive (1992) to monitor habitat types and species considered to be of Community interest.","URL":"https://www.eea.europa.eu/data-and-maps/data/article-17-database-habitats-directive-92-43-eec-1","language":"en","author":[{"family":"European Environment Agency","given":""}],"issued":{"date-parts":[["2013"]]},"accessed":{"date-parts":[["2019",2,13]]}}}],"schema":"https://github.com/citation-style-language/schema/raw/master/csl-citation.json"} </w:instrText>
            </w:r>
            <w:r>
              <w:rPr>
                <w:noProof/>
              </w:rPr>
              <w:fldChar w:fldCharType="separate"/>
            </w:r>
            <w:r>
              <w:rPr>
                <w:rFonts w:ascii="Times New Roman" w:hAnsi="Times New Roman" w:cs="Times New Roman"/>
                <w:noProof/>
              </w:rPr>
              <w:t>EEA, 2013a)</w:t>
            </w:r>
            <w:r>
              <w:rPr>
                <w:noProof/>
              </w:rPr>
              <w:fldChar w:fldCharType="end"/>
            </w:r>
            <w:r>
              <w:rPr>
                <w:rFonts w:ascii="Times New Roman" w:hAnsi="Times New Roman" w:cs="Times New Roman"/>
                <w:noProof/>
              </w:rPr>
              <w:t xml:space="preserve"> (</w:t>
            </w:r>
            <w:r>
              <w:rPr>
                <w:noProof/>
              </w:rPr>
              <w:fldChar w:fldCharType="begin"/>
            </w:r>
            <w:r>
              <w:rPr>
                <w:rFonts w:ascii="Times New Roman" w:hAnsi="Times New Roman" w:cs="Times New Roman"/>
                <w:noProof/>
              </w:rPr>
              <w:instrText xml:space="preserve"> REF _Ref30275758 \h  \* MERGEFORMAT </w:instrText>
            </w:r>
            <w:r>
              <w:rPr>
                <w:noProof/>
              </w:rPr>
            </w:r>
            <w:r>
              <w:rPr>
                <w:noProof/>
              </w:rPr>
              <w:fldChar w:fldCharType="separate"/>
            </w:r>
            <w:r>
              <w:rPr>
                <w:rFonts w:ascii="Times New Roman" w:hAnsi="Times New Roman" w:cs="Times New Roman"/>
                <w:noProof/>
              </w:rPr>
              <w:t>Figure 7</w:t>
            </w:r>
            <w:r>
              <w:rPr>
                <w:noProof/>
              </w:rPr>
              <w:fldChar w:fldCharType="end"/>
            </w:r>
            <w:r>
              <w:rPr>
                <w:rFonts w:ascii="Times New Roman" w:hAnsi="Times New Roman" w:cs="Times New Roman"/>
                <w:noProof/>
              </w:rPr>
              <w:t xml:space="preserve">). </w:t>
            </w:r>
          </w:p>
        </w:tc>
      </w:tr>
      <w:tr>
        <w:tc>
          <w:tcPr>
            <w:tcW w:w="1101" w:type="dxa"/>
            <w:shd w:val="clear" w:color="auto" w:fill="E6E7E8"/>
          </w:tcPr>
          <w:p>
            <w:pPr>
              <w:spacing w:after="120"/>
              <w:rPr>
                <w:rFonts w:ascii="Times New Roman" w:hAnsi="Times New Roman" w:cs="Times New Roman"/>
                <w:noProof/>
                <w:lang w:eastAsia="en-GB"/>
              </w:rPr>
            </w:pPr>
            <w:r>
              <w:rPr>
                <w:rFonts w:ascii="Times New Roman" w:eastAsia="ヒラギノ角ゴ Pro W3" w:hAnsi="Times New Roman" w:cs="Times New Roman"/>
                <w:noProof/>
                <w:lang w:eastAsia="en-GB"/>
              </w:rPr>
              <w:t>UNEP-MAP</w:t>
            </w:r>
          </w:p>
        </w:tc>
        <w:tc>
          <w:tcPr>
            <w:tcW w:w="7796" w:type="dxa"/>
          </w:tcPr>
          <w:p>
            <w:pPr>
              <w:spacing w:after="120"/>
              <w:rPr>
                <w:rFonts w:ascii="Times New Roman" w:hAnsi="Times New Roman" w:cs="Times New Roman"/>
                <w:noProof/>
              </w:rPr>
            </w:pPr>
            <w:r>
              <w:rPr>
                <w:rFonts w:ascii="Times New Roman" w:hAnsi="Times New Roman" w:cs="Times New Roman"/>
                <w:noProof/>
              </w:rPr>
              <w:t xml:space="preserve">At present, knowledge on sea turtle abundance and demography is patchy at best for each component and that effort needs to be placed on filling existing gaps in order to predict with any certainty the future viability of sea turtle populations in the Mediterranean </w:t>
            </w:r>
            <w:r>
              <w:rPr>
                <w:noProof/>
                <w:vertAlign w:val="superscript"/>
              </w:rPr>
              <w:fldChar w:fldCharType="begin"/>
            </w:r>
            <w:r>
              <w:rPr>
                <w:rFonts w:ascii="Times New Roman" w:hAnsi="Times New Roman" w:cs="Times New Roman"/>
                <w:noProof/>
                <w:vertAlign w:val="superscript"/>
              </w:rPr>
              <w:instrText xml:space="preserve"> ADDIN ZOTERO_ITEM CSL_CITATION {"citationID":"al1pk9cltj","properties":{"formattedCitation":"(United Nations Environment Programme, 2018)","plainCitation":"(United Nations Environment Programme, 2018)"},"citationItems":[{"id":96,"uris":["http://zotero.org/groups/2256879/items/EHWBDJ9I"],"uri":["http://zotero.org/groups/2256879/items/EHWBDJ9I"],"itemData":{"id":96,"type":"webpage","title":"UNEPMAP QSR Biodiversity and Ecosystems (EO1)","URL":"https://www.medqsr.org/biodiversity-and-ecosystems-eo1","author":[{"family":"United Nations Environment Programme","given":"Mediterranean Action Plan (Barcelona Convention)"}],"issued":{"date-parts":[["2018"]]},"accessed":{"date-parts":[["2019",1,30]]}}}],"schema":"https://github.com/citation-style-language/schema/raw/master/csl-citation.json"} </w:instrText>
            </w:r>
            <w:r>
              <w:rPr>
                <w:noProof/>
                <w:vertAlign w:val="superscript"/>
              </w:rPr>
              <w:fldChar w:fldCharType="separate"/>
            </w:r>
            <w:r>
              <w:rPr>
                <w:rFonts w:ascii="Times New Roman" w:hAnsi="Times New Roman" w:cs="Times New Roman"/>
                <w:noProof/>
              </w:rPr>
              <w:t>(UNEP-MAP, 2018)</w:t>
            </w:r>
            <w:r>
              <w:rPr>
                <w:noProof/>
                <w:vertAlign w:val="superscript"/>
              </w:rPr>
              <w:fldChar w:fldCharType="end"/>
            </w:r>
          </w:p>
        </w:tc>
      </w:tr>
    </w:tbl>
    <w:p>
      <w:pPr>
        <w:pStyle w:val="Caption"/>
        <w:rPr>
          <w:noProof/>
        </w:rPr>
      </w:pPr>
      <w:bookmarkStart w:id="23" w:name="_Ref1126889"/>
      <w:r>
        <w:rPr>
          <w:noProof/>
        </w:rPr>
        <w:t xml:space="preserve">Table </w:t>
      </w:r>
      <w:r>
        <w:rPr>
          <w:noProof/>
        </w:rPr>
        <w:fldChar w:fldCharType="begin"/>
      </w:r>
      <w:r>
        <w:rPr>
          <w:noProof/>
        </w:rPr>
        <w:instrText xml:space="preserve"> SEQ Table \* ARABIC </w:instrText>
      </w:r>
      <w:r>
        <w:rPr>
          <w:noProof/>
        </w:rPr>
        <w:fldChar w:fldCharType="separate"/>
      </w:r>
      <w:r>
        <w:rPr>
          <w:noProof/>
        </w:rPr>
        <w:t>8</w:t>
      </w:r>
      <w:r>
        <w:rPr>
          <w:noProof/>
        </w:rPr>
        <w:fldChar w:fldCharType="end"/>
      </w:r>
      <w:r>
        <w:rPr>
          <w:noProof/>
        </w:rPr>
        <w:t xml:space="preserve">: Conclusions from different assessments about the status of reptiles (in this case, sea turtles) in the European seas. </w:t>
      </w:r>
    </w:p>
    <w:p>
      <w:pPr>
        <w:spacing w:after="0"/>
        <w:jc w:val="center"/>
        <w:rPr>
          <w:b/>
          <w:noProof/>
        </w:rPr>
      </w:pPr>
      <w:r>
        <w:rPr>
          <w:b/>
          <w:noProof/>
        </w:rPr>
        <w:drawing>
          <wp:inline distT="0" distB="0" distL="0" distR="0">
            <wp:extent cx="5472430" cy="36766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7.jpg"/>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5472430" cy="3676650"/>
                    </a:xfrm>
                    <a:prstGeom prst="rect">
                      <a:avLst/>
                    </a:prstGeom>
                    <a:ln>
                      <a:noFill/>
                    </a:ln>
                    <a:extLst>
                      <a:ext uri="{53640926-AAD7-44D8-BBD7-CCE9431645EC}">
                        <a14:shadowObscured xmlns:a14="http://schemas.microsoft.com/office/drawing/2010/main"/>
                      </a:ext>
                    </a:extLst>
                  </pic:spPr>
                </pic:pic>
              </a:graphicData>
            </a:graphic>
          </wp:inline>
        </w:drawing>
      </w:r>
    </w:p>
    <w:p>
      <w:pPr>
        <w:pStyle w:val="Caption"/>
        <w:rPr>
          <w:noProof/>
        </w:rPr>
      </w:pPr>
      <w:bookmarkStart w:id="24" w:name="_Ref30275758"/>
      <w:r>
        <w:rPr>
          <w:noProof/>
        </w:rP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23"/>
      <w:bookmarkEnd w:id="24"/>
      <w:r>
        <w:rPr>
          <w:noProof/>
        </w:rPr>
        <w:t xml:space="preserve">: Conservation status of marine turtles per sea region. </w:t>
      </w:r>
      <w:r>
        <w:rPr>
          <w:noProof/>
          <w:lang w:eastAsia="it-IT"/>
        </w:rPr>
        <w:t xml:space="preserve">Source: </w:t>
      </w:r>
      <w:r>
        <w:rPr>
          <w:noProof/>
        </w:rPr>
        <w:t>EEA (2013b). Based upon the previous reporting round of the Habitats Directive 2007-2012, none of the five species normally occurring in European waters were in ‘favourable conservation status’. Of these, two species breed in European waters: the green turtle (Chelonia mydas) which breeds in the south-eastern portion of the Mediterranean Sea and the loggerhead turtle (Caretta caretta) which breeds in the southern part of the same basin.</w:t>
      </w:r>
    </w:p>
    <w:p>
      <w:pPr>
        <w:pStyle w:val="Heading3"/>
        <w:rPr>
          <w:rStyle w:val="Emphasis"/>
          <w:i/>
          <w:noProof/>
        </w:rPr>
      </w:pPr>
      <w:bookmarkStart w:id="25" w:name="_Toc30404113"/>
      <w:r>
        <w:rPr>
          <w:rStyle w:val="Emphasis"/>
          <w:i/>
          <w:noProof/>
        </w:rPr>
        <w:t>Pelagic habitats</w:t>
      </w:r>
      <w:bookmarkEnd w:id="25"/>
    </w:p>
    <w:tbl>
      <w:tblPr>
        <w:tblStyle w:val="TableGrid"/>
        <w:tblW w:w="8902" w:type="dxa"/>
        <w:tblInd w:w="-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firstRow="1" w:lastRow="0" w:firstColumn="1" w:lastColumn="0" w:noHBand="0" w:noVBand="1"/>
      </w:tblPr>
      <w:tblGrid>
        <w:gridCol w:w="1247"/>
        <w:gridCol w:w="7655"/>
      </w:tblGrid>
      <w:tr>
        <w:tc>
          <w:tcPr>
            <w:tcW w:w="12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F7C2"/>
          </w:tcPr>
          <w:p>
            <w:pPr>
              <w:spacing w:after="120"/>
              <w:rPr>
                <w:rFonts w:ascii="Times New Roman" w:hAnsi="Times New Roman" w:cs="Times New Roman"/>
                <w:noProof/>
                <w:lang w:eastAsia="en-GB"/>
              </w:rPr>
            </w:pPr>
            <w:r>
              <w:rPr>
                <w:rFonts w:ascii="Times New Roman" w:hAnsi="Times New Roman" w:cs="Times New Roman"/>
                <w:noProof/>
                <w:lang w:eastAsia="en-GB"/>
              </w:rPr>
              <w:t>HELCOM</w:t>
            </w:r>
          </w:p>
        </w:tc>
        <w:tc>
          <w:tcPr>
            <w:tcW w:w="7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pPr>
              <w:spacing w:after="120"/>
              <w:rPr>
                <w:rFonts w:ascii="Times New Roman" w:hAnsi="Times New Roman" w:cs="Times New Roman"/>
                <w:noProof/>
              </w:rPr>
            </w:pPr>
            <w:r>
              <w:rPr>
                <w:rFonts w:ascii="Times New Roman" w:hAnsi="Times New Roman" w:cs="Times New Roman"/>
                <w:noProof/>
              </w:rPr>
              <w:t>Using indicators for phytoplankton and zooplankton, HELCOM reported good status for pelagic habitats is achieved in the Kattegat, but not in any other open sea sub-basin during 2011-2016. 20% of the coastal areas achieve good integrated status.</w:t>
            </w:r>
          </w:p>
        </w:tc>
      </w:tr>
      <w:tr>
        <w:tc>
          <w:tcPr>
            <w:tcW w:w="12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7E8"/>
          </w:tcPr>
          <w:p>
            <w:pPr>
              <w:spacing w:after="120"/>
              <w:rPr>
                <w:rFonts w:ascii="Times New Roman" w:hAnsi="Times New Roman" w:cs="Times New Roman"/>
                <w:noProof/>
                <w:lang w:eastAsia="en-GB"/>
              </w:rPr>
            </w:pPr>
            <w:r>
              <w:rPr>
                <w:rFonts w:ascii="Times New Roman" w:hAnsi="Times New Roman" w:cs="Times New Roman"/>
                <w:noProof/>
                <w:lang w:eastAsia="en-GB"/>
              </w:rPr>
              <w:t>OSPAR</w:t>
            </w:r>
          </w:p>
        </w:tc>
        <w:tc>
          <w:tcPr>
            <w:tcW w:w="7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pPr>
              <w:spacing w:after="120"/>
              <w:rPr>
                <w:rFonts w:ascii="Times New Roman" w:hAnsi="Times New Roman" w:cs="Times New Roman"/>
                <w:noProof/>
              </w:rPr>
            </w:pPr>
            <w:r>
              <w:rPr>
                <w:rFonts w:ascii="Times New Roman" w:hAnsi="Times New Roman" w:cs="Times New Roman"/>
                <w:noProof/>
              </w:rPr>
              <w:t xml:space="preserve">In the OSPAR region, local and large-scale changes in phytoplankton biomass and zooplankton abundance were observed from 1958 to 2002. Since 2004, plankton communities experienced significant changes in relative abundance, indicating alterations to key aspects of ecosystem functioning. The inference is that those changes are linked to prevailing environmental conditions such as climate change, nutrient enrichment or other factors </w:t>
            </w:r>
            <w:r>
              <w:rPr>
                <w:noProof/>
              </w:rPr>
              <w:fldChar w:fldCharType="begin"/>
            </w:r>
            <w:r>
              <w:rPr>
                <w:rFonts w:ascii="Times New Roman" w:hAnsi="Times New Roman" w:cs="Times New Roman"/>
                <w:noProof/>
              </w:rPr>
              <w:instrText xml:space="preserve"> ADDIN ZOTERO_ITEM CSL_CITATION {"citationID":"wLaGGnfF","properties":{"formattedCitation":"(OSPAR Commission, 2017e)","plainCitation":"(OSPAR Commission, 2017e)","noteIndex":0},"citationItems":[{"id":28377,"uris":["http://zotero.org/groups/2256879/items/FHB4X8M2"],"uri":["http://zotero.org/groups/2256879/items/FHB4X8M2"],"itemData":{"id":28377,"type":"webpage","title":"OSPAR Pilot Assessment of Production of Phytoplankton","URL":"https://oap.ospar.org/en/ospar-assessments/intermediate-assessment-2017/biodiversity-status/fish-and-food-webs/phytoplankton-production/","language":"en","author":[{"family":"OSPAR Commission","given":""}],"issued":{"date-parts":[["2017",4,27]]},"accessed":{"date-parts":[["2019",2,15]]}}}],"schema":"https://github.com/citation-style-language/schema/raw/master/csl-citation.json"} </w:instrText>
            </w:r>
            <w:r>
              <w:rPr>
                <w:noProof/>
              </w:rPr>
              <w:fldChar w:fldCharType="separate"/>
            </w:r>
            <w:r>
              <w:rPr>
                <w:rFonts w:ascii="Times New Roman" w:hAnsi="Times New Roman" w:cs="Times New Roman"/>
                <w:noProof/>
              </w:rPr>
              <w:t>(OSPAR, 2017e)</w:t>
            </w:r>
            <w:r>
              <w:rPr>
                <w:noProof/>
              </w:rPr>
              <w:fldChar w:fldCharType="end"/>
            </w:r>
            <w:r>
              <w:rPr>
                <w:rFonts w:ascii="Times New Roman" w:hAnsi="Times New Roman" w:cs="Times New Roman"/>
                <w:noProof/>
              </w:rPr>
              <w:t>.</w:t>
            </w:r>
          </w:p>
        </w:tc>
      </w:tr>
    </w:tbl>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9</w:t>
      </w:r>
      <w:r>
        <w:rPr>
          <w:noProof/>
        </w:rPr>
        <w:fldChar w:fldCharType="end"/>
      </w:r>
      <w:r>
        <w:rPr>
          <w:noProof/>
        </w:rPr>
        <w:t xml:space="preserve">: Conclusions from different assessments about the status of pelagic habitats in the European seas. </w:t>
      </w:r>
    </w:p>
    <w:p>
      <w:pPr>
        <w:pStyle w:val="Heading1"/>
        <w:rPr>
          <w:noProof/>
        </w:rPr>
      </w:pPr>
      <w:bookmarkStart w:id="26" w:name="_Toc30404114"/>
      <w:bookmarkStart w:id="27" w:name="_Ref980836"/>
      <w:bookmarkStart w:id="28" w:name="_Ref980830"/>
      <w:r>
        <w:rPr>
          <w:noProof/>
        </w:rPr>
        <w:t>Some observed trends</w:t>
      </w:r>
      <w:bookmarkEnd w:id="26"/>
    </w:p>
    <w:p>
      <w:pPr>
        <w:rPr>
          <w:noProof/>
        </w:rPr>
      </w:pPr>
      <w:r>
        <w:rPr>
          <w:noProof/>
        </w:rPr>
        <w:t>There are not consistent metrics of trends to evaluate marine biodiversity as a whole, but the following tables and figures show some examples of specific regional-scale studies.</w:t>
      </w:r>
    </w:p>
    <w:tbl>
      <w:tblPr>
        <w:tblStyle w:val="PlainTable5"/>
        <w:tblW w:w="0" w:type="auto"/>
        <w:jc w:val="center"/>
        <w:tblLayout w:type="fixed"/>
        <w:tblLook w:val="04A0" w:firstRow="1" w:lastRow="0" w:firstColumn="1" w:lastColumn="0" w:noHBand="0" w:noVBand="1"/>
      </w:tblPr>
      <w:tblGrid>
        <w:gridCol w:w="1451"/>
        <w:gridCol w:w="1067"/>
        <w:gridCol w:w="992"/>
        <w:gridCol w:w="992"/>
        <w:gridCol w:w="1560"/>
        <w:gridCol w:w="1559"/>
      </w:tblGrid>
      <w:tr>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451" w:type="dxa"/>
          </w:tcPr>
          <w:p>
            <w:pPr>
              <w:spacing w:after="60"/>
              <w:jc w:val="center"/>
              <w:rPr>
                <w:rFonts w:ascii="Times New Roman" w:hAnsi="Times New Roman" w:cs="Times New Roman"/>
                <w:b/>
                <w:noProof/>
                <w:sz w:val="22"/>
                <w:szCs w:val="22"/>
              </w:rPr>
            </w:pPr>
          </w:p>
        </w:tc>
        <w:tc>
          <w:tcPr>
            <w:tcW w:w="1067" w:type="dxa"/>
          </w:tcPr>
          <w:p>
            <w:pPr>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2"/>
                <w:szCs w:val="22"/>
              </w:rPr>
            </w:pPr>
            <w:r>
              <w:rPr>
                <w:rFonts w:ascii="Times New Roman" w:hAnsi="Times New Roman" w:cs="Times New Roman"/>
                <w:noProof/>
                <w:sz w:val="22"/>
                <w:szCs w:val="22"/>
              </w:rPr>
              <w:t>World</w:t>
            </w:r>
          </w:p>
        </w:tc>
        <w:tc>
          <w:tcPr>
            <w:tcW w:w="992" w:type="dxa"/>
          </w:tcPr>
          <w:p>
            <w:pPr>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2"/>
                <w:szCs w:val="22"/>
              </w:rPr>
            </w:pPr>
            <w:r>
              <w:rPr>
                <w:rFonts w:ascii="Times New Roman" w:hAnsi="Times New Roman" w:cs="Times New Roman"/>
                <w:noProof/>
                <w:sz w:val="22"/>
                <w:szCs w:val="22"/>
              </w:rPr>
              <w:t>Europe</w:t>
            </w:r>
          </w:p>
        </w:tc>
        <w:tc>
          <w:tcPr>
            <w:tcW w:w="992" w:type="dxa"/>
          </w:tcPr>
          <w:p>
            <w:pPr>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2"/>
                <w:szCs w:val="22"/>
              </w:rPr>
            </w:pPr>
            <w:r>
              <w:rPr>
                <w:rFonts w:ascii="Times New Roman" w:hAnsi="Times New Roman" w:cs="Times New Roman"/>
                <w:noProof/>
                <w:sz w:val="22"/>
                <w:szCs w:val="22"/>
              </w:rPr>
              <w:t>Baltic Sea</w:t>
            </w:r>
          </w:p>
        </w:tc>
        <w:tc>
          <w:tcPr>
            <w:tcW w:w="1560" w:type="dxa"/>
          </w:tcPr>
          <w:p>
            <w:pPr>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2"/>
                <w:szCs w:val="22"/>
              </w:rPr>
            </w:pPr>
            <w:r>
              <w:rPr>
                <w:rFonts w:ascii="Times New Roman" w:hAnsi="Times New Roman" w:cs="Times New Roman"/>
                <w:noProof/>
                <w:sz w:val="22"/>
                <w:szCs w:val="22"/>
              </w:rPr>
              <w:t>North-east Atlantic Ocean</w:t>
            </w:r>
          </w:p>
        </w:tc>
        <w:tc>
          <w:tcPr>
            <w:tcW w:w="1559" w:type="dxa"/>
          </w:tcPr>
          <w:p>
            <w:pPr>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2"/>
                <w:szCs w:val="22"/>
              </w:rPr>
            </w:pPr>
            <w:r>
              <w:rPr>
                <w:rFonts w:ascii="Times New Roman" w:hAnsi="Times New Roman" w:cs="Times New Roman"/>
                <w:noProof/>
                <w:sz w:val="22"/>
                <w:szCs w:val="22"/>
              </w:rPr>
              <w:t>Mediterranean Sea</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1" w:type="dxa"/>
          </w:tcPr>
          <w:p>
            <w:pPr>
              <w:spacing w:after="60"/>
              <w:rPr>
                <w:rFonts w:ascii="Times New Roman" w:hAnsi="Times New Roman" w:cs="Times New Roman"/>
                <w:b/>
                <w:noProof/>
                <w:sz w:val="22"/>
                <w:szCs w:val="22"/>
              </w:rPr>
            </w:pPr>
            <w:r>
              <w:rPr>
                <w:rFonts w:ascii="Times New Roman" w:hAnsi="Times New Roman" w:cs="Times New Roman"/>
                <w:noProof/>
                <w:sz w:val="22"/>
                <w:szCs w:val="22"/>
              </w:rPr>
              <w:t>Ringed seal</w:t>
            </w:r>
          </w:p>
        </w:tc>
        <w:tc>
          <w:tcPr>
            <w:tcW w:w="1067" w:type="dxa"/>
          </w:tcPr>
          <w:p>
            <w:pPr>
              <w:spacing w:after="60"/>
              <w:jc w:val="center"/>
              <w:cnfStyle w:val="000000100000" w:firstRow="0" w:lastRow="0" w:firstColumn="0" w:lastColumn="0" w:oddVBand="0" w:evenVBand="0" w:oddHBand="1" w:evenHBand="0" w:firstRowFirstColumn="0" w:firstRowLastColumn="0" w:lastRowFirstColumn="0" w:lastRowLastColumn="0"/>
              <w:rPr>
                <w:noProof/>
                <w:sz w:val="22"/>
                <w:szCs w:val="22"/>
              </w:rPr>
            </w:pPr>
            <w:r>
              <w:rPr>
                <w:noProof/>
                <w:color w:val="E7E6E6" w:themeColor="background2"/>
                <w:sz w:val="22"/>
                <w:szCs w:val="2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t>
            </w:r>
          </w:p>
        </w:tc>
        <w:tc>
          <w:tcPr>
            <w:tcW w:w="992" w:type="dxa"/>
          </w:tcPr>
          <w:p>
            <w:pPr>
              <w:spacing w:after="60"/>
              <w:jc w:val="center"/>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szCs w:val="22"/>
              </w:rPr>
              <mc:AlternateContent>
                <mc:Choice Requires="wps">
                  <w:drawing>
                    <wp:inline distT="0" distB="0" distL="0" distR="0">
                      <wp:extent cx="114300" cy="139700"/>
                      <wp:effectExtent l="19050" t="19050" r="38100" b="12700"/>
                      <wp:docPr id="448" name="Up Arrow 453"/>
                      <wp:cNvGraphicFramePr/>
                      <a:graphic xmlns:a="http://schemas.openxmlformats.org/drawingml/2006/main">
                        <a:graphicData uri="http://schemas.microsoft.com/office/word/2010/wordprocessingShape">
                          <wps:wsp>
                            <wps:cNvSpPr/>
                            <wps:spPr>
                              <a:xfrm>
                                <a:off x="0" y="0"/>
                                <a:ext cx="114300" cy="139700"/>
                              </a:xfrm>
                              <a:prstGeom prst="up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3E0F7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53" o:spid="_x0000_s1026" type="#_x0000_t68" style="width:9pt;height: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" adj="8836" fillcolor="#92d050" strokecolor="#1f4d78 [1604]" strokeweight="1pt">
                      <w10:anchorlock/>
                    </v:shape>
                  </w:pict>
                </mc:Fallback>
              </mc:AlternateContent>
            </w:r>
            <w:r>
              <w:rPr>
                <w:noProof/>
                <w:sz w:val="22"/>
                <w:szCs w:val="22"/>
              </w:rPr>
              <w:t>LC</w:t>
            </w:r>
          </w:p>
        </w:tc>
        <w:tc>
          <w:tcPr>
            <w:tcW w:w="992" w:type="dxa"/>
          </w:tcPr>
          <w:p>
            <w:pPr>
              <w:spacing w:after="60"/>
              <w:jc w:val="center"/>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szCs w:val="22"/>
              </w:rPr>
              <mc:AlternateContent>
                <mc:Choice Requires="wps">
                  <w:drawing>
                    <wp:inline distT="0" distB="0" distL="0" distR="0">
                      <wp:extent cx="114300" cy="139700"/>
                      <wp:effectExtent l="19050" t="19050" r="38100" b="12700"/>
                      <wp:docPr id="455" name="Up Arrow 448"/>
                      <wp:cNvGraphicFramePr/>
                      <a:graphic xmlns:a="http://schemas.openxmlformats.org/drawingml/2006/main">
                        <a:graphicData uri="http://schemas.microsoft.com/office/word/2010/wordprocessingShape">
                          <wps:wsp>
                            <wps:cNvSpPr/>
                            <wps:spPr>
                              <a:xfrm>
                                <a:off x="0" y="0"/>
                                <a:ext cx="114300" cy="139700"/>
                              </a:xfrm>
                              <a:prstGeom prst="up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ADFEC1" id="Up Arrow 448" o:spid="_x0000_s1026" type="#_x0000_t68" style="width:9pt;height: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" adj="8836" fillcolor="#92d050" strokecolor="#1f4d78 [1604]" strokeweight="1pt">
                      <w10:anchorlock/>
                    </v:shape>
                  </w:pict>
                </mc:Fallback>
              </mc:AlternateContent>
            </w:r>
            <w:r>
              <w:rPr>
                <w:noProof/>
                <w:sz w:val="22"/>
                <w:szCs w:val="22"/>
              </w:rPr>
              <mc:AlternateContent>
                <mc:Choice Requires="wps">
                  <w:drawing>
                    <wp:inline distT="0" distB="0" distL="0" distR="0">
                      <wp:extent cx="111760" cy="158750"/>
                      <wp:effectExtent l="19050" t="0" r="40640" b="31750"/>
                      <wp:docPr id="58" name="Down Arrow 450"/>
                      <wp:cNvGraphicFramePr/>
                      <a:graphic xmlns:a="http://schemas.openxmlformats.org/drawingml/2006/main">
                        <a:graphicData uri="http://schemas.microsoft.com/office/word/2010/wordprocessingShape">
                          <wps:wsp>
                            <wps:cNvSpPr/>
                            <wps:spPr>
                              <a:xfrm>
                                <a:off x="0" y="0"/>
                                <a:ext cx="111760" cy="15875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2A39D0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50" o:spid="_x0000_s1026" type="#_x0000_t67" style="width:8.8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" adj="13997" fillcolor="red" strokecolor="#1f4d78 [1604]" strokeweight="1pt">
                      <w10:anchorlock/>
                    </v:shape>
                  </w:pict>
                </mc:Fallback>
              </mc:AlternateContent>
            </w:r>
          </w:p>
        </w:tc>
        <w:tc>
          <w:tcPr>
            <w:tcW w:w="1560" w:type="dxa"/>
          </w:tcPr>
          <w:p>
            <w:pPr>
              <w:spacing w:after="60"/>
              <w:jc w:val="center"/>
              <w:cnfStyle w:val="000000100000" w:firstRow="0" w:lastRow="0" w:firstColumn="0" w:lastColumn="0" w:oddVBand="0" w:evenVBand="0" w:oddHBand="1" w:evenHBand="0" w:firstRowFirstColumn="0" w:firstRowLastColumn="0" w:lastRowFirstColumn="0" w:lastRowLastColumn="0"/>
              <w:rPr>
                <w:noProof/>
                <w:sz w:val="22"/>
                <w:szCs w:val="22"/>
              </w:rPr>
            </w:pPr>
          </w:p>
        </w:tc>
        <w:tc>
          <w:tcPr>
            <w:tcW w:w="1559" w:type="dxa"/>
          </w:tcPr>
          <w:p>
            <w:pPr>
              <w:spacing w:after="60"/>
              <w:jc w:val="center"/>
              <w:cnfStyle w:val="000000100000" w:firstRow="0" w:lastRow="0" w:firstColumn="0" w:lastColumn="0" w:oddVBand="0" w:evenVBand="0" w:oddHBand="1" w:evenHBand="0" w:firstRowFirstColumn="0" w:firstRowLastColumn="0" w:lastRowFirstColumn="0" w:lastRowLastColumn="0"/>
              <w:rPr>
                <w:noProof/>
                <w:sz w:val="22"/>
                <w:szCs w:val="22"/>
              </w:rPr>
            </w:pPr>
          </w:p>
        </w:tc>
      </w:tr>
      <w:tr>
        <w:trPr>
          <w:jc w:val="center"/>
        </w:trPr>
        <w:tc>
          <w:tcPr>
            <w:cnfStyle w:val="001000000000" w:firstRow="0" w:lastRow="0" w:firstColumn="1" w:lastColumn="0" w:oddVBand="0" w:evenVBand="0" w:oddHBand="0" w:evenHBand="0" w:firstRowFirstColumn="0" w:firstRowLastColumn="0" w:lastRowFirstColumn="0" w:lastRowLastColumn="0"/>
            <w:tcW w:w="1451" w:type="dxa"/>
          </w:tcPr>
          <w:p>
            <w:pPr>
              <w:spacing w:after="60"/>
              <w:rPr>
                <w:rFonts w:ascii="Times New Roman" w:hAnsi="Times New Roman" w:cs="Times New Roman"/>
                <w:b/>
                <w:noProof/>
                <w:sz w:val="22"/>
                <w:szCs w:val="22"/>
              </w:rPr>
            </w:pPr>
            <w:r>
              <w:rPr>
                <w:rFonts w:ascii="Times New Roman" w:hAnsi="Times New Roman" w:cs="Times New Roman"/>
                <w:noProof/>
                <w:sz w:val="22"/>
                <w:szCs w:val="22"/>
              </w:rPr>
              <w:t>Grey seal</w:t>
            </w:r>
          </w:p>
        </w:tc>
        <w:tc>
          <w:tcPr>
            <w:tcW w:w="1067" w:type="dxa"/>
          </w:tcPr>
          <w:p>
            <w:pPr>
              <w:spacing w:after="60"/>
              <w:jc w:val="center"/>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mc:AlternateContent>
                <mc:Choice Requires="wps">
                  <w:drawing>
                    <wp:inline distT="0" distB="0" distL="0" distR="0">
                      <wp:extent cx="114300" cy="139700"/>
                      <wp:effectExtent l="19050" t="19050" r="38100" b="12700"/>
                      <wp:docPr id="59" name="Up Arrow 455"/>
                      <wp:cNvGraphicFramePr/>
                      <a:graphic xmlns:a="http://schemas.openxmlformats.org/drawingml/2006/main">
                        <a:graphicData uri="http://schemas.microsoft.com/office/word/2010/wordprocessingShape">
                          <wps:wsp>
                            <wps:cNvSpPr/>
                            <wps:spPr>
                              <a:xfrm>
                                <a:off x="0" y="0"/>
                                <a:ext cx="114300" cy="139700"/>
                              </a:xfrm>
                              <a:prstGeom prst="up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1180A8" id="Up Arrow 455" o:spid="_x0000_s1026" type="#_x0000_t68" style="width:9pt;height: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" adj="8836" fillcolor="#92d050" strokecolor="#1f4d78 [1604]" strokeweight="1pt">
                      <w10:anchorlock/>
                    </v:shape>
                  </w:pict>
                </mc:Fallback>
              </mc:AlternateContent>
            </w:r>
            <w:r>
              <w:rPr>
                <w:noProof/>
                <w:sz w:val="22"/>
                <w:szCs w:val="22"/>
              </w:rPr>
              <w:t>LC</w:t>
            </w:r>
          </w:p>
        </w:tc>
        <w:tc>
          <w:tcPr>
            <w:tcW w:w="992" w:type="dxa"/>
          </w:tcPr>
          <w:p>
            <w:pPr>
              <w:spacing w:after="60"/>
              <w:jc w:val="center"/>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mc:AlternateContent>
                <mc:Choice Requires="wps">
                  <w:drawing>
                    <wp:inline distT="0" distB="0" distL="0" distR="0">
                      <wp:extent cx="114300" cy="139700"/>
                      <wp:effectExtent l="19050" t="19050" r="38100" b="12700"/>
                      <wp:docPr id="37" name="Up Arrow 454"/>
                      <wp:cNvGraphicFramePr/>
                      <a:graphic xmlns:a="http://schemas.openxmlformats.org/drawingml/2006/main">
                        <a:graphicData uri="http://schemas.microsoft.com/office/word/2010/wordprocessingShape">
                          <wps:wsp>
                            <wps:cNvSpPr/>
                            <wps:spPr>
                              <a:xfrm>
                                <a:off x="0" y="0"/>
                                <a:ext cx="114300" cy="139700"/>
                              </a:xfrm>
                              <a:prstGeom prst="up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02ACF2" id="Up Arrow 454" o:spid="_x0000_s1026" type="#_x0000_t68" style="width:9pt;height: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" adj="8836" fillcolor="#92d050" strokecolor="#1f4d78 [1604]" strokeweight="1pt">
                      <w10:anchorlock/>
                    </v:shape>
                  </w:pict>
                </mc:Fallback>
              </mc:AlternateContent>
            </w:r>
            <w:r>
              <w:rPr>
                <w:noProof/>
                <w:sz w:val="22"/>
                <w:szCs w:val="22"/>
              </w:rPr>
              <w:t>LC</w:t>
            </w:r>
          </w:p>
        </w:tc>
        <w:tc>
          <w:tcPr>
            <w:tcW w:w="992" w:type="dxa"/>
          </w:tcPr>
          <w:p>
            <w:pPr>
              <w:spacing w:after="60"/>
              <w:jc w:val="center"/>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mc:AlternateContent>
                <mc:Choice Requires="wps">
                  <w:drawing>
                    <wp:inline distT="0" distB="0" distL="0" distR="0">
                      <wp:extent cx="114300" cy="139700"/>
                      <wp:effectExtent l="19050" t="19050" r="38100" b="12700"/>
                      <wp:docPr id="61" name="Up Arrow 457"/>
                      <wp:cNvGraphicFramePr/>
                      <a:graphic xmlns:a="http://schemas.openxmlformats.org/drawingml/2006/main">
                        <a:graphicData uri="http://schemas.microsoft.com/office/word/2010/wordprocessingShape">
                          <wps:wsp>
                            <wps:cNvSpPr/>
                            <wps:spPr>
                              <a:xfrm>
                                <a:off x="0" y="0"/>
                                <a:ext cx="114300" cy="139700"/>
                              </a:xfrm>
                              <a:prstGeom prst="up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27E5C0" id="Up Arrow 457" o:spid="_x0000_s1026" type="#_x0000_t68" style="width:9pt;height: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" adj="8836" fillcolor="#92d050" strokecolor="#1f4d78 [1604]" strokeweight="1pt">
                      <w10:anchorlock/>
                    </v:shape>
                  </w:pict>
                </mc:Fallback>
              </mc:AlternateContent>
            </w:r>
            <w:r>
              <w:rPr>
                <w:noProof/>
                <w:sz w:val="22"/>
                <w:szCs w:val="22"/>
              </w:rPr>
              <w:t>LC</w:t>
            </w:r>
          </w:p>
        </w:tc>
        <w:tc>
          <w:tcPr>
            <w:tcW w:w="1560" w:type="dxa"/>
          </w:tcPr>
          <w:p>
            <w:pPr>
              <w:spacing w:after="60"/>
              <w:jc w:val="center"/>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mc:AlternateContent>
                <mc:Choice Requires="wps">
                  <w:drawing>
                    <wp:inline distT="0" distB="0" distL="0" distR="0">
                      <wp:extent cx="114300" cy="139700"/>
                      <wp:effectExtent l="19050" t="19050" r="38100" b="12700"/>
                      <wp:docPr id="62" name="Up Arrow 461"/>
                      <wp:cNvGraphicFramePr/>
                      <a:graphic xmlns:a="http://schemas.openxmlformats.org/drawingml/2006/main">
                        <a:graphicData uri="http://schemas.microsoft.com/office/word/2010/wordprocessingShape">
                          <wps:wsp>
                            <wps:cNvSpPr/>
                            <wps:spPr>
                              <a:xfrm>
                                <a:off x="0" y="0"/>
                                <a:ext cx="114300" cy="139700"/>
                              </a:xfrm>
                              <a:prstGeom prst="up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7ED562" id="Up Arrow 461" o:spid="_x0000_s1026" type="#_x0000_t68" style="width:9pt;height: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" adj="8836" fillcolor="#92d050" strokecolor="#1f4d78 [1604]" strokeweight="1pt">
                      <w10:anchorlock/>
                    </v:shape>
                  </w:pict>
                </mc:Fallback>
              </mc:AlternateContent>
            </w:r>
          </w:p>
        </w:tc>
        <w:tc>
          <w:tcPr>
            <w:tcW w:w="1559" w:type="dxa"/>
          </w:tcPr>
          <w:p>
            <w:pPr>
              <w:spacing w:after="60"/>
              <w:jc w:val="center"/>
              <w:cnfStyle w:val="000000000000" w:firstRow="0" w:lastRow="0" w:firstColumn="0" w:lastColumn="0" w:oddVBand="0" w:evenVBand="0" w:oddHBand="0" w:evenHBand="0" w:firstRowFirstColumn="0" w:firstRowLastColumn="0" w:lastRowFirstColumn="0" w:lastRowLastColumn="0"/>
              <w:rPr>
                <w:noProof/>
                <w:sz w:val="22"/>
                <w:szCs w:val="22"/>
              </w:rPr>
            </w:pP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1" w:type="dxa"/>
          </w:tcPr>
          <w:p>
            <w:pPr>
              <w:spacing w:after="60"/>
              <w:rPr>
                <w:rFonts w:ascii="Times New Roman" w:hAnsi="Times New Roman" w:cs="Times New Roman"/>
                <w:b/>
                <w:noProof/>
                <w:sz w:val="22"/>
                <w:szCs w:val="22"/>
              </w:rPr>
            </w:pPr>
            <w:r>
              <w:rPr>
                <w:rFonts w:ascii="Times New Roman" w:hAnsi="Times New Roman" w:cs="Times New Roman"/>
                <w:noProof/>
                <w:sz w:val="22"/>
                <w:szCs w:val="22"/>
              </w:rPr>
              <w:t>Harbour seal</w:t>
            </w:r>
          </w:p>
        </w:tc>
        <w:tc>
          <w:tcPr>
            <w:tcW w:w="1067" w:type="dxa"/>
          </w:tcPr>
          <w:p>
            <w:pPr>
              <w:spacing w:after="60"/>
              <w:jc w:val="center"/>
              <w:cnfStyle w:val="000000100000" w:firstRow="0" w:lastRow="0" w:firstColumn="0" w:lastColumn="0" w:oddVBand="0" w:evenVBand="0" w:oddHBand="1" w:evenHBand="0" w:firstRowFirstColumn="0" w:firstRowLastColumn="0" w:lastRowFirstColumn="0" w:lastRowLastColumn="0"/>
              <w:rPr>
                <w:noProof/>
                <w:sz w:val="22"/>
                <w:szCs w:val="22"/>
              </w:rPr>
            </w:pPr>
            <w:r>
              <w:rPr>
                <w:noProof/>
                <w:color w:val="E7E6E6" w:themeColor="background2"/>
                <w:sz w:val="22"/>
                <w:szCs w:val="2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t>
            </w:r>
          </w:p>
        </w:tc>
        <w:tc>
          <w:tcPr>
            <w:tcW w:w="992" w:type="dxa"/>
          </w:tcPr>
          <w:p>
            <w:pPr>
              <w:spacing w:after="60"/>
              <w:jc w:val="center"/>
              <w:cnfStyle w:val="000000100000" w:firstRow="0" w:lastRow="0" w:firstColumn="0" w:lastColumn="0" w:oddVBand="0" w:evenVBand="0" w:oddHBand="1" w:evenHBand="0" w:firstRowFirstColumn="0" w:firstRowLastColumn="0" w:lastRowFirstColumn="0" w:lastRowLastColumn="0"/>
              <w:rPr>
                <w:noProof/>
                <w:sz w:val="22"/>
                <w:szCs w:val="22"/>
              </w:rPr>
            </w:pPr>
            <w:r>
              <w:rPr>
                <w:noProof/>
                <w:color w:val="E7E6E6" w:themeColor="background2"/>
                <w:sz w:val="22"/>
                <w:szCs w:val="2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t>
            </w:r>
            <w:r>
              <w:rPr>
                <w:noProof/>
                <w:sz w:val="22"/>
                <w:szCs w:val="22"/>
              </w:rPr>
              <w:t xml:space="preserve"> LC</w:t>
            </w:r>
          </w:p>
        </w:tc>
        <w:tc>
          <w:tcPr>
            <w:tcW w:w="992" w:type="dxa"/>
          </w:tcPr>
          <w:p>
            <w:pPr>
              <w:spacing w:after="60"/>
              <w:jc w:val="center"/>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szCs w:val="22"/>
              </w:rPr>
              <mc:AlternateContent>
                <mc:Choice Requires="wps">
                  <w:drawing>
                    <wp:inline distT="0" distB="0" distL="0" distR="0">
                      <wp:extent cx="114300" cy="139700"/>
                      <wp:effectExtent l="19050" t="19050" r="38100" b="12700"/>
                      <wp:docPr id="63" name="Up Arrow 459"/>
                      <wp:cNvGraphicFramePr/>
                      <a:graphic xmlns:a="http://schemas.openxmlformats.org/drawingml/2006/main">
                        <a:graphicData uri="http://schemas.microsoft.com/office/word/2010/wordprocessingShape">
                          <wps:wsp>
                            <wps:cNvSpPr/>
                            <wps:spPr>
                              <a:xfrm>
                                <a:off x="0" y="0"/>
                                <a:ext cx="114300" cy="139700"/>
                              </a:xfrm>
                              <a:prstGeom prst="up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11CDB6" id="Up Arrow 459" o:spid="_x0000_s1026" type="#_x0000_t68" style="width:9pt;height: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" adj="8836" fillcolor="#92d050" strokecolor="#1f4d78 [1604]" strokeweight="1pt">
                      <w10:anchorlock/>
                    </v:shape>
                  </w:pict>
                </mc:Fallback>
              </mc:AlternateContent>
            </w:r>
            <w:r>
              <w:rPr>
                <w:noProof/>
                <w:sz w:val="22"/>
                <w:szCs w:val="22"/>
              </w:rPr>
              <mc:AlternateContent>
                <mc:Choice Requires="wps">
                  <w:drawing>
                    <wp:inline distT="0" distB="0" distL="0" distR="0">
                      <wp:extent cx="111760" cy="158750"/>
                      <wp:effectExtent l="19050" t="0" r="40640" b="31750"/>
                      <wp:docPr id="480" name="Down Arrow 460"/>
                      <wp:cNvGraphicFramePr/>
                      <a:graphic xmlns:a="http://schemas.openxmlformats.org/drawingml/2006/main">
                        <a:graphicData uri="http://schemas.microsoft.com/office/word/2010/wordprocessingShape">
                          <wps:wsp>
                            <wps:cNvSpPr/>
                            <wps:spPr>
                              <a:xfrm>
                                <a:off x="0" y="0"/>
                                <a:ext cx="111760" cy="15875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D2A151" id="Down Arrow 460" o:spid="_x0000_s1026" type="#_x0000_t67" style="width:8.8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" adj="13997" fillcolor="red" strokecolor="#1f4d78 [1604]" strokeweight="1pt">
                      <w10:anchorlock/>
                    </v:shape>
                  </w:pict>
                </mc:Fallback>
              </mc:AlternateContent>
            </w:r>
          </w:p>
        </w:tc>
        <w:tc>
          <w:tcPr>
            <w:tcW w:w="1560" w:type="dxa"/>
          </w:tcPr>
          <w:p>
            <w:pPr>
              <w:spacing w:after="60"/>
              <w:jc w:val="center"/>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szCs w:val="22"/>
              </w:rPr>
              <mc:AlternateContent>
                <mc:Choice Requires="wps">
                  <w:drawing>
                    <wp:inline distT="0" distB="0" distL="0" distR="0">
                      <wp:extent cx="114300" cy="139700"/>
                      <wp:effectExtent l="19050" t="19050" r="38100" b="12700"/>
                      <wp:docPr id="481" name="Up Arrow 462"/>
                      <wp:cNvGraphicFramePr/>
                      <a:graphic xmlns:a="http://schemas.openxmlformats.org/drawingml/2006/main">
                        <a:graphicData uri="http://schemas.microsoft.com/office/word/2010/wordprocessingShape">
                          <wps:wsp>
                            <wps:cNvSpPr/>
                            <wps:spPr>
                              <a:xfrm>
                                <a:off x="0" y="0"/>
                                <a:ext cx="114300" cy="139700"/>
                              </a:xfrm>
                              <a:prstGeom prst="up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E70048" id="Up Arrow 462" o:spid="_x0000_s1026" type="#_x0000_t68" style="width:9pt;height: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" adj="8836" fillcolor="#92d050" strokecolor="#1f4d78 [1604]" strokeweight="1pt">
                      <w10:anchorlock/>
                    </v:shape>
                  </w:pict>
                </mc:Fallback>
              </mc:AlternateContent>
            </w:r>
            <w:r>
              <w:rPr>
                <w:noProof/>
                <w:sz w:val="22"/>
                <w:szCs w:val="22"/>
              </w:rPr>
              <mc:AlternateContent>
                <mc:Choice Requires="wps">
                  <w:drawing>
                    <wp:inline distT="0" distB="0" distL="0" distR="0">
                      <wp:extent cx="111760" cy="158750"/>
                      <wp:effectExtent l="19050" t="0" r="40640" b="31750"/>
                      <wp:docPr id="506" name="Down Arrow 466"/>
                      <wp:cNvGraphicFramePr/>
                      <a:graphic xmlns:a="http://schemas.openxmlformats.org/drawingml/2006/main">
                        <a:graphicData uri="http://schemas.microsoft.com/office/word/2010/wordprocessingShape">
                          <wps:wsp>
                            <wps:cNvSpPr/>
                            <wps:spPr>
                              <a:xfrm>
                                <a:off x="0" y="0"/>
                                <a:ext cx="111760" cy="15875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D0F950" id="Down Arrow 466" o:spid="_x0000_s1026" type="#_x0000_t67" style="width:8.8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" adj="13997" fillcolor="red" strokecolor="#1f4d78 [1604]" strokeweight="1pt">
                      <w10:anchorlock/>
                    </v:shape>
                  </w:pict>
                </mc:Fallback>
              </mc:AlternateContent>
            </w:r>
          </w:p>
        </w:tc>
        <w:tc>
          <w:tcPr>
            <w:tcW w:w="1559" w:type="dxa"/>
          </w:tcPr>
          <w:p>
            <w:pPr>
              <w:spacing w:after="60"/>
              <w:jc w:val="center"/>
              <w:cnfStyle w:val="000000100000" w:firstRow="0" w:lastRow="0" w:firstColumn="0" w:lastColumn="0" w:oddVBand="0" w:evenVBand="0" w:oddHBand="1" w:evenHBand="0" w:firstRowFirstColumn="0" w:firstRowLastColumn="0" w:lastRowFirstColumn="0" w:lastRowLastColumn="0"/>
              <w:rPr>
                <w:noProof/>
                <w:sz w:val="22"/>
                <w:szCs w:val="22"/>
              </w:rPr>
            </w:pPr>
          </w:p>
        </w:tc>
      </w:tr>
      <w:tr>
        <w:trPr>
          <w:jc w:val="center"/>
        </w:trPr>
        <w:tc>
          <w:tcPr>
            <w:cnfStyle w:val="001000000000" w:firstRow="0" w:lastRow="0" w:firstColumn="1" w:lastColumn="0" w:oddVBand="0" w:evenVBand="0" w:oddHBand="0" w:evenHBand="0" w:firstRowFirstColumn="0" w:firstRowLastColumn="0" w:lastRowFirstColumn="0" w:lastRowLastColumn="0"/>
            <w:tcW w:w="1451" w:type="dxa"/>
          </w:tcPr>
          <w:p>
            <w:pPr>
              <w:spacing w:after="60"/>
              <w:rPr>
                <w:rFonts w:ascii="Times New Roman" w:hAnsi="Times New Roman" w:cs="Times New Roman"/>
                <w:b/>
                <w:noProof/>
                <w:sz w:val="22"/>
                <w:szCs w:val="22"/>
              </w:rPr>
            </w:pPr>
            <w:r>
              <w:rPr>
                <w:rFonts w:ascii="Times New Roman" w:hAnsi="Times New Roman" w:cs="Times New Roman"/>
                <w:noProof/>
                <w:sz w:val="22"/>
                <w:szCs w:val="22"/>
              </w:rPr>
              <w:t>Harp seal</w:t>
            </w:r>
          </w:p>
        </w:tc>
        <w:tc>
          <w:tcPr>
            <w:tcW w:w="1067" w:type="dxa"/>
          </w:tcPr>
          <w:p>
            <w:pPr>
              <w:spacing w:after="60"/>
              <w:jc w:val="center"/>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mc:AlternateContent>
                <mc:Choice Requires="wps">
                  <w:drawing>
                    <wp:inline distT="0" distB="0" distL="0" distR="0">
                      <wp:extent cx="114300" cy="139700"/>
                      <wp:effectExtent l="19050" t="19050" r="38100" b="12700"/>
                      <wp:docPr id="484" name="Up Arrow 456"/>
                      <wp:cNvGraphicFramePr/>
                      <a:graphic xmlns:a="http://schemas.openxmlformats.org/drawingml/2006/main">
                        <a:graphicData uri="http://schemas.microsoft.com/office/word/2010/wordprocessingShape">
                          <wps:wsp>
                            <wps:cNvSpPr/>
                            <wps:spPr>
                              <a:xfrm>
                                <a:off x="0" y="0"/>
                                <a:ext cx="114300" cy="139700"/>
                              </a:xfrm>
                              <a:prstGeom prst="up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624313" id="Up Arrow 456" o:spid="_x0000_s1026" type="#_x0000_t68" style="width:9pt;height: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" adj="8836" fillcolor="#92d050" strokecolor="#1f4d78 [1604]" strokeweight="1pt">
                      <w10:anchorlock/>
                    </v:shape>
                  </w:pict>
                </mc:Fallback>
              </mc:AlternateContent>
            </w:r>
            <w:r>
              <w:rPr>
                <w:noProof/>
                <w:sz w:val="22"/>
                <w:szCs w:val="22"/>
              </w:rPr>
              <w:t>LC</w:t>
            </w:r>
          </w:p>
        </w:tc>
        <w:tc>
          <w:tcPr>
            <w:tcW w:w="992" w:type="dxa"/>
          </w:tcPr>
          <w:p>
            <w:pPr>
              <w:spacing w:after="60"/>
              <w:jc w:val="center"/>
              <w:cnfStyle w:val="000000000000" w:firstRow="0" w:lastRow="0" w:firstColumn="0" w:lastColumn="0" w:oddVBand="0" w:evenVBand="0" w:oddHBand="0" w:evenHBand="0" w:firstRowFirstColumn="0" w:firstRowLastColumn="0" w:lastRowFirstColumn="0" w:lastRowLastColumn="0"/>
              <w:rPr>
                <w:noProof/>
                <w:sz w:val="22"/>
                <w:szCs w:val="22"/>
              </w:rPr>
            </w:pPr>
            <w:r>
              <w:rPr>
                <w:noProof/>
                <w:color w:val="E7E6E6" w:themeColor="background2"/>
                <w:sz w:val="22"/>
                <w:szCs w:val="2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t>
            </w:r>
          </w:p>
        </w:tc>
        <w:tc>
          <w:tcPr>
            <w:tcW w:w="992" w:type="dxa"/>
          </w:tcPr>
          <w:p>
            <w:pPr>
              <w:spacing w:after="60"/>
              <w:jc w:val="center"/>
              <w:cnfStyle w:val="000000000000" w:firstRow="0" w:lastRow="0" w:firstColumn="0" w:lastColumn="0" w:oddVBand="0" w:evenVBand="0" w:oddHBand="0" w:evenHBand="0" w:firstRowFirstColumn="0" w:firstRowLastColumn="0" w:lastRowFirstColumn="0" w:lastRowLastColumn="0"/>
              <w:rPr>
                <w:noProof/>
                <w:sz w:val="22"/>
                <w:szCs w:val="22"/>
              </w:rPr>
            </w:pPr>
          </w:p>
        </w:tc>
        <w:tc>
          <w:tcPr>
            <w:tcW w:w="1560" w:type="dxa"/>
          </w:tcPr>
          <w:p>
            <w:pPr>
              <w:spacing w:after="60"/>
              <w:jc w:val="center"/>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mc:AlternateContent>
                <mc:Choice Requires="wps">
                  <w:drawing>
                    <wp:inline distT="0" distB="0" distL="0" distR="0">
                      <wp:extent cx="114300" cy="139700"/>
                      <wp:effectExtent l="19050" t="19050" r="38100" b="12700"/>
                      <wp:docPr id="485" name="Up Arrow 464"/>
                      <wp:cNvGraphicFramePr/>
                      <a:graphic xmlns:a="http://schemas.openxmlformats.org/drawingml/2006/main">
                        <a:graphicData uri="http://schemas.microsoft.com/office/word/2010/wordprocessingShape">
                          <wps:wsp>
                            <wps:cNvSpPr/>
                            <wps:spPr>
                              <a:xfrm>
                                <a:off x="0" y="0"/>
                                <a:ext cx="114300" cy="139700"/>
                              </a:xfrm>
                              <a:prstGeom prst="up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E227B0" id="Up Arrow 464" o:spid="_x0000_s1026" type="#_x0000_t68" style="width:9pt;height: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" adj="8836" fillcolor="#92d050" strokecolor="#1f4d78 [1604]" strokeweight="1pt">
                      <w10:anchorlock/>
                    </v:shape>
                  </w:pict>
                </mc:Fallback>
              </mc:AlternateContent>
            </w:r>
            <w:r>
              <w:rPr>
                <w:noProof/>
                <w:sz w:val="22"/>
                <w:szCs w:val="22"/>
              </w:rPr>
              <mc:AlternateContent>
                <mc:Choice Requires="wps">
                  <w:drawing>
                    <wp:inline distT="0" distB="0" distL="0" distR="0">
                      <wp:extent cx="111760" cy="158750"/>
                      <wp:effectExtent l="19050" t="0" r="40640" b="31750"/>
                      <wp:docPr id="486" name="Down Arrow 465"/>
                      <wp:cNvGraphicFramePr/>
                      <a:graphic xmlns:a="http://schemas.openxmlformats.org/drawingml/2006/main">
                        <a:graphicData uri="http://schemas.microsoft.com/office/word/2010/wordprocessingShape">
                          <wps:wsp>
                            <wps:cNvSpPr/>
                            <wps:spPr>
                              <a:xfrm>
                                <a:off x="0" y="0"/>
                                <a:ext cx="111760" cy="15875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255240" id="Down Arrow 465" o:spid="_x0000_s1026" type="#_x0000_t67" style="width:8.8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" adj="13997" fillcolor="red" strokecolor="#1f4d78 [1604]" strokeweight="1pt">
                      <w10:anchorlock/>
                    </v:shape>
                  </w:pict>
                </mc:Fallback>
              </mc:AlternateContent>
            </w:r>
          </w:p>
        </w:tc>
        <w:tc>
          <w:tcPr>
            <w:tcW w:w="1559" w:type="dxa"/>
          </w:tcPr>
          <w:p>
            <w:pPr>
              <w:spacing w:after="60"/>
              <w:jc w:val="center"/>
              <w:cnfStyle w:val="000000000000" w:firstRow="0" w:lastRow="0" w:firstColumn="0" w:lastColumn="0" w:oddVBand="0" w:evenVBand="0" w:oddHBand="0" w:evenHBand="0" w:firstRowFirstColumn="0" w:firstRowLastColumn="0" w:lastRowFirstColumn="0" w:lastRowLastColumn="0"/>
              <w:rPr>
                <w:noProof/>
                <w:sz w:val="22"/>
                <w:szCs w:val="22"/>
              </w:rPr>
            </w:pP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1" w:type="dxa"/>
          </w:tcPr>
          <w:p>
            <w:pPr>
              <w:spacing w:after="60"/>
              <w:rPr>
                <w:rFonts w:ascii="Times New Roman" w:hAnsi="Times New Roman" w:cs="Times New Roman"/>
                <w:b/>
                <w:noProof/>
                <w:sz w:val="22"/>
                <w:szCs w:val="22"/>
              </w:rPr>
            </w:pPr>
            <w:r>
              <w:rPr>
                <w:rFonts w:ascii="Times New Roman" w:hAnsi="Times New Roman" w:cs="Times New Roman"/>
                <w:noProof/>
                <w:sz w:val="22"/>
                <w:szCs w:val="22"/>
              </w:rPr>
              <w:t>Monk seal</w:t>
            </w:r>
          </w:p>
        </w:tc>
        <w:tc>
          <w:tcPr>
            <w:tcW w:w="1067" w:type="dxa"/>
          </w:tcPr>
          <w:p>
            <w:pPr>
              <w:spacing w:after="60"/>
              <w:jc w:val="center"/>
              <w:cnfStyle w:val="000000100000" w:firstRow="0" w:lastRow="0" w:firstColumn="0" w:lastColumn="0" w:oddVBand="0" w:evenVBand="0" w:oddHBand="1" w:evenHBand="0" w:firstRowFirstColumn="0" w:firstRowLastColumn="0" w:lastRowFirstColumn="0" w:lastRowLastColumn="0"/>
              <w:rPr>
                <w:noProof/>
                <w:sz w:val="22"/>
                <w:szCs w:val="22"/>
                <w:lang w:eastAsia="fi-FI"/>
              </w:rPr>
            </w:pPr>
            <w:r>
              <w:rPr>
                <w:noProof/>
                <w:sz w:val="22"/>
                <w:szCs w:val="22"/>
              </w:rPr>
              <mc:AlternateContent>
                <mc:Choice Requires="wps">
                  <w:drawing>
                    <wp:inline distT="0" distB="0" distL="0" distR="0">
                      <wp:extent cx="114300" cy="139700"/>
                      <wp:effectExtent l="19050" t="19050" r="38100" b="12700"/>
                      <wp:docPr id="487" name="Up Arrow 456"/>
                      <wp:cNvGraphicFramePr/>
                      <a:graphic xmlns:a="http://schemas.openxmlformats.org/drawingml/2006/main">
                        <a:graphicData uri="http://schemas.microsoft.com/office/word/2010/wordprocessingShape">
                          <wps:wsp>
                            <wps:cNvSpPr/>
                            <wps:spPr>
                              <a:xfrm>
                                <a:off x="0" y="0"/>
                                <a:ext cx="114300" cy="139700"/>
                              </a:xfrm>
                              <a:prstGeom prst="up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FCF96A" id="Up Arrow 456" o:spid="_x0000_s1026" type="#_x0000_t68" style="width:9pt;height: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" adj="8836" fillcolor="#92d050" strokecolor="#1f4d78 [1604]" strokeweight="1pt">
                      <w10:anchorlock/>
                    </v:shape>
                  </w:pict>
                </mc:Fallback>
              </mc:AlternateContent>
            </w:r>
            <w:r>
              <w:rPr>
                <w:noProof/>
                <w:sz w:val="22"/>
                <w:szCs w:val="22"/>
                <w:lang w:eastAsia="fi-FI"/>
              </w:rPr>
              <w:t>EN</w:t>
            </w:r>
          </w:p>
        </w:tc>
        <w:tc>
          <w:tcPr>
            <w:tcW w:w="992" w:type="dxa"/>
          </w:tcPr>
          <w:p>
            <w:pPr>
              <w:spacing w:after="60"/>
              <w:jc w:val="center"/>
              <w:cnfStyle w:val="000000100000" w:firstRow="0" w:lastRow="0" w:firstColumn="0" w:lastColumn="0" w:oddVBand="0" w:evenVBand="0" w:oddHBand="1" w:evenHBand="0" w:firstRowFirstColumn="0" w:firstRowLastColumn="0" w:lastRowFirstColumn="0" w:lastRowLastColumn="0"/>
              <w:rPr>
                <w:noProof/>
                <w:color w:val="E7E6E6" w:themeColor="background2"/>
                <w:sz w:val="22"/>
                <w:szCs w:val="2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noProof/>
                <w:sz w:val="22"/>
                <w:szCs w:val="22"/>
              </w:rPr>
              <w:drawing>
                <wp:inline distT="0" distB="0" distL="0" distR="0">
                  <wp:extent cx="152400" cy="158750"/>
                  <wp:effectExtent l="0" t="0" r="0" b="0"/>
                  <wp:docPr id="1074949826" name="Picture 1074949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152400" cy="158750"/>
                          </a:xfrm>
                          <a:prstGeom prst="rect">
                            <a:avLst/>
                          </a:prstGeom>
                          <a:noFill/>
                        </pic:spPr>
                      </pic:pic>
                    </a:graphicData>
                  </a:graphic>
                </wp:inline>
              </w:drawing>
            </w:r>
            <w:r>
              <w:rPr>
                <w:noProof/>
                <w:sz w:val="22"/>
                <w:szCs w:val="22"/>
              </w:rPr>
              <w:t>EN</w:t>
            </w:r>
          </w:p>
        </w:tc>
        <w:tc>
          <w:tcPr>
            <w:tcW w:w="992" w:type="dxa"/>
          </w:tcPr>
          <w:p>
            <w:pPr>
              <w:spacing w:after="60"/>
              <w:jc w:val="center"/>
              <w:cnfStyle w:val="000000100000" w:firstRow="0" w:lastRow="0" w:firstColumn="0" w:lastColumn="0" w:oddVBand="0" w:evenVBand="0" w:oddHBand="1" w:evenHBand="0" w:firstRowFirstColumn="0" w:firstRowLastColumn="0" w:lastRowFirstColumn="0" w:lastRowLastColumn="0"/>
              <w:rPr>
                <w:noProof/>
                <w:sz w:val="22"/>
                <w:szCs w:val="22"/>
              </w:rPr>
            </w:pPr>
          </w:p>
        </w:tc>
        <w:tc>
          <w:tcPr>
            <w:tcW w:w="1560" w:type="dxa"/>
          </w:tcPr>
          <w:p>
            <w:pPr>
              <w:spacing w:after="60"/>
              <w:jc w:val="center"/>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szCs w:val="22"/>
              </w:rPr>
              <w:drawing>
                <wp:inline distT="0" distB="0" distL="0" distR="0">
                  <wp:extent cx="152400" cy="158750"/>
                  <wp:effectExtent l="0" t="0" r="0" b="0"/>
                  <wp:docPr id="1074949824" name="Picture 1074949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152400" cy="158750"/>
                          </a:xfrm>
                          <a:prstGeom prst="rect">
                            <a:avLst/>
                          </a:prstGeom>
                          <a:noFill/>
                        </pic:spPr>
                      </pic:pic>
                    </a:graphicData>
                  </a:graphic>
                </wp:inline>
              </w:drawing>
            </w:r>
          </w:p>
        </w:tc>
        <w:tc>
          <w:tcPr>
            <w:tcW w:w="1559" w:type="dxa"/>
          </w:tcPr>
          <w:p>
            <w:pPr>
              <w:spacing w:after="60"/>
              <w:jc w:val="center"/>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szCs w:val="22"/>
              </w:rPr>
              <w:drawing>
                <wp:inline distT="0" distB="0" distL="0" distR="0">
                  <wp:extent cx="152400" cy="15875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152400" cy="158750"/>
                          </a:xfrm>
                          <a:prstGeom prst="rect">
                            <a:avLst/>
                          </a:prstGeom>
                          <a:noFill/>
                        </pic:spPr>
                      </pic:pic>
                    </a:graphicData>
                  </a:graphic>
                </wp:inline>
              </w:drawing>
            </w:r>
            <w:r>
              <w:rPr>
                <w:noProof/>
                <w:sz w:val="22"/>
                <w:szCs w:val="22"/>
              </w:rPr>
              <w:t>EN</w:t>
            </w:r>
          </w:p>
        </w:tc>
      </w:tr>
      <w:tr>
        <w:trPr>
          <w:jc w:val="center"/>
        </w:trPr>
        <w:tc>
          <w:tcPr>
            <w:cnfStyle w:val="001000000000" w:firstRow="0" w:lastRow="0" w:firstColumn="1" w:lastColumn="0" w:oddVBand="0" w:evenVBand="0" w:oddHBand="0" w:evenHBand="0" w:firstRowFirstColumn="0" w:firstRowLastColumn="0" w:lastRowFirstColumn="0" w:lastRowLastColumn="0"/>
            <w:tcW w:w="1451" w:type="dxa"/>
          </w:tcPr>
          <w:p>
            <w:pPr>
              <w:spacing w:after="60"/>
              <w:rPr>
                <w:rFonts w:ascii="Times New Roman" w:hAnsi="Times New Roman" w:cs="Times New Roman"/>
                <w:b/>
                <w:noProof/>
                <w:sz w:val="22"/>
                <w:szCs w:val="22"/>
              </w:rPr>
            </w:pPr>
            <w:r>
              <w:rPr>
                <w:rFonts w:ascii="Times New Roman" w:hAnsi="Times New Roman" w:cs="Times New Roman"/>
                <w:noProof/>
                <w:sz w:val="22"/>
                <w:szCs w:val="22"/>
              </w:rPr>
              <w:t>Hooded seal</w:t>
            </w:r>
          </w:p>
        </w:tc>
        <w:tc>
          <w:tcPr>
            <w:tcW w:w="1067" w:type="dxa"/>
          </w:tcPr>
          <w:p>
            <w:pPr>
              <w:spacing w:after="60"/>
              <w:jc w:val="center"/>
              <w:cnfStyle w:val="000000000000" w:firstRow="0" w:lastRow="0" w:firstColumn="0" w:lastColumn="0" w:oddVBand="0" w:evenVBand="0" w:oddHBand="0" w:evenHBand="0" w:firstRowFirstColumn="0" w:firstRowLastColumn="0" w:lastRowFirstColumn="0" w:lastRowLastColumn="0"/>
              <w:rPr>
                <w:noProof/>
                <w:sz w:val="22"/>
                <w:szCs w:val="22"/>
              </w:rPr>
            </w:pPr>
            <w:r>
              <w:rPr>
                <w:noProof/>
                <w:color w:val="E7E6E6" w:themeColor="background2"/>
                <w:sz w:val="22"/>
                <w:szCs w:val="2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Pr>
                <w:noProof/>
                <w:sz w:val="22"/>
                <w:szCs w:val="22"/>
              </w:rPr>
              <w:t>VU</w:t>
            </w:r>
          </w:p>
        </w:tc>
        <w:tc>
          <w:tcPr>
            <w:tcW w:w="992" w:type="dxa"/>
          </w:tcPr>
          <w:p>
            <w:pPr>
              <w:spacing w:after="60"/>
              <w:jc w:val="center"/>
              <w:cnfStyle w:val="000000000000" w:firstRow="0" w:lastRow="0" w:firstColumn="0" w:lastColumn="0" w:oddVBand="0" w:evenVBand="0" w:oddHBand="0" w:evenHBand="0" w:firstRowFirstColumn="0" w:firstRowLastColumn="0" w:lastRowFirstColumn="0" w:lastRowLastColumn="0"/>
              <w:rPr>
                <w:noProof/>
                <w:sz w:val="22"/>
                <w:szCs w:val="22"/>
              </w:rPr>
            </w:pPr>
            <w:r>
              <w:rPr>
                <w:noProof/>
                <w:color w:val="E7E6E6" w:themeColor="background2"/>
                <w:sz w:val="22"/>
                <w:szCs w:val="2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t>
            </w:r>
          </w:p>
        </w:tc>
        <w:tc>
          <w:tcPr>
            <w:tcW w:w="992" w:type="dxa"/>
          </w:tcPr>
          <w:p>
            <w:pPr>
              <w:spacing w:after="60"/>
              <w:jc w:val="center"/>
              <w:cnfStyle w:val="000000000000" w:firstRow="0" w:lastRow="0" w:firstColumn="0" w:lastColumn="0" w:oddVBand="0" w:evenVBand="0" w:oddHBand="0" w:evenHBand="0" w:firstRowFirstColumn="0" w:firstRowLastColumn="0" w:lastRowFirstColumn="0" w:lastRowLastColumn="0"/>
              <w:rPr>
                <w:noProof/>
                <w:sz w:val="22"/>
                <w:szCs w:val="22"/>
              </w:rPr>
            </w:pPr>
          </w:p>
        </w:tc>
        <w:tc>
          <w:tcPr>
            <w:tcW w:w="1560" w:type="dxa"/>
          </w:tcPr>
          <w:p>
            <w:pPr>
              <w:spacing w:after="60"/>
              <w:jc w:val="center"/>
              <w:cnfStyle w:val="000000000000" w:firstRow="0" w:lastRow="0" w:firstColumn="0" w:lastColumn="0" w:oddVBand="0" w:evenVBand="0" w:oddHBand="0" w:evenHBand="0" w:firstRowFirstColumn="0" w:firstRowLastColumn="0" w:lastRowFirstColumn="0" w:lastRowLastColumn="0"/>
              <w:rPr>
                <w:noProof/>
                <w:sz w:val="22"/>
                <w:szCs w:val="22"/>
              </w:rPr>
            </w:pPr>
          </w:p>
        </w:tc>
        <w:tc>
          <w:tcPr>
            <w:tcW w:w="1559" w:type="dxa"/>
          </w:tcPr>
          <w:p>
            <w:pPr>
              <w:spacing w:after="60"/>
              <w:jc w:val="center"/>
              <w:cnfStyle w:val="000000000000" w:firstRow="0" w:lastRow="0" w:firstColumn="0" w:lastColumn="0" w:oddVBand="0" w:evenVBand="0" w:oddHBand="0" w:evenHBand="0" w:firstRowFirstColumn="0" w:firstRowLastColumn="0" w:lastRowFirstColumn="0" w:lastRowLastColumn="0"/>
              <w:rPr>
                <w:noProof/>
                <w:sz w:val="22"/>
                <w:szCs w:val="22"/>
              </w:rPr>
            </w:pP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1" w:type="dxa"/>
          </w:tcPr>
          <w:p>
            <w:pPr>
              <w:spacing w:after="60"/>
              <w:rPr>
                <w:rFonts w:ascii="Times New Roman" w:hAnsi="Times New Roman" w:cs="Times New Roman"/>
                <w:b/>
                <w:noProof/>
                <w:sz w:val="22"/>
                <w:szCs w:val="22"/>
              </w:rPr>
            </w:pPr>
            <w:r>
              <w:rPr>
                <w:rFonts w:ascii="Times New Roman" w:hAnsi="Times New Roman" w:cs="Times New Roman"/>
                <w:noProof/>
                <w:sz w:val="22"/>
                <w:szCs w:val="22"/>
              </w:rPr>
              <w:t>Bearded seal</w:t>
            </w:r>
          </w:p>
        </w:tc>
        <w:tc>
          <w:tcPr>
            <w:tcW w:w="1067" w:type="dxa"/>
          </w:tcPr>
          <w:p>
            <w:pPr>
              <w:spacing w:after="60"/>
              <w:jc w:val="center"/>
              <w:cnfStyle w:val="000000100000" w:firstRow="0" w:lastRow="0" w:firstColumn="0" w:lastColumn="0" w:oddVBand="0" w:evenVBand="0" w:oddHBand="1" w:evenHBand="0" w:firstRowFirstColumn="0" w:firstRowLastColumn="0" w:lastRowFirstColumn="0" w:lastRowLastColumn="0"/>
              <w:rPr>
                <w:noProof/>
                <w:sz w:val="22"/>
                <w:szCs w:val="22"/>
              </w:rPr>
            </w:pPr>
            <w:r>
              <w:rPr>
                <w:noProof/>
                <w:color w:val="E7E6E6" w:themeColor="background2"/>
                <w:sz w:val="22"/>
                <w:szCs w:val="2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t>
            </w:r>
            <w:r>
              <w:rPr>
                <w:noProof/>
                <w:sz w:val="22"/>
                <w:szCs w:val="22"/>
              </w:rPr>
              <w:t xml:space="preserve"> LC</w:t>
            </w:r>
          </w:p>
        </w:tc>
        <w:tc>
          <w:tcPr>
            <w:tcW w:w="992" w:type="dxa"/>
          </w:tcPr>
          <w:p>
            <w:pPr>
              <w:spacing w:after="60"/>
              <w:jc w:val="center"/>
              <w:cnfStyle w:val="000000100000" w:firstRow="0" w:lastRow="0" w:firstColumn="0" w:lastColumn="0" w:oddVBand="0" w:evenVBand="0" w:oddHBand="1" w:evenHBand="0" w:firstRowFirstColumn="0" w:firstRowLastColumn="0" w:lastRowFirstColumn="0" w:lastRowLastColumn="0"/>
              <w:rPr>
                <w:noProof/>
                <w:sz w:val="22"/>
                <w:szCs w:val="22"/>
              </w:rPr>
            </w:pPr>
            <w:r>
              <w:rPr>
                <w:noProof/>
                <w:color w:val="E7E6E6" w:themeColor="background2"/>
                <w:sz w:val="22"/>
                <w:szCs w:val="2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t>
            </w:r>
            <w:r>
              <w:rPr>
                <w:noProof/>
                <w:sz w:val="22"/>
                <w:szCs w:val="22"/>
              </w:rPr>
              <w:t xml:space="preserve"> </w:t>
            </w:r>
          </w:p>
        </w:tc>
        <w:tc>
          <w:tcPr>
            <w:tcW w:w="992" w:type="dxa"/>
          </w:tcPr>
          <w:p>
            <w:pPr>
              <w:spacing w:after="60"/>
              <w:jc w:val="center"/>
              <w:cnfStyle w:val="000000100000" w:firstRow="0" w:lastRow="0" w:firstColumn="0" w:lastColumn="0" w:oddVBand="0" w:evenVBand="0" w:oddHBand="1" w:evenHBand="0" w:firstRowFirstColumn="0" w:firstRowLastColumn="0" w:lastRowFirstColumn="0" w:lastRowLastColumn="0"/>
              <w:rPr>
                <w:noProof/>
                <w:sz w:val="22"/>
                <w:szCs w:val="22"/>
              </w:rPr>
            </w:pPr>
          </w:p>
        </w:tc>
        <w:tc>
          <w:tcPr>
            <w:tcW w:w="1560" w:type="dxa"/>
          </w:tcPr>
          <w:p>
            <w:pPr>
              <w:spacing w:after="60"/>
              <w:jc w:val="center"/>
              <w:cnfStyle w:val="000000100000" w:firstRow="0" w:lastRow="0" w:firstColumn="0" w:lastColumn="0" w:oddVBand="0" w:evenVBand="0" w:oddHBand="1" w:evenHBand="0" w:firstRowFirstColumn="0" w:firstRowLastColumn="0" w:lastRowFirstColumn="0" w:lastRowLastColumn="0"/>
              <w:rPr>
                <w:noProof/>
                <w:sz w:val="22"/>
                <w:szCs w:val="22"/>
              </w:rPr>
            </w:pPr>
          </w:p>
        </w:tc>
        <w:tc>
          <w:tcPr>
            <w:tcW w:w="1559" w:type="dxa"/>
          </w:tcPr>
          <w:p>
            <w:pPr>
              <w:spacing w:after="60"/>
              <w:jc w:val="center"/>
              <w:cnfStyle w:val="000000100000" w:firstRow="0" w:lastRow="0" w:firstColumn="0" w:lastColumn="0" w:oddVBand="0" w:evenVBand="0" w:oddHBand="1" w:evenHBand="0" w:firstRowFirstColumn="0" w:firstRowLastColumn="0" w:lastRowFirstColumn="0" w:lastRowLastColumn="0"/>
              <w:rPr>
                <w:noProof/>
                <w:sz w:val="22"/>
                <w:szCs w:val="22"/>
              </w:rPr>
            </w:pPr>
          </w:p>
        </w:tc>
      </w:tr>
    </w:tbl>
    <w:p>
      <w:pPr>
        <w:pStyle w:val="Caption"/>
        <w:rPr>
          <w:noProof/>
        </w:rPr>
      </w:pPr>
      <w:bookmarkStart w:id="29" w:name="_Ref30273945"/>
      <w:r>
        <w:rPr>
          <w:noProof/>
        </w:rPr>
        <w:t xml:space="preserve">Table </w:t>
      </w:r>
      <w:r>
        <w:rPr>
          <w:noProof/>
        </w:rPr>
        <w:fldChar w:fldCharType="begin"/>
      </w:r>
      <w:r>
        <w:rPr>
          <w:noProof/>
        </w:rPr>
        <w:instrText xml:space="preserve"> SEQ Table \* ARABIC </w:instrText>
      </w:r>
      <w:r>
        <w:rPr>
          <w:noProof/>
        </w:rPr>
        <w:fldChar w:fldCharType="separate"/>
      </w:r>
      <w:r>
        <w:rPr>
          <w:noProof/>
        </w:rPr>
        <w:t>10</w:t>
      </w:r>
      <w:r>
        <w:rPr>
          <w:noProof/>
        </w:rPr>
        <w:fldChar w:fldCharType="end"/>
      </w:r>
      <w:bookmarkEnd w:id="29"/>
      <w:r>
        <w:rPr>
          <w:noProof/>
        </w:rPr>
        <w:t>: Population trends of seven seal species globally, in Europe, and in three marine regions. Red List status: EN-Endangered, VU-Vulnerable, NT-Not threatened, LC-Least concern. Arrows represent upward/downward trends while question marks are unknown trends.</w:t>
      </w:r>
    </w:p>
    <w:p>
      <w:pPr>
        <w:rPr>
          <w:noProof/>
        </w:rPr>
      </w:pPr>
      <w:r>
        <w:rPr>
          <w:noProof/>
        </w:rPr>
        <w:t>Several seal populations in Europe start showing positive trends, although their evolution is still unmonitored or endangered in many cases.</w:t>
      </w:r>
    </w:p>
    <w:tbl>
      <w:tblPr>
        <w:tblStyle w:val="PlainTable5"/>
        <w:tblW w:w="0" w:type="auto"/>
        <w:tblLayout w:type="fixed"/>
        <w:tblLook w:val="04A0" w:firstRow="1" w:lastRow="0" w:firstColumn="1" w:lastColumn="0" w:noHBand="0" w:noVBand="1"/>
      </w:tblPr>
      <w:tblGrid>
        <w:gridCol w:w="1242"/>
        <w:gridCol w:w="1134"/>
        <w:gridCol w:w="1134"/>
        <w:gridCol w:w="1134"/>
        <w:gridCol w:w="1276"/>
        <w:gridCol w:w="1582"/>
        <w:gridCol w:w="1253"/>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42" w:type="dxa"/>
          </w:tcPr>
          <w:p>
            <w:pPr>
              <w:keepNext/>
              <w:spacing w:after="60"/>
              <w:rPr>
                <w:rFonts w:ascii="Times New Roman" w:hAnsi="Times New Roman" w:cs="Times New Roman"/>
                <w:b/>
                <w:noProof/>
                <w:sz w:val="22"/>
                <w:szCs w:val="22"/>
              </w:rPr>
            </w:pPr>
          </w:p>
        </w:tc>
        <w:tc>
          <w:tcPr>
            <w:tcW w:w="1134" w:type="dxa"/>
          </w:tcPr>
          <w:p>
            <w:pPr>
              <w:keepNext/>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2"/>
                <w:szCs w:val="22"/>
              </w:rPr>
            </w:pPr>
            <w:r>
              <w:rPr>
                <w:rFonts w:ascii="Times New Roman" w:hAnsi="Times New Roman" w:cs="Times New Roman"/>
                <w:noProof/>
                <w:sz w:val="22"/>
                <w:szCs w:val="22"/>
              </w:rPr>
              <w:t>World</w:t>
            </w:r>
          </w:p>
        </w:tc>
        <w:tc>
          <w:tcPr>
            <w:tcW w:w="1134" w:type="dxa"/>
          </w:tcPr>
          <w:p>
            <w:pPr>
              <w:keepNext/>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2"/>
                <w:szCs w:val="22"/>
              </w:rPr>
            </w:pPr>
            <w:r>
              <w:rPr>
                <w:rFonts w:ascii="Times New Roman" w:hAnsi="Times New Roman" w:cs="Times New Roman"/>
                <w:noProof/>
                <w:sz w:val="22"/>
                <w:szCs w:val="22"/>
              </w:rPr>
              <w:t>Europe</w:t>
            </w:r>
          </w:p>
        </w:tc>
        <w:tc>
          <w:tcPr>
            <w:tcW w:w="1134" w:type="dxa"/>
          </w:tcPr>
          <w:p>
            <w:pPr>
              <w:keepNext/>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2"/>
                <w:szCs w:val="22"/>
              </w:rPr>
            </w:pPr>
            <w:r>
              <w:rPr>
                <w:rFonts w:ascii="Times New Roman" w:hAnsi="Times New Roman" w:cs="Times New Roman"/>
                <w:noProof/>
                <w:sz w:val="22"/>
                <w:szCs w:val="22"/>
              </w:rPr>
              <w:t>Baltic Sea</w:t>
            </w:r>
          </w:p>
        </w:tc>
        <w:tc>
          <w:tcPr>
            <w:tcW w:w="1276" w:type="dxa"/>
          </w:tcPr>
          <w:p>
            <w:pPr>
              <w:keepNext/>
              <w:spacing w:after="60"/>
              <w:jc w:val="center"/>
              <w:cnfStyle w:val="100000000000" w:firstRow="1" w:lastRow="0" w:firstColumn="0" w:lastColumn="0" w:oddVBand="0" w:evenVBand="0" w:oddHBand="0" w:evenHBand="0" w:firstRowFirstColumn="0" w:firstRowLastColumn="0" w:lastRowFirstColumn="0" w:lastRowLastColumn="0"/>
              <w:rPr>
                <w:noProof/>
                <w:sz w:val="22"/>
                <w:szCs w:val="22"/>
              </w:rPr>
            </w:pPr>
            <w:r>
              <w:rPr>
                <w:rFonts w:ascii="Times New Roman" w:hAnsi="Times New Roman" w:cs="Times New Roman"/>
                <w:noProof/>
                <w:sz w:val="22"/>
                <w:szCs w:val="22"/>
              </w:rPr>
              <w:t>North-east Atlantic</w:t>
            </w:r>
          </w:p>
        </w:tc>
        <w:tc>
          <w:tcPr>
            <w:tcW w:w="1582" w:type="dxa"/>
          </w:tcPr>
          <w:p>
            <w:pPr>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2"/>
                <w:szCs w:val="22"/>
              </w:rPr>
            </w:pPr>
            <w:r>
              <w:rPr>
                <w:rFonts w:ascii="Times New Roman" w:hAnsi="Times New Roman" w:cs="Times New Roman"/>
                <w:noProof/>
                <w:sz w:val="22"/>
                <w:szCs w:val="22"/>
              </w:rPr>
              <w:t>Mediterranean</w:t>
            </w:r>
          </w:p>
        </w:tc>
        <w:tc>
          <w:tcPr>
            <w:tcW w:w="1253" w:type="dxa"/>
          </w:tcPr>
          <w:p>
            <w:pPr>
              <w:spacing w:after="60"/>
              <w:jc w:val="center"/>
              <w:cnfStyle w:val="100000000000" w:firstRow="1" w:lastRow="0" w:firstColumn="0" w:lastColumn="0" w:oddVBand="0" w:evenVBand="0" w:oddHBand="0" w:evenHBand="0" w:firstRowFirstColumn="0" w:firstRowLastColumn="0" w:lastRowFirstColumn="0" w:lastRowLastColumn="0"/>
              <w:rPr>
                <w:noProof/>
                <w:sz w:val="22"/>
                <w:szCs w:val="22"/>
              </w:rPr>
            </w:pPr>
            <w:r>
              <w:rPr>
                <w:rFonts w:ascii="Times New Roman" w:hAnsi="Times New Roman" w:cs="Times New Roman"/>
                <w:noProof/>
                <w:sz w:val="22"/>
                <w:szCs w:val="22"/>
              </w:rPr>
              <w:t>Black Sea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pPr>
              <w:keepNext/>
              <w:spacing w:after="60"/>
              <w:rPr>
                <w:rFonts w:ascii="Times New Roman" w:hAnsi="Times New Roman" w:cs="Times New Roman"/>
                <w:b/>
                <w:noProof/>
                <w:sz w:val="22"/>
                <w:szCs w:val="22"/>
              </w:rPr>
            </w:pPr>
            <w:r>
              <w:rPr>
                <w:rFonts w:ascii="Times New Roman" w:hAnsi="Times New Roman" w:cs="Times New Roman"/>
                <w:noProof/>
                <w:sz w:val="22"/>
                <w:szCs w:val="22"/>
              </w:rPr>
              <w:t>Improving</w:t>
            </w:r>
          </w:p>
        </w:tc>
        <w:tc>
          <w:tcPr>
            <w:tcW w:w="1134" w:type="dxa"/>
          </w:tcPr>
          <w:p>
            <w:pPr>
              <w:keepNext/>
              <w:spacing w:after="60"/>
              <w:jc w:val="center"/>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szCs w:val="22"/>
              </w:rPr>
              <w:t>3 spp</w:t>
            </w:r>
          </w:p>
        </w:tc>
        <w:tc>
          <w:tcPr>
            <w:tcW w:w="1134" w:type="dxa"/>
          </w:tcPr>
          <w:p>
            <w:pPr>
              <w:keepNext/>
              <w:spacing w:after="60"/>
              <w:jc w:val="center"/>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szCs w:val="22"/>
              </w:rPr>
              <w:t>1 sp</w:t>
            </w:r>
          </w:p>
        </w:tc>
        <w:tc>
          <w:tcPr>
            <w:tcW w:w="1134" w:type="dxa"/>
          </w:tcPr>
          <w:p>
            <w:pPr>
              <w:keepNext/>
              <w:spacing w:after="60"/>
              <w:jc w:val="center"/>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szCs w:val="22"/>
              </w:rPr>
              <w:t>1 pop</w:t>
            </w:r>
          </w:p>
        </w:tc>
        <w:tc>
          <w:tcPr>
            <w:tcW w:w="1276" w:type="dxa"/>
          </w:tcPr>
          <w:p>
            <w:pPr>
              <w:keepNext/>
              <w:spacing w:after="60"/>
              <w:jc w:val="center"/>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szCs w:val="22"/>
              </w:rPr>
              <w:t>6 spp</w:t>
            </w:r>
          </w:p>
        </w:tc>
        <w:tc>
          <w:tcPr>
            <w:tcW w:w="1582" w:type="dxa"/>
          </w:tcPr>
          <w:p>
            <w:pPr>
              <w:spacing w:after="60"/>
              <w:jc w:val="center"/>
              <w:cnfStyle w:val="000000100000" w:firstRow="0" w:lastRow="0" w:firstColumn="0" w:lastColumn="0" w:oddVBand="0" w:evenVBand="0" w:oddHBand="1" w:evenHBand="0" w:firstRowFirstColumn="0" w:firstRowLastColumn="0" w:lastRowFirstColumn="0" w:lastRowLastColumn="0"/>
              <w:rPr>
                <w:noProof/>
                <w:sz w:val="22"/>
                <w:szCs w:val="22"/>
              </w:rPr>
            </w:pPr>
          </w:p>
        </w:tc>
        <w:tc>
          <w:tcPr>
            <w:tcW w:w="1253" w:type="dxa"/>
          </w:tcPr>
          <w:p>
            <w:pPr>
              <w:spacing w:after="60"/>
              <w:jc w:val="center"/>
              <w:cnfStyle w:val="000000100000" w:firstRow="0" w:lastRow="0" w:firstColumn="0" w:lastColumn="0" w:oddVBand="0" w:evenVBand="0" w:oddHBand="1" w:evenHBand="0" w:firstRowFirstColumn="0" w:firstRowLastColumn="0" w:lastRowFirstColumn="0" w:lastRowLastColumn="0"/>
              <w:rPr>
                <w:noProof/>
                <w:sz w:val="22"/>
                <w:szCs w:val="22"/>
              </w:rPr>
            </w:pPr>
          </w:p>
        </w:tc>
      </w:tr>
      <w:tr>
        <w:tc>
          <w:tcPr>
            <w:cnfStyle w:val="001000000000" w:firstRow="0" w:lastRow="0" w:firstColumn="1" w:lastColumn="0" w:oddVBand="0" w:evenVBand="0" w:oddHBand="0" w:evenHBand="0" w:firstRowFirstColumn="0" w:firstRowLastColumn="0" w:lastRowFirstColumn="0" w:lastRowLastColumn="0"/>
            <w:tcW w:w="1242" w:type="dxa"/>
          </w:tcPr>
          <w:p>
            <w:pPr>
              <w:keepNext/>
              <w:spacing w:after="60"/>
              <w:rPr>
                <w:rFonts w:ascii="Times New Roman" w:hAnsi="Times New Roman" w:cs="Times New Roman"/>
                <w:b/>
                <w:noProof/>
                <w:sz w:val="22"/>
                <w:szCs w:val="22"/>
              </w:rPr>
            </w:pPr>
            <w:r>
              <w:rPr>
                <w:rFonts w:ascii="Times New Roman" w:hAnsi="Times New Roman" w:cs="Times New Roman"/>
                <w:noProof/>
                <w:sz w:val="22"/>
                <w:szCs w:val="22"/>
              </w:rPr>
              <w:t>Stable</w:t>
            </w:r>
          </w:p>
        </w:tc>
        <w:tc>
          <w:tcPr>
            <w:tcW w:w="1134" w:type="dxa"/>
          </w:tcPr>
          <w:p>
            <w:pPr>
              <w:keepNext/>
              <w:spacing w:after="60"/>
              <w:jc w:val="center"/>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w:t>1 sp</w:t>
            </w:r>
          </w:p>
        </w:tc>
        <w:tc>
          <w:tcPr>
            <w:tcW w:w="1134" w:type="dxa"/>
          </w:tcPr>
          <w:p>
            <w:pPr>
              <w:keepNext/>
              <w:spacing w:after="60"/>
              <w:jc w:val="center"/>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w:t>3 spp</w:t>
            </w:r>
          </w:p>
        </w:tc>
        <w:tc>
          <w:tcPr>
            <w:tcW w:w="1134" w:type="dxa"/>
          </w:tcPr>
          <w:p>
            <w:pPr>
              <w:keepNext/>
              <w:spacing w:after="60"/>
              <w:jc w:val="center"/>
              <w:cnfStyle w:val="000000000000" w:firstRow="0" w:lastRow="0" w:firstColumn="0" w:lastColumn="0" w:oddVBand="0" w:evenVBand="0" w:oddHBand="0" w:evenHBand="0" w:firstRowFirstColumn="0" w:firstRowLastColumn="0" w:lastRowFirstColumn="0" w:lastRowLastColumn="0"/>
              <w:rPr>
                <w:noProof/>
                <w:sz w:val="22"/>
                <w:szCs w:val="22"/>
              </w:rPr>
            </w:pPr>
          </w:p>
        </w:tc>
        <w:tc>
          <w:tcPr>
            <w:tcW w:w="1276" w:type="dxa"/>
          </w:tcPr>
          <w:p>
            <w:pPr>
              <w:keepNext/>
              <w:spacing w:after="60"/>
              <w:jc w:val="center"/>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w:t>3 spp</w:t>
            </w:r>
          </w:p>
        </w:tc>
        <w:tc>
          <w:tcPr>
            <w:tcW w:w="1582" w:type="dxa"/>
          </w:tcPr>
          <w:p>
            <w:pPr>
              <w:spacing w:after="60"/>
              <w:jc w:val="center"/>
              <w:cnfStyle w:val="000000000000" w:firstRow="0" w:lastRow="0" w:firstColumn="0" w:lastColumn="0" w:oddVBand="0" w:evenVBand="0" w:oddHBand="0" w:evenHBand="0" w:firstRowFirstColumn="0" w:firstRowLastColumn="0" w:lastRowFirstColumn="0" w:lastRowLastColumn="0"/>
              <w:rPr>
                <w:noProof/>
                <w:sz w:val="22"/>
                <w:szCs w:val="22"/>
              </w:rPr>
            </w:pPr>
          </w:p>
        </w:tc>
        <w:tc>
          <w:tcPr>
            <w:tcW w:w="1253" w:type="dxa"/>
          </w:tcPr>
          <w:p>
            <w:pPr>
              <w:spacing w:after="60"/>
              <w:jc w:val="center"/>
              <w:cnfStyle w:val="000000000000" w:firstRow="0" w:lastRow="0" w:firstColumn="0" w:lastColumn="0" w:oddVBand="0" w:evenVBand="0" w:oddHBand="0" w:evenHBand="0" w:firstRowFirstColumn="0" w:firstRowLastColumn="0" w:lastRowFirstColumn="0" w:lastRowLastColumn="0"/>
              <w:rPr>
                <w:noProof/>
                <w:sz w:val="22"/>
                <w:szCs w:val="22"/>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pPr>
              <w:keepNext/>
              <w:spacing w:after="60"/>
              <w:rPr>
                <w:rFonts w:ascii="Times New Roman" w:hAnsi="Times New Roman" w:cs="Times New Roman"/>
                <w:b/>
                <w:noProof/>
                <w:sz w:val="22"/>
                <w:szCs w:val="22"/>
              </w:rPr>
            </w:pPr>
            <w:r>
              <w:rPr>
                <w:rFonts w:ascii="Times New Roman" w:hAnsi="Times New Roman" w:cs="Times New Roman"/>
                <w:noProof/>
                <w:sz w:val="22"/>
                <w:szCs w:val="22"/>
              </w:rPr>
              <w:t>Declining</w:t>
            </w:r>
          </w:p>
        </w:tc>
        <w:tc>
          <w:tcPr>
            <w:tcW w:w="1134" w:type="dxa"/>
          </w:tcPr>
          <w:p>
            <w:pPr>
              <w:keepNext/>
              <w:spacing w:after="60"/>
              <w:jc w:val="center"/>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szCs w:val="22"/>
              </w:rPr>
              <w:t>1 sp</w:t>
            </w:r>
          </w:p>
        </w:tc>
        <w:tc>
          <w:tcPr>
            <w:tcW w:w="1134" w:type="dxa"/>
          </w:tcPr>
          <w:p>
            <w:pPr>
              <w:keepNext/>
              <w:spacing w:after="60"/>
              <w:jc w:val="center"/>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szCs w:val="22"/>
              </w:rPr>
              <w:t>2 sp</w:t>
            </w:r>
          </w:p>
        </w:tc>
        <w:tc>
          <w:tcPr>
            <w:tcW w:w="1134" w:type="dxa"/>
          </w:tcPr>
          <w:p>
            <w:pPr>
              <w:keepNext/>
              <w:spacing w:after="60"/>
              <w:jc w:val="center"/>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szCs w:val="22"/>
              </w:rPr>
              <w:t>1 pop</w:t>
            </w:r>
          </w:p>
        </w:tc>
        <w:tc>
          <w:tcPr>
            <w:tcW w:w="1276" w:type="dxa"/>
          </w:tcPr>
          <w:p>
            <w:pPr>
              <w:keepNext/>
              <w:spacing w:after="60"/>
              <w:jc w:val="center"/>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szCs w:val="22"/>
              </w:rPr>
              <w:t>3 spp</w:t>
            </w:r>
          </w:p>
        </w:tc>
        <w:tc>
          <w:tcPr>
            <w:tcW w:w="1582" w:type="dxa"/>
          </w:tcPr>
          <w:p>
            <w:pPr>
              <w:spacing w:after="60"/>
              <w:jc w:val="center"/>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szCs w:val="22"/>
              </w:rPr>
              <w:t>5 spp</w:t>
            </w:r>
          </w:p>
        </w:tc>
        <w:tc>
          <w:tcPr>
            <w:tcW w:w="1253" w:type="dxa"/>
          </w:tcPr>
          <w:p>
            <w:pPr>
              <w:spacing w:after="60"/>
              <w:jc w:val="center"/>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szCs w:val="22"/>
              </w:rPr>
              <w:t>3 spp</w:t>
            </w:r>
          </w:p>
        </w:tc>
      </w:tr>
      <w:tr>
        <w:tc>
          <w:tcPr>
            <w:cnfStyle w:val="001000000000" w:firstRow="0" w:lastRow="0" w:firstColumn="1" w:lastColumn="0" w:oddVBand="0" w:evenVBand="0" w:oddHBand="0" w:evenHBand="0" w:firstRowFirstColumn="0" w:firstRowLastColumn="0" w:lastRowFirstColumn="0" w:lastRowLastColumn="0"/>
            <w:tcW w:w="1242" w:type="dxa"/>
          </w:tcPr>
          <w:p>
            <w:pPr>
              <w:keepNext/>
              <w:spacing w:after="60"/>
              <w:rPr>
                <w:rFonts w:ascii="Times New Roman" w:hAnsi="Times New Roman" w:cs="Times New Roman"/>
                <w:b/>
                <w:noProof/>
                <w:sz w:val="22"/>
                <w:szCs w:val="22"/>
              </w:rPr>
            </w:pPr>
            <w:r>
              <w:rPr>
                <w:rFonts w:ascii="Times New Roman" w:hAnsi="Times New Roman" w:cs="Times New Roman"/>
                <w:noProof/>
                <w:sz w:val="22"/>
                <w:szCs w:val="22"/>
              </w:rPr>
              <w:t>Unknown</w:t>
            </w:r>
          </w:p>
        </w:tc>
        <w:tc>
          <w:tcPr>
            <w:tcW w:w="1134" w:type="dxa"/>
          </w:tcPr>
          <w:p>
            <w:pPr>
              <w:keepNext/>
              <w:spacing w:after="60"/>
              <w:jc w:val="center"/>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w:t>27 spp</w:t>
            </w:r>
          </w:p>
        </w:tc>
        <w:tc>
          <w:tcPr>
            <w:tcW w:w="1134" w:type="dxa"/>
          </w:tcPr>
          <w:p>
            <w:pPr>
              <w:keepNext/>
              <w:spacing w:after="60"/>
              <w:jc w:val="center"/>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w:t>27 spp</w:t>
            </w:r>
          </w:p>
        </w:tc>
        <w:tc>
          <w:tcPr>
            <w:tcW w:w="1134" w:type="dxa"/>
          </w:tcPr>
          <w:p>
            <w:pPr>
              <w:keepNext/>
              <w:spacing w:after="60"/>
              <w:jc w:val="center"/>
              <w:cnfStyle w:val="000000000000" w:firstRow="0" w:lastRow="0" w:firstColumn="0" w:lastColumn="0" w:oddVBand="0" w:evenVBand="0" w:oddHBand="0" w:evenHBand="0" w:firstRowFirstColumn="0" w:firstRowLastColumn="0" w:lastRowFirstColumn="0" w:lastRowLastColumn="0"/>
              <w:rPr>
                <w:noProof/>
                <w:sz w:val="22"/>
                <w:szCs w:val="22"/>
              </w:rPr>
            </w:pPr>
          </w:p>
        </w:tc>
        <w:tc>
          <w:tcPr>
            <w:tcW w:w="1276" w:type="dxa"/>
          </w:tcPr>
          <w:p>
            <w:pPr>
              <w:keepNext/>
              <w:spacing w:after="60"/>
              <w:jc w:val="center"/>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w:t>13 spp</w:t>
            </w:r>
          </w:p>
        </w:tc>
        <w:tc>
          <w:tcPr>
            <w:tcW w:w="1582" w:type="dxa"/>
          </w:tcPr>
          <w:p>
            <w:pPr>
              <w:spacing w:after="60"/>
              <w:jc w:val="center"/>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w:t>6 spp</w:t>
            </w:r>
          </w:p>
        </w:tc>
        <w:tc>
          <w:tcPr>
            <w:tcW w:w="1253" w:type="dxa"/>
          </w:tcPr>
          <w:p>
            <w:pPr>
              <w:spacing w:after="60"/>
              <w:jc w:val="center"/>
              <w:cnfStyle w:val="000000000000" w:firstRow="0" w:lastRow="0" w:firstColumn="0" w:lastColumn="0" w:oddVBand="0" w:evenVBand="0" w:oddHBand="0" w:evenHBand="0" w:firstRowFirstColumn="0" w:firstRowLastColumn="0" w:lastRowFirstColumn="0" w:lastRowLastColumn="0"/>
              <w:rPr>
                <w:noProof/>
                <w:sz w:val="22"/>
                <w:szCs w:val="22"/>
              </w:rPr>
            </w:pPr>
          </w:p>
        </w:tc>
      </w:tr>
    </w:tbl>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11</w:t>
      </w:r>
      <w:r>
        <w:rPr>
          <w:noProof/>
        </w:rPr>
        <w:fldChar w:fldCharType="end"/>
      </w:r>
      <w:r>
        <w:rPr>
          <w:noProof/>
        </w:rPr>
        <w:t xml:space="preserve">: Population trends of 41 cetacean species globally, in Europe and in four marine regions. Source: </w:t>
      </w:r>
      <w:r>
        <w:rPr>
          <w:noProof/>
        </w:rPr>
        <w:fldChar w:fldCharType="begin"/>
      </w:r>
      <w:r>
        <w:rPr>
          <w:noProof/>
        </w:rPr>
        <w:instrText xml:space="preserve"> ADDIN ZOTERO_ITEM CSL_CITATION {"citationID":"PWU93M09","properties":{"formattedCitation":"(Temple, H.J. and Terry, A., 2007; OSPAR Commission, 2017c; Helsinki Commission, 2018)","plainCitation":"(Temple, H.J. and Terry, A., 2007; OSPAR Commission, 2017c; Helsinki Commission, 2018)","noteIndex":0},"citationItems":[{"id":"2Gg6bOra/CtknaIng","uris":["http://zotero.org/users/5337207/items/52UU2D2B"],"uri":["http://zotero.org/users/5337207/items/52UU2D2B"],"itemData":{"id":76,"type":"article","title":"The Status and Distribution of European Mammals. Luxembourg: Office for Official Publications of the European Communities. viii + 48pp, 210 x 297 mm","author":[{"family":"Temple, H.J. and Terry, A.","given":""}],"issued":{"date-parts":[["2007"]]}}},{"id":28057,"uris":["http://zotero.org/groups/2256879/items/I9MBAGKT"],"uri":["http://zotero.org/groups/2256879/items/I9MBAGKT"],"itemData":{"id":28057,"type":"webpage","title":"OSPAR Intermediate Assessment 2017 Marine mammals","URL":"https://oap.ospar.org/en/ospar-assessments/intermediate-assessment-2017/key-messages-and-highlights/marine-mammals/","language":"en","author":[{"family":"OSPAR Commission","given":""}],"issued":{"date-parts":[["2017",4,7]]},"accessed":{"date-parts":[["2019",1,30]]}}},{"id":25081,"uris":["http://zotero.org/groups/2256879/items/QMGXPPZY"],"uri":["http://zotero.org/groups/2256879/items/QMGXPPZY"],"itemData":{"id":25081,"type":"report","title":"State of the Baltic Sea - Second HELCOM Holistic assessment 2011-2016.","collection-title":"Baltic Sea Environment Proceedings No. 155","publisher":"Helsinki Commission","publisher-place":"Helsinki, Finland","event-place":"Helsinki, Finland","URL":"www.helcom.fi/baltic-sea-trends/holistic-assessments/state-of-the-baltic-sea-2018/reports-and-materials/","author":[{"family":"Helsinki Commission","given":""}],"issued":{"date-parts":[["2018"]]}}}],"schema":"https://github.com/citation-style-language/schema/raw/master/csl-citation.json"} </w:instrText>
      </w:r>
      <w:r>
        <w:rPr>
          <w:noProof/>
        </w:rPr>
        <w:fldChar w:fldCharType="separate"/>
      </w:r>
      <w:r>
        <w:rPr>
          <w:noProof/>
        </w:rPr>
        <w:t xml:space="preserve">Temple and Terry, 2007; OSPAR, 2017a; </w:t>
      </w:r>
      <w:r>
        <w:rPr>
          <w:noProof/>
        </w:rPr>
        <w:fldChar w:fldCharType="end"/>
      </w:r>
      <w:r>
        <w:rPr>
          <w:noProof/>
        </w:rPr>
        <w:t xml:space="preserve"> HELCOM, 2018a.</w:t>
      </w:r>
    </w:p>
    <w:p>
      <w:pPr>
        <w:rPr>
          <w:noProof/>
        </w:rPr>
      </w:pPr>
      <w:r>
        <w:rPr>
          <w:noProof/>
        </w:rPr>
        <w:t xml:space="preserve">With the only possible exception of the North-east Atlantic Ocean, there are very few examples of an improving situation for cetaceans in European waters. The percentage of unknown trends is very high. </w:t>
      </w:r>
    </w:p>
    <w:tbl>
      <w:tblPr>
        <w:tblStyle w:val="GridTableLight"/>
        <w:tblW w:w="87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296"/>
      </w:tblGrid>
      <w:tr>
        <w:trPr>
          <w:trHeight w:val="5165"/>
        </w:trPr>
        <w:tc>
          <w:tcPr>
            <w:tcW w:w="4503" w:type="dxa"/>
          </w:tcPr>
          <w:bookmarkEnd w:id="27"/>
          <w:bookmarkEnd w:id="28"/>
          <w:p>
            <w:pPr>
              <w:keepNext/>
              <w:spacing w:after="0"/>
              <w:rPr>
                <w:noProof/>
              </w:rPr>
            </w:pPr>
            <w:r>
              <w:rPr>
                <w:noProof/>
              </w:rPr>
              <w:drawing>
                <wp:inline distT="0" distB="0" distL="0" distR="0">
                  <wp:extent cx="2694684" cy="3282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a:ext>
                            </a:extLst>
                          </a:blip>
                          <a:srcRect l="3746" r="3286" b="863"/>
                          <a:stretch/>
                        </pic:blipFill>
                        <pic:spPr bwMode="auto">
                          <a:xfrm>
                            <a:off x="0" y="0"/>
                            <a:ext cx="2695071" cy="3283421"/>
                          </a:xfrm>
                          <a:prstGeom prst="rect">
                            <a:avLst/>
                          </a:prstGeom>
                          <a:ln>
                            <a:noFill/>
                          </a:ln>
                          <a:extLst>
                            <a:ext uri="{53640926-AAD7-44D8-BBD7-CCE9431645EC}">
                              <a14:shadowObscured xmlns:a14="http://schemas.microsoft.com/office/drawing/2010/main"/>
                            </a:ext>
                          </a:extLst>
                        </pic:spPr>
                      </pic:pic>
                    </a:graphicData>
                  </a:graphic>
                </wp:inline>
              </w:drawing>
            </w:r>
          </w:p>
        </w:tc>
        <w:tc>
          <w:tcPr>
            <w:tcW w:w="4296" w:type="dxa"/>
          </w:tcPr>
          <w:p>
            <w:pPr>
              <w:spacing w:after="0"/>
              <w:rPr>
                <w:noProof/>
              </w:rPr>
            </w:pPr>
            <w:r>
              <w:rPr>
                <w:noProof/>
              </w:rPr>
              <w:drawing>
                <wp:inline distT="0" distB="0" distL="0" distR="0">
                  <wp:extent cx="2582318" cy="3276000"/>
                  <wp:effectExtent l="0" t="0" r="889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956" r="6370"/>
                          <a:stretch/>
                        </pic:blipFill>
                        <pic:spPr bwMode="auto">
                          <a:xfrm>
                            <a:off x="0" y="0"/>
                            <a:ext cx="2582318" cy="3276000"/>
                          </a:xfrm>
                          <a:prstGeom prst="rect">
                            <a:avLst/>
                          </a:prstGeom>
                          <a:ln>
                            <a:noFill/>
                          </a:ln>
                          <a:extLst>
                            <a:ext uri="{53640926-AAD7-44D8-BBD7-CCE9431645EC}">
                              <a14:shadowObscured xmlns:a14="http://schemas.microsoft.com/office/drawing/2010/main"/>
                            </a:ext>
                          </a:extLst>
                        </pic:spPr>
                      </pic:pic>
                    </a:graphicData>
                  </a:graphic>
                </wp:inline>
              </w:drawing>
            </w:r>
          </w:p>
        </w:tc>
      </w:tr>
    </w:tbl>
    <w:p>
      <w:pPr>
        <w:pStyle w:val="Caption"/>
        <w:rPr>
          <w:noProof/>
        </w:rPr>
      </w:pPr>
      <w:bookmarkStart w:id="30" w:name="_Ref30275491"/>
      <w:bookmarkStart w:id="31" w:name="_Ref2611974"/>
      <w:bookmarkStart w:id="32" w:name="_Ref1324737"/>
      <w:r>
        <w:rPr>
          <w:noProof/>
        </w:rP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bookmarkEnd w:id="30"/>
      <w:r>
        <w:rPr>
          <w:noProof/>
        </w:rPr>
        <w:t xml:space="preserve">: OSPAR marine bird abundance assessment. Change in the annual proportion of species exceeding assessment values for the relative breeding (left figure) and non-breeding (right figure) abundance of marine birds in the Norwegian part of the Arctic waters, Celtic Seas and in the Greater North Sea. The black line denotes the multi-species assessment value of 75%. Source: </w:t>
      </w:r>
      <w:r>
        <w:rPr>
          <w:noProof/>
        </w:rPr>
        <w:fldChar w:fldCharType="begin"/>
      </w:r>
      <w:r>
        <w:rPr>
          <w:noProof/>
        </w:rPr>
        <w:instrText xml:space="preserve"> ADDIN ZOTERO_ITEM CSL_CITATION {"citationID":"aosdiiotr7","properties":{"formattedCitation":"(OSPAR Commission, 2017a)","plainCitation":"(OSPAR Commission, 2017a)","noteIndex":0},"citationItems":[{"id":25622,"uris":["http://zotero.org/groups/2256879/items/7HCYKFH7"],"uri":["http://zotero.org/groups/2256879/items/7HCYKFH7"],"itemData":{"id":25622,"type":"report","title":"OSPAR Intermediate Assessment 2017","publisher":"OSPAR Commission","publisher-place":"London","event-place":"London","URL":"https://oap.ospar.org/en/ospar-assessments/intermediate-assessment-2017","author":[{"family":"OSPAR Commission","given":""}],"issued":{"date-parts":[["2017"]]},"accessed":{"date-parts":[["2019",1,30]]}}}],"schema":"https://github.com/citation-style-language/schema/raw/master/csl-citation.json"} </w:instrText>
      </w:r>
      <w:r>
        <w:rPr>
          <w:noProof/>
        </w:rPr>
        <w:fldChar w:fldCharType="separate"/>
      </w:r>
      <w:r>
        <w:rPr>
          <w:noProof/>
        </w:rPr>
        <w:t>OSPAR (2017c</w:t>
      </w:r>
      <w:r>
        <w:rPr>
          <w:noProof/>
        </w:rPr>
        <w:fldChar w:fldCharType="end"/>
      </w:r>
      <w:r>
        <w:rPr>
          <w:noProof/>
        </w:rPr>
        <w:t>).</w:t>
      </w:r>
    </w:p>
    <w:p>
      <w:pPr>
        <w:rPr>
          <w:noProof/>
        </w:rPr>
      </w:pPr>
      <w:r>
        <w:rPr>
          <w:noProof/>
        </w:rPr>
        <w:t xml:space="preserve">Overall, the abundance of marine bird species in the OSPAR area seems to have decreased during the last 15 years. See also </w:t>
      </w:r>
      <w:r>
        <w:rPr>
          <w:noProof/>
        </w:rPr>
        <w:fldChar w:fldCharType="begin"/>
      </w:r>
      <w:r>
        <w:rPr>
          <w:noProof/>
        </w:rPr>
        <w:instrText xml:space="preserve"> REF _Ref30342506 \h </w:instrText>
      </w:r>
      <w:r>
        <w:rPr>
          <w:noProof/>
        </w:rPr>
      </w:r>
      <w:r>
        <w:rPr>
          <w:noProof/>
        </w:rPr>
        <w:fldChar w:fldCharType="separate"/>
      </w:r>
      <w:r>
        <w:rPr>
          <w:noProof/>
        </w:rPr>
        <w:t>Table 5</w:t>
      </w:r>
      <w:r>
        <w:rPr>
          <w:noProof/>
        </w:rPr>
        <w:fldChar w:fldCharType="end"/>
      </w:r>
      <w:r>
        <w:rPr>
          <w:noProof/>
        </w:rPr>
        <w:t>.</w:t>
      </w:r>
    </w:p>
    <w:p>
      <w:pPr>
        <w:spacing w:after="0"/>
        <w:rPr>
          <w:noProof/>
        </w:rPr>
      </w:pPr>
      <w:r>
        <w:rPr>
          <w:noProof/>
        </w:rPr>
        <w:drawing>
          <wp:inline distT="0" distB="0" distL="0" distR="0">
            <wp:extent cx="5473700" cy="1740436"/>
            <wp:effectExtent l="0" t="0" r="0" b="0"/>
            <wp:docPr id="13" name="Picture 13" descr="http://stateofthebalticsea.helcom.fi/wp-content/uploads/2018/07/HELCOM_HOLASII_Fig-5.5.2-Common-eider-common-poch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eofthebalticsea.helcom.fi/wp-content/uploads/2018/07/HELCOM_HOLASII_Fig-5.5.2-Common-eider-common-pochard.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5589173" cy="1777152"/>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rPr>
          <w:noProof/>
        </w:rPr>
      </w:pPr>
      <w:bookmarkStart w:id="33" w:name="_Ref30275729"/>
      <w:bookmarkStart w:id="34" w:name="_Ref1125221"/>
      <w:bookmarkEnd w:id="31"/>
      <w:r>
        <w:rPr>
          <w:noProof/>
        </w:rP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bookmarkEnd w:id="33"/>
      <w:r>
        <w:rPr>
          <w:noProof/>
        </w:rPr>
        <w:t>: Population trends of two bird benthic feeders in the Baltic Sea. The trends show common eider (</w:t>
      </w:r>
      <w:r>
        <w:rPr>
          <w:rStyle w:val="Emphasis"/>
          <w:i/>
          <w:iCs w:val="0"/>
          <w:noProof/>
        </w:rPr>
        <w:t>Somateria mollissima</w:t>
      </w:r>
      <w:r>
        <w:rPr>
          <w:noProof/>
        </w:rPr>
        <w:t>) in the breeding season and common pochard (</w:t>
      </w:r>
      <w:r>
        <w:rPr>
          <w:rStyle w:val="Emphasis"/>
          <w:i/>
          <w:iCs w:val="0"/>
          <w:noProof/>
        </w:rPr>
        <w:t>Aythya ferina</w:t>
      </w:r>
      <w:r>
        <w:rPr>
          <w:noProof/>
        </w:rPr>
        <w:t>) in the wintering season at the whole Baltic Sea scale. Based on abundance index values during 1991-2016. The green line shows the index value of 0.7 which is the threshold to determine whether the populations have reached a good status or not. Source: HELCOM (2018a).</w:t>
      </w:r>
    </w:p>
    <w:p>
      <w:pPr>
        <w:rPr>
          <w:noProof/>
          <w:szCs w:val="24"/>
          <w:lang w:eastAsia="it-IT"/>
        </w:rPr>
      </w:pPr>
      <w:r>
        <w:rPr>
          <w:noProof/>
          <w:szCs w:val="24"/>
        </w:rPr>
        <w:t xml:space="preserve">In the case of elasmobranchs, catches of sharks in the Mediterranean Sea and Black Sea </w:t>
      </w:r>
      <w:r>
        <w:rPr>
          <w:noProof/>
          <w:szCs w:val="24"/>
          <w:lang w:eastAsia="it-IT"/>
        </w:rPr>
        <w:t>have declined at least for the larger species as a result of increased fishing pressure especially since the 1960’s</w:t>
      </w:r>
      <w:r>
        <w:rPr>
          <w:noProof/>
          <w:szCs w:val="24"/>
        </w:rPr>
        <w:t xml:space="preserve"> (FAO, 2012). </w:t>
      </w:r>
      <w:bookmarkStart w:id="35" w:name="_Ref1125272"/>
      <w:bookmarkEnd w:id="32"/>
      <w:bookmarkEnd w:id="34"/>
      <w:r>
        <w:rPr>
          <w:noProof/>
          <w:szCs w:val="24"/>
        </w:rPr>
        <w:t>S</w:t>
      </w:r>
      <w:r>
        <w:rPr>
          <w:noProof/>
          <w:szCs w:val="24"/>
          <w:lang w:eastAsia="it-IT"/>
        </w:rPr>
        <w:t xml:space="preserve">imilar findings were found in the North Sea </w:t>
      </w:r>
      <w:r>
        <w:rPr>
          <w:noProof/>
          <w:szCs w:val="24"/>
          <w:lang w:eastAsia="it-IT"/>
        </w:rPr>
        <w:fldChar w:fldCharType="begin"/>
      </w:r>
      <w:r>
        <w:rPr>
          <w:noProof/>
          <w:szCs w:val="24"/>
          <w:lang w:eastAsia="it-IT"/>
        </w:rPr>
        <w:instrText xml:space="preserve"> ADDIN ZOTERO_ITEM CSL_CITATION {"citationID":"DYFUGv5I","properties":{"formattedCitation":"(Sguotti et al., 2016)","plainCitation":"(Sguotti et al., 2016)"},"citationItems":[{"id":77,"uris":["http://zotero.org/users/5337207/items/NEE5QYZW"],"uri":["http://zotero.org/users/5337207/items/NEE5QYZW"],"itemData":{"id":77,"type":"article-journal","title":"Distribution of skates and sharks in the North Sea: 112 years of change","container-title":"Global Change Biology","page":"2729-2743","volume":"22","issue":"8","source":"Crossref","DOI":"10.1111/gcb.13316","ISSN":"13541013","shortTitle":"Distribution of skates and sharks in the North Sea","language":"en","author":[{"family":"Sguotti","given":"Camilla"},{"family":"Lynam","given":"Christopher P."},{"family":"García-Carreras","given":"Bernardo"},{"family":"Ellis","given":"Jim R."},{"family":"Engelhard","given":"Georg H."}],"issued":{"date-parts":[["2016",8]]}}}],"schema":"https://github.com/citation-style-language/schema/raw/master/csl-citation.json"} </w:instrText>
      </w:r>
      <w:r>
        <w:rPr>
          <w:noProof/>
          <w:szCs w:val="24"/>
          <w:lang w:eastAsia="it-IT"/>
        </w:rPr>
        <w:fldChar w:fldCharType="separate"/>
      </w:r>
      <w:r>
        <w:rPr>
          <w:noProof/>
          <w:szCs w:val="24"/>
        </w:rPr>
        <w:t>(Sguotti et al., 2016)</w:t>
      </w:r>
      <w:r>
        <w:rPr>
          <w:noProof/>
          <w:szCs w:val="24"/>
          <w:lang w:eastAsia="it-IT"/>
        </w:rPr>
        <w:fldChar w:fldCharType="end"/>
      </w:r>
      <w:r>
        <w:rPr>
          <w:noProof/>
          <w:szCs w:val="24"/>
          <w:lang w:eastAsia="it-IT"/>
        </w:rPr>
        <w:t xml:space="preserve"> where two species, common skate and angelshark became locally extirpated. However, changes in overall distribution, particularly of smaller non-commercial elasmobranch species, could also be linked to climate change and habitat degradation as well as fishing pressure </w:t>
      </w:r>
      <w:r>
        <w:rPr>
          <w:noProof/>
          <w:szCs w:val="24"/>
          <w:lang w:eastAsia="it-IT"/>
        </w:rPr>
        <w:fldChar w:fldCharType="begin"/>
      </w:r>
      <w:r>
        <w:rPr>
          <w:noProof/>
          <w:szCs w:val="24"/>
          <w:lang w:eastAsia="it-IT"/>
        </w:rPr>
        <w:instrText xml:space="preserve"> ADDIN ZOTERO_ITEM CSL_CITATION {"citationID":"DYFUGv5I","properties":{"formattedCitation":"(Sguotti et al., 2016)","plainCitation":"(Sguotti et al., 2016)"},"citationItems":[{"id":77,"uris":["http://zotero.org/users/5337207/items/NEE5QYZW"],"uri":["http://zotero.org/users/5337207/items/NEE5QYZW"],"itemData":{"id":77,"type":"article-journal","title":"Distribution of skates and sharks in the North Sea: 112 years of change","container-title":"Global Change Biology","page":"2729-2743","volume":"22","issue":"8","source":"Crossref","DOI":"10.1111/gcb.13316","ISSN":"13541013","shortTitle":"Distribution of skates and sharks in the North Sea","language":"en","author":[{"family":"Sguotti","given":"Camilla"},{"family":"Lynam","given":"Christopher P."},{"family":"García-Carreras","given":"Bernardo"},{"family":"Ellis","given":"Jim R."},{"family":"Engelhard","given":"Georg H."}],"issued":{"date-parts":[["2016",8]]}}}],"schema":"https://github.com/citation-style-language/schema/raw/master/csl-citation.json"} </w:instrText>
      </w:r>
      <w:r>
        <w:rPr>
          <w:noProof/>
          <w:szCs w:val="24"/>
          <w:lang w:eastAsia="it-IT"/>
        </w:rPr>
        <w:fldChar w:fldCharType="separate"/>
      </w:r>
      <w:r>
        <w:rPr>
          <w:noProof/>
          <w:szCs w:val="24"/>
        </w:rPr>
        <w:t>(Sguotti et al., 2016)</w:t>
      </w:r>
      <w:r>
        <w:rPr>
          <w:noProof/>
          <w:szCs w:val="24"/>
          <w:lang w:eastAsia="it-IT"/>
        </w:rPr>
        <w:fldChar w:fldCharType="end"/>
      </w:r>
      <w:r>
        <w:rPr>
          <w:noProof/>
          <w:szCs w:val="24"/>
          <w:lang w:eastAsia="it-IT"/>
        </w:rPr>
        <w:t>.</w:t>
      </w:r>
      <w:bookmarkStart w:id="36" w:name="_Ref2697171"/>
      <w:r>
        <w:rPr>
          <w:noProof/>
          <w:szCs w:val="24"/>
          <w:lang w:eastAsia="it-IT"/>
        </w:rPr>
        <w:t xml:space="preserve"> The </w:t>
      </w:r>
      <w:r>
        <w:rPr>
          <w:noProof/>
        </w:rPr>
        <w:t>HELCOM Red List assessment found t</w:t>
      </w:r>
      <w:r>
        <w:rPr>
          <w:noProof/>
          <w:szCs w:val="24"/>
          <w:lang w:eastAsia="it-IT"/>
        </w:rPr>
        <w:t>he common skate (</w:t>
      </w:r>
      <w:r>
        <w:rPr>
          <w:i/>
          <w:iCs/>
          <w:noProof/>
          <w:szCs w:val="24"/>
          <w:lang w:eastAsia="it-IT"/>
        </w:rPr>
        <w:t>Dipturus batis</w:t>
      </w:r>
      <w:r>
        <w:rPr>
          <w:noProof/>
          <w:szCs w:val="24"/>
          <w:lang w:eastAsia="it-IT"/>
        </w:rPr>
        <w:t>) to be already regionally extinct in the Baltic Sea.</w:t>
      </w:r>
    </w:p>
    <w:p>
      <w:pPr>
        <w:pStyle w:val="Heading1"/>
        <w:rPr>
          <w:rFonts w:eastAsiaTheme="minorHAnsi" w:cs="Open Sans"/>
          <w:noProof/>
        </w:rPr>
      </w:pPr>
      <w:bookmarkStart w:id="37" w:name="_Toc30404115"/>
      <w:bookmarkEnd w:id="35"/>
      <w:bookmarkEnd w:id="36"/>
      <w:r>
        <w:rPr>
          <w:rFonts w:eastAsiaTheme="minorHAnsi"/>
          <w:noProof/>
        </w:rPr>
        <w:t>Technical observations</w:t>
      </w:r>
      <w:bookmarkEnd w:id="37"/>
      <w:r>
        <w:rPr>
          <w:rFonts w:eastAsiaTheme="minorHAnsi"/>
          <w:noProof/>
        </w:rPr>
        <w:t xml:space="preserve"> </w:t>
      </w:r>
    </w:p>
    <w:p>
      <w:pPr>
        <w:rPr>
          <w:noProof/>
        </w:rPr>
      </w:pPr>
      <w:r>
        <w:rPr>
          <w:noProof/>
        </w:rPr>
        <w:t xml:space="preserve">The MSFD, Habitats Directive and other scientific assessment and monitoring programmes have helped understanding the ranges, distribution and condition of individual ecosystem components. Still, many habitats and species groups are not systematically monitored and high mobile species are not well covered. Also, the understanding of how whole ecosystems functions is still very low. This means that it is not always possible to clearly state if trends are indicative of improving or worsening levels of human pressure, as changes in other biological components may also be an influential factor. </w:t>
      </w:r>
    </w:p>
    <w:p>
      <w:pPr>
        <w:rPr>
          <w:noProof/>
        </w:rPr>
      </w:pPr>
      <w:r>
        <w:rPr>
          <w:noProof/>
        </w:rPr>
        <w:t>Europe’s biological ocean observation capability needs to be more integrated (across different countries and purposes), harmonised and strengthened. Support is needed in taxonomic expertise and in the use of new emerging technologies, data science and management. Supporting technological innovation can bring cost-effective automated monitoring of biological variables; and supporting ‘citizen science’ can improve observation capacity, increase public confidence in science and the public’s emotional connectedness with the marine environment (from EMB, 2018).</w:t>
      </w:r>
    </w:p>
    <w:p>
      <w:pPr>
        <w:rPr>
          <w:noProof/>
        </w:rPr>
      </w:pPr>
      <w:r>
        <w:rPr>
          <w:noProof/>
        </w:rPr>
        <w:t xml:space="preserve">Some contrasting conclusions coming from different assessments of species and habitats must be due to the use of different threshold values and classification criteria. The harmonisation of the methods and criteria to set threshold values for the status assessment of species and habitats under the MSFD will greatly facilitate the management and policy decision-making process. </w:t>
      </w:r>
    </w:p>
    <w:p>
      <w:pPr>
        <w:pStyle w:val="Heading1"/>
        <w:rPr>
          <w:rStyle w:val="Heading2Char"/>
          <w:b/>
          <w:bCs/>
          <w:noProof/>
        </w:rPr>
      </w:pPr>
      <w:bookmarkStart w:id="38" w:name="_Toc30404116"/>
      <w:r>
        <w:rPr>
          <w:rStyle w:val="Heading2Char"/>
          <w:b/>
          <w:bCs/>
          <w:noProof/>
        </w:rPr>
        <w:t>Key messages</w:t>
      </w:r>
      <w:bookmarkEnd w:id="38"/>
      <w:r>
        <w:rPr>
          <w:noProof/>
        </w:rPr>
        <w:t xml:space="preserve"> </w:t>
      </w:r>
    </w:p>
    <w:p>
      <w:pPr>
        <w:pStyle w:val="ListBullet1"/>
        <w:rPr>
          <w:noProof/>
        </w:rPr>
      </w:pPr>
      <w:r>
        <w:rPr>
          <w:noProof/>
        </w:rPr>
        <w:t>Thanks to the MSFD, progress has been made on understanding biodiversity elements and the relative intensity of human pressures. This knowledge aims at underpinning management measures and policy objectives.</w:t>
      </w:r>
    </w:p>
    <w:p>
      <w:pPr>
        <w:pStyle w:val="ListBullet1"/>
        <w:numPr>
          <w:ilvl w:val="0"/>
          <w:numId w:val="20"/>
        </w:numPr>
        <w:rPr>
          <w:noProof/>
        </w:rPr>
      </w:pPr>
      <w:r>
        <w:rPr>
          <w:noProof/>
        </w:rPr>
        <w:t xml:space="preserve">Assessment of the status is inadequate for most assessed species and habitats. Still, the available information point to the following conclusions: </w:t>
      </w:r>
    </w:p>
    <w:p>
      <w:pPr>
        <w:pStyle w:val="ListBullet1Level2"/>
        <w:numPr>
          <w:ilvl w:val="1"/>
          <w:numId w:val="46"/>
        </w:numPr>
        <w:rPr>
          <w:noProof/>
        </w:rPr>
      </w:pPr>
      <w:r>
        <w:rPr>
          <w:noProof/>
        </w:rPr>
        <w:t xml:space="preserve">Marine mammals, being the top mobile predator, are exposed to multiple pressures across their distributional range and not well monitored. Existing measures have contributed to stable or increasing abundance for some species of seals (e.g. some populations of grey and harbour seals in the Baltic Sea and in the North Sea) and joint regional programmes have been launched recently. The population status and trends of cetaceans are mostly unknow or, with the only possible exception of the North-east Atlantic Ocean, in slight decline.  </w:t>
      </w:r>
    </w:p>
    <w:p>
      <w:pPr>
        <w:pStyle w:val="ListBullet1Level2"/>
        <w:numPr>
          <w:ilvl w:val="1"/>
          <w:numId w:val="46"/>
        </w:numPr>
        <w:rPr>
          <w:noProof/>
        </w:rPr>
      </w:pPr>
      <w:r>
        <w:rPr>
          <w:noProof/>
        </w:rPr>
        <w:t>Assessments for marine birds in the Baltic Sea and the North-east Atlantic show a diverse assessment status. Over 20% in seabird populations have declined in the last 25 years for more than a quarter of the species assessed in the North-east Atlantic</w:t>
      </w:r>
      <w:r>
        <w:rPr>
          <w:noProof/>
        </w:rPr>
        <w:fldChar w:fldCharType="begin"/>
      </w:r>
      <w:r>
        <w:rPr>
          <w:noProof/>
        </w:rPr>
        <w:instrText xml:space="preserve"> ADDIN ZOTERO_ITEM CSL_CITATION {"citationID":"a2mtk3vcol","properties":{"formattedCitation":"(OSPAR Commission, 2017b)","plainCitation":"(OSPAR Commission, 2017b)","noteIndex":0},"citationItems":[{"id":28038,"uris":["http://zotero.org/groups/2256879/items/NQ7VP7ZN"],"uri":["http://zotero.org/groups/2256879/items/NQ7VP7ZN"],"itemData":{"id":28038,"type":"webpage","title":"OSPAR Intermediate Assessment 2017 Marine birds in trouble","URL":"https://oap.ospar.org/en/ospar-assessments/intermediate-assessment-2017/key-messages-and-highlights/marine-birds-trouble/","language":"en","author":[{"family":"OSPAR Commission","given":""}],"issued":{"date-parts":[["2017",4,7]]},"accessed":{"date-parts":[["2019",1,31]]}}}],"schema":"https://github.com/citation-style-language/schema/raw/master/csl-citation.json"} </w:instrText>
      </w:r>
      <w:r>
        <w:rPr>
          <w:noProof/>
        </w:rPr>
        <w:fldChar w:fldCharType="end"/>
      </w:r>
      <w:r>
        <w:rPr>
          <w:noProof/>
        </w:rPr>
        <w:t xml:space="preserve">. In the Baltic Sea, 31% of breeding water bird populations have declined, while in general surface and pelagic feeders have a good status. The level of harmonisation in the assessments’ methods among regions should improve. </w:t>
      </w:r>
    </w:p>
    <w:p>
      <w:pPr>
        <w:pStyle w:val="ListBullet1Level2"/>
        <w:numPr>
          <w:ilvl w:val="1"/>
          <w:numId w:val="46"/>
        </w:numPr>
        <w:rPr>
          <w:noProof/>
        </w:rPr>
      </w:pPr>
      <w:r>
        <w:rPr>
          <w:noProof/>
        </w:rPr>
        <w:t>Elasmobranchs comprise most of the classified threatened species (both in continental and regional Red Lists), although most of them are very poorly monitored. For example, in the Mediterranean Sea 40% of sharks, skates and rays are facing a declining population trend.</w:t>
      </w:r>
    </w:p>
    <w:p>
      <w:pPr>
        <w:pStyle w:val="ListBullet1Level2"/>
        <w:numPr>
          <w:ilvl w:val="1"/>
          <w:numId w:val="46"/>
        </w:numPr>
        <w:rPr>
          <w:noProof/>
        </w:rPr>
      </w:pPr>
      <w:r>
        <w:rPr>
          <w:noProof/>
        </w:rPr>
        <w:t>Cephalopods and reptiles are too poorly monitored (e.g. 33% of the reports on marine turtles under the Habitats Directive were in unfavourable conservation status and 67% unknown).</w:t>
      </w:r>
    </w:p>
    <w:p>
      <w:pPr>
        <w:pStyle w:val="ListBullet1"/>
        <w:rPr>
          <w:noProof/>
        </w:rPr>
      </w:pPr>
      <w:r>
        <w:rPr>
          <w:noProof/>
        </w:rPr>
        <w:t xml:space="preserve">There are relatively few cases with unambiguous improvements in trends of populations, species or </w:t>
      </w:r>
      <w:r>
        <w:rPr>
          <w:noProof/>
          <w:szCs w:val="22"/>
        </w:rPr>
        <w:t>groups of species</w:t>
      </w:r>
      <w:r>
        <w:rPr>
          <w:noProof/>
        </w:rPr>
        <w:t xml:space="preserve">. </w:t>
      </w:r>
      <w:r>
        <w:rPr>
          <w:noProof/>
          <w:szCs w:val="22"/>
        </w:rPr>
        <w:t>These include commercially exploited fish in the North-east Atlantic Ocean and Baltic Sea, grey seals in general, harbour seals in the Kattegat,</w:t>
      </w:r>
      <w:r>
        <w:rPr>
          <w:noProof/>
        </w:rPr>
        <w:t xml:space="preserve"> monk seal in the Mediterranean</w:t>
      </w:r>
      <w:r>
        <w:rPr>
          <w:noProof/>
        </w:rPr>
        <w:fldChar w:fldCharType="begin"/>
      </w:r>
      <w:r>
        <w:rPr>
          <w:noProof/>
        </w:rPr>
        <w:instrText xml:space="preserve"> ADDIN ZOTERO_ITEM CSL_CITATION {"citationID":"a52utg2lri","properties":{"formattedCitation":"(Karamanlidis et al., 2016)","plainCitation":"(Karamanlidis et al., 2016)"},"citationItems":[{"id":271,"uris":["http://zotero.org/groups/2256879/items/45BYX8C8"],"uri":["http://zotero.org/groups/2256879/items/45BYX8C8"],"itemData":{"id":271,"type":"article-journal","title":"The Mediterranean monk seal Monachus monachus: status, biology, threats, and conservation priorities","container-title":"Mammal Review","page":"92-105","volume":"46","issue":"2","source":"Wiley Online Library","abstract":"The Mediterranean monk seal Monachus monachus is the most endangered seal species. In this review we summarize the status, ecology, and behaviour of the Mediterranean monk seal, and identify the main threats that currently affect the species and the conservation priorities for securing its survival. Once abundant throughout the Black Sea and Mediterranean, as well as off the Atlantic coasts of northwestern Africa and Macaronesia, the Mediterranean monk seal has recently suffered dramatic declines, both in abundance and geographical range. It is now estimated that fewer than 700 individuals survive in three or four isolated subpopulations in the eastern and western Mediterranean, the archipelago of Madeira and the Cabo Blanco area in the northeastern Atlantic Ocean. Mediterranean monk seals are coastal marine mammals. When resting and pupping on land, individuals generally seek refuge in inaccessible marine caves; this behaviour is, in part, believed to be an adaptation to increased disturbance by humans. Larger aggregations or colonies of the species can now be found only at Cabo Blanco in the Atlantic Ocean and on the island of Gyaros in the eastern Mediterranean. The main threats to the survival of the Mediterranean monk seal are habitat deterioration; deliberate killing, mainly by fishermen; and accidental entanglement and drowning in fishing gear. Limited availability of food sources and stochastic and unusual events have occasionally also contributed to Mediterranean monk seal mortality. Based on a common consensus among scientists and conservationists, the main conservation priorities for the monk seal are: habitat protection; mitigating negative interactions between seals and fisheries; scientific research and monitoring of local seal populations; education and public awareness campaigns; and rescue and rehabilitation of wounded, sick, and orphaned seals.","DOI":"10.1111/mam.12053","ISSN":"1365-2907","shortTitle":"The Mediterranean monk seal Monachus monachus","language":"en","author":[{"family":"Karamanlidis","given":"Alexandros A."},{"family":"Dendrinos","given":"Panagiotis"},{"family":"Larrinoa","given":"Pablo Fernández","dropping-particle":"de"},{"family":"Gücü","given":"Ali Cemal"},{"family":"Johnson","given":"William M."},{"family":"Kiraç","given":"Cem O."},{"family":"Pires","given":"Rosa"}],"issued":{"date-parts":[["2016"]]}}}],"schema":"https://github.com/citation-style-language/schema/raw/master/csl-citation.json"} </w:instrText>
      </w:r>
      <w:r>
        <w:rPr>
          <w:noProof/>
        </w:rPr>
        <w:fldChar w:fldCharType="end"/>
      </w:r>
      <w:r>
        <w:rPr>
          <w:noProof/>
          <w:szCs w:val="22"/>
        </w:rPr>
        <w:t xml:space="preserve">, white-tailed eagle in Baltic Sea and the Mediterranean bluefin tuna. These </w:t>
      </w:r>
      <w:r>
        <w:rPr>
          <w:noProof/>
        </w:rPr>
        <w:t>positive effects are normally the result of joint efforts that managed to reduce selected pressures in the regional seas during the last one or two decades.</w:t>
      </w:r>
    </w:p>
    <w:p>
      <w:pPr>
        <w:pStyle w:val="ListBullet1"/>
        <w:rPr>
          <w:noProof/>
        </w:rPr>
      </w:pPr>
      <w:r>
        <w:rPr>
          <w:noProof/>
        </w:rPr>
        <w:t xml:space="preserve">Despite these examples, halting marine biodiversity loss remains a challenge. Some marine populations and groups of species are still at threat, including some seal populations (e.g. monk seals, harbour seals and ringed seals), some seabirds, commercially exploited fish in Mediterranean and Black seas, reptiles, sharks and rays, and killer whales. </w:t>
      </w:r>
    </w:p>
    <w:p>
      <w:pPr>
        <w:pStyle w:val="ListBullet1"/>
        <w:rPr>
          <w:noProof/>
        </w:rPr>
      </w:pPr>
      <w:r>
        <w:rPr>
          <w:noProof/>
        </w:rPr>
        <w:t>We can therefore conclude that biodiversity loss was not halted in Europe’s seas during the first MSFD cycle. Overall, marine life is still under threat across Europe’s seas with multiple pressures affecting individual species and habitats. Of particular concern are the hotspots of biodiversity, places where endemism is high and/or rare species are present in significant numbers. These tend to be in areas already under significant human pressure or where the monitoring or management measures are still being developed such as the Mediterranean Sea or Macaronesia.</w:t>
      </w:r>
    </w:p>
    <w:p>
      <w:pPr>
        <w:rPr>
          <w:noProof/>
        </w:rPr>
      </w:pPr>
    </w:p>
    <w:p>
      <w:pPr>
        <w:rPr>
          <w:noProof/>
        </w:rPr>
      </w:pPr>
    </w:p>
    <w:p>
      <w:pPr>
        <w:spacing w:after="0"/>
        <w:jc w:val="left"/>
        <w:rPr>
          <w:b/>
          <w:noProof/>
          <w:sz w:val="32"/>
        </w:rPr>
      </w:pPr>
      <w:r>
        <w:rPr>
          <w:noProof/>
        </w:rPr>
        <w:br w:type="page"/>
      </w:r>
    </w:p>
    <w:p>
      <w:pPr>
        <w:pStyle w:val="ChapterTitle"/>
        <w:rPr>
          <w:noProof/>
        </w:rPr>
      </w:pPr>
      <w:bookmarkStart w:id="39" w:name="_Toc30404117"/>
      <w:r>
        <w:rPr>
          <w:noProof/>
        </w:rPr>
        <w:t>Descriptor 2: Non-indigenous species introduced by human activities are at levels that do not adversely alter the ecosystems</w:t>
      </w:r>
      <w:bookmarkEnd w:id="39"/>
    </w:p>
    <w:p>
      <w:pPr>
        <w:pStyle w:val="Heading1"/>
        <w:numPr>
          <w:ilvl w:val="0"/>
          <w:numId w:val="24"/>
        </w:numPr>
        <w:rPr>
          <w:noProof/>
        </w:rPr>
      </w:pPr>
      <w:bookmarkStart w:id="40" w:name="_Toc30404118"/>
      <w:r>
        <w:rPr>
          <w:noProof/>
        </w:rPr>
        <w:t>MSFD framework</w:t>
      </w:r>
      <w:bookmarkEnd w:id="40"/>
    </w:p>
    <w:tbl>
      <w:tblPr>
        <w:tblStyle w:val="TableGrid"/>
        <w:tblW w:w="0" w:type="auto"/>
        <w:tblLook w:val="04A0" w:firstRow="1" w:lastRow="0" w:firstColumn="1" w:lastColumn="0" w:noHBand="0" w:noVBand="1"/>
      </w:tblPr>
      <w:tblGrid>
        <w:gridCol w:w="2634"/>
        <w:gridCol w:w="3278"/>
        <w:gridCol w:w="2921"/>
      </w:tblGrid>
      <w:tr>
        <w:tc>
          <w:tcPr>
            <w:tcW w:w="2635" w:type="dxa"/>
            <w:tcBorders>
              <w:bottom w:val="single" w:sz="4" w:space="0" w:color="auto"/>
            </w:tcBorders>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COM DEC 2017/848/EU</w:t>
            </w:r>
          </w:p>
        </w:tc>
        <w:tc>
          <w:tcPr>
            <w:tcW w:w="3278" w:type="dxa"/>
            <w:tcBorders>
              <w:bottom w:val="single" w:sz="4" w:space="0" w:color="auto"/>
            </w:tcBorders>
          </w:tcPr>
          <w:p>
            <w:pPr>
              <w:spacing w:after="0"/>
              <w:jc w:val="left"/>
              <w:rPr>
                <w:rFonts w:ascii="Times New Roman" w:hAnsi="Times New Roman" w:cs="Times New Roman"/>
                <w:noProof/>
                <w:sz w:val="20"/>
                <w:szCs w:val="20"/>
              </w:rPr>
            </w:pPr>
          </w:p>
        </w:tc>
        <w:tc>
          <w:tcPr>
            <w:tcW w:w="2921" w:type="dxa"/>
            <w:tcBorders>
              <w:bottom w:val="single" w:sz="4" w:space="0" w:color="auto"/>
            </w:tcBorders>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COM DEC 2010/477/EU</w:t>
            </w:r>
          </w:p>
        </w:tc>
      </w:tr>
      <w:tr>
        <w:tc>
          <w:tcPr>
            <w:tcW w:w="8834" w:type="dxa"/>
            <w:gridSpan w:val="3"/>
            <w:shd w:val="pct10" w:color="auto" w:fill="auto"/>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D2 Non-indigenous species</w:t>
            </w:r>
          </w:p>
        </w:tc>
      </w:tr>
      <w:tr>
        <w:tc>
          <w:tcPr>
            <w:tcW w:w="2635" w:type="dxa"/>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D2C1 Newly-introduced non-indigenous species</w:t>
            </w:r>
          </w:p>
        </w:tc>
        <w:tc>
          <w:tcPr>
            <w:tcW w:w="3278"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The number of non-indigenous marine species which are newly introduced into a given EU marine region via human activities is minimised and, where possible, reduced to zero.</w:t>
            </w:r>
          </w:p>
        </w:tc>
        <w:tc>
          <w:tcPr>
            <w:tcW w:w="2921" w:type="dxa"/>
            <w:noWrap/>
          </w:tcPr>
          <w:p>
            <w:pPr>
              <w:spacing w:after="0"/>
              <w:jc w:val="left"/>
              <w:rPr>
                <w:rFonts w:ascii="Times New Roman" w:hAnsi="Times New Roman" w:cs="Times New Roman"/>
                <w:noProof/>
                <w:sz w:val="20"/>
                <w:szCs w:val="20"/>
              </w:rPr>
            </w:pPr>
          </w:p>
        </w:tc>
      </w:tr>
      <w:tr>
        <w:tc>
          <w:tcPr>
            <w:tcW w:w="2635" w:type="dxa"/>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D2C2 Established non-indigenous species</w:t>
            </w:r>
          </w:p>
        </w:tc>
        <w:tc>
          <w:tcPr>
            <w:tcW w:w="3278"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Abundance and spatial distribution of established non-indigenous species, particularly of invasive species, contributing significantly to adverse effects on particular species groups or broad habitat types.</w:t>
            </w:r>
          </w:p>
        </w:tc>
        <w:tc>
          <w:tcPr>
            <w:tcW w:w="2921" w:type="dxa"/>
            <w:noWrap/>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2.1 Abundance/state of non-indigenous species</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2.1.1 Trends in abundance of non-indigenous species</w:t>
            </w:r>
          </w:p>
        </w:tc>
      </w:tr>
      <w:tr>
        <w:tc>
          <w:tcPr>
            <w:tcW w:w="2635" w:type="dxa"/>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D2C3 Adverse effects of non-indigenous species</w:t>
            </w:r>
          </w:p>
        </w:tc>
        <w:tc>
          <w:tcPr>
            <w:tcW w:w="3278"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Proportion of the species group or spatial extent of the broad habitat type which is adversely altered due to non-indigenous species, particularly invasive non-indigenous species.</w:t>
            </w:r>
          </w:p>
        </w:tc>
        <w:tc>
          <w:tcPr>
            <w:tcW w:w="2921" w:type="dxa"/>
            <w:noWrap/>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2.2 Impacts of invasive non-indigenous species</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2.2.1 Ratio invasive to native species</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2.2.2 Impacts of non-indigenous species</w:t>
            </w:r>
          </w:p>
        </w:tc>
      </w:tr>
    </w:tbl>
    <w:p>
      <w:pPr>
        <w:rPr>
          <w:noProof/>
        </w:rPr>
      </w:pPr>
    </w:p>
    <w:p>
      <w:pPr>
        <w:rPr>
          <w:noProof/>
        </w:rPr>
      </w:pPr>
      <w:r>
        <w:rPr>
          <w:noProof/>
        </w:rPr>
        <w:t>Non-indigenous, or alien, species refers to any live specimen of a species, subspecies or lower taxon of animals, plants, algae, fungi or micro-organisms introduced outside its natural range. It includes any part (e.g. gametes, seeds, eggs or propagules) of such species as well as any hybrids, varieties or breeds that might survive and subsequently reproduce (modified from the EU Regulation 1143/2014 on Invasive Alien Species</w:t>
      </w:r>
      <w:r>
        <w:rPr>
          <w:rStyle w:val="FootnoteReference"/>
          <w:noProof/>
        </w:rPr>
        <w:footnoteReference w:id="9"/>
      </w:r>
      <w:r>
        <w:rPr>
          <w:noProof/>
        </w:rPr>
        <w:t>).</w:t>
      </w:r>
    </w:p>
    <w:p>
      <w:pPr>
        <w:pStyle w:val="Heading1"/>
        <w:rPr>
          <w:noProof/>
        </w:rPr>
      </w:pPr>
      <w:bookmarkStart w:id="41" w:name="_Toc30404119"/>
      <w:r>
        <w:rPr>
          <w:noProof/>
        </w:rPr>
        <w:t>Presence of non-indigenous species in EU marine waters</w:t>
      </w:r>
      <w:bookmarkEnd w:id="41"/>
      <w:r>
        <w:rPr>
          <w:noProof/>
        </w:rPr>
        <w:t xml:space="preserve"> </w:t>
      </w:r>
    </w:p>
    <w:p>
      <w:pPr>
        <w:pStyle w:val="Heading2"/>
        <w:rPr>
          <w:noProof/>
        </w:rPr>
      </w:pPr>
      <w:bookmarkStart w:id="42" w:name="_Toc30404120"/>
      <w:r>
        <w:rPr>
          <w:noProof/>
        </w:rPr>
        <w:t>Ongoing reporting under the MSFD</w:t>
      </w:r>
      <w:bookmarkEnd w:id="4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9"/>
        <w:gridCol w:w="4424"/>
      </w:tblGrid>
      <w:tr>
        <w:trPr>
          <w:cantSplit/>
          <w:trHeight w:val="1134"/>
        </w:trPr>
        <w:tc>
          <w:tcPr>
            <w:tcW w:w="4410" w:type="dxa"/>
            <w:vAlign w:val="center"/>
          </w:tcPr>
          <w:p>
            <w:pPr>
              <w:spacing w:after="0"/>
              <w:jc w:val="center"/>
              <w:rPr>
                <w:noProof/>
              </w:rPr>
            </w:pPr>
            <w:r>
              <w:rPr>
                <w:noProof/>
              </w:rPr>
              <w:drawing>
                <wp:inline distT="0" distB="0" distL="0" distR="0">
                  <wp:extent cx="2522724" cy="3498574"/>
                  <wp:effectExtent l="0" t="0" r="0" b="698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32044" cy="3511499"/>
                          </a:xfrm>
                          <a:prstGeom prst="rect">
                            <a:avLst/>
                          </a:prstGeom>
                          <a:noFill/>
                        </pic:spPr>
                      </pic:pic>
                    </a:graphicData>
                  </a:graphic>
                </wp:inline>
              </w:drawing>
            </w:r>
          </w:p>
        </w:tc>
        <w:tc>
          <w:tcPr>
            <w:tcW w:w="4424" w:type="dxa"/>
          </w:tcPr>
          <w:p>
            <w:pPr>
              <w:spacing w:after="0"/>
              <w:jc w:val="center"/>
              <w:rPr>
                <w:noProof/>
              </w:rPr>
            </w:pPr>
            <w:r>
              <w:rPr>
                <w:noProof/>
              </w:rPr>
              <w:drawing>
                <wp:inline distT="0" distB="0" distL="0" distR="0">
                  <wp:extent cx="2672295" cy="3473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87848" cy="3493414"/>
                          </a:xfrm>
                          <a:prstGeom prst="rect">
                            <a:avLst/>
                          </a:prstGeom>
                          <a:noFill/>
                        </pic:spPr>
                      </pic:pic>
                    </a:graphicData>
                  </a:graphic>
                </wp:inline>
              </w:drawing>
            </w:r>
          </w:p>
        </w:tc>
      </w:tr>
      <w:tr>
        <w:trPr>
          <w:cantSplit/>
          <w:trHeight w:val="1134"/>
        </w:trPr>
        <w:tc>
          <w:tcPr>
            <w:tcW w:w="8834" w:type="dxa"/>
            <w:gridSpan w:val="2"/>
            <w:vAlign w:val="center"/>
          </w:tcPr>
          <w:p>
            <w:pPr>
              <w:spacing w:after="0"/>
              <w:jc w:val="center"/>
              <w:rPr>
                <w:noProof/>
              </w:rPr>
            </w:pPr>
            <w:r>
              <w:rPr>
                <w:noProof/>
              </w:rPr>
              <w:drawing>
                <wp:inline distT="0" distB="0" distL="0" distR="0">
                  <wp:extent cx="5465445" cy="1069145"/>
                  <wp:effectExtent l="0" t="0" r="0" b="0"/>
                  <wp:docPr id="1074949842" name="Picture 1074949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22051"/>
                          <a:stretch/>
                        </pic:blipFill>
                        <pic:spPr bwMode="auto">
                          <a:xfrm>
                            <a:off x="0" y="0"/>
                            <a:ext cx="5465445" cy="10691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r>
        <w:rPr>
          <w:noProof/>
        </w:rPr>
        <w:t>: Latest MSFD assessments of good environmental status related to non-indigenous species and corresponding criteria under Descriptor 2. The information comes from 10 Member States’ electronic reports.</w:t>
      </w:r>
    </w:p>
    <w:p>
      <w:pPr>
        <w:rPr>
          <w:noProof/>
        </w:rPr>
      </w:pPr>
      <w:r>
        <w:rPr>
          <w:noProof/>
        </w:rPr>
        <w:t>The analysis of newly introduced non-indigenous species conclude that GES has been achieved only in 6 assessments (around 25% of the cases), while other 6 assessments have concluded that it will be achieved by 2020. More than 50% of the results have been reported as ‘GES expected to be achieved later than 2020 and where no Article 14 exception has been reported’.</w:t>
      </w:r>
    </w:p>
    <w:p>
      <w:pPr>
        <w:rPr>
          <w:noProof/>
        </w:rPr>
      </w:pPr>
      <w:r>
        <w:rPr>
          <w:noProof/>
        </w:rPr>
        <w:t>A number of assessments have been reported on the established non-indigenous species, where in almost 40% have either achieved GES or will achieve it by 2020. 3 assessments have been reported as ‘not relevant’, therefore not concluding on the status of those species.</w:t>
      </w:r>
    </w:p>
    <w:p>
      <w:pPr>
        <w:rPr>
          <w:noProof/>
        </w:rPr>
      </w:pPr>
      <w:r>
        <w:rPr>
          <w:noProof/>
        </w:rPr>
        <w:t xml:space="preserve">A large proportion of assessments of the criteria about the number of newly introduced non-indigenous species (D2C1) and the adverse effects of those species on other ecosystem components (D2C3) are reported in ‘not good’ status. The majority of asse The abundance and distribution of established non-indigenous species (D2C2) is mostly ‘not assessed’ or used for other criterion/element. </w:t>
      </w:r>
    </w:p>
    <w:p>
      <w:pPr>
        <w:pStyle w:val="Heading2"/>
        <w:rPr>
          <w:noProof/>
        </w:rPr>
      </w:pPr>
      <w:bookmarkStart w:id="43" w:name="_Toc30404121"/>
      <w:r>
        <w:rPr>
          <w:noProof/>
        </w:rPr>
        <w:t>Other assessments</w:t>
      </w:r>
      <w:bookmarkEnd w:id="43"/>
    </w:p>
    <w:p>
      <w:pPr>
        <w:pStyle w:val="Heading3"/>
        <w:rPr>
          <w:noProof/>
        </w:rPr>
      </w:pPr>
      <w:bookmarkStart w:id="44" w:name="_Toc30404122"/>
      <w:r>
        <w:rPr>
          <w:noProof/>
        </w:rPr>
        <w:t>Pathways of introduction of non-indigenous species</w:t>
      </w:r>
      <w:bookmarkEnd w:id="44"/>
    </w:p>
    <w:p>
      <w:pPr>
        <w:rPr>
          <w:noProof/>
        </w:rPr>
      </w:pPr>
      <w:r>
        <w:rPr>
          <w:noProof/>
        </w:rPr>
        <w:t>Increased trade and tourism and the related maritime transport as well as the development of aquaculture and fisheries have provided pathways for the introduction and spread of marine alien species across Europe’s seas. In addition, many non-indigenous species already introduced in the marine waters of a country have significantly expanded their distribution range (</w:t>
      </w:r>
      <w:r>
        <w:rPr>
          <w:noProof/>
          <w:szCs w:val="24"/>
        </w:rPr>
        <w:t>ETC/ICM, 2019b</w:t>
      </w:r>
      <w:r>
        <w:rPr>
          <w:noProof/>
        </w:rPr>
        <w:t xml:space="preserve">). Full eradication is no longer a suitable solution for management once an alien species has established a viable population, although controlling species population might be achieved, for instance capturing the species and commercialising them as seafood. </w:t>
      </w:r>
      <w:r>
        <w:rPr>
          <w:iCs/>
          <w:noProof/>
          <w:color w:val="000000"/>
          <w:szCs w:val="24"/>
        </w:rPr>
        <w:t>There is a wide international consensus that pathways-based preventive management is of absolute priority in effectively combating marine alien species (Ojaveer et al., 2018).</w:t>
      </w:r>
    </w:p>
    <w:p>
      <w:pPr>
        <w:rPr>
          <w:noProof/>
        </w:rPr>
      </w:pPr>
      <w:r>
        <w:rPr>
          <w:noProof/>
        </w:rPr>
        <w:t>The main pathways for introductions of marine non-indigenous species in Europe´s seas (</w:t>
      </w:r>
      <w:r>
        <w:rPr>
          <w:noProof/>
        </w:rPr>
        <w:fldChar w:fldCharType="begin"/>
      </w:r>
      <w:r>
        <w:rPr>
          <w:noProof/>
        </w:rPr>
        <w:instrText xml:space="preserve"> REF _Ref30275964 \h  \* MERGEFORMAT </w:instrText>
      </w:r>
      <w:r>
        <w:rPr>
          <w:noProof/>
        </w:rPr>
      </w:r>
      <w:r>
        <w:rPr>
          <w:noProof/>
        </w:rPr>
        <w:fldChar w:fldCharType="separate"/>
      </w:r>
      <w:r>
        <w:rPr>
          <w:noProof/>
        </w:rPr>
        <w:t>Figure 11</w:t>
      </w:r>
      <w:r>
        <w:rPr>
          <w:noProof/>
        </w:rPr>
        <w:fldChar w:fldCharType="end"/>
      </w:r>
      <w:r>
        <w:rPr>
          <w:bCs/>
          <w:noProof/>
        </w:rPr>
        <w:t xml:space="preserve">) </w:t>
      </w:r>
      <w:r>
        <w:rPr>
          <w:noProof/>
        </w:rPr>
        <w:t xml:space="preserve">are shipping (49%) and marine and inland corridors (33 %, notably the Suez Canal). However, the contribution of these two pathways is widely different across the EU marine regions. Shipping contribution ranges from 45% in the Eastern Mediterranean Sea to approximately 82 % in the Black Sea. </w:t>
      </w:r>
      <w:r>
        <w:rPr>
          <w:noProof/>
          <w:lang w:eastAsia="el-GR"/>
        </w:rPr>
        <w:t xml:space="preserve">Among the marine alien species transferred by shipping, most species have been possibly transferred in ballast water (346 species), while the introduction of 287 species is tentatively attributed to boat hull fouling </w:t>
      </w:r>
      <w:r>
        <w:rPr>
          <w:noProof/>
        </w:rPr>
        <w:fldChar w:fldCharType="begin"/>
      </w:r>
      <w:r>
        <w:rPr>
          <w:noProof/>
        </w:rPr>
        <w:instrText xml:space="preserve"> ADDIN ZOTERO_ITEM CSL_CITATION {"citationID":"wxip00Aa","properties":{"formattedCitation":"(EEA, 2019a)","plainCitation":"(EEA, 2019a)"},"citationItems":[{"id":25266,"uris":["http://zotero.org/groups/2256879/items/XA2YXT2D"],"uri":["http://zotero.org/groups/2256879/items/XA2YXT2D"],"itemData":{"id":25266,"type":"article","title":"Pathways of introduction of marine non-indigenous species (MAR 003)","publisher":"European Environment Agency","URL":"https://www.eea.europa.eu/data-and-maps/indicators/trends-in-marine-alien-species/assessment","author":[{"family":"EEA","given":""}],"issued":{"date-parts":[["2019"]]},"accessed":{"date-parts":[["2018",12,14]]}}}],"schema":"https://github.com/citation-style-language/schema/raw/master/csl-citation.json"} </w:instrText>
      </w:r>
      <w:r>
        <w:rPr>
          <w:noProof/>
        </w:rPr>
        <w:fldChar w:fldCharType="separate"/>
      </w:r>
      <w:r>
        <w:rPr>
          <w:noProof/>
        </w:rPr>
        <w:t>(EEA, 2019b)</w:t>
      </w:r>
      <w:r>
        <w:rPr>
          <w:noProof/>
        </w:rPr>
        <w:fldChar w:fldCharType="end"/>
      </w:r>
      <w:r>
        <w:rPr>
          <w:noProof/>
        </w:rPr>
        <w:t>.</w:t>
      </w:r>
      <w:r>
        <w:rPr>
          <w:noProof/>
          <w:lang w:eastAsia="el-GR"/>
        </w:rPr>
        <w:t xml:space="preserve"> </w:t>
      </w:r>
      <w:r>
        <w:rPr>
          <w:noProof/>
        </w:rPr>
        <w:t xml:space="preserve">Marine and inland corridors are main pathways of introductions in the Eastern Mediterranean Sea (&gt;46% of all marine introductions are via the Suez Canal) and in the Baltic Sea (15 % via inland canals). Additionally, important pathways of introduction are the unintentional movement of live organisms (11%) (i.e. by aquaculture activities), and escapes from aquaria and aquaculture (5%). Aquaculture (directly related to oyster culture) is responsible for more than 30% of marine introductions in the North-east Atlantic (Celtic, Iberian, Icelandic and North seas) </w:t>
      </w:r>
      <w:r>
        <w:rPr>
          <w:noProof/>
        </w:rPr>
        <w:fldChar w:fldCharType="begin"/>
      </w:r>
      <w:r>
        <w:rPr>
          <w:noProof/>
        </w:rPr>
        <w:instrText xml:space="preserve"> ADDIN ZOTERO_ITEM CSL_CITATION {"citationID":"wxip00Aa","properties":{"formattedCitation":"(EEA, 2019a)","plainCitation":"(EEA, 2019a)"},"citationItems":[{"id":25266,"uris":["http://zotero.org/groups/2256879/items/XA2YXT2D"],"uri":["http://zotero.org/groups/2256879/items/XA2YXT2D"],"itemData":{"id":25266,"type":"article","title":"Pathways of introduction of marine non-indigenous species (MAR 003)","publisher":"European Environment Agency","URL":"https://www.eea.europa.eu/data-and-maps/indicators/trends-in-marine-alien-species/assessment","author":[{"family":"EEA","given":""}],"issued":{"date-parts":[["2019"]]},"accessed":{"date-parts":[["2018",12,14]]}}}],"schema":"https://github.com/citation-style-language/schema/raw/master/csl-citation.json"} </w:instrText>
      </w:r>
      <w:r>
        <w:rPr>
          <w:noProof/>
        </w:rPr>
        <w:fldChar w:fldCharType="separate"/>
      </w:r>
      <w:r>
        <w:rPr>
          <w:noProof/>
        </w:rPr>
        <w:t>(EEA, 2019b)</w:t>
      </w:r>
      <w:r>
        <w:rPr>
          <w:noProof/>
        </w:rPr>
        <w:fldChar w:fldCharType="end"/>
      </w:r>
      <w:r>
        <w:rPr>
          <w:noProof/>
        </w:rPr>
        <w:t xml:space="preserve">. Intentional releases in nature account for around 2%. </w:t>
      </w:r>
    </w:p>
    <w:tbl>
      <w:tblPr>
        <w:tblStyle w:val="TableGrid"/>
        <w:tblW w:w="907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7"/>
        <w:gridCol w:w="3686"/>
      </w:tblGrid>
      <w:tr>
        <w:trPr>
          <w:cantSplit/>
        </w:trPr>
        <w:tc>
          <w:tcPr>
            <w:tcW w:w="5387" w:type="dxa"/>
          </w:tcPr>
          <w:p>
            <w:pPr>
              <w:spacing w:after="0"/>
              <w:rPr>
                <w:rFonts w:ascii="Calibri" w:hAnsi="Calibri" w:cs="Calibri"/>
                <w:noProof/>
                <w:sz w:val="18"/>
                <w:szCs w:val="18"/>
              </w:rPr>
            </w:pPr>
            <w:r>
              <w:rPr>
                <w:rFonts w:ascii="Calibri" w:hAnsi="Calibri" w:cs="Calibri"/>
                <w:noProof/>
                <w:sz w:val="18"/>
                <w:szCs w:val="18"/>
              </w:rPr>
              <w:t>a)</w:t>
            </w:r>
          </w:p>
          <w:p>
            <w:pPr>
              <w:spacing w:after="0"/>
              <w:jc w:val="center"/>
              <w:rPr>
                <w:rFonts w:ascii="Calibri" w:hAnsi="Calibri" w:cs="Calibri"/>
                <w:noProof/>
                <w:sz w:val="18"/>
                <w:szCs w:val="18"/>
              </w:rPr>
            </w:pPr>
            <w:r>
              <w:rPr>
                <w:rFonts w:ascii="Calibri" w:hAnsi="Calibri" w:cs="Calibri"/>
                <w:noProof/>
                <w:sz w:val="18"/>
                <w:szCs w:val="18"/>
              </w:rPr>
              <w:drawing>
                <wp:inline distT="0" distB="0" distL="0" distR="0">
                  <wp:extent cx="3307743" cy="2162295"/>
                  <wp:effectExtent l="0" t="0" r="6985" b="95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07743" cy="2162295"/>
                          </a:xfrm>
                          <a:prstGeom prst="rect">
                            <a:avLst/>
                          </a:prstGeom>
                          <a:noFill/>
                          <a:ln>
                            <a:noFill/>
                          </a:ln>
                        </pic:spPr>
                      </pic:pic>
                    </a:graphicData>
                  </a:graphic>
                </wp:inline>
              </w:drawing>
            </w:r>
          </w:p>
        </w:tc>
        <w:tc>
          <w:tcPr>
            <w:tcW w:w="3686" w:type="dxa"/>
          </w:tcPr>
          <w:p>
            <w:pPr>
              <w:spacing w:after="0"/>
              <w:rPr>
                <w:rFonts w:ascii="Calibri" w:hAnsi="Calibri" w:cs="Calibri"/>
                <w:noProof/>
                <w:sz w:val="18"/>
                <w:szCs w:val="18"/>
              </w:rPr>
            </w:pPr>
            <w:r>
              <w:rPr>
                <w:rFonts w:ascii="Calibri" w:hAnsi="Calibri" w:cs="Calibri"/>
                <w:noProof/>
                <w:sz w:val="18"/>
                <w:szCs w:val="18"/>
              </w:rPr>
              <w:t>b)</w:t>
            </w:r>
          </w:p>
          <w:p>
            <w:pPr>
              <w:spacing w:after="0"/>
              <w:jc w:val="left"/>
              <w:rPr>
                <w:rFonts w:ascii="Calibri" w:hAnsi="Calibri" w:cs="Calibri"/>
                <w:noProof/>
                <w:sz w:val="18"/>
                <w:szCs w:val="18"/>
              </w:rPr>
            </w:pPr>
            <w:r>
              <w:rPr>
                <w:rFonts w:ascii="Calibri" w:hAnsi="Calibri" w:cs="Calibri"/>
                <w:noProof/>
                <w:sz w:val="18"/>
                <w:szCs w:val="18"/>
              </w:rPr>
              <w:drawing>
                <wp:inline distT="0" distB="0" distL="0" distR="0">
                  <wp:extent cx="2189184" cy="1542197"/>
                  <wp:effectExtent l="0" t="0" r="1905" b="127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529" r="17194"/>
                          <a:stretch/>
                        </pic:blipFill>
                        <pic:spPr bwMode="auto">
                          <a:xfrm>
                            <a:off x="0" y="0"/>
                            <a:ext cx="2207477" cy="1555083"/>
                          </a:xfrm>
                          <a:prstGeom prst="rect">
                            <a:avLst/>
                          </a:prstGeom>
                          <a:noFill/>
                          <a:ln>
                            <a:noFill/>
                          </a:ln>
                          <a:extLst>
                            <a:ext uri="{53640926-AAD7-44D8-BBD7-CCE9431645EC}">
                              <a14:shadowObscured xmlns:a14="http://schemas.microsoft.com/office/drawing/2010/main"/>
                            </a:ext>
                          </a:extLst>
                        </pic:spPr>
                      </pic:pic>
                    </a:graphicData>
                  </a:graphic>
                </wp:inline>
              </w:drawing>
            </w:r>
          </w:p>
        </w:tc>
      </w:tr>
      <w:tr>
        <w:trPr>
          <w:cantSplit/>
        </w:trPr>
        <w:tc>
          <w:tcPr>
            <w:tcW w:w="9073" w:type="dxa"/>
            <w:gridSpan w:val="2"/>
          </w:tcPr>
          <w:p>
            <w:pPr>
              <w:spacing w:after="0"/>
              <w:rPr>
                <w:noProof/>
              </w:rPr>
            </w:pPr>
            <w:r>
              <w:rPr>
                <w:noProof/>
              </w:rPr>
              <w:t>c)</w:t>
            </w:r>
          </w:p>
          <w:p>
            <w:pPr>
              <w:spacing w:after="0"/>
              <w:jc w:val="left"/>
              <w:rPr>
                <w:noProof/>
              </w:rPr>
            </w:pPr>
            <w:r>
              <w:rPr>
                <w:noProof/>
              </w:rPr>
              <w:drawing>
                <wp:inline distT="0" distB="0" distL="0" distR="0">
                  <wp:extent cx="2854126" cy="156464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16076"/>
                          <a:stretch/>
                        </pic:blipFill>
                        <pic:spPr bwMode="auto">
                          <a:xfrm>
                            <a:off x="0" y="0"/>
                            <a:ext cx="2854800" cy="156500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extent cx="2717213" cy="1569480"/>
                  <wp:effectExtent l="0" t="0" r="6985"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4782" b="15804"/>
                          <a:stretch/>
                        </pic:blipFill>
                        <pic:spPr bwMode="auto">
                          <a:xfrm>
                            <a:off x="0" y="0"/>
                            <a:ext cx="2718270" cy="1570090"/>
                          </a:xfrm>
                          <a:prstGeom prst="rect">
                            <a:avLst/>
                          </a:prstGeom>
                          <a:noFill/>
                          <a:ln>
                            <a:noFill/>
                          </a:ln>
                          <a:extLst>
                            <a:ext uri="{53640926-AAD7-44D8-BBD7-CCE9431645EC}">
                              <a14:shadowObscured xmlns:a14="http://schemas.microsoft.com/office/drawing/2010/main"/>
                            </a:ext>
                          </a:extLst>
                        </pic:spPr>
                      </pic:pic>
                    </a:graphicData>
                  </a:graphic>
                </wp:inline>
              </w:drawing>
            </w:r>
          </w:p>
          <w:p>
            <w:pPr>
              <w:spacing w:after="0"/>
              <w:jc w:val="left"/>
              <w:rPr>
                <w:noProof/>
                <w:sz w:val="16"/>
                <w:szCs w:val="16"/>
              </w:rPr>
            </w:pPr>
            <w:r>
              <w:rPr>
                <w:noProof/>
              </w:rPr>
              <w:drawing>
                <wp:inline distT="0" distB="0" distL="0" distR="0">
                  <wp:extent cx="2854126" cy="1574800"/>
                  <wp:effectExtent l="0" t="0" r="3810" b="635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b="15532"/>
                          <a:stretch/>
                        </pic:blipFill>
                        <pic:spPr bwMode="auto">
                          <a:xfrm>
                            <a:off x="0" y="0"/>
                            <a:ext cx="2854800" cy="157517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16"/>
                <w:szCs w:val="16"/>
              </w:rPr>
              <w:t xml:space="preserve"> </w:t>
            </w:r>
            <w:r>
              <w:rPr>
                <w:noProof/>
              </w:rPr>
              <w:drawing>
                <wp:inline distT="0" distB="0" distL="0" distR="0">
                  <wp:extent cx="2717212" cy="1569480"/>
                  <wp:effectExtent l="0" t="0" r="6985"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4782" b="15804"/>
                          <a:stretch/>
                        </pic:blipFill>
                        <pic:spPr bwMode="auto">
                          <a:xfrm>
                            <a:off x="0" y="0"/>
                            <a:ext cx="2718269" cy="1570090"/>
                          </a:xfrm>
                          <a:prstGeom prst="rect">
                            <a:avLst/>
                          </a:prstGeom>
                          <a:noFill/>
                          <a:ln>
                            <a:noFill/>
                          </a:ln>
                          <a:extLst>
                            <a:ext uri="{53640926-AAD7-44D8-BBD7-CCE9431645EC}">
                              <a14:shadowObscured xmlns:a14="http://schemas.microsoft.com/office/drawing/2010/main"/>
                            </a:ext>
                          </a:extLst>
                        </pic:spPr>
                      </pic:pic>
                    </a:graphicData>
                  </a:graphic>
                </wp:inline>
              </w:drawing>
            </w:r>
          </w:p>
          <w:p>
            <w:pPr>
              <w:spacing w:after="0"/>
              <w:jc w:val="center"/>
              <w:rPr>
                <w:noProof/>
                <w:sz w:val="16"/>
                <w:szCs w:val="16"/>
              </w:rPr>
            </w:pPr>
            <w:r>
              <w:rPr>
                <w:noProof/>
              </w:rPr>
              <w:drawing>
                <wp:inline distT="0" distB="0" distL="0" distR="0">
                  <wp:extent cx="5607050" cy="32385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330" t="90339" r="831" b="1016"/>
                          <a:stretch/>
                        </pic:blipFill>
                        <pic:spPr bwMode="auto">
                          <a:xfrm>
                            <a:off x="0" y="0"/>
                            <a:ext cx="5607674" cy="323886"/>
                          </a:xfrm>
                          <a:prstGeom prst="rect">
                            <a:avLst/>
                          </a:prstGeom>
                          <a:noFill/>
                          <a:ln>
                            <a:noFill/>
                          </a:ln>
                          <a:extLst>
                            <a:ext uri="{53640926-AAD7-44D8-BBD7-CCE9431645EC}">
                              <a14:shadowObscured xmlns:a14="http://schemas.microsoft.com/office/drawing/2010/main"/>
                            </a:ext>
                          </a:extLst>
                        </pic:spPr>
                      </pic:pic>
                    </a:graphicData>
                  </a:graphic>
                </wp:inline>
              </w:drawing>
            </w:r>
          </w:p>
        </w:tc>
      </w:tr>
    </w:tbl>
    <w:p>
      <w:pPr>
        <w:pStyle w:val="Caption"/>
        <w:rPr>
          <w:noProof/>
        </w:rPr>
      </w:pPr>
      <w:bookmarkStart w:id="45" w:name="_Ref30275964"/>
      <w:r>
        <w:rPr>
          <w:noProof/>
        </w:rPr>
        <w:t xml:space="preserve">Figure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bookmarkEnd w:id="45"/>
      <w:r>
        <w:rPr>
          <w:noProof/>
        </w:rPr>
        <w:t xml:space="preserve">: a) Trends in introductions of new non-indigenous species in European marine regions since 1949 per pathway. b) Relative importance of the pathways of introduction of non-indigenous species in EU marine regions since 1949. c) Trends in introductions of new non-indigenous species in each EU marine region since 1949 per pathway </w:t>
      </w:r>
      <w:r>
        <w:rPr>
          <w:bCs/>
          <w:noProof/>
        </w:rPr>
        <w:t>(EEA, 2019b</w:t>
      </w:r>
      <w:r>
        <w:rPr>
          <w:noProof/>
        </w:rPr>
        <w:t>).</w:t>
      </w:r>
    </w:p>
    <w:p>
      <w:pPr>
        <w:pStyle w:val="Heading3"/>
        <w:rPr>
          <w:noProof/>
        </w:rPr>
      </w:pPr>
      <w:bookmarkStart w:id="46" w:name="_Toc30404123"/>
      <w:r>
        <w:rPr>
          <w:noProof/>
        </w:rPr>
        <w:t>The native distribution range of non-indigenous species</w:t>
      </w:r>
      <w:bookmarkEnd w:id="46"/>
    </w:p>
    <w:p>
      <w:pPr>
        <w:rPr>
          <w:noProof/>
        </w:rPr>
      </w:pPr>
      <w:r>
        <w:rPr>
          <w:noProof/>
        </w:rPr>
        <w:t>The vast majority of the European marine non-indigenous species originate in the Western and Central Indo Pacific, being mostly associated with introductions into the Mediterranean Sea through the Suez Canal (Tsiamis et al., 2018). However, a more detailed analysis reveals various patterns of the dominating native distributions introduced in Europe, depending on the European marine subregions where they have been initially introduced (</w:t>
      </w:r>
      <w:r>
        <w:rPr>
          <w:noProof/>
        </w:rPr>
        <w:fldChar w:fldCharType="begin"/>
      </w:r>
      <w:r>
        <w:rPr>
          <w:noProof/>
        </w:rPr>
        <w:instrText xml:space="preserve"> REF _Ref30276058 \h </w:instrText>
      </w:r>
      <w:r>
        <w:rPr>
          <w:noProof/>
        </w:rPr>
      </w:r>
      <w:r>
        <w:rPr>
          <w:noProof/>
        </w:rPr>
        <w:fldChar w:fldCharType="separate"/>
      </w:r>
      <w:r>
        <w:rPr>
          <w:noProof/>
        </w:rPr>
        <w:t>Figure 12</w:t>
      </w:r>
      <w:r>
        <w:rPr>
          <w:noProof/>
        </w:rPr>
        <w:fldChar w:fldCharType="end"/>
      </w:r>
      <w:r>
        <w:rPr>
          <w:noProof/>
        </w:rPr>
        <w:t xml:space="preserve">). </w:t>
      </w:r>
    </w:p>
    <w:p>
      <w:pPr>
        <w:spacing w:after="0"/>
        <w:jc w:val="center"/>
        <w:rPr>
          <w:noProof/>
        </w:rPr>
      </w:pPr>
      <w:r>
        <w:rPr>
          <w:noProof/>
        </w:rPr>
        <w:drawing>
          <wp:inline distT="0" distB="0" distL="0" distR="0">
            <wp:extent cx="5474970" cy="39751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5474970" cy="3975100"/>
                    </a:xfrm>
                    <a:prstGeom prst="rect">
                      <a:avLst/>
                    </a:prstGeom>
                    <a:noFill/>
                  </pic:spPr>
                </pic:pic>
              </a:graphicData>
            </a:graphic>
          </wp:inline>
        </w:drawing>
      </w:r>
    </w:p>
    <w:p>
      <w:pPr>
        <w:pStyle w:val="Caption"/>
        <w:rPr>
          <w:noProof/>
        </w:rPr>
      </w:pPr>
      <w:bookmarkStart w:id="47" w:name="_Ref30276058"/>
      <w:r>
        <w:rPr>
          <w:noProof/>
        </w:rPr>
        <w:t xml:space="preserve">Figure </w:t>
      </w:r>
      <w:r>
        <w:rPr>
          <w:noProof/>
        </w:rPr>
        <w:fldChar w:fldCharType="begin"/>
      </w:r>
      <w:r>
        <w:rPr>
          <w:noProof/>
        </w:rPr>
        <w:instrText xml:space="preserve"> SEQ Figure \* ARABIC </w:instrText>
      </w:r>
      <w:r>
        <w:rPr>
          <w:noProof/>
        </w:rPr>
        <w:fldChar w:fldCharType="separate"/>
      </w:r>
      <w:r>
        <w:rPr>
          <w:noProof/>
        </w:rPr>
        <w:t>12</w:t>
      </w:r>
      <w:r>
        <w:rPr>
          <w:noProof/>
        </w:rPr>
        <w:fldChar w:fldCharType="end"/>
      </w:r>
      <w:bookmarkEnd w:id="47"/>
      <w:r>
        <w:rPr>
          <w:noProof/>
        </w:rPr>
        <w:t>: Proportion of the major native distribution ranges of established European marine non-indigenous species, associated with their first introduction events in Europe, depicted per marine sub-regions following the MSFD and Spalding et al. (2007). The size of each pie chart represents the total number of non-indigenous species primarily introduced in a subregion (the subregion of the initial arrival at European scale). The species of European origin have been counted in the subregion of first introduction within their alien European range. Non-indigenous species associated with “European Origin” are those with native distribution in at least one European Sea but with alien range into other(s). Source: © 2018 REABIC, Tsiamis et al. (2018).</w:t>
      </w:r>
    </w:p>
    <w:p>
      <w:pPr>
        <w:pStyle w:val="Heading1"/>
        <w:rPr>
          <w:noProof/>
        </w:rPr>
      </w:pPr>
      <w:bookmarkStart w:id="48" w:name="_Toc30404124"/>
      <w:r>
        <w:rPr>
          <w:noProof/>
        </w:rPr>
        <w:t>Observed trends</w:t>
      </w:r>
      <w:bookmarkEnd w:id="48"/>
    </w:p>
    <w:p>
      <w:pPr>
        <w:rPr>
          <w:noProof/>
        </w:rPr>
      </w:pPr>
      <w:r>
        <w:rPr>
          <w:noProof/>
        </w:rPr>
        <w:t xml:space="preserve">The number of newly introduced non-indigenous species shows both temporal and spatial variation when looking across Europe’s seas since the early fifties. Available data show that around 1 223 non-indigenous species are present in the Europe’s seas, of which almost 81% (1 039) were recorded in the period 1949-2017 </w:t>
      </w:r>
      <w:r>
        <w:rPr>
          <w:bCs/>
          <w:noProof/>
        </w:rPr>
        <w:t>(EEA, 2019c</w:t>
      </w:r>
      <w:r>
        <w:rPr>
          <w:bCs/>
          <w:noProof/>
        </w:rPr>
        <w:fldChar w:fldCharType="begin"/>
      </w:r>
      <w:r>
        <w:rPr>
          <w:bCs/>
          <w:noProof/>
        </w:rPr>
        <w:instrText xml:space="preserve"> REF _Ref532548268 \h  \* MERGEFORMAT </w:instrText>
      </w:r>
      <w:r>
        <w:rPr>
          <w:bCs/>
          <w:noProof/>
        </w:rPr>
      </w:r>
      <w:r>
        <w:rPr>
          <w:bCs/>
          <w:noProof/>
        </w:rPr>
        <w:fldChar w:fldCharType="end"/>
      </w:r>
      <w:r>
        <w:rPr>
          <w:noProof/>
        </w:rPr>
        <w:t xml:space="preserve">). </w:t>
      </w:r>
    </w:p>
    <w:p>
      <w:pPr>
        <w:rPr>
          <w:noProof/>
        </w:rPr>
      </w:pPr>
      <w:r>
        <w:rPr>
          <w:noProof/>
        </w:rPr>
        <w:t>When considering the four EU marine regions altogether as well as each individual region, there is a decreasing trend of new introductions observed during the last decade (</w:t>
      </w:r>
      <w:r>
        <w:rPr>
          <w:noProof/>
        </w:rPr>
        <w:fldChar w:fldCharType="begin"/>
      </w:r>
      <w:r>
        <w:rPr>
          <w:noProof/>
        </w:rPr>
        <w:instrText xml:space="preserve"> REF _Ref30276092 \h </w:instrText>
      </w:r>
      <w:r>
        <w:rPr>
          <w:noProof/>
        </w:rPr>
      </w:r>
      <w:r>
        <w:rPr>
          <w:noProof/>
        </w:rPr>
        <w:fldChar w:fldCharType="separate"/>
      </w:r>
      <w:r>
        <w:rPr>
          <w:noProof/>
        </w:rPr>
        <w:t>Figure 13</w:t>
      </w:r>
      <w:r>
        <w:rPr>
          <w:noProof/>
        </w:rPr>
        <w:fldChar w:fldCharType="end"/>
      </w:r>
      <w:r>
        <w:rPr>
          <w:noProof/>
        </w:rPr>
        <w:t>), and this is most significant in the Black Sea, Greater North Sea and Celtic Seas. However, the abrupt increase in monitoring efforts during the 1990s and 2000s could have given an inflated increased peak for newly introduced species during that period, resulting in the subsequent “decreasing trend” observed during the 2010s.</w:t>
      </w:r>
    </w:p>
    <w:p>
      <w:pPr>
        <w:rPr>
          <w:noProof/>
        </w:rPr>
      </w:pPr>
      <w:r>
        <w:rPr>
          <w:noProof/>
        </w:rPr>
        <w:t>According to an ICES</w:t>
      </w:r>
      <w:r>
        <w:rPr>
          <w:rStyle w:val="FootnoteReference"/>
          <w:noProof/>
        </w:rPr>
        <w:footnoteReference w:id="10"/>
      </w:r>
      <w:r>
        <w:rPr>
          <w:noProof/>
        </w:rPr>
        <w:t xml:space="preserve"> evaluation of the period 2012-2017, at the national level, the number of non-indigenous species introduced via human activity has been reduced to zero in the marine waters of Belgium, Denmark, Estonia, Finland, Germany, Ireland, Latvia, Lithuania, Netherlands, Poland, Sweden and United Kingdom (ICES, 2018a). However, this could be related to the insufficiency of monitoring programmes; thus, these data should be considered with caution.</w:t>
      </w:r>
    </w:p>
    <w:p>
      <w:pPr>
        <w:rPr>
          <w:noProof/>
        </w:rPr>
      </w:pPr>
      <w:r>
        <w:rPr>
          <w:noProof/>
        </w:rPr>
        <w:t>In a recent work led by the Joint Research Centre, refined baseline inventories of non-indigenous species were set per Member State in the context of the MSFD Descriptor 2 (Tsiamis et al., 2019). The inventories were based on the initial assessment of the MSFD of 2012 and the updated data of the European Alien Species Information Network (EASIN), in collaboration with experts appointed by the Member States</w:t>
      </w:r>
      <w:r>
        <w:rPr>
          <w:rStyle w:val="FootnoteReference"/>
          <w:noProof/>
        </w:rPr>
        <w:footnoteReference w:id="11"/>
      </w:r>
      <w:r>
        <w:rPr>
          <w:noProof/>
        </w:rPr>
        <w:t>. The analysis revealed that a large number of non-indigenous species was omitted from the initial assessments. Moreover, several species initially listed are currently considered as native in Europe or were proven to be historical misreporting. The refined baseline inventories constitute a milestone for the MSFD Descriptor 2 implementation, providing an improved basis for reporting new introductions of non-indigenous species by the Member States (</w:t>
      </w:r>
      <w:r>
        <w:rPr>
          <w:noProof/>
        </w:rPr>
        <w:fldChar w:fldCharType="begin"/>
      </w:r>
      <w:r>
        <w:rPr>
          <w:noProof/>
        </w:rPr>
        <w:instrText xml:space="preserve"> REF _Ref30276109 \h </w:instrText>
      </w:r>
      <w:r>
        <w:rPr>
          <w:noProof/>
        </w:rPr>
      </w:r>
      <w:r>
        <w:rPr>
          <w:noProof/>
        </w:rPr>
        <w:fldChar w:fldCharType="separate"/>
      </w:r>
      <w:r>
        <w:rPr>
          <w:noProof/>
        </w:rPr>
        <w:t>Figure 14</w:t>
      </w:r>
      <w:r>
        <w:rPr>
          <w:noProof/>
        </w:rPr>
        <w:fldChar w:fldCharType="end"/>
      </w:r>
      <w:r>
        <w:rPr>
          <w:noProof/>
        </w:rPr>
        <w:t xml:space="preserve">). In addition, the inventories can help Member States in the establishment of monitoring systems of targeted species, and foster cooperation on monitoring alien species across or within shared marine subregions. </w:t>
      </w:r>
    </w:p>
    <w:p>
      <w:pPr>
        <w:spacing w:after="0"/>
        <w:jc w:val="center"/>
        <w:rPr>
          <w:rFonts w:ascii="Calibri" w:hAnsi="Calibri" w:cs="Calibri"/>
          <w:noProof/>
        </w:rPr>
      </w:pPr>
      <w:r>
        <w:rPr>
          <w:noProof/>
        </w:rPr>
        <w:drawing>
          <wp:inline distT="0" distB="0" distL="0" distR="0">
            <wp:extent cx="4647063" cy="3039622"/>
            <wp:effectExtent l="0" t="0" r="1270" b="889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4688373" cy="3066643"/>
                    </a:xfrm>
                    <a:prstGeom prst="rect">
                      <a:avLst/>
                    </a:prstGeom>
                    <a:noFill/>
                    <a:ln>
                      <a:noFill/>
                    </a:ln>
                  </pic:spPr>
                </pic:pic>
              </a:graphicData>
            </a:graphic>
          </wp:inline>
        </w:drawing>
      </w:r>
    </w:p>
    <w:p>
      <w:pPr>
        <w:pStyle w:val="Caption"/>
        <w:rPr>
          <w:noProof/>
        </w:rPr>
      </w:pPr>
      <w:bookmarkStart w:id="49" w:name="_Ref30276092"/>
      <w:r>
        <w:rPr>
          <w:noProof/>
        </w:rPr>
        <w:t xml:space="preserve">Figure </w:t>
      </w:r>
      <w:r>
        <w:rPr>
          <w:noProof/>
        </w:rPr>
        <w:fldChar w:fldCharType="begin"/>
      </w:r>
      <w:r>
        <w:rPr>
          <w:noProof/>
        </w:rPr>
        <w:instrText xml:space="preserve"> SEQ Figure \* ARABIC </w:instrText>
      </w:r>
      <w:r>
        <w:rPr>
          <w:noProof/>
        </w:rPr>
        <w:fldChar w:fldCharType="separate"/>
      </w:r>
      <w:r>
        <w:rPr>
          <w:noProof/>
        </w:rPr>
        <w:t>13</w:t>
      </w:r>
      <w:r>
        <w:rPr>
          <w:noProof/>
        </w:rPr>
        <w:fldChar w:fldCharType="end"/>
      </w:r>
      <w:bookmarkEnd w:id="49"/>
      <w:r>
        <w:rPr>
          <w:noProof/>
        </w:rPr>
        <w:t xml:space="preserve">: Introductions of new non-indigenous species in Europe’s seas since the 50s (EEA, 2019c). </w:t>
      </w:r>
    </w:p>
    <w:p>
      <w:pPr>
        <w:spacing w:after="0"/>
        <w:rPr>
          <w:noProof/>
        </w:rPr>
      </w:pPr>
    </w:p>
    <w:p>
      <w:pPr>
        <w:pStyle w:val="Caption"/>
        <w:spacing w:before="0" w:after="0"/>
        <w:rPr>
          <w:noProof/>
        </w:rPr>
      </w:pPr>
      <w:bookmarkStart w:id="50" w:name="_Ref30276109"/>
      <w:r>
        <w:rPr>
          <w:noProof/>
        </w:rPr>
        <w:drawing>
          <wp:inline distT="0" distB="0" distL="0" distR="0">
            <wp:extent cx="5487035" cy="295656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7035" cy="2956560"/>
                    </a:xfrm>
                    <a:prstGeom prst="rect">
                      <a:avLst/>
                    </a:prstGeom>
                    <a:noFill/>
                  </pic:spPr>
                </pic:pic>
              </a:graphicData>
            </a:graphic>
          </wp:inline>
        </w:drawing>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14</w:t>
      </w:r>
      <w:r>
        <w:rPr>
          <w:noProof/>
        </w:rPr>
        <w:fldChar w:fldCharType="end"/>
      </w:r>
      <w:bookmarkEnd w:id="50"/>
      <w:r>
        <w:rPr>
          <w:noProof/>
        </w:rPr>
        <w:t>: Refined total number of non-indigenous species up to 31.12.2011 per EU Member State. For Member States with an * data are exclusively based on the comparison assessment between the initial reporting lists of non-indigenous species and EASIN. Source: © 2019 Marine Pollution Bulletin, Tsiamis et al. (2019).</w:t>
      </w:r>
    </w:p>
    <w:p>
      <w:pPr>
        <w:pStyle w:val="Text2"/>
        <w:ind w:left="0"/>
        <w:rPr>
          <w:noProof/>
        </w:rPr>
      </w:pPr>
      <w:r>
        <w:rPr>
          <w:noProof/>
        </w:rPr>
        <mc:AlternateContent>
          <mc:Choice Requires="wps">
            <w:drawing>
              <wp:inline distT="0" distB="0" distL="0" distR="0">
                <wp:extent cx="5628999" cy="4142629"/>
                <wp:effectExtent l="0" t="0" r="10160" b="10795"/>
                <wp:docPr id="60" name="Text Box 60"/>
                <wp:cNvGraphicFramePr/>
                <a:graphic xmlns:a="http://schemas.openxmlformats.org/drawingml/2006/main">
                  <a:graphicData uri="http://schemas.microsoft.com/office/word/2010/wordprocessingShape">
                    <wps:wsp>
                      <wps:cNvSpPr txBox="1"/>
                      <wps:spPr>
                        <a:xfrm>
                          <a:off x="0" y="0"/>
                          <a:ext cx="5628999" cy="4142629"/>
                        </a:xfrm>
                        <a:prstGeom prst="rect">
                          <a:avLst/>
                        </a:prstGeom>
                        <a:solidFill>
                          <a:schemeClr val="lt1"/>
                        </a:solidFill>
                        <a:ln w="6350">
                          <a:solidFill>
                            <a:prstClr val="black"/>
                          </a:solidFill>
                        </a:ln>
                      </wps:spPr>
                      <wps:txbx>
                        <w:txbxContent>
                          <w:p>
                            <w:pPr>
                              <w:spacing w:after="60"/>
                              <w:rPr>
                                <w:sz w:val="22"/>
                                <w:szCs w:val="22"/>
                                <w:u w:val="single"/>
                              </w:rPr>
                            </w:pPr>
                            <w:r>
                              <w:rPr>
                                <w:sz w:val="22"/>
                                <w:szCs w:val="22"/>
                                <w:u w:val="single"/>
                              </w:rPr>
                              <w:t>Data sources</w:t>
                            </w:r>
                          </w:p>
                          <w:p>
                            <w:pPr>
                              <w:spacing w:after="60"/>
                              <w:rPr>
                                <w:sz w:val="22"/>
                                <w:szCs w:val="22"/>
                              </w:rPr>
                            </w:pPr>
                            <w:r>
                              <w:rPr>
                                <w:sz w:val="22"/>
                                <w:szCs w:val="22"/>
                              </w:rPr>
                              <w:t>Georeferenced data for the selected non-indigenous species were provided by:</w:t>
                            </w:r>
                          </w:p>
                          <w:p>
                            <w:pPr>
                              <w:pStyle w:val="ListBullet2"/>
                              <w:spacing w:after="60"/>
                              <w:rPr>
                                <w:sz w:val="22"/>
                                <w:szCs w:val="22"/>
                              </w:rPr>
                            </w:pPr>
                            <w:r>
                              <w:rPr>
                                <w:sz w:val="22"/>
                                <w:szCs w:val="22"/>
                              </w:rPr>
                              <w:t>AquaNIS, Information system on Aquatic Non-Indigenous and Cryptogenic Species. World Wide Web electronic publication. www.corpi.ku.lt/databases/aquanis Version 2.36+</w:t>
                            </w:r>
                          </w:p>
                          <w:p>
                            <w:pPr>
                              <w:pStyle w:val="ListBullet2"/>
                              <w:spacing w:after="60"/>
                              <w:rPr>
                                <w:sz w:val="22"/>
                                <w:szCs w:val="22"/>
                              </w:rPr>
                            </w:pPr>
                            <w:r>
                              <w:rPr>
                                <w:sz w:val="22"/>
                                <w:szCs w:val="22"/>
                              </w:rPr>
                              <w:t>EASIN, JRC European Alien Species Information Network. https://easin.jrc.ec.europa.eu/; last assessed 03.08.2018</w:t>
                            </w:r>
                          </w:p>
                          <w:p>
                            <w:pPr>
                              <w:pStyle w:val="ListBullet2"/>
                              <w:spacing w:after="60"/>
                              <w:rPr>
                                <w:sz w:val="22"/>
                                <w:szCs w:val="22"/>
                                <w:lang w:val="pt-PT"/>
                              </w:rPr>
                            </w:pPr>
                            <w:r>
                              <w:rPr>
                                <w:sz w:val="22"/>
                                <w:szCs w:val="22"/>
                                <w:lang w:val="pt-PT"/>
                              </w:rPr>
                              <w:t>ELNAIS: https://services.ath.hcmr.gr/</w:t>
                            </w:r>
                          </w:p>
                          <w:p>
                            <w:pPr>
                              <w:pStyle w:val="ListBullet2"/>
                              <w:spacing w:after="60"/>
                              <w:rPr>
                                <w:sz w:val="22"/>
                                <w:szCs w:val="22"/>
                                <w:lang w:val="it-IT"/>
                              </w:rPr>
                            </w:pPr>
                            <w:r>
                              <w:rPr>
                                <w:sz w:val="22"/>
                                <w:szCs w:val="22"/>
                                <w:lang w:val="it-IT"/>
                              </w:rPr>
                              <w:t>EPPO: http://www.eppo.org/INVASIVE_PLANTS/ias_plants.htm</w:t>
                            </w:r>
                          </w:p>
                          <w:p>
                            <w:pPr>
                              <w:pStyle w:val="ListBullet2"/>
                              <w:spacing w:after="60"/>
                              <w:rPr>
                                <w:sz w:val="22"/>
                                <w:szCs w:val="22"/>
                                <w:lang w:val="pt-PT"/>
                              </w:rPr>
                            </w:pPr>
                            <w:r>
                              <w:rPr>
                                <w:sz w:val="22"/>
                                <w:szCs w:val="22"/>
                                <w:lang w:val="pt-PT"/>
                              </w:rPr>
                              <w:t>ESENIAS: http://www.esenias.org/</w:t>
                            </w:r>
                          </w:p>
                          <w:p>
                            <w:pPr>
                              <w:pStyle w:val="ListBullet2"/>
                              <w:spacing w:after="60"/>
                              <w:rPr>
                                <w:sz w:val="22"/>
                                <w:szCs w:val="22"/>
                              </w:rPr>
                            </w:pPr>
                            <w:r>
                              <w:rPr>
                                <w:sz w:val="22"/>
                                <w:szCs w:val="22"/>
                              </w:rPr>
                              <w:t>EurOBIS,  http://www.eurobis.org/citation: data assessed on 17.05.2017</w:t>
                            </w:r>
                          </w:p>
                          <w:p>
                            <w:pPr>
                              <w:pStyle w:val="ListBullet2"/>
                              <w:spacing w:after="60"/>
                              <w:rPr>
                                <w:sz w:val="22"/>
                                <w:szCs w:val="22"/>
                              </w:rPr>
                            </w:pPr>
                            <w:r>
                              <w:rPr>
                                <w:sz w:val="22"/>
                                <w:szCs w:val="22"/>
                              </w:rPr>
                              <w:t>GISIN, Global Invasive Species Information Network: http://www.gisinetwork.org/</w:t>
                            </w:r>
                          </w:p>
                          <w:p>
                            <w:pPr>
                              <w:pStyle w:val="ListBullet2"/>
                              <w:spacing w:after="60"/>
                              <w:rPr>
                                <w:sz w:val="22"/>
                                <w:szCs w:val="22"/>
                              </w:rPr>
                            </w:pPr>
                            <w:r>
                              <w:rPr>
                                <w:sz w:val="22"/>
                                <w:szCs w:val="22"/>
                              </w:rPr>
                              <w:t>HCMR, additional information: HCMR and EEA offline database for the Mediterranean (last update from July 2018);</w:t>
                            </w:r>
                          </w:p>
                          <w:p>
                            <w:pPr>
                              <w:pStyle w:val="ListBullet2"/>
                              <w:spacing w:after="60"/>
                              <w:rPr>
                                <w:sz w:val="22"/>
                                <w:szCs w:val="22"/>
                              </w:rPr>
                            </w:pPr>
                            <w:r>
                              <w:rPr>
                                <w:sz w:val="22"/>
                                <w:szCs w:val="22"/>
                              </w:rPr>
                              <w:t>ICES/IMO/IOC  WGBOSV and WGITMO reports 2002-2018: http://www.ices.dk/community/groups/Pages/WGITMO.aspx and http://www.ices.dk/community/groups/Pages/WGBOSV.aspx</w:t>
                            </w:r>
                          </w:p>
                          <w:p>
                            <w:pPr>
                              <w:pStyle w:val="ListBullet2"/>
                              <w:spacing w:after="60"/>
                              <w:rPr>
                                <w:sz w:val="22"/>
                                <w:szCs w:val="22"/>
                              </w:rPr>
                            </w:pPr>
                            <w:r>
                              <w:rPr>
                                <w:sz w:val="22"/>
                                <w:szCs w:val="22"/>
                              </w:rPr>
                              <w:t>MAMIAS, UNEP-MAP-RAC/SPA, 2018. Marine Mediterranean Invasive Alien Species: http://www.mamias.org/</w:t>
                            </w:r>
                          </w:p>
                          <w:p>
                            <w:pPr>
                              <w:pStyle w:val="ListBullet2"/>
                              <w:spacing w:after="60"/>
                              <w:rPr>
                                <w:sz w:val="22"/>
                                <w:szCs w:val="22"/>
                              </w:rPr>
                            </w:pPr>
                            <w:r>
                              <w:rPr>
                                <w:sz w:val="22"/>
                                <w:szCs w:val="22"/>
                              </w:rPr>
                              <w:t>NOBANIS, European Network on Invasive Alien Species: http://www.nobanis.org/</w:t>
                            </w:r>
                          </w:p>
                          <w:p>
                            <w:pPr>
                              <w:pStyle w:val="ListBullet2"/>
                              <w:spacing w:after="60"/>
                              <w:rPr>
                                <w:sz w:val="22"/>
                                <w:szCs w:val="22"/>
                              </w:rPr>
                            </w:pPr>
                            <w:r>
                              <w:rPr>
                                <w:sz w:val="22"/>
                                <w:szCs w:val="22"/>
                              </w:rPr>
                              <w:t>REABIC, Regional Euro-Asian Biological Invasions Centre: http://www.reabic.net/</w:t>
                            </w:r>
                          </w:p>
                          <w:p>
                            <w:pPr>
                              <w:pStyle w:val="Text2"/>
                              <w:ind w:left="0"/>
                            </w:pPr>
                          </w:p>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60" o:spid="_x0000_s1026" type="#_x0000_t202" style="width:443.25pt;height:3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" fillcolor="white [3201]" strokeweight=".5pt">
                <v:textbox>
                  <w:txbxContent>
                    <w:p>
                      <w:pPr>
                        <w:spacing w:after="60"/>
                        <w:rPr>
                          <w:sz w:val="22"/>
                          <w:szCs w:val="22"/>
                          <w:u w:val="single"/>
                        </w:rPr>
                      </w:pPr>
                      <w:r>
                        <w:rPr>
                          <w:sz w:val="22"/>
                          <w:szCs w:val="22"/>
                          <w:u w:val="single"/>
                        </w:rPr>
                        <w:t>Data sources</w:t>
                      </w:r>
                    </w:p>
                    <w:p>
                      <w:pPr>
                        <w:spacing w:after="60"/>
                        <w:rPr>
                          <w:sz w:val="22"/>
                          <w:szCs w:val="22"/>
                        </w:rPr>
                      </w:pPr>
                      <w:r>
                        <w:rPr>
                          <w:sz w:val="22"/>
                          <w:szCs w:val="22"/>
                        </w:rPr>
                        <w:t>Georeferenced data for the selected non-indigenous species were provided by:</w:t>
                      </w:r>
                    </w:p>
                    <w:p>
                      <w:pPr>
                        <w:pStyle w:val="ListBullet2"/>
                        <w:spacing w:after="60"/>
                        <w:rPr>
                          <w:sz w:val="22"/>
                          <w:szCs w:val="22"/>
                        </w:rPr>
                      </w:pPr>
                      <w:r>
                        <w:rPr>
                          <w:sz w:val="22"/>
                          <w:szCs w:val="22"/>
                        </w:rPr>
                        <w:t>AquaNIS, Information system on Aquatic Non-Indigenous and Cryptogenic Species. World Wide Web electronic publication. www.corpi.ku.lt/databases/aquanis Version 2.36+</w:t>
                      </w:r>
                    </w:p>
                    <w:p>
                      <w:pPr>
                        <w:pStyle w:val="ListBullet2"/>
                        <w:spacing w:after="60"/>
                        <w:rPr>
                          <w:sz w:val="22"/>
                          <w:szCs w:val="22"/>
                        </w:rPr>
                      </w:pPr>
                      <w:r>
                        <w:rPr>
                          <w:sz w:val="22"/>
                          <w:szCs w:val="22"/>
                        </w:rPr>
                        <w:t>EASIN, JRC European Alien Species Information Network. https://easin.jrc.ec.europa.eu/; last assessed 03.08.2018</w:t>
                      </w:r>
                    </w:p>
                    <w:p>
                      <w:pPr>
                        <w:pStyle w:val="ListBullet2"/>
                        <w:spacing w:after="60"/>
                        <w:rPr>
                          <w:sz w:val="22"/>
                          <w:szCs w:val="22"/>
                          <w:lang w:val="pt-PT"/>
                        </w:rPr>
                      </w:pPr>
                      <w:r>
                        <w:rPr>
                          <w:sz w:val="22"/>
                          <w:szCs w:val="22"/>
                          <w:lang w:val="pt-PT"/>
                        </w:rPr>
                        <w:t>ELNAIS: https://services.ath.hcmr.gr/</w:t>
                      </w:r>
                    </w:p>
                    <w:p>
                      <w:pPr>
                        <w:pStyle w:val="ListBullet2"/>
                        <w:spacing w:after="60"/>
                        <w:rPr>
                          <w:sz w:val="22"/>
                          <w:szCs w:val="22"/>
                          <w:lang w:val="it-IT"/>
                        </w:rPr>
                      </w:pPr>
                      <w:r>
                        <w:rPr>
                          <w:sz w:val="22"/>
                          <w:szCs w:val="22"/>
                          <w:lang w:val="it-IT"/>
                        </w:rPr>
                        <w:t>EPPO: http://www.eppo.org/INVASIVE_PLANTS/ias_plants.htm</w:t>
                      </w:r>
                    </w:p>
                    <w:p>
                      <w:pPr>
                        <w:pStyle w:val="ListBullet2"/>
                        <w:spacing w:after="60"/>
                        <w:rPr>
                          <w:sz w:val="22"/>
                          <w:szCs w:val="22"/>
                          <w:lang w:val="pt-PT"/>
                        </w:rPr>
                      </w:pPr>
                      <w:r>
                        <w:rPr>
                          <w:sz w:val="22"/>
                          <w:szCs w:val="22"/>
                          <w:lang w:val="pt-PT"/>
                        </w:rPr>
                        <w:t>ESENIAS: http://www.esenias.org/</w:t>
                      </w:r>
                    </w:p>
                    <w:p>
                      <w:pPr>
                        <w:pStyle w:val="ListBullet2"/>
                        <w:spacing w:after="60"/>
                        <w:rPr>
                          <w:sz w:val="22"/>
                          <w:szCs w:val="22"/>
                        </w:rPr>
                      </w:pPr>
                      <w:r>
                        <w:rPr>
                          <w:sz w:val="22"/>
                          <w:szCs w:val="22"/>
                        </w:rPr>
                        <w:t>EurOBIS,  http://www.eurobis.org/citation: data assessed on 17.05.2017</w:t>
                      </w:r>
                    </w:p>
                    <w:p>
                      <w:pPr>
                        <w:pStyle w:val="ListBullet2"/>
                        <w:spacing w:after="60"/>
                        <w:rPr>
                          <w:sz w:val="22"/>
                          <w:szCs w:val="22"/>
                        </w:rPr>
                      </w:pPr>
                      <w:r>
                        <w:rPr>
                          <w:sz w:val="22"/>
                          <w:szCs w:val="22"/>
                        </w:rPr>
                        <w:t>GISIN, Global Invasive Species Information Network: http://www.gisinetwork.org/</w:t>
                      </w:r>
                    </w:p>
                    <w:p>
                      <w:pPr>
                        <w:pStyle w:val="ListBullet2"/>
                        <w:spacing w:after="60"/>
                        <w:rPr>
                          <w:sz w:val="22"/>
                          <w:szCs w:val="22"/>
                        </w:rPr>
                      </w:pPr>
                      <w:r>
                        <w:rPr>
                          <w:sz w:val="22"/>
                          <w:szCs w:val="22"/>
                        </w:rPr>
                        <w:t>HCMR, additional information: HCMR and EEA offline database for the Mediterranean (last update from July 2018);</w:t>
                      </w:r>
                    </w:p>
                    <w:p>
                      <w:pPr>
                        <w:pStyle w:val="ListBullet2"/>
                        <w:spacing w:after="60"/>
                        <w:rPr>
                          <w:sz w:val="22"/>
                          <w:szCs w:val="22"/>
                        </w:rPr>
                      </w:pPr>
                      <w:r>
                        <w:rPr>
                          <w:sz w:val="22"/>
                          <w:szCs w:val="22"/>
                        </w:rPr>
                        <w:t>ICES/IMO/IOC  WGBOSV and WGITMO reports 2002-2018: http://www.ices.dk/community/groups/Pages/WGITMO.aspx and http://www.ices.dk/community/groups/Pages/WGBOSV.aspx</w:t>
                      </w:r>
                    </w:p>
                    <w:p>
                      <w:pPr>
                        <w:pStyle w:val="ListBullet2"/>
                        <w:spacing w:after="60"/>
                        <w:rPr>
                          <w:sz w:val="22"/>
                          <w:szCs w:val="22"/>
                        </w:rPr>
                      </w:pPr>
                      <w:r>
                        <w:rPr>
                          <w:sz w:val="22"/>
                          <w:szCs w:val="22"/>
                        </w:rPr>
                        <w:t>MAMIAS, UNEP-MAP-RAC/SPA, 2018. Marine Mediterranean Invasive Alien Species: http://www.mamias.org/</w:t>
                      </w:r>
                    </w:p>
                    <w:p>
                      <w:pPr>
                        <w:pStyle w:val="ListBullet2"/>
                        <w:spacing w:after="60"/>
                        <w:rPr>
                          <w:sz w:val="22"/>
                          <w:szCs w:val="22"/>
                        </w:rPr>
                      </w:pPr>
                      <w:r>
                        <w:rPr>
                          <w:sz w:val="22"/>
                          <w:szCs w:val="22"/>
                        </w:rPr>
                        <w:t>NOBANIS, European Network on Invasive Alien Species: http://www.nobanis.org/</w:t>
                      </w:r>
                    </w:p>
                    <w:p>
                      <w:pPr>
                        <w:pStyle w:val="ListBullet2"/>
                        <w:spacing w:after="60"/>
                        <w:rPr>
                          <w:sz w:val="22"/>
                          <w:szCs w:val="22"/>
                        </w:rPr>
                      </w:pPr>
                      <w:r>
                        <w:rPr>
                          <w:sz w:val="22"/>
                          <w:szCs w:val="22"/>
                        </w:rPr>
                        <w:t>REABIC, Regional Euro-Asian Biological Invasions Centre: http://www.reabic.net/</w:t>
                      </w:r>
                    </w:p>
                    <w:p>
                      <w:pPr>
                        <w:pStyle w:val="Text2"/>
                        <w:ind w:left="0"/>
                      </w:pPr>
                    </w:p>
                    <w:p/>
                  </w:txbxContent>
                </v:textbox>
                <w10:anchorlock/>
              </v:shape>
            </w:pict>
          </mc:Fallback>
        </mc:AlternateContent>
      </w:r>
    </w:p>
    <w:p>
      <w:pPr>
        <w:pStyle w:val="Heading1"/>
        <w:rPr>
          <w:noProof/>
        </w:rPr>
      </w:pPr>
      <w:bookmarkStart w:id="51" w:name="_Toc30404125"/>
      <w:r>
        <w:rPr>
          <w:noProof/>
        </w:rPr>
        <w:t>Main impacts</w:t>
      </w:r>
      <w:bookmarkEnd w:id="51"/>
      <w:r>
        <w:rPr>
          <w:noProof/>
        </w:rPr>
        <w:t xml:space="preserve"> </w:t>
      </w:r>
    </w:p>
    <w:p>
      <w:pPr>
        <w:rPr>
          <w:noProof/>
        </w:rPr>
      </w:pPr>
      <w:r>
        <w:rPr>
          <w:noProof/>
        </w:rPr>
        <w:t>Introductions of non-indigenous species are widely perceived as one of the main threats to biological diversity. Of particular importance are the invasive</w:t>
      </w:r>
      <w:r>
        <w:rPr>
          <w:i/>
          <w:noProof/>
        </w:rPr>
        <w:t xml:space="preserve"> </w:t>
      </w:r>
      <w:r>
        <w:rPr>
          <w:noProof/>
        </w:rPr>
        <w:t xml:space="preserve">alien species, namely those non-indigenous species that, once established, spread rapidly and impact the native biological diversity in various ways. Their impacts can range from reduced genetic variation, eroded gene pools, through to altered habitats and ecosystems functioning, to the extinction of endemic species </w:t>
      </w:r>
      <w:r>
        <w:rPr>
          <w:noProof/>
        </w:rPr>
        <w:fldChar w:fldCharType="begin"/>
      </w:r>
      <w:r>
        <w:rPr>
          <w:noProof/>
        </w:rPr>
        <w:instrText xml:space="preserve"> ADDIN ZOTERO_ITEM CSL_CITATION {"citationID":"tNUMZg4F","properties":{"formattedCitation":"(Katsanevakis, et al., 2014)","plainCitation":"(Katsanevakis, et al., 2014)"},"citationItems":[{"id":6439,"uris":["http://zotero.org/groups/122386/items/UHAMGF9C"],"uri":["http://zotero.org/groups/122386/items/UHAMGF9C"],"itemData":{"id":6439,"type":"article-journal","title":"Impacts of invasive alien marine species on ecosystem services and biodiversity: a pan-European review","container-title":"Aquatic Invasions","page":"391–423","volume":"9","issue":"4","source":"Google Scholar","URL":"http://www.researchgate.net/profile/Melih_Cinar/publication/269092329_Impacts_of_invasive_alien_marine_species_on_ecosystem_services_and_biodiversity_a_pan-European_review/links/547ef3380cf2c1e3d2dc3675.pdf","note":"00015","shortTitle":"Impacts of invasive alien marine species on ecosystem services and biodiversity","author":[{"family":"Katsanevakis","given":"Stelios"},{"family":"Wallentinus","given":"Inger"},{"family":"Zenetos","given":"Argyro"},{"family":"Leppäkoski","given":"Erkki"},{"family":"Çinar","given":"Melih Ertan"},{"family":"Oztürk","given":"Bayram"},{"family":"Grabowski","given":"Michal"},{"family":"Golani","given":"Daniel"},{"family":"Cardoso","given":"Ana Cristina"},{"literal":"others"}],"issued":{"date-parts":[["2014"]]},"accessed":{"date-parts":[["2015",6,9]]}}}],"schema":"https://github.com/citation-style-language/schema/raw/master/csl-citation.json"} </w:instrText>
      </w:r>
      <w:r>
        <w:rPr>
          <w:noProof/>
        </w:rPr>
        <w:fldChar w:fldCharType="separate"/>
      </w:r>
      <w:r>
        <w:rPr>
          <w:noProof/>
        </w:rPr>
        <w:t>(Katsanevakis et al., 2014)</w:t>
      </w:r>
      <w:r>
        <w:rPr>
          <w:noProof/>
        </w:rPr>
        <w:fldChar w:fldCharType="end"/>
      </w:r>
      <w:r>
        <w:rPr>
          <w:noProof/>
        </w:rPr>
        <w:t>. Some examples of marine invasive</w:t>
      </w:r>
      <w:r>
        <w:rPr>
          <w:i/>
          <w:noProof/>
        </w:rPr>
        <w:t xml:space="preserve"> </w:t>
      </w:r>
      <w:r>
        <w:rPr>
          <w:noProof/>
        </w:rPr>
        <w:t xml:space="preserve">alien species include the alien comb jelly </w:t>
      </w:r>
      <w:r>
        <w:rPr>
          <w:i/>
          <w:noProof/>
        </w:rPr>
        <w:t>Mnemiopsis leidyi</w:t>
      </w:r>
      <w:r>
        <w:rPr>
          <w:noProof/>
        </w:rPr>
        <w:t xml:space="preserve"> in the Black and Caspian seas </w:t>
      </w:r>
      <w:r>
        <w:rPr>
          <w:noProof/>
        </w:rPr>
        <w:fldChar w:fldCharType="begin"/>
      </w:r>
      <w:r>
        <w:rPr>
          <w:noProof/>
        </w:rPr>
        <w:instrText xml:space="preserve"> ADDIN ZOTERO_ITEM CSL_CITATION {"citationID":"9MheuLHO","properties":{"formattedCitation":"(Dumont, et al., 2004)","plainCitation":"(Dumont, et al., 2004)"},"citationItems":[{"id":5650,"uris":["http://zotero.org/groups/122386/items/D9HBQ4ZK"],"uri":["http://zotero.org/groups/122386/items/D9HBQ4ZK"],"itemData":{"id":5650,"type":"book","title":"Aquatic invasions in the Black, Caspian, and Mediterranean seas","collection-title":"NATO Science Series","publisher":"Kluwer Academic Publishers","publisher-place":"Dordrecht, the Netherlands","volume":"35","number-of-pages":"313","event-place":"Dordrecht, the Netherlands","URL":"http://books.google.de/books?hl=en&amp;lr=&amp;id=CFZqnCfulHwC&amp;oi=fnd&amp;pg=PR9&amp;dq=%22Aquatic+invasions+in+the+Black,+Caspian,+and+%22&amp;ots=GOnkdH3guW&amp;sig=AiUvVrJzd2eaDdytFSfAOY5AG5s","language":"English","editor":[{"family":"Dumont","given":"Henri J."},{"family":"Shiganova","given":"Tamara A."},{"family":"Niermann","given":"Ulrich"}],"issued":{"date-parts":[["2004"]]},"accessed":{"date-parts":[["2014",10,27]]}}}],"schema":"https://github.com/citation-style-language/schema/raw/master/csl-citation.json"} </w:instrText>
      </w:r>
      <w:r>
        <w:rPr>
          <w:noProof/>
        </w:rPr>
        <w:fldChar w:fldCharType="separate"/>
      </w:r>
      <w:r>
        <w:rPr>
          <w:noProof/>
        </w:rPr>
        <w:t>(Dumont et al., 2004)</w:t>
      </w:r>
      <w:r>
        <w:rPr>
          <w:noProof/>
        </w:rPr>
        <w:fldChar w:fldCharType="end"/>
      </w:r>
      <w:r>
        <w:rPr>
          <w:noProof/>
        </w:rPr>
        <w:t xml:space="preserve"> and the Lessepsian fish </w:t>
      </w:r>
      <w:r>
        <w:rPr>
          <w:i/>
          <w:noProof/>
        </w:rPr>
        <w:t xml:space="preserve">Siganus luridus </w:t>
      </w:r>
      <w:r>
        <w:rPr>
          <w:noProof/>
        </w:rPr>
        <w:t>in the Eastern Mediterranean Sea (Azzurro et al., 2016) (</w:t>
      </w:r>
      <w:r>
        <w:rPr>
          <w:noProof/>
        </w:rPr>
        <w:fldChar w:fldCharType="begin"/>
      </w:r>
      <w:r>
        <w:rPr>
          <w:noProof/>
        </w:rPr>
        <w:instrText xml:space="preserve"> REF _Ref30339233 \h  \* MERGEFORMAT </w:instrText>
      </w:r>
      <w:r>
        <w:rPr>
          <w:noProof/>
        </w:rPr>
      </w:r>
      <w:r>
        <w:rPr>
          <w:noProof/>
        </w:rPr>
        <w:fldChar w:fldCharType="separate"/>
      </w:r>
      <w:r>
        <w:rPr>
          <w:noProof/>
        </w:rPr>
        <w:t>Figure 15</w:t>
      </w:r>
      <w:r>
        <w:rPr>
          <w:noProof/>
        </w:rPr>
        <w:fldChar w:fldCharType="end"/>
      </w:r>
      <w:r>
        <w:rPr>
          <w:noProo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7"/>
        <w:gridCol w:w="5176"/>
      </w:tblGrid>
      <w:tr>
        <w:tc>
          <w:tcPr>
            <w:tcW w:w="4417" w:type="dxa"/>
          </w:tcPr>
          <w:p>
            <w:pPr>
              <w:spacing w:after="0"/>
              <w:rPr>
                <w:noProof/>
              </w:rPr>
            </w:pPr>
            <w:r>
              <w:rPr>
                <w:noProof/>
              </w:rPr>
              <w:drawing>
                <wp:inline distT="0" distB="0" distL="0" distR="0">
                  <wp:extent cx="2000513" cy="2363638"/>
                  <wp:effectExtent l="0" t="0" r="0" b="0"/>
                  <wp:docPr id="457" name="Picture 457" descr="American comb jelly - Mnemiopsis leid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erican comb jelly - Mnemiopsis leidyi"/>
                          <pic:cNvPicPr>
                            <a:picLocks noChangeAspect="1" noChangeArrowheads="1"/>
                          </pic:cNvPicPr>
                        </pic:nvPicPr>
                        <pic:blipFill rotWithShape="1">
                          <a:blip r:embed="rId65" cstate="screen">
                            <a:extLst>
                              <a:ext uri="{28A0092B-C50C-407E-A947-70E740481C1C}">
                                <a14:useLocalDpi xmlns:a14="http://schemas.microsoft.com/office/drawing/2010/main"/>
                              </a:ext>
                            </a:extLst>
                          </a:blip>
                          <a:srcRect/>
                          <a:stretch/>
                        </pic:blipFill>
                        <pic:spPr bwMode="auto">
                          <a:xfrm>
                            <a:off x="0" y="0"/>
                            <a:ext cx="2004658" cy="23685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7" w:type="dxa"/>
          </w:tcPr>
          <w:p>
            <w:pPr>
              <w:spacing w:after="0"/>
              <w:rPr>
                <w:noProof/>
              </w:rPr>
            </w:pPr>
            <w:r>
              <w:rPr>
                <w:noProof/>
              </w:rPr>
              <w:drawing>
                <wp:inline distT="0" distB="0" distL="0" distR="0">
                  <wp:extent cx="3149994" cy="2363470"/>
                  <wp:effectExtent l="0" t="0" r="0" b="0"/>
                  <wp:docPr id="456" name="Picture 456" descr="Siganus luri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ganus luridus"/>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3163621" cy="2373694"/>
                          </a:xfrm>
                          <a:prstGeom prst="rect">
                            <a:avLst/>
                          </a:prstGeom>
                          <a:noFill/>
                          <a:ln>
                            <a:noFill/>
                          </a:ln>
                        </pic:spPr>
                      </pic:pic>
                    </a:graphicData>
                  </a:graphic>
                </wp:inline>
              </w:drawing>
            </w:r>
          </w:p>
        </w:tc>
      </w:tr>
    </w:tbl>
    <w:p>
      <w:pPr>
        <w:pStyle w:val="Caption"/>
        <w:rPr>
          <w:noProof/>
        </w:rPr>
      </w:pPr>
      <w:bookmarkStart w:id="52" w:name="_Ref30339233"/>
      <w:r>
        <w:rPr>
          <w:noProof/>
        </w:rPr>
        <w:t xml:space="preserve">Figure </w:t>
      </w:r>
      <w:r>
        <w:rPr>
          <w:noProof/>
        </w:rPr>
        <w:fldChar w:fldCharType="begin"/>
      </w:r>
      <w:r>
        <w:rPr>
          <w:noProof/>
        </w:rPr>
        <w:instrText xml:space="preserve"> SEQ Figure \* ARABIC </w:instrText>
      </w:r>
      <w:r>
        <w:rPr>
          <w:noProof/>
        </w:rPr>
        <w:fldChar w:fldCharType="separate"/>
      </w:r>
      <w:r>
        <w:rPr>
          <w:noProof/>
        </w:rPr>
        <w:t>15</w:t>
      </w:r>
      <w:r>
        <w:rPr>
          <w:noProof/>
        </w:rPr>
        <w:fldChar w:fldCharType="end"/>
      </w:r>
      <w:bookmarkEnd w:id="52"/>
      <w:r>
        <w:rPr>
          <w:noProof/>
        </w:rPr>
        <w:t>: Left: Mnemiopsis leidyi; photo author Karl Van Ginderdeuren. Right: Siganus luridus, photo author Roberto Pillon. These photos are under a Creative Commons Attribution-Noncommercial-Share Alike 4.0 License (downloaded from the World Register of Marine Species).</w:t>
      </w:r>
    </w:p>
    <w:p>
      <w:pPr>
        <w:rPr>
          <w:noProof/>
        </w:rPr>
      </w:pPr>
      <w:r>
        <w:rPr>
          <w:noProof/>
        </w:rPr>
        <w:t>The cumulative impact of invasive</w:t>
      </w:r>
      <w:r>
        <w:rPr>
          <w:i/>
          <w:noProof/>
        </w:rPr>
        <w:t xml:space="preserve"> </w:t>
      </w:r>
      <w:r>
        <w:rPr>
          <w:noProof/>
        </w:rPr>
        <w:t xml:space="preserve">alien species in the European seas is maximum in a restricted coastal area. The total area of Europe’s marine and coastal ecosystems </w:t>
      </w:r>
      <w:r>
        <w:rPr>
          <w:i/>
          <w:noProof/>
        </w:rPr>
        <w:t xml:space="preserve">invaded </w:t>
      </w:r>
      <w:r>
        <w:rPr>
          <w:noProof/>
        </w:rPr>
        <w:t>by invasive</w:t>
      </w:r>
      <w:r>
        <w:rPr>
          <w:i/>
          <w:noProof/>
        </w:rPr>
        <w:t xml:space="preserve"> </w:t>
      </w:r>
      <w:r>
        <w:rPr>
          <w:noProof/>
        </w:rPr>
        <w:t xml:space="preserve">alien species is 8%. Out of this, the total area </w:t>
      </w:r>
      <w:r>
        <w:rPr>
          <w:i/>
          <w:noProof/>
        </w:rPr>
        <w:t>impacted</w:t>
      </w:r>
      <w:r>
        <w:rPr>
          <w:noProof/>
        </w:rPr>
        <w:t xml:space="preserve"> by invasive</w:t>
      </w:r>
      <w:r>
        <w:rPr>
          <w:i/>
          <w:noProof/>
        </w:rPr>
        <w:t xml:space="preserve"> </w:t>
      </w:r>
      <w:r>
        <w:rPr>
          <w:noProof/>
        </w:rPr>
        <w:t>alien is slightly lower, at 7%, which corresponds to approximately 421 231 km</w:t>
      </w:r>
      <w:r>
        <w:rPr>
          <w:noProof/>
          <w:vertAlign w:val="superscript"/>
        </w:rPr>
        <w:t>2</w:t>
      </w:r>
      <w:r>
        <w:rPr>
          <w:noProof/>
        </w:rPr>
        <w:t xml:space="preserve"> (</w:t>
      </w:r>
      <w:r>
        <w:rPr>
          <w:noProof/>
          <w:szCs w:val="24"/>
        </w:rPr>
        <w:t>ETC/ICM, 2019b</w:t>
      </w:r>
      <w:r>
        <w:rPr>
          <w:noProof/>
        </w:rPr>
        <w:t>). However, these numbers should be considered with caution in the absence of related information regarding the impact of numerous marine non-indigenous species and due to the knowledge gaps on the species distribution, especially when it comes to the offshore areas.</w:t>
      </w:r>
    </w:p>
    <w:p>
      <w:pPr>
        <w:pStyle w:val="Heading1"/>
        <w:rPr>
          <w:noProof/>
        </w:rPr>
      </w:pPr>
      <w:bookmarkStart w:id="53" w:name="_Toc30404126"/>
      <w:r>
        <w:rPr>
          <w:rFonts w:eastAsiaTheme="minorHAnsi"/>
          <w:noProof/>
        </w:rPr>
        <w:t>Technical</w:t>
      </w:r>
      <w:r>
        <w:rPr>
          <w:noProof/>
        </w:rPr>
        <w:t xml:space="preserve"> observations</w:t>
      </w:r>
      <w:bookmarkEnd w:id="53"/>
    </w:p>
    <w:p>
      <w:pPr>
        <w:pStyle w:val="ListBullet1"/>
        <w:rPr>
          <w:noProof/>
        </w:rPr>
      </w:pPr>
      <w:r>
        <w:rPr>
          <w:noProof/>
        </w:rPr>
        <w:t>As already recommended in previous Commission reports under the MSFD, joint monitoring approaches spanning whole EU marine regions could close knowledge gaps in terms of new introductions of non-indigenous species.</w:t>
      </w:r>
    </w:p>
    <w:p>
      <w:pPr>
        <w:pStyle w:val="ListBullet1"/>
        <w:rPr>
          <w:noProof/>
        </w:rPr>
      </w:pPr>
      <w:r>
        <w:rPr>
          <w:noProof/>
        </w:rPr>
        <w:t>There is a need to investigate the impacts of non-indigenous species on the native communities, ecosystems and the services they provide.</w:t>
      </w:r>
    </w:p>
    <w:p>
      <w:pPr>
        <w:pStyle w:val="ListBullet1"/>
        <w:rPr>
          <w:noProof/>
        </w:rPr>
      </w:pPr>
      <w:r>
        <w:rPr>
          <w:noProof/>
        </w:rPr>
        <w:t>Measures would need to better address the main pathways of introduction in order to minimise new introductions, and would, thus, differ from region to region. In terms of preventing the impacts from such introductions, measures would need to focus on increasing the resilience of Europe’s seas ecosystems and minimising the conditions that can promote non-indigenous species to become invasive. Such conditions include the existence of ‘empty niches’ in the food web because of the reductions of certain native species resulting from human activities, such as the loss of top predators caused by fisheries, or climate change impacts reflected in an increased sea surface temperature.</w:t>
      </w:r>
    </w:p>
    <w:p>
      <w:pPr>
        <w:pStyle w:val="ListBullet1"/>
        <w:rPr>
          <w:noProof/>
        </w:rPr>
      </w:pPr>
      <w:r>
        <w:rPr>
          <w:noProof/>
        </w:rPr>
        <w:t>The implementation of current global and EU legislative instruments and policies, such as the MSFD, the Invasive Alien Species Regulation, and the Ballast Water Management Convention</w:t>
      </w:r>
      <w:r>
        <w:rPr>
          <w:rStyle w:val="FootnoteReference"/>
          <w:noProof/>
        </w:rPr>
        <w:footnoteReference w:id="12"/>
      </w:r>
      <w:r>
        <w:rPr>
          <w:noProof/>
        </w:rPr>
        <w:t>, should be monitored in terms of their efficiency in decreasing the risk of new introductions of alien species.</w:t>
      </w:r>
    </w:p>
    <w:p>
      <w:pPr>
        <w:pStyle w:val="Heading1"/>
        <w:rPr>
          <w:noProof/>
        </w:rPr>
      </w:pPr>
      <w:bookmarkStart w:id="54" w:name="_Toc30404127"/>
      <w:r>
        <w:rPr>
          <w:noProof/>
        </w:rPr>
        <w:t>Key messages</w:t>
      </w:r>
      <w:bookmarkEnd w:id="54"/>
    </w:p>
    <w:p>
      <w:pPr>
        <w:pStyle w:val="ListBullet1"/>
        <w:rPr>
          <w:noProof/>
        </w:rPr>
      </w:pPr>
      <w:r>
        <w:rPr>
          <w:noProof/>
        </w:rPr>
        <w:t xml:space="preserve">There are over 1200 marine non-indigenous species in Europe’s seas. The cumulative number of non-indigenous species is still increasing, since they are still introduced into Europe’s seas. However, the rate of new introductions seems to be decelerating. </w:t>
      </w:r>
    </w:p>
    <w:p>
      <w:pPr>
        <w:pStyle w:val="ListBullet1"/>
        <w:rPr>
          <w:noProof/>
        </w:rPr>
      </w:pPr>
      <w:r>
        <w:rPr>
          <w:noProof/>
        </w:rPr>
        <w:t xml:space="preserve">The main pathways for introductions of alien species in Europe´s seas seem to be shipping (49%) and marine and inland corridors (33 %).  </w:t>
      </w:r>
    </w:p>
    <w:p>
      <w:pPr>
        <w:pStyle w:val="ListBullet1"/>
        <w:rPr>
          <w:noProof/>
        </w:rPr>
      </w:pPr>
      <w:r>
        <w:rPr>
          <w:noProof/>
        </w:rPr>
        <w:t>The vast majority of the European marine non-indigenous species have their native distribution in the Western and Central Indo Pacific. However, there are various patterns of the dominating native distributions of the introduced species in Europe, depending on the European marine subregions where they have been initially introduced.</w:t>
      </w:r>
    </w:p>
    <w:p>
      <w:pPr>
        <w:pStyle w:val="ListBullet1"/>
        <w:rPr>
          <w:noProof/>
        </w:rPr>
      </w:pPr>
      <w:r>
        <w:rPr>
          <w:noProof/>
        </w:rPr>
        <w:t>Some non-indigenous species already introduced have significantly expanded their distribution range in some areas. However, it is difficult to assess the proportion of marine species and habitats that have been adversely affected.</w:t>
      </w:r>
    </w:p>
    <w:p>
      <w:pPr>
        <w:pStyle w:val="ListBullet1"/>
        <w:rPr>
          <w:noProof/>
        </w:rPr>
      </w:pPr>
      <w:r>
        <w:rPr>
          <w:noProof/>
        </w:rPr>
        <w:t>New refined baseline inventories of non-indigenous species per Member State show discrepancies with the initial assessments reported under the MSFD. Italy, France, Spain and Greece had the largest numbers of non-indigenous species back in 2011 (more than 150 species each). These baselines provide an improved basis for reporting new introductions and for establishing of monitoring systems.</w:t>
      </w:r>
    </w:p>
    <w:p>
      <w:pPr>
        <w:pStyle w:val="ListBullet1"/>
        <w:rPr>
          <w:noProof/>
        </w:rPr>
      </w:pPr>
      <w:r>
        <w:rPr>
          <w:noProof/>
        </w:rPr>
        <w:t>More than 80 non-indigenous species correspond to invasive alien species. Their impacts may be scored and mapped, their impacts are obvious in coastal areas but not offshore. The total area of Europe’s marine and coastal ecosystems impacted by invasive alien species is 7%. However, this is most likely an underestimation due to the knowledge gaps regarding their actual distribution and impacts.</w:t>
      </w:r>
    </w:p>
    <w:p>
      <w:pPr>
        <w:spacing w:after="0"/>
        <w:jc w:val="left"/>
        <w:rPr>
          <w:b/>
          <w:noProof/>
          <w:sz w:val="32"/>
        </w:rPr>
      </w:pPr>
    </w:p>
    <w:sectPr>
      <w:headerReference w:type="even" r:id="rId67"/>
      <w:headerReference w:type="default" r:id="rId68"/>
      <w:footerReference w:type="even" r:id="rId69"/>
      <w:footerReference w:type="default" r:id="rId70"/>
      <w:headerReference w:type="first" r:id="rId71"/>
      <w:footerReference w:type="first" r:id="rId72"/>
      <w:pgSz w:w="11906" w:h="16838" w:code="9"/>
      <w:pgMar w:top="1021" w:right="1701" w:bottom="1021" w:left="1588" w:header="601" w:footer="107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w:altName w:val="Segoe UI"/>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ヒラギノ角ゴ Pro W3">
    <w:altName w:val="MS Gothic"/>
    <w:panose1 w:val="00000000000000000000"/>
    <w:charset w:val="80"/>
    <w:family w:val="roman"/>
    <w:notTrueType/>
    <w:pitch w:val="default"/>
  </w:font>
  <w:font w:name="Lohit Devanagar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fldChar w:fldCharType="begin"/>
    </w:r>
    <w:r>
      <w:instrText>PAGE   \* MERGEFORMAT</w:instrText>
    </w:r>
    <w:r>
      <w:fldChar w:fldCharType="separate"/>
    </w:r>
    <w:r>
      <w:rPr>
        <w:noProof/>
      </w:rPr>
      <w:t>2</w:t>
    </w:r>
    <w:r>
      <w:fldChar w:fldCharType="end"/>
    </w: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fldChar w:fldCharType="begin"/>
    </w:r>
    <w:r>
      <w:instrText>PAGE   \* MERGEFORMAT</w:instrText>
    </w:r>
    <w:r>
      <w:fldChar w:fldCharType="separate"/>
    </w:r>
    <w:r>
      <w:rPr>
        <w:noProof/>
      </w:rPr>
      <w:t>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alias w:val="EC Footers - EC Standard Footer "/>
      <w:tag w:val="SVoGAZ38gakDmzcHmLly90-Uz5BECj2qQF70SGAMzDdI0"/>
      <w:id w:val="2138752632"/>
      <w:showingPlcHdr/>
    </w:sdtPr>
    <w:sdtContent>
      <w:p>
        <w:pPr>
          <w:pStyle w:val="Footer"/>
        </w:pPr>
        <w: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id="1">
    <w:p>
      <w:pPr>
        <w:pStyle w:val="FootnoteText"/>
        <w:rPr>
          <w:lang w:val="en-IE"/>
        </w:rPr>
      </w:pPr>
      <w:r>
        <w:rPr>
          <w:rStyle w:val="FootnoteReference"/>
        </w:rPr>
        <w:footnoteRef/>
      </w:r>
      <w:r>
        <w:t xml:space="preserve"> Directive 2008/56/EC of the European Parliament and of the Council of 17 June 2008 establishing a framework for community action in the field of marine environmental policy (Marine Strategy Framework Directive) (OJ L 164, 25.6.2008, p. 19).</w:t>
      </w:r>
    </w:p>
  </w:footnote>
  <w:footnote w:id="2">
    <w:p>
      <w:pPr>
        <w:pStyle w:val="FootnoteText"/>
      </w:pPr>
      <w:r>
        <w:rPr>
          <w:rStyle w:val="FootnoteReference"/>
        </w:rPr>
        <w:footnoteRef/>
      </w:r>
      <w:r>
        <w:t xml:space="preserve"> The 11 qualitative descriptors are defined in Annex I of the </w:t>
      </w:r>
      <w:r>
        <w:rPr>
          <w:bCs/>
        </w:rPr>
        <w:t>Marine Strategy Framework Directive</w:t>
      </w:r>
      <w:r>
        <w:t xml:space="preserve"> and further specified in Commission Decision 2017/848/EU. They include D1- Biodiversity, D2- Non indigenous species, D3- Commercial fish and shellfish, D4- Food webs, D5- Eutrophication, D6- Sea-floor integrity, D7- Hydrographical changes, D8- Contaminants, D9- Contaminants in seafood, D10- Litter, D11- Energy, including underwater noise. </w:t>
      </w:r>
    </w:p>
  </w:footnote>
  <w:footnote w:id="3">
    <w:p>
      <w:pPr>
        <w:pStyle w:val="FootnoteText"/>
      </w:pPr>
      <w:r>
        <w:rPr>
          <w:rStyle w:val="FootnoteReference"/>
        </w:rPr>
        <w:footnoteRef/>
      </w:r>
      <w:r>
        <w:t xml:space="preserve"> A number of figures in this Staff Working Document represent the information recently reported by 10 Member States (Belgium, Denmark, Germany, Estonia, Spain, Latvia, Netherlands, Poland, Finland, Sweden) using the ART8_GES schema: </w:t>
      </w:r>
      <w:hyperlink r:id="rId1" w:history="1">
        <w:r>
          <w:rPr>
            <w:rStyle w:val="Hyperlink"/>
          </w:rPr>
          <w:t>https://cdr.eionet.europa.eu/help/msfd/MSFD%20Schemas</w:t>
        </w:r>
      </w:hyperlink>
      <w:r>
        <w:t xml:space="preserve">. The figures show the percentage (vertical axis) and the total number of assessments (numbers on the bars) with conclusions at the “overall status level” and the “criteria level” (see </w:t>
      </w:r>
      <w:r>
        <w:rPr>
          <w:highlight w:val="yellow"/>
        </w:rPr>
        <w:fldChar w:fldCharType="begin"/>
      </w:r>
      <w:r>
        <w:instrText xml:space="preserve"> REF _Ref29367735 \h </w:instrText>
      </w:r>
      <w:r>
        <w:rPr>
          <w:highlight w:val="yellow"/>
        </w:rPr>
      </w:r>
      <w:r>
        <w:rPr>
          <w:highlight w:val="yellow"/>
        </w:rPr>
        <w:fldChar w:fldCharType="separate"/>
      </w:r>
      <w:r>
        <w:t xml:space="preserve">Table </w:t>
      </w:r>
      <w:r>
        <w:rPr>
          <w:noProof/>
        </w:rPr>
        <w:t>1</w:t>
      </w:r>
      <w:r>
        <w:rPr>
          <w:highlight w:val="yellow"/>
        </w:rPr>
        <w:fldChar w:fldCharType="end"/>
      </w:r>
      <w:r>
        <w:t>). Not all Member States have reported on all the criteria or all the descriptors, therefore the percentages refer to the proportion out of the total number of assessments reported.</w:t>
      </w:r>
    </w:p>
  </w:footnote>
  <w:footnote w:id="4">
    <w:p>
      <w:pPr>
        <w:pStyle w:val="FootnoteText"/>
        <w:rPr>
          <w:lang w:val="en-IE"/>
        </w:rPr>
      </w:pPr>
      <w:r>
        <w:rPr>
          <w:rStyle w:val="FootnoteReference"/>
        </w:rPr>
        <w:footnoteRef/>
      </w:r>
      <w:r>
        <w:t xml:space="preserve"> </w:t>
      </w:r>
      <w:hyperlink r:id="rId2" w:history="1">
        <w:r>
          <w:rPr>
            <w:rStyle w:val="Hyperlink"/>
          </w:rPr>
          <w:t>https://water.europa.eu/marine</w:t>
        </w:r>
      </w:hyperlink>
    </w:p>
  </w:footnote>
  <w:footnote w:id="5">
    <w:p>
      <w:pPr>
        <w:pStyle w:val="FootnoteText"/>
        <w:jc w:val="left"/>
      </w:pPr>
      <w:r>
        <w:rPr>
          <w:rStyle w:val="FootnoteReference"/>
        </w:rPr>
        <w:footnoteRef/>
      </w:r>
      <w:r>
        <w:t xml:space="preserve"> Baltic Sea: HELCOM HOLAS II (</w:t>
      </w:r>
      <w:hyperlink r:id="rId3" w:history="1">
        <w:r>
          <w:rPr>
            <w:rStyle w:val="Hyperlink"/>
          </w:rPr>
          <w:t>http://www.helcom.fi/helcom-at-work/projects/holas-ii</w:t>
        </w:r>
      </w:hyperlink>
      <w:r>
        <w:t>); North-east Atlantic Ocean: OSPAR Intermediate Assessment 2017 (</w:t>
      </w:r>
      <w:hyperlink r:id="rId4" w:history="1">
        <w:r>
          <w:rPr>
            <w:rStyle w:val="Hyperlink"/>
          </w:rPr>
          <w:t>https://oap.ospar.org/en/ospar-assessments/intermediate-assessment-2017/introduction/ospar-and-intermediate-assessment-2017/</w:t>
        </w:r>
      </w:hyperlink>
      <w:r>
        <w:t>); Mediterranean Sea: UNEP/MAP Quality Status Report 2017 (</w:t>
      </w:r>
      <w:hyperlink r:id="rId5" w:history="1">
        <w:r>
          <w:rPr>
            <w:rStyle w:val="Hyperlink"/>
          </w:rPr>
          <w:t>https://www.medqsr.org/</w:t>
        </w:r>
      </w:hyperlink>
      <w:r>
        <w:t>); Black Sea: Black Sea State of Environment Report 2009-2014/5, which was not available at the time of preparation of this report (</w:t>
      </w:r>
      <w:hyperlink r:id="rId6" w:history="1">
        <w:r>
          <w:rPr>
            <w:rStyle w:val="Hyperlink"/>
          </w:rPr>
          <w:t>http://www.blacksea-commission.org/SoE2009-2014/SoE2009-2014.pdf</w:t>
        </w:r>
      </w:hyperlink>
      <w:r>
        <w:t xml:space="preserve">). </w:t>
      </w:r>
    </w:p>
  </w:footnote>
  <w:footnote w:id="6">
    <w:p>
      <w:pPr>
        <w:pStyle w:val="FootnoteText"/>
        <w:jc w:val="left"/>
        <w:rPr>
          <w:lang w:val="en-IE"/>
        </w:rPr>
      </w:pPr>
      <w:r>
        <w:rPr>
          <w:rStyle w:val="FootnoteReference"/>
        </w:rPr>
        <w:footnoteRef/>
      </w:r>
      <w:r>
        <w:t xml:space="preserve"> </w:t>
      </w:r>
      <w:r>
        <w:rPr>
          <w:lang w:val="en-IE"/>
        </w:rPr>
        <w:t>Applicable to birds, mammals, reptiles, fish and cephalopods; taking into account the absence of cephalopods in the Black Sea and of reptiles in the Baltic Sea.</w:t>
      </w:r>
    </w:p>
  </w:footnote>
  <w:footnote w:id="7">
    <w:p>
      <w:pPr>
        <w:pStyle w:val="FootnoteText"/>
        <w:spacing w:after="0"/>
      </w:pPr>
      <w:r>
        <w:rPr>
          <w:rStyle w:val="FootnoteReference"/>
        </w:rPr>
        <w:footnoteRef/>
      </w:r>
      <w:r>
        <w:t xml:space="preserve"> The European Red List is funded by the European Commission and compiled by IUCN’s Global Species Programme. It assesses all vertebrates (mammals, amphibians, reptiles, birds and fishes). The status is based on percentage of species.</w:t>
      </w:r>
    </w:p>
  </w:footnote>
  <w:footnote w:id="8">
    <w:p>
      <w:pPr>
        <w:pStyle w:val="FootnoteText"/>
        <w:rPr>
          <w:lang w:val="en-US"/>
        </w:rPr>
      </w:pPr>
      <w:r>
        <w:rPr>
          <w:rStyle w:val="FootnoteReference"/>
        </w:rPr>
        <w:footnoteRef/>
      </w:r>
      <w:r>
        <w:t xml:space="preserve"> </w:t>
      </w:r>
      <w:r>
        <w:rPr>
          <w:lang w:val="en-IE"/>
        </w:rPr>
        <w:t>Even if b</w:t>
      </w:r>
      <w:r>
        <w:t>enthic habitats are described under Descriptor 6, they were also included in this table to allow for the comparison of all ecosystem components.</w:t>
      </w:r>
    </w:p>
  </w:footnote>
  <w:footnote w:id="9">
    <w:p>
      <w:pPr>
        <w:pStyle w:val="FootnoteText"/>
        <w:rPr>
          <w:lang w:val="en-US"/>
        </w:rPr>
      </w:pPr>
      <w:r>
        <w:rPr>
          <w:rStyle w:val="FootnoteReference"/>
        </w:rPr>
        <w:footnoteRef/>
      </w:r>
      <w:r>
        <w:t xml:space="preserve"> Regulation (EU) No 1143/2014 of the European Parliament and of the Council on the prevention and management of the introduction and spread of invasive alien species. Official Journal of the European Union (L315), pp. 35-55.</w:t>
      </w:r>
    </w:p>
  </w:footnote>
  <w:footnote w:id="10">
    <w:p>
      <w:pPr>
        <w:pStyle w:val="FootnoteText"/>
      </w:pPr>
      <w:r>
        <w:rPr>
          <w:rStyle w:val="FootnoteReference"/>
        </w:rPr>
        <w:footnoteRef/>
      </w:r>
      <w:r>
        <w:t xml:space="preserve"> International Council for the Exploration of the Seas</w:t>
      </w:r>
    </w:p>
  </w:footnote>
  <w:footnote w:id="11">
    <w:p>
      <w:pPr>
        <w:pStyle w:val="FootnoteText"/>
        <w:rPr>
          <w:lang w:val="en-US"/>
        </w:rPr>
      </w:pPr>
      <w:r>
        <w:rPr>
          <w:rStyle w:val="FootnoteReference"/>
        </w:rPr>
        <w:footnoteRef/>
      </w:r>
      <w:r>
        <w:t xml:space="preserve"> AquaNIS (2018), which is routinely updated by the ICES Working Group of Introduction and Transfers of Marine Organisms, substantially contributed to the Baltic Sea and several </w:t>
      </w:r>
      <w:r>
        <w:rPr>
          <w:lang w:val="en-US"/>
        </w:rPr>
        <w:t>North-east Atlantic</w:t>
      </w:r>
      <w:r>
        <w:t xml:space="preserve"> countries.</w:t>
      </w:r>
    </w:p>
  </w:footnote>
  <w:footnote w:id="12">
    <w:p>
      <w:pPr>
        <w:pStyle w:val="FootnoteText"/>
        <w:rPr>
          <w:lang w:val="en-US"/>
        </w:rPr>
      </w:pPr>
      <w:r>
        <w:rPr>
          <w:rStyle w:val="FootnoteReference"/>
        </w:rPr>
        <w:footnoteRef/>
      </w:r>
      <w:r>
        <w:t xml:space="preserve"> The International Convention for the Control and Management of Ships' Ballast Water and Sediments adopted by the International Maritime Organization (IMO) in February 2004 in order to halt invasive aquatic species.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70301"/>
    <w:multiLevelType w:val="multilevel"/>
    <w:tmpl w:val="B36CDBE6"/>
    <w:lvl w:ilvl="0">
      <w:start w:val="1"/>
      <w:numFmt w:val="bullet"/>
      <w:lvlText w:val=""/>
      <w:lvlJc w:val="left"/>
      <w:pPr>
        <w:tabs>
          <w:tab w:val="num" w:pos="765"/>
        </w:tabs>
        <w:ind w:left="765" w:hanging="283"/>
      </w:pPr>
      <w:rPr>
        <w:rFonts w:ascii="Symbol" w:hAnsi="Symbol"/>
      </w:rPr>
    </w:lvl>
    <w:lvl w:ilvl="1">
      <w:start w:val="1"/>
      <w:numFmt w:val="bullet"/>
      <w:lvlText w:val="o"/>
      <w:lvlJc w:val="left"/>
      <w:pPr>
        <w:tabs>
          <w:tab w:val="num" w:pos="1049"/>
        </w:tabs>
        <w:ind w:left="1049" w:hanging="284"/>
      </w:pPr>
      <w:rPr>
        <w:rFonts w:ascii="Courier New" w:hAnsi="Courier New" w:cs="Courier New" w:hint="default"/>
      </w:rPr>
    </w:lvl>
    <w:lvl w:ilvl="2">
      <w:start w:val="1"/>
      <w:numFmt w:val="bullet"/>
      <w:lvlText w:val=""/>
      <w:lvlJc w:val="left"/>
      <w:pPr>
        <w:tabs>
          <w:tab w:val="num" w:pos="1332"/>
        </w:tabs>
        <w:ind w:left="1332" w:hanging="283"/>
      </w:pPr>
      <w:rPr>
        <w:rFonts w:ascii="Symbol" w:hAnsi="Symbol"/>
      </w:rPr>
    </w:lvl>
    <w:lvl w:ilvl="3">
      <w:start w:val="1"/>
      <w:numFmt w:val="bullet"/>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nsid w:val="0A2900F7"/>
    <w:multiLevelType w:val="multilevel"/>
    <w:tmpl w:val="79E8231E"/>
    <w:name w:val="ListDash4Numbering"/>
    <w:lvl w:ilvl="0">
      <w:start w:val="1"/>
      <w:numFmt w:val="bullet"/>
      <w:pStyle w:val="ListDash4"/>
      <w:lvlText w:val="–"/>
      <w:lvlJc w:val="left"/>
      <w:pPr>
        <w:tabs>
          <w:tab w:val="num" w:pos="1485"/>
        </w:tabs>
        <w:ind w:left="1485" w:hanging="283"/>
      </w:pPr>
      <w:rPr>
        <w:rFonts w:ascii="Times New Roman" w:hAnsi="Times New Roman"/>
      </w:rPr>
    </w:lvl>
    <w:lvl w:ilvl="1">
      <w:start w:val="1"/>
      <w:numFmt w:val="bullet"/>
      <w:pStyle w:val="ListDash4Level2"/>
      <w:lvlText w:val="–"/>
      <w:lvlJc w:val="left"/>
      <w:pPr>
        <w:tabs>
          <w:tab w:val="num" w:pos="1769"/>
        </w:tabs>
        <w:ind w:left="1769" w:hanging="284"/>
      </w:pPr>
      <w:rPr>
        <w:rFonts w:ascii="Times New Roman" w:hAnsi="Times New Roman"/>
      </w:rPr>
    </w:lvl>
    <w:lvl w:ilvl="2">
      <w:start w:val="1"/>
      <w:numFmt w:val="bullet"/>
      <w:pStyle w:val="ListDash4Level3"/>
      <w:lvlText w:val="–"/>
      <w:lvlJc w:val="left"/>
      <w:pPr>
        <w:tabs>
          <w:tab w:val="num" w:pos="2052"/>
        </w:tabs>
        <w:ind w:left="2052" w:hanging="283"/>
      </w:pPr>
      <w:rPr>
        <w:rFonts w:ascii="Times New Roman" w:hAnsi="Times New Roman"/>
      </w:rPr>
    </w:lvl>
    <w:lvl w:ilvl="3">
      <w:start w:val="1"/>
      <w:numFmt w:val="bullet"/>
      <w:pStyle w:val="ListDash4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
    <w:nsid w:val="0EFB7115"/>
    <w:multiLevelType w:val="multilevel"/>
    <w:tmpl w:val="1FFC6F64"/>
    <w:name w:val="ListNumber3Numbering"/>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
    <w:nsid w:val="120B7201"/>
    <w:multiLevelType w:val="multilevel"/>
    <w:tmpl w:val="8FB45C4C"/>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
    <w:nsid w:val="1262685D"/>
    <w:multiLevelType w:val="multilevel"/>
    <w:tmpl w:val="F2AE8C1C"/>
    <w:name w:val="ListBullet4Numbering"/>
    <w:lvl w:ilvl="0">
      <w:start w:val="1"/>
      <w:numFmt w:val="bullet"/>
      <w:pStyle w:val="ListBullet4"/>
      <w:lvlText w:val=""/>
      <w:lvlJc w:val="left"/>
      <w:pPr>
        <w:tabs>
          <w:tab w:val="num" w:pos="1485"/>
        </w:tabs>
        <w:ind w:left="1485" w:hanging="283"/>
      </w:pPr>
      <w:rPr>
        <w:rFonts w:ascii="Symbol" w:hAnsi="Symbol"/>
      </w:rPr>
    </w:lvl>
    <w:lvl w:ilvl="1">
      <w:start w:val="1"/>
      <w:numFmt w:val="bullet"/>
      <w:pStyle w:val="ListBullet4Level2"/>
      <w:lvlText w:val=""/>
      <w:lvlJc w:val="left"/>
      <w:pPr>
        <w:tabs>
          <w:tab w:val="num" w:pos="1769"/>
        </w:tabs>
        <w:ind w:left="1769" w:hanging="284"/>
      </w:pPr>
      <w:rPr>
        <w:rFonts w:ascii="Symbol" w:hAnsi="Symbol"/>
      </w:rPr>
    </w:lvl>
    <w:lvl w:ilvl="2">
      <w:start w:val="1"/>
      <w:numFmt w:val="bullet"/>
      <w:pStyle w:val="ListBullet4Level3"/>
      <w:lvlText w:val=""/>
      <w:lvlJc w:val="left"/>
      <w:pPr>
        <w:tabs>
          <w:tab w:val="num" w:pos="2052"/>
        </w:tabs>
        <w:ind w:left="2052" w:hanging="283"/>
      </w:pPr>
      <w:rPr>
        <w:rFonts w:ascii="Symbol" w:hAnsi="Symbol"/>
      </w:rPr>
    </w:lvl>
    <w:lvl w:ilvl="3">
      <w:start w:val="1"/>
      <w:numFmt w:val="bullet"/>
      <w:pStyle w:val="ListBullet4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nsid w:val="143D0A16"/>
    <w:multiLevelType w:val="multilevel"/>
    <w:tmpl w:val="FDC4D9E0"/>
    <w:name w:val="ListBullet3Numbering"/>
    <w:lvl w:ilvl="0">
      <w:start w:val="1"/>
      <w:numFmt w:val="bullet"/>
      <w:pStyle w:val="ListBullet3"/>
      <w:lvlText w:val=""/>
      <w:lvlJc w:val="left"/>
      <w:pPr>
        <w:tabs>
          <w:tab w:val="num" w:pos="1485"/>
        </w:tabs>
        <w:ind w:left="1485" w:hanging="283"/>
      </w:pPr>
      <w:rPr>
        <w:rFonts w:ascii="Symbol" w:hAnsi="Symbol"/>
      </w:rPr>
    </w:lvl>
    <w:lvl w:ilvl="1">
      <w:start w:val="1"/>
      <w:numFmt w:val="bullet"/>
      <w:pStyle w:val="ListBullet3Level2"/>
      <w:lvlText w:val=""/>
      <w:lvlJc w:val="left"/>
      <w:pPr>
        <w:tabs>
          <w:tab w:val="num" w:pos="1769"/>
        </w:tabs>
        <w:ind w:left="1769" w:hanging="284"/>
      </w:pPr>
      <w:rPr>
        <w:rFonts w:ascii="Symbol" w:hAnsi="Symbol"/>
      </w:rPr>
    </w:lvl>
    <w:lvl w:ilvl="2">
      <w:start w:val="1"/>
      <w:numFmt w:val="bullet"/>
      <w:pStyle w:val="ListBullet3Level3"/>
      <w:lvlText w:val=""/>
      <w:lvlJc w:val="left"/>
      <w:pPr>
        <w:tabs>
          <w:tab w:val="num" w:pos="2052"/>
        </w:tabs>
        <w:ind w:left="2052" w:hanging="283"/>
      </w:pPr>
      <w:rPr>
        <w:rFonts w:ascii="Symbol" w:hAnsi="Symbol"/>
      </w:rPr>
    </w:lvl>
    <w:lvl w:ilvl="3">
      <w:start w:val="1"/>
      <w:numFmt w:val="bullet"/>
      <w:pStyle w:val="ListBullet3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
    <w:nsid w:val="172F0AC5"/>
    <w:multiLevelType w:val="multilevel"/>
    <w:tmpl w:val="8210370C"/>
    <w:name w:val="ListNumber2Numbering"/>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
    <w:nsid w:val="1C325FC9"/>
    <w:multiLevelType w:val="multilevel"/>
    <w:tmpl w:val="0F52256A"/>
    <w:styleLink w:val="Style1"/>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1C7B624F"/>
    <w:multiLevelType w:val="multilevel"/>
    <w:tmpl w:val="F67C82B6"/>
    <w:name w:val="ListDash2Numbering"/>
    <w:lvl w:ilvl="0">
      <w:start w:val="1"/>
      <w:numFmt w:val="bullet"/>
      <w:pStyle w:val="ListDash2"/>
      <w:lvlText w:val="–"/>
      <w:lvlJc w:val="left"/>
      <w:pPr>
        <w:tabs>
          <w:tab w:val="num" w:pos="1485"/>
        </w:tabs>
        <w:ind w:left="1485" w:hanging="283"/>
      </w:pPr>
      <w:rPr>
        <w:rFonts w:ascii="Times New Roman" w:hAnsi="Times New Roman"/>
      </w:rPr>
    </w:lvl>
    <w:lvl w:ilvl="1">
      <w:start w:val="1"/>
      <w:numFmt w:val="bullet"/>
      <w:pStyle w:val="ListDash2Level2"/>
      <w:lvlText w:val="–"/>
      <w:lvlJc w:val="left"/>
      <w:pPr>
        <w:tabs>
          <w:tab w:val="num" w:pos="1769"/>
        </w:tabs>
        <w:ind w:left="1769" w:hanging="284"/>
      </w:pPr>
      <w:rPr>
        <w:rFonts w:ascii="Times New Roman" w:hAnsi="Times New Roman"/>
      </w:rPr>
    </w:lvl>
    <w:lvl w:ilvl="2">
      <w:start w:val="1"/>
      <w:numFmt w:val="bullet"/>
      <w:pStyle w:val="ListDash2Level3"/>
      <w:lvlText w:val="–"/>
      <w:lvlJc w:val="left"/>
      <w:pPr>
        <w:tabs>
          <w:tab w:val="num" w:pos="2052"/>
        </w:tabs>
        <w:ind w:left="2052" w:hanging="283"/>
      </w:pPr>
      <w:rPr>
        <w:rFonts w:ascii="Times New Roman" w:hAnsi="Times New Roman"/>
      </w:rPr>
    </w:lvl>
    <w:lvl w:ilvl="3">
      <w:start w:val="1"/>
      <w:numFmt w:val="bullet"/>
      <w:pStyle w:val="ListDash2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
    <w:nsid w:val="22414C3C"/>
    <w:multiLevelType w:val="hybridMultilevel"/>
    <w:tmpl w:val="D03C2C7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C8DFDF8"/>
    <w:multiLevelType w:val="multilevel"/>
    <w:tmpl w:val="7E587460"/>
    <w:name w:val="ListBullet2Numbering"/>
    <w:lvl w:ilvl="0">
      <w:start w:val="1"/>
      <w:numFmt w:val="bullet"/>
      <w:pStyle w:val="ListBullet2"/>
      <w:lvlText w:val=""/>
      <w:lvlJc w:val="left"/>
      <w:pPr>
        <w:tabs>
          <w:tab w:val="num" w:pos="765"/>
        </w:tabs>
        <w:ind w:left="765" w:hanging="283"/>
      </w:pPr>
      <w:rPr>
        <w:rFonts w:ascii="Symbol" w:hAnsi="Symbol"/>
      </w:rPr>
    </w:lvl>
    <w:lvl w:ilvl="1">
      <w:start w:val="1"/>
      <w:numFmt w:val="bullet"/>
      <w:pStyle w:val="ListBullet2Level2"/>
      <w:lvlText w:val=""/>
      <w:lvlJc w:val="left"/>
      <w:pPr>
        <w:tabs>
          <w:tab w:val="num" w:pos="1049"/>
        </w:tabs>
        <w:ind w:left="1049" w:hanging="284"/>
      </w:pPr>
      <w:rPr>
        <w:rFonts w:ascii="Symbol" w:hAnsi="Symbol"/>
      </w:rPr>
    </w:lvl>
    <w:lvl w:ilvl="2">
      <w:start w:val="1"/>
      <w:numFmt w:val="bullet"/>
      <w:pStyle w:val="ListBullet2Level3"/>
      <w:lvlText w:val=""/>
      <w:lvlJc w:val="left"/>
      <w:pPr>
        <w:tabs>
          <w:tab w:val="num" w:pos="1332"/>
        </w:tabs>
        <w:ind w:left="1332" w:hanging="283"/>
      </w:pPr>
      <w:rPr>
        <w:rFonts w:ascii="Symbol" w:hAnsi="Symbol"/>
      </w:rPr>
    </w:lvl>
    <w:lvl w:ilvl="3">
      <w:start w:val="1"/>
      <w:numFmt w:val="bullet"/>
      <w:pStyle w:val="ListBullet2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1">
    <w:nsid w:val="2D293CE3"/>
    <w:multiLevelType w:val="multilevel"/>
    <w:tmpl w:val="C256E428"/>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2">
    <w:nsid w:val="36324F1E"/>
    <w:multiLevelType w:val="multilevel"/>
    <w:tmpl w:val="DE4CCEDC"/>
    <w:name w:val="ListDash3Numbering"/>
    <w:lvl w:ilvl="0">
      <w:start w:val="1"/>
      <w:numFmt w:val="bullet"/>
      <w:pStyle w:val="ListDash3"/>
      <w:lvlText w:val="–"/>
      <w:lvlJc w:val="left"/>
      <w:pPr>
        <w:tabs>
          <w:tab w:val="num" w:pos="1485"/>
        </w:tabs>
        <w:ind w:left="1485" w:hanging="283"/>
      </w:pPr>
      <w:rPr>
        <w:rFonts w:ascii="Times New Roman" w:hAnsi="Times New Roman"/>
      </w:rPr>
    </w:lvl>
    <w:lvl w:ilvl="1">
      <w:start w:val="1"/>
      <w:numFmt w:val="bullet"/>
      <w:pStyle w:val="ListDash3Level2"/>
      <w:lvlText w:val="–"/>
      <w:lvlJc w:val="left"/>
      <w:pPr>
        <w:tabs>
          <w:tab w:val="num" w:pos="1769"/>
        </w:tabs>
        <w:ind w:left="1769" w:hanging="284"/>
      </w:pPr>
      <w:rPr>
        <w:rFonts w:ascii="Times New Roman" w:hAnsi="Times New Roman"/>
      </w:rPr>
    </w:lvl>
    <w:lvl w:ilvl="2">
      <w:start w:val="1"/>
      <w:numFmt w:val="bullet"/>
      <w:pStyle w:val="ListDash3Level3"/>
      <w:lvlText w:val="–"/>
      <w:lvlJc w:val="left"/>
      <w:pPr>
        <w:tabs>
          <w:tab w:val="num" w:pos="2052"/>
        </w:tabs>
        <w:ind w:left="2052" w:hanging="283"/>
      </w:pPr>
      <w:rPr>
        <w:rFonts w:ascii="Times New Roman" w:hAnsi="Times New Roman"/>
      </w:rPr>
    </w:lvl>
    <w:lvl w:ilvl="3">
      <w:start w:val="1"/>
      <w:numFmt w:val="bullet"/>
      <w:pStyle w:val="ListDash3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3">
    <w:nsid w:val="37CB1E1C"/>
    <w:multiLevelType w:val="multilevel"/>
    <w:tmpl w:val="47F603C4"/>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4">
    <w:nsid w:val="3A7730C4"/>
    <w:multiLevelType w:val="multilevel"/>
    <w:tmpl w:val="D60E6FF4"/>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5">
    <w:nsid w:val="429E662A"/>
    <w:multiLevelType w:val="multilevel"/>
    <w:tmpl w:val="45346BC2"/>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6">
    <w:nsid w:val="4E1A982C"/>
    <w:multiLevelType w:val="multilevel"/>
    <w:tmpl w:val="F54AC7BA"/>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7">
    <w:nsid w:val="5072619B"/>
    <w:multiLevelType w:val="multilevel"/>
    <w:tmpl w:val="636A5EEE"/>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8">
    <w:nsid w:val="512A0E5C"/>
    <w:multiLevelType w:val="multilevel"/>
    <w:tmpl w:val="4152583A"/>
    <w:lvl w:ilvl="0">
      <w:start w:val="1"/>
      <w:numFmt w:val="bullet"/>
      <w:lvlText w:val=""/>
      <w:lvlJc w:val="left"/>
      <w:pPr>
        <w:tabs>
          <w:tab w:val="num" w:pos="765"/>
        </w:tabs>
        <w:ind w:left="765" w:hanging="283"/>
      </w:pPr>
      <w:rPr>
        <w:rFonts w:ascii="Symbol" w:hAnsi="Symbol"/>
      </w:rPr>
    </w:lvl>
    <w:lvl w:ilvl="1">
      <w:start w:val="1"/>
      <w:numFmt w:val="bullet"/>
      <w:lvlText w:val="o"/>
      <w:lvlJc w:val="left"/>
      <w:pPr>
        <w:tabs>
          <w:tab w:val="num" w:pos="1049"/>
        </w:tabs>
        <w:ind w:left="1049" w:hanging="284"/>
      </w:pPr>
      <w:rPr>
        <w:rFonts w:ascii="Courier New" w:hAnsi="Courier New" w:cs="Courier New" w:hint="default"/>
      </w:rPr>
    </w:lvl>
    <w:lvl w:ilvl="2">
      <w:start w:val="1"/>
      <w:numFmt w:val="bullet"/>
      <w:lvlText w:val=""/>
      <w:lvlJc w:val="left"/>
      <w:pPr>
        <w:tabs>
          <w:tab w:val="num" w:pos="1332"/>
        </w:tabs>
        <w:ind w:left="1332" w:hanging="283"/>
      </w:pPr>
      <w:rPr>
        <w:rFonts w:ascii="Symbol" w:hAnsi="Symbol"/>
      </w:rPr>
    </w:lvl>
    <w:lvl w:ilvl="3">
      <w:start w:val="1"/>
      <w:numFmt w:val="bullet"/>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9">
    <w:nsid w:val="605F58B1"/>
    <w:multiLevelType w:val="multilevel"/>
    <w:tmpl w:val="A66AE0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6977472E"/>
    <w:multiLevelType w:val="multilevel"/>
    <w:tmpl w:val="AF7820F2"/>
    <w:name w:val="ListNumber4Numbering"/>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1">
    <w:nsid w:val="7C65145E"/>
    <w:multiLevelType w:val="multilevel"/>
    <w:tmpl w:val="6D06FB00"/>
    <w:name w:val="EurolookHeading"/>
    <w:lvl w:ilvl="0">
      <w:start w:val="1"/>
      <w:numFmt w:val="decimal"/>
      <w:pStyle w:val="Heading1"/>
      <w:lvlText w:val="%1."/>
      <w:lvlJc w:val="left"/>
      <w:pPr>
        <w:tabs>
          <w:tab w:val="num" w:pos="482"/>
        </w:tabs>
        <w:ind w:left="482" w:hanging="482"/>
      </w:pPr>
    </w:lvl>
    <w:lvl w:ilvl="1">
      <w:start w:val="1"/>
      <w:numFmt w:val="decimal"/>
      <w:pStyle w:val="Heading2"/>
      <w:lvlText w:val="%1.%2."/>
      <w:lvlJc w:val="left"/>
      <w:pPr>
        <w:tabs>
          <w:tab w:val="num" w:pos="1202"/>
        </w:tabs>
        <w:ind w:left="1202" w:hanging="720"/>
      </w:pPr>
    </w:lvl>
    <w:lvl w:ilvl="2">
      <w:start w:val="1"/>
      <w:numFmt w:val="decimal"/>
      <w:pStyle w:val="Heading3"/>
      <w:lvlText w:val="%1.%2.%3."/>
      <w:lvlJc w:val="left"/>
      <w:pPr>
        <w:tabs>
          <w:tab w:val="num" w:pos="1922"/>
        </w:tabs>
        <w:ind w:left="1922" w:hanging="720"/>
      </w:pPr>
    </w:lvl>
    <w:lvl w:ilvl="3">
      <w:start w:val="1"/>
      <w:numFmt w:val="decimal"/>
      <w:pStyle w:val="Heading4"/>
      <w:lvlText w:val="%1.%2.%3.%4."/>
      <w:lvlJc w:val="left"/>
      <w:pPr>
        <w:tabs>
          <w:tab w:val="num" w:pos="1922"/>
        </w:tabs>
        <w:ind w:left="1922" w:hanging="720"/>
      </w:pPr>
    </w:lvl>
    <w:lvl w:ilvl="4">
      <w:start w:val="1"/>
      <w:numFmt w:val="decimal"/>
      <w:pStyle w:val="Heading5"/>
      <w:lvlText w:val="%1.%2.%3.%4.%5."/>
      <w:lvlJc w:val="left"/>
      <w:pPr>
        <w:tabs>
          <w:tab w:val="num" w:pos="2880"/>
        </w:tabs>
        <w:ind w:left="3838" w:hanging="958"/>
      </w:pPr>
    </w:lvl>
    <w:lvl w:ilvl="5">
      <w:start w:val="1"/>
      <w:numFmt w:val="decimal"/>
      <w:pStyle w:val="Heading6"/>
      <w:lvlText w:val="%1.%2.%3.%4.%5.%6."/>
      <w:lvlJc w:val="left"/>
      <w:pPr>
        <w:tabs>
          <w:tab w:val="num" w:pos="2880"/>
        </w:tabs>
        <w:ind w:left="3838" w:hanging="958"/>
      </w:pPr>
    </w:lvl>
    <w:lvl w:ilvl="6">
      <w:start w:val="1"/>
      <w:numFmt w:val="decimal"/>
      <w:pStyle w:val="Heading7"/>
      <w:lvlText w:val="%1.%2.%3.%4.%5.%6.%7."/>
      <w:lvlJc w:val="left"/>
      <w:pPr>
        <w:tabs>
          <w:tab w:val="num" w:pos="2880"/>
        </w:tabs>
        <w:ind w:left="3838" w:hanging="958"/>
      </w:pPr>
    </w:lvl>
    <w:lvl w:ilvl="7">
      <w:start w:val="1"/>
      <w:numFmt w:val="decimal"/>
      <w:pStyle w:val="Heading8"/>
      <w:lvlText w:val="%1.%2.%3.%4.%5.%6.%7.%8."/>
      <w:lvlJc w:val="left"/>
      <w:pPr>
        <w:tabs>
          <w:tab w:val="num" w:pos="2880"/>
        </w:tabs>
        <w:ind w:left="3838" w:hanging="958"/>
      </w:pPr>
    </w:lvl>
    <w:lvl w:ilvl="8">
      <w:start w:val="1"/>
      <w:numFmt w:val="decimal"/>
      <w:pStyle w:val="Heading9"/>
      <w:lvlText w:val="%1.%2.%3.%4.%5.%6.%7.%8.%9."/>
      <w:lvlJc w:val="left"/>
      <w:pPr>
        <w:tabs>
          <w:tab w:val="num" w:pos="2880"/>
        </w:tabs>
        <w:ind w:left="3838" w:hanging="958"/>
      </w:pPr>
    </w:lvl>
  </w:abstractNum>
  <w:abstractNum w:abstractNumId="22">
    <w:nsid w:val="7C651460"/>
    <w:multiLevelType w:val="multilevel"/>
    <w:tmpl w:val="DCAA060D"/>
    <w:name w:val="AnnexHeading"/>
    <w:lvl w:ilvl="0">
      <w:start w:val="1"/>
      <w:numFmt w:val="decimal"/>
      <w:lvlText w:val="%1."/>
      <w:lvlJc w:val="left"/>
      <w:pPr>
        <w:tabs>
          <w:tab w:val="num" w:pos="397"/>
        </w:tabs>
        <w:ind w:left="397" w:hanging="397"/>
      </w:pPr>
      <w:rPr>
        <w:rFonts w:hint="default"/>
      </w:rPr>
    </w:lvl>
    <w:lvl w:ilvl="1">
      <w:start w:val="1"/>
      <w:numFmt w:val="decimal"/>
      <w:lvlText w:val="%1."/>
      <w:lvlJc w:val="left"/>
      <w:pPr>
        <w:tabs>
          <w:tab w:val="num" w:pos="397"/>
        </w:tabs>
        <w:ind w:left="397" w:hanging="397"/>
      </w:pPr>
      <w:rPr>
        <w:rFonts w:hint="default"/>
      </w:rPr>
    </w:lvl>
    <w:lvl w:ilvl="2">
      <w:start w:val="1"/>
      <w:numFmt w:val="decimal"/>
      <w:lvlText w:val="%1."/>
      <w:lvlJc w:val="left"/>
      <w:pPr>
        <w:tabs>
          <w:tab w:val="num" w:pos="397"/>
        </w:tabs>
        <w:ind w:left="397" w:hanging="397"/>
      </w:pPr>
      <w:rPr>
        <w:rFonts w:hint="default"/>
      </w:rPr>
    </w:lvl>
    <w:lvl w:ilvl="3">
      <w:start w:val="1"/>
      <w:numFmt w:val="decimal"/>
      <w:lvlText w:val="%1."/>
      <w:lvlJc w:val="left"/>
      <w:pPr>
        <w:tabs>
          <w:tab w:val="num" w:pos="397"/>
        </w:tabs>
        <w:ind w:left="397" w:hanging="397"/>
      </w:pPr>
      <w:rPr>
        <w:rFonts w:hint="default"/>
      </w:rPr>
    </w:lvl>
    <w:lvl w:ilvl="4">
      <w:start w:val="1"/>
      <w:numFmt w:val="decimal"/>
      <w:lvlText w:val="%1."/>
      <w:lvlJc w:val="left"/>
      <w:pPr>
        <w:tabs>
          <w:tab w:val="num" w:pos="397"/>
        </w:tabs>
        <w:ind w:left="397" w:hanging="397"/>
      </w:pPr>
      <w:rPr>
        <w:rFonts w:hint="default"/>
      </w:rPr>
    </w:lvl>
    <w:lvl w:ilvl="5">
      <w:start w:val="1"/>
      <w:numFmt w:val="decimal"/>
      <w:lvlText w:val="%1."/>
      <w:lvlJc w:val="left"/>
      <w:pPr>
        <w:tabs>
          <w:tab w:val="num" w:pos="397"/>
        </w:tabs>
        <w:ind w:left="397" w:hanging="397"/>
      </w:pPr>
      <w:rPr>
        <w:rFonts w:hint="default"/>
      </w:rPr>
    </w:lvl>
    <w:lvl w:ilvl="6">
      <w:start w:val="1"/>
      <w:numFmt w:val="decimal"/>
      <w:lvlText w:val="%1."/>
      <w:lvlJc w:val="left"/>
      <w:pPr>
        <w:tabs>
          <w:tab w:val="num" w:pos="397"/>
        </w:tabs>
        <w:ind w:left="397" w:hanging="397"/>
      </w:pPr>
      <w:rPr>
        <w:rFonts w:hint="default"/>
      </w:rPr>
    </w:lvl>
    <w:lvl w:ilvl="7">
      <w:start w:val="1"/>
      <w:numFmt w:val="decimal"/>
      <w:lvlText w:val="%1."/>
      <w:lvlJc w:val="left"/>
      <w:pPr>
        <w:tabs>
          <w:tab w:val="num" w:pos="397"/>
        </w:tabs>
        <w:ind w:left="397" w:hanging="397"/>
      </w:pPr>
      <w:rPr>
        <w:rFonts w:hint="default"/>
      </w:rPr>
    </w:lvl>
    <w:lvl w:ilvl="8">
      <w:start w:val="1"/>
      <w:numFmt w:val="decimal"/>
      <w:lvlText w:val="%1."/>
      <w:lvlJc w:val="left"/>
      <w:pPr>
        <w:tabs>
          <w:tab w:val="num" w:pos="397"/>
        </w:tabs>
        <w:ind w:left="397" w:hanging="397"/>
      </w:pPr>
      <w:rPr>
        <w:rFonts w:hint="default"/>
      </w:rPr>
    </w:lvl>
  </w:abstractNum>
  <w:num w:numId="1">
    <w:abstractNumId w:val="11"/>
  </w:num>
  <w:num w:numId="2">
    <w:abstractNumId w:val="21"/>
  </w:num>
  <w:num w:numId="3">
    <w:abstractNumId w:val="16"/>
  </w:num>
  <w:num w:numId="4">
    <w:abstractNumId w:val="14"/>
  </w:num>
  <w:num w:numId="5">
    <w:abstractNumId w:val="10"/>
  </w:num>
  <w:num w:numId="6">
    <w:abstractNumId w:val="5"/>
  </w:num>
  <w:num w:numId="7">
    <w:abstractNumId w:val="4"/>
  </w:num>
  <w:num w:numId="8">
    <w:abstractNumId w:val="3"/>
  </w:num>
  <w:num w:numId="9">
    <w:abstractNumId w:val="15"/>
  </w:num>
  <w:num w:numId="10">
    <w:abstractNumId w:val="6"/>
  </w:num>
  <w:num w:numId="11">
    <w:abstractNumId w:val="2"/>
  </w:num>
  <w:num w:numId="12">
    <w:abstractNumId w:val="20"/>
  </w:num>
  <w:num w:numId="13">
    <w:abstractNumId w:val="17"/>
  </w:num>
  <w:num w:numId="14">
    <w:abstractNumId w:val="13"/>
  </w:num>
  <w:num w:numId="15">
    <w:abstractNumId w:val="8"/>
  </w:num>
  <w:num w:numId="16">
    <w:abstractNumId w:val="12"/>
  </w:num>
  <w:num w:numId="17">
    <w:abstractNumId w:val="1"/>
  </w:num>
  <w:num w:numId="18">
    <w:abstractNumId w:val="7"/>
  </w:num>
  <w:num w:numId="19">
    <w:abstractNumId w:val="19"/>
  </w:num>
  <w:num w:numId="20">
    <w:abstractNumId w:val="1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2">
    <w:abstractNumId w:val="1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3">
    <w:abstractNumId w:val="1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4">
    <w:abstractNumId w:val="1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7">
    <w:abstractNumId w:val="1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8">
    <w:abstractNumId w:val="1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9">
    <w:abstractNumId w:val="1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0">
    <w:abstractNumId w:val="10"/>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1">
    <w:abstractNumId w:val="10"/>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2">
    <w:abstractNumId w:val="1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3">
    <w:abstractNumId w:val="1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4">
    <w:abstractNumId w:val="1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5">
    <w:abstractNumId w:val="1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6">
    <w:abstractNumId w:val="0"/>
  </w:num>
  <w:num w:numId="47">
    <w:abstractNumId w:val="9"/>
  </w:num>
  <w:num w:numId="48">
    <w:abstractNumId w:val="10"/>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9">
    <w:abstractNumId w:val="18"/>
  </w:num>
  <w:num w:numId="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52">
    <w:abstractNumId w:val="10"/>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53">
    <w:abstractNumId w:val="10"/>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da-DK" w:vendorID="64" w:dllVersion="6" w:nlCheck="1" w:checkStyle="0"/>
  <w:activeWritingStyle w:appName="MSWord" w:lang="fi-FI" w:vendorID="64" w:dllVersion="6" w:nlCheck="1" w:checkStyle="0"/>
  <w:activeWritingStyle w:appName="MSWord" w:lang="it-IT" w:vendorID="64" w:dllVersion="6" w:nlCheck="1" w:checkStyle="0"/>
  <w:activeWritingStyle w:appName="MSWord" w:lang="pt-PT" w:vendorID="64" w:dllVersion="6" w:nlCheck="1" w:checkStyle="0"/>
  <w:activeWritingStyle w:appName="MSWord" w:lang="en-IE" w:vendorID="64" w:dllVersion="6" w:nlCheck="1" w:checkStyle="1"/>
  <w:activeWritingStyle w:appName="MSWord" w:lang="es-ES" w:vendorID="64" w:dllVersion="6" w:nlCheck="1" w:checkStyle="0"/>
  <w:activeWritingStyle w:appName="MSWord" w:lang="de-DE"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fr-BE" w:vendorID="64" w:dllVersion="4096" w:nlCheck="1" w:checkStyle="0"/>
  <w:activeWritingStyle w:appName="MSWord" w:lang="en-IE" w:vendorID="64" w:dllVersion="4096" w:nlCheck="1" w:checkStyle="0"/>
  <w:activeWritingStyle w:appName="MSWord" w:lang="es-ES" w:vendorID="64" w:dllVersion="4096" w:nlCheck="1" w:checkStyle="0"/>
  <w:activeWritingStyle w:appName="MSWord" w:lang="de-DE" w:vendorID="64" w:dllVersion="4096"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w:docVar w:name="LW_CORRIGENDUM" w:val="&lt;UNUSED&gt;"/>
    <w:docVar w:name="LW_COVERPAGE_EXISTS" w:val="True"/>
    <w:docVar w:name="LW_COVERPAGE_GUID" w:val="FD4E6608-08D5-4245-9894-EAE2A5D00BB5"/>
    <w:docVar w:name="LW_COVERPAGE_TYPE" w:val="1"/>
    <w:docVar w:name="LW_CROSSREFERENCE" w:val="{COM(2020) 259 final} - {SWD(2020) 60 final} - {SWD(2020) 62 final}"/>
    <w:docVar w:name="LW_DocType" w:val="EUROLOOK"/>
    <w:docVar w:name="LW_EMISSION" w:val="25.6.2020"/>
    <w:docVar w:name="LW_EMISSION_ISODATE" w:val="2020-06-25"/>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on the implementation of the Marine Strategy Framework Directive (Directive 2008/56/EC)"/>
    <w:docVar w:name="LW_PART_NBR" w:val="1"/>
    <w:docVar w:name="LW_PART_NBR_TOTAL" w:val="3"/>
    <w:docVar w:name="LW_REF.INST.NEW" w:val="SWD"/>
    <w:docVar w:name="LW_REF.INST.NEW_ADOPTED" w:val="final"/>
    <w:docVar w:name="LW_REF.INST.NEW_TEXT" w:val="(2020) 6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Review of the status of the marine environment in the European Union_x000b__x000b_Towards clean, healthy and productive oceans and seas"/>
    <w:docVar w:name="LW_TYPE.DOC.CP" w:val="COMMISSION STAFF WORKING DOCUMENT"/>
    <w:docVar w:name="LW_TYPEACTEPRINCIPAL.CP" w:val="Report from the Commission to the European Parliament and the Council"/>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en-GB" w:eastAsia="en-GB" w:bidi="ar-SA"/>
      </w:rPr>
    </w:rPrDefault>
    <w:pPrDefault/>
  </w:docDefaults>
  <w:latentStyles w:defLockedState="1" w:defUIPriority="0" w:defSemiHidden="1" w:defUnhideWhenUsed="0" w:defQFormat="0" w:count="267">
    <w:lsdException w:name="Normal" w:semiHidden="0" w:uiPriority="9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semiHidden="0" w:uiPriority="99"/>
    <w:lsdException w:name="footer" w:semiHidden="0" w:uiPriority="99"/>
    <w:lsdException w:name="caption" w:semiHidden="0" w:uiPriority="99" w:qFormat="1"/>
    <w:lsdException w:name="footnote reference" w:uiPriority="99" w:qFormat="1"/>
    <w:lsdException w:name="annotation reference" w:uiPriority="99"/>
    <w:lsdException w:name="endnote reference" w:uiPriority="99"/>
    <w:lsdException w:name="List Bullet" w:semiHidden="0"/>
    <w:lsdException w:name="List Number" w:semiHidden="0"/>
    <w:lsdException w:name="List Bullet 2" w:semiHidden="0"/>
    <w:lsdException w:name="List Bullet 3" w:semiHidden="0"/>
    <w:lsdException w:name="List Bullet 4" w:semiHidden="0"/>
    <w:lsdException w:name="List Number 2" w:semiHidden="0"/>
    <w:lsdException w:name="List Number 3" w:semiHidden="0"/>
    <w:lsdException w:name="List Number 4" w:semiHidden="0"/>
    <w:lsdException w:name="Title" w:semiHidden="0" w:uiPriority="10" w:qFormat="1"/>
    <w:lsdException w:name="Signature" w:semiHidden="0"/>
    <w:lsdException w:name="Default Paragraph Font" w:uiPriority="1"/>
    <w:lsdException w:name="Body Text" w:uiPriority="99"/>
    <w:lsdException w:name="Subtitle" w:uiPriority="11" w:qFormat="1"/>
    <w:lsdException w:name="Date" w:semiHidden="0"/>
    <w:lsdException w:name="Hyperlink" w:uiPriority="99"/>
    <w:lsdException w:name="FollowedHyperlink" w:uiPriority="99"/>
    <w:lsdException w:name="Strong" w:uiPriority="22" w:qFormat="1"/>
    <w:lsdException w:name="Emphasis" w:uiPriority="20" w:qFormat="1"/>
    <w:lsdException w:name="Normal (Web)" w:uiPriority="99"/>
    <w:lsdException w:name="HTML Keyboard" w:unhideWhenUsed="1"/>
    <w:lsdException w:name="Normal Table" w:semiHidden="0" w:uiPriority="99"/>
    <w:lsdException w:name="annotation subject" w:uiPriority="99"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semiHidden="0"/>
    <w:lsdException w:name="Table Subtle 2" w:unhideWhenUsed="1"/>
    <w:lsdException w:name="Table Web 1" w:unhideWhenUsed="1"/>
    <w:lsdException w:name="Table Web 2" w:semiHidden="0"/>
    <w:lsdException w:name="Table Web 3" w:semiHidden="0"/>
    <w:lsdException w:name="Balloon Text" w:uiPriority="99" w:unhideWhenUsed="1"/>
    <w:lsdException w:name="Table Grid" w:semiHidden="0" w:uiPriority="39"/>
    <w:lsdException w:name="Table Theme" w:unhideWhenUsed="1"/>
    <w:lsdException w:name="Placeholder Text" w:uiPriority="99"/>
    <w:lsdException w:name="No Spacing" w:uiPriority="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Revision" w:uiPriority="99"/>
    <w:lsdException w:name="List Paragraph" w:uiPriority="34" w:qFormat="1"/>
    <w:lsdException w:name="Quote" w:uiPriority="29"/>
    <w:lsdException w:name="Intense Quote" w:uiPriority="3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uiPriority="37" w:unhideWhenUsed="1"/>
    <w:lsdException w:name="TOC Heading" w:unhideWhenUsed="1"/>
  </w:latentStyles>
  <w:style w:type="paragraph" w:default="1" w:styleId="Normal">
    <w:name w:val="Normal"/>
    <w:uiPriority w:val="90"/>
    <w:qFormat/>
    <w:pPr>
      <w:spacing w:after="240"/>
      <w:jc w:val="both"/>
    </w:pPr>
  </w:style>
  <w:style w:type="paragraph" w:styleId="Heading1">
    <w:name w:val="heading 1"/>
    <w:basedOn w:val="Normal"/>
    <w:next w:val="Text1"/>
    <w:link w:val="Heading1Char"/>
    <w:uiPriority w:val="9"/>
    <w:qFormat/>
    <w:pPr>
      <w:keepNext/>
      <w:numPr>
        <w:numId w:val="2"/>
      </w:numPr>
      <w:spacing w:before="240"/>
      <w:outlineLvl w:val="0"/>
    </w:pPr>
    <w:rPr>
      <w:b/>
      <w:smallCaps/>
    </w:rPr>
  </w:style>
  <w:style w:type="paragraph" w:styleId="Heading2">
    <w:name w:val="heading 2"/>
    <w:basedOn w:val="Normal"/>
    <w:next w:val="Text2"/>
    <w:link w:val="Heading2Char"/>
    <w:uiPriority w:val="9"/>
    <w:qFormat/>
    <w:pPr>
      <w:keepNext/>
      <w:numPr>
        <w:ilvl w:val="1"/>
        <w:numId w:val="2"/>
      </w:numPr>
      <w:outlineLvl w:val="1"/>
    </w:pPr>
    <w:rPr>
      <w:b/>
    </w:rPr>
  </w:style>
  <w:style w:type="paragraph" w:styleId="Heading3">
    <w:name w:val="heading 3"/>
    <w:basedOn w:val="Normal"/>
    <w:next w:val="Text3"/>
    <w:link w:val="Heading3Char"/>
    <w:uiPriority w:val="9"/>
    <w:qFormat/>
    <w:pPr>
      <w:keepNext/>
      <w:numPr>
        <w:ilvl w:val="2"/>
        <w:numId w:val="2"/>
      </w:numPr>
      <w:outlineLvl w:val="2"/>
    </w:pPr>
    <w:rPr>
      <w:i/>
    </w:rPr>
  </w:style>
  <w:style w:type="paragraph" w:styleId="Heading4">
    <w:name w:val="heading 4"/>
    <w:basedOn w:val="Normal"/>
    <w:next w:val="Text4"/>
    <w:link w:val="Heading4Char"/>
    <w:uiPriority w:val="9"/>
    <w:qFormat/>
    <w:pPr>
      <w:keepNext/>
      <w:numPr>
        <w:ilvl w:val="3"/>
        <w:numId w:val="2"/>
      </w:numPr>
      <w:outlineLvl w:val="3"/>
    </w:pPr>
  </w:style>
  <w:style w:type="paragraph" w:styleId="Heading5">
    <w:name w:val="heading 5"/>
    <w:basedOn w:val="Normal"/>
    <w:next w:val="Normal"/>
    <w:link w:val="Heading5Char"/>
    <w:uiPriority w:val="9"/>
    <w:pPr>
      <w:keepNext/>
      <w:numPr>
        <w:ilvl w:val="4"/>
        <w:numId w:val="2"/>
      </w:numPr>
      <w:outlineLvl w:val="4"/>
    </w:pPr>
  </w:style>
  <w:style w:type="paragraph" w:styleId="Heading6">
    <w:name w:val="heading 6"/>
    <w:basedOn w:val="Normal"/>
    <w:next w:val="Normal"/>
    <w:link w:val="Heading6Char"/>
    <w:uiPriority w:val="9"/>
    <w:semiHidden/>
    <w:pPr>
      <w:keepNext/>
      <w:numPr>
        <w:ilvl w:val="5"/>
        <w:numId w:val="2"/>
      </w:numPr>
      <w:outlineLvl w:val="5"/>
    </w:pPr>
  </w:style>
  <w:style w:type="paragraph" w:styleId="Heading7">
    <w:name w:val="heading 7"/>
    <w:basedOn w:val="Normal"/>
    <w:next w:val="Normal"/>
    <w:link w:val="Heading7Char"/>
    <w:uiPriority w:val="9"/>
    <w:semiHidden/>
    <w:pPr>
      <w:keepNext/>
      <w:numPr>
        <w:ilvl w:val="6"/>
        <w:numId w:val="2"/>
      </w:numPr>
      <w:outlineLvl w:val="6"/>
    </w:pPr>
  </w:style>
  <w:style w:type="paragraph" w:styleId="Heading8">
    <w:name w:val="heading 8"/>
    <w:basedOn w:val="Normal"/>
    <w:next w:val="Normal"/>
    <w:link w:val="Heading8Char"/>
    <w:uiPriority w:val="9"/>
    <w:semiHidden/>
    <w:pPr>
      <w:keepNext/>
      <w:numPr>
        <w:ilvl w:val="7"/>
        <w:numId w:val="2"/>
      </w:numPr>
      <w:outlineLvl w:val="7"/>
    </w:pPr>
  </w:style>
  <w:style w:type="paragraph" w:styleId="Heading9">
    <w:name w:val="heading 9"/>
    <w:basedOn w:val="Normal"/>
    <w:next w:val="Normal"/>
    <w:link w:val="Heading9Char"/>
    <w:uiPriority w:val="9"/>
    <w:semiHidden/>
    <w:pPr>
      <w:keepNext/>
      <w:numPr>
        <w:ilvl w:val="8"/>
        <w:numId w:val="2"/>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C8F6C"/>
    </w:rPr>
  </w:style>
  <w:style w:type="paragraph" w:customStyle="1" w:styleId="LegalNumPar3">
    <w:name w:val="LegalNumPar3"/>
    <w:basedOn w:val="Normal"/>
    <w:pPr>
      <w:numPr>
        <w:ilvl w:val="2"/>
        <w:numId w:val="1"/>
      </w:numPr>
      <w:spacing w:line="360" w:lineRule="auto"/>
      <w:jc w:val="left"/>
    </w:pPr>
  </w:style>
  <w:style w:type="paragraph" w:customStyle="1" w:styleId="LegalNumPar2">
    <w:name w:val="LegalNumPar2"/>
    <w:basedOn w:val="Normal"/>
    <w:pPr>
      <w:numPr>
        <w:ilvl w:val="1"/>
        <w:numId w:val="1"/>
      </w:numPr>
      <w:spacing w:line="360" w:lineRule="auto"/>
      <w:jc w:val="left"/>
    </w:pPr>
  </w:style>
  <w:style w:type="paragraph" w:customStyle="1" w:styleId="LegalNumPar">
    <w:name w:val="LegalNumPar"/>
    <w:basedOn w:val="Normal"/>
    <w:uiPriority w:val="90"/>
    <w:qFormat/>
    <w:pPr>
      <w:numPr>
        <w:numId w:val="1"/>
      </w:numPr>
      <w:spacing w:line="360" w:lineRule="auto"/>
      <w:jc w:val="left"/>
    </w:pPr>
  </w:style>
  <w:style w:type="paragraph" w:customStyle="1" w:styleId="Marking">
    <w:name w:val="Marking"/>
    <w:basedOn w:val="Normal"/>
    <w:pPr>
      <w:spacing w:line="276" w:lineRule="auto"/>
      <w:contextualSpacing/>
      <w:jc w:val="right"/>
    </w:pPr>
    <w:rPr>
      <w:sz w:val="28"/>
    </w:rPr>
  </w:style>
  <w:style w:type="paragraph" w:customStyle="1" w:styleId="ListNumber4Level4">
    <w:name w:val="List Number 4 (Level 4)"/>
    <w:basedOn w:val="Text4"/>
    <w:semiHidden/>
    <w:unhideWhenUsed/>
    <w:pPr>
      <w:numPr>
        <w:ilvl w:val="3"/>
        <w:numId w:val="12"/>
      </w:numPr>
    </w:pPr>
  </w:style>
  <w:style w:type="paragraph" w:customStyle="1" w:styleId="ListNumber4Level3">
    <w:name w:val="List Number 4 (Level 3)"/>
    <w:basedOn w:val="Text4"/>
    <w:semiHidden/>
    <w:unhideWhenUsed/>
    <w:pPr>
      <w:numPr>
        <w:ilvl w:val="2"/>
        <w:numId w:val="12"/>
      </w:numPr>
    </w:pPr>
  </w:style>
  <w:style w:type="paragraph" w:customStyle="1" w:styleId="ListNumber4Level2">
    <w:name w:val="List Number 4 (Level 2)"/>
    <w:basedOn w:val="Text4"/>
    <w:pPr>
      <w:numPr>
        <w:ilvl w:val="1"/>
        <w:numId w:val="12"/>
      </w:numPr>
    </w:pPr>
  </w:style>
  <w:style w:type="paragraph" w:styleId="ListNumber4">
    <w:name w:val="List Number 4"/>
    <w:basedOn w:val="Text4"/>
    <w:pPr>
      <w:numPr>
        <w:numId w:val="12"/>
      </w:numPr>
    </w:pPr>
  </w:style>
  <w:style w:type="paragraph" w:customStyle="1" w:styleId="ListNumber3Level4">
    <w:name w:val="List Number 3 (Level 4)"/>
    <w:basedOn w:val="Text3"/>
    <w:semiHidden/>
    <w:unhideWhenUsed/>
    <w:pPr>
      <w:numPr>
        <w:ilvl w:val="3"/>
        <w:numId w:val="11"/>
      </w:numPr>
    </w:pPr>
  </w:style>
  <w:style w:type="paragraph" w:customStyle="1" w:styleId="ListNumber3Level3">
    <w:name w:val="List Number 3 (Level 3)"/>
    <w:basedOn w:val="Text3"/>
    <w:semiHidden/>
    <w:unhideWhenUsed/>
    <w:pPr>
      <w:numPr>
        <w:ilvl w:val="2"/>
        <w:numId w:val="11"/>
      </w:numPr>
    </w:pPr>
  </w:style>
  <w:style w:type="paragraph" w:customStyle="1" w:styleId="ListNumber3Level2">
    <w:name w:val="List Number 3 (Level 2)"/>
    <w:basedOn w:val="Text3"/>
    <w:pPr>
      <w:numPr>
        <w:ilvl w:val="1"/>
        <w:numId w:val="11"/>
      </w:numPr>
    </w:pPr>
  </w:style>
  <w:style w:type="paragraph" w:styleId="ListNumber3">
    <w:name w:val="List Number 3"/>
    <w:basedOn w:val="Text3"/>
    <w:pPr>
      <w:numPr>
        <w:numId w:val="11"/>
      </w:numPr>
    </w:pPr>
  </w:style>
  <w:style w:type="paragraph" w:customStyle="1" w:styleId="ListNumber2Level4">
    <w:name w:val="List Number 2 (Level 4)"/>
    <w:basedOn w:val="Text2"/>
    <w:semiHidden/>
    <w:unhideWhenUsed/>
    <w:pPr>
      <w:numPr>
        <w:ilvl w:val="3"/>
        <w:numId w:val="10"/>
      </w:numPr>
    </w:pPr>
  </w:style>
  <w:style w:type="paragraph" w:customStyle="1" w:styleId="ListNumber2Level3">
    <w:name w:val="List Number 2 (Level 3)"/>
    <w:basedOn w:val="Text2"/>
    <w:semiHidden/>
    <w:unhideWhenUsed/>
    <w:pPr>
      <w:numPr>
        <w:ilvl w:val="2"/>
        <w:numId w:val="10"/>
      </w:numPr>
    </w:pPr>
  </w:style>
  <w:style w:type="paragraph" w:customStyle="1" w:styleId="ListNumber2Level2">
    <w:name w:val="List Number 2 (Level 2)"/>
    <w:basedOn w:val="Text2"/>
    <w:pPr>
      <w:numPr>
        <w:ilvl w:val="1"/>
        <w:numId w:val="10"/>
      </w:numPr>
    </w:pPr>
  </w:style>
  <w:style w:type="paragraph" w:styleId="ListNumber2">
    <w:name w:val="List Number 2"/>
    <w:basedOn w:val="Text2"/>
    <w:pPr>
      <w:numPr>
        <w:numId w:val="10"/>
      </w:numPr>
    </w:pPr>
  </w:style>
  <w:style w:type="paragraph" w:customStyle="1" w:styleId="ListNumber1Level4">
    <w:name w:val="List Number 1 (Level 4)"/>
    <w:basedOn w:val="Text1"/>
    <w:semiHidden/>
    <w:unhideWhenUsed/>
    <w:pPr>
      <w:numPr>
        <w:ilvl w:val="3"/>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2">
    <w:name w:val="List Number 1 (Level 2)"/>
    <w:basedOn w:val="Text1"/>
    <w:pPr>
      <w:numPr>
        <w:ilvl w:val="1"/>
        <w:numId w:val="9"/>
      </w:numPr>
    </w:pPr>
  </w:style>
  <w:style w:type="paragraph" w:customStyle="1" w:styleId="ListNumber1">
    <w:name w:val="List Number 1"/>
    <w:basedOn w:val="Text1"/>
    <w:pPr>
      <w:numPr>
        <w:numId w:val="9"/>
      </w:numPr>
    </w:pPr>
  </w:style>
  <w:style w:type="paragraph" w:customStyle="1" w:styleId="ListNumberLevel4">
    <w:name w:val="List Number (Level 4)"/>
    <w:basedOn w:val="Normal"/>
    <w:semiHidden/>
    <w:unhideWhenUsed/>
    <w:pPr>
      <w:numPr>
        <w:ilvl w:val="3"/>
        <w:numId w:val="8"/>
      </w:numPr>
    </w:pPr>
  </w:style>
  <w:style w:type="paragraph" w:customStyle="1" w:styleId="ListNumberLevel3">
    <w:name w:val="List Number (Level 3)"/>
    <w:basedOn w:val="Normal"/>
    <w:semiHidden/>
    <w:unhideWhenUsed/>
    <w:pPr>
      <w:numPr>
        <w:ilvl w:val="2"/>
        <w:numId w:val="8"/>
      </w:numPr>
    </w:pPr>
  </w:style>
  <w:style w:type="paragraph" w:customStyle="1" w:styleId="ListNumberLevel2">
    <w:name w:val="List Number (Level 2)"/>
    <w:basedOn w:val="Normal"/>
    <w:pPr>
      <w:numPr>
        <w:ilvl w:val="1"/>
        <w:numId w:val="8"/>
      </w:numPr>
    </w:pPr>
  </w:style>
  <w:style w:type="paragraph" w:styleId="ListNumber">
    <w:name w:val="List Number"/>
    <w:basedOn w:val="Normal"/>
    <w:pPr>
      <w:numPr>
        <w:numId w:val="8"/>
      </w:numPr>
    </w:pPr>
  </w:style>
  <w:style w:type="paragraph" w:customStyle="1" w:styleId="ListDash4Level4">
    <w:name w:val="List Dash 4 (Level 4)"/>
    <w:basedOn w:val="Text4"/>
    <w:semiHidden/>
    <w:unhideWhenUsed/>
    <w:pPr>
      <w:numPr>
        <w:ilvl w:val="3"/>
        <w:numId w:val="17"/>
      </w:numPr>
    </w:pPr>
  </w:style>
  <w:style w:type="paragraph" w:customStyle="1" w:styleId="ListDash4Level3">
    <w:name w:val="List Dash 4 (Level 3)"/>
    <w:basedOn w:val="Text4"/>
    <w:semiHidden/>
    <w:unhideWhenUsed/>
    <w:pPr>
      <w:numPr>
        <w:ilvl w:val="2"/>
        <w:numId w:val="17"/>
      </w:numPr>
    </w:pPr>
  </w:style>
  <w:style w:type="paragraph" w:customStyle="1" w:styleId="ListDash4Level2">
    <w:name w:val="List Dash 4 (Level 2)"/>
    <w:basedOn w:val="Text4"/>
    <w:pPr>
      <w:numPr>
        <w:ilvl w:val="1"/>
        <w:numId w:val="17"/>
      </w:numPr>
    </w:pPr>
  </w:style>
  <w:style w:type="paragraph" w:customStyle="1" w:styleId="ListDash4">
    <w:name w:val="List Dash 4"/>
    <w:basedOn w:val="Text4"/>
    <w:pPr>
      <w:numPr>
        <w:numId w:val="17"/>
      </w:numPr>
    </w:pPr>
  </w:style>
  <w:style w:type="paragraph" w:customStyle="1" w:styleId="ListDash3Level4">
    <w:name w:val="List Dash 3 (Level 4)"/>
    <w:basedOn w:val="Text3"/>
    <w:semiHidden/>
    <w:unhideWhenUsed/>
    <w:pPr>
      <w:numPr>
        <w:ilvl w:val="3"/>
        <w:numId w:val="16"/>
      </w:numPr>
    </w:pPr>
  </w:style>
  <w:style w:type="paragraph" w:customStyle="1" w:styleId="ListDash3Level3">
    <w:name w:val="List Dash 3 (Level 3)"/>
    <w:basedOn w:val="Text3"/>
    <w:semiHidden/>
    <w:unhideWhenUsed/>
    <w:pPr>
      <w:numPr>
        <w:ilvl w:val="2"/>
        <w:numId w:val="16"/>
      </w:numPr>
    </w:pPr>
  </w:style>
  <w:style w:type="paragraph" w:customStyle="1" w:styleId="ListDash3Level2">
    <w:name w:val="List Dash 3 (Level 2)"/>
    <w:basedOn w:val="Text3"/>
    <w:pPr>
      <w:numPr>
        <w:ilvl w:val="1"/>
        <w:numId w:val="16"/>
      </w:numPr>
    </w:pPr>
  </w:style>
  <w:style w:type="paragraph" w:customStyle="1" w:styleId="ListDash3">
    <w:name w:val="List Dash 3"/>
    <w:basedOn w:val="Text3"/>
    <w:pPr>
      <w:numPr>
        <w:numId w:val="16"/>
      </w:numPr>
    </w:pPr>
  </w:style>
  <w:style w:type="paragraph" w:customStyle="1" w:styleId="ListDash2Level4">
    <w:name w:val="List Dash 2 (Level 4)"/>
    <w:basedOn w:val="Text2"/>
    <w:semiHidden/>
    <w:unhideWhenUsed/>
    <w:pPr>
      <w:numPr>
        <w:ilvl w:val="3"/>
        <w:numId w:val="15"/>
      </w:numPr>
    </w:pPr>
  </w:style>
  <w:style w:type="paragraph" w:customStyle="1" w:styleId="ListDash2Level3">
    <w:name w:val="List Dash 2 (Level 3)"/>
    <w:basedOn w:val="Text2"/>
    <w:semiHidden/>
    <w:unhideWhenUsed/>
    <w:pPr>
      <w:numPr>
        <w:ilvl w:val="2"/>
        <w:numId w:val="15"/>
      </w:numPr>
    </w:pPr>
  </w:style>
  <w:style w:type="paragraph" w:customStyle="1" w:styleId="ListDash2Level2">
    <w:name w:val="List Dash 2 (Level 2)"/>
    <w:basedOn w:val="Text2"/>
    <w:pPr>
      <w:numPr>
        <w:ilvl w:val="1"/>
        <w:numId w:val="15"/>
      </w:numPr>
    </w:pPr>
  </w:style>
  <w:style w:type="paragraph" w:customStyle="1" w:styleId="ListDash2">
    <w:name w:val="List Dash 2"/>
    <w:basedOn w:val="Text2"/>
    <w:pPr>
      <w:numPr>
        <w:numId w:val="15"/>
      </w:numPr>
    </w:pPr>
  </w:style>
  <w:style w:type="paragraph" w:customStyle="1" w:styleId="ListDash1Level4">
    <w:name w:val="List Dash 1 (Level 4)"/>
    <w:basedOn w:val="Text1"/>
    <w:semiHidden/>
    <w:unhideWhenUsed/>
    <w:pPr>
      <w:numPr>
        <w:ilvl w:val="3"/>
        <w:numId w:val="14"/>
      </w:numPr>
    </w:pPr>
  </w:style>
  <w:style w:type="paragraph" w:customStyle="1" w:styleId="ListDash1Level3">
    <w:name w:val="List Dash 1 (Level 3)"/>
    <w:basedOn w:val="Text1"/>
    <w:semiHidden/>
    <w:unhideWhenUsed/>
    <w:pPr>
      <w:numPr>
        <w:ilvl w:val="2"/>
        <w:numId w:val="14"/>
      </w:numPr>
    </w:pPr>
  </w:style>
  <w:style w:type="paragraph" w:customStyle="1" w:styleId="ListDash1Level2">
    <w:name w:val="List Dash 1 (Level 2)"/>
    <w:basedOn w:val="Text1"/>
    <w:pPr>
      <w:numPr>
        <w:ilvl w:val="1"/>
        <w:numId w:val="14"/>
      </w:numPr>
    </w:pPr>
  </w:style>
  <w:style w:type="paragraph" w:customStyle="1" w:styleId="ListDash1">
    <w:name w:val="List Dash 1"/>
    <w:basedOn w:val="Text1"/>
    <w:pPr>
      <w:numPr>
        <w:numId w:val="14"/>
      </w:numPr>
    </w:pPr>
  </w:style>
  <w:style w:type="paragraph" w:customStyle="1" w:styleId="ListDashLevel4">
    <w:name w:val="List Dash (Level 4)"/>
    <w:basedOn w:val="Normal"/>
    <w:semiHidden/>
    <w:unhideWhenUsed/>
    <w:pPr>
      <w:numPr>
        <w:ilvl w:val="3"/>
        <w:numId w:val="13"/>
      </w:numPr>
    </w:pPr>
  </w:style>
  <w:style w:type="paragraph" w:customStyle="1" w:styleId="ListDashLevel3">
    <w:name w:val="List Dash (Level 3)"/>
    <w:basedOn w:val="Normal"/>
    <w:semiHidden/>
    <w:unhideWhenUsed/>
    <w:pPr>
      <w:numPr>
        <w:ilvl w:val="2"/>
        <w:numId w:val="13"/>
      </w:numPr>
    </w:pPr>
  </w:style>
  <w:style w:type="paragraph" w:customStyle="1" w:styleId="ListDashLevel2">
    <w:name w:val="List Dash (Level 2)"/>
    <w:basedOn w:val="Normal"/>
    <w:pPr>
      <w:numPr>
        <w:ilvl w:val="1"/>
        <w:numId w:val="13"/>
      </w:numPr>
    </w:pPr>
  </w:style>
  <w:style w:type="paragraph" w:customStyle="1" w:styleId="ListDash">
    <w:name w:val="List Dash"/>
    <w:basedOn w:val="Normal"/>
    <w:pPr>
      <w:numPr>
        <w:numId w:val="13"/>
      </w:numPr>
    </w:pPr>
  </w:style>
  <w:style w:type="paragraph" w:customStyle="1" w:styleId="ListBullet4Level4">
    <w:name w:val="List Bullet 4 (Level 4)"/>
    <w:basedOn w:val="Text4"/>
    <w:semiHidden/>
    <w:unhideWhenUsed/>
    <w:pPr>
      <w:numPr>
        <w:ilvl w:val="3"/>
        <w:numId w:val="7"/>
      </w:numPr>
    </w:pPr>
  </w:style>
  <w:style w:type="paragraph" w:customStyle="1" w:styleId="ListBullet4Level3">
    <w:name w:val="List Bullet 4 (Level 3)"/>
    <w:basedOn w:val="Text4"/>
    <w:semiHidden/>
    <w:unhideWhenUsed/>
    <w:pPr>
      <w:numPr>
        <w:ilvl w:val="2"/>
        <w:numId w:val="7"/>
      </w:numPr>
    </w:pPr>
  </w:style>
  <w:style w:type="paragraph" w:customStyle="1" w:styleId="ListBullet4Level2">
    <w:name w:val="List Bullet 4 (Level 2)"/>
    <w:basedOn w:val="Text4"/>
    <w:pPr>
      <w:numPr>
        <w:ilvl w:val="1"/>
        <w:numId w:val="7"/>
      </w:numPr>
    </w:pPr>
  </w:style>
  <w:style w:type="paragraph" w:styleId="ListBullet4">
    <w:name w:val="List Bullet 4"/>
    <w:basedOn w:val="Text4"/>
    <w:pPr>
      <w:numPr>
        <w:numId w:val="7"/>
      </w:numPr>
    </w:pPr>
  </w:style>
  <w:style w:type="paragraph" w:customStyle="1" w:styleId="ListBullet3Level4">
    <w:name w:val="List Bullet 3 (Level 4)"/>
    <w:basedOn w:val="Text3"/>
    <w:semiHidden/>
    <w:unhideWhenUsed/>
    <w:pPr>
      <w:numPr>
        <w:ilvl w:val="3"/>
        <w:numId w:val="6"/>
      </w:numPr>
    </w:pPr>
  </w:style>
  <w:style w:type="paragraph" w:customStyle="1" w:styleId="ListBullet3Level3">
    <w:name w:val="List Bullet 3 (Level 3)"/>
    <w:basedOn w:val="Text3"/>
    <w:semiHidden/>
    <w:unhideWhenUsed/>
    <w:pPr>
      <w:numPr>
        <w:ilvl w:val="2"/>
        <w:numId w:val="6"/>
      </w:numPr>
    </w:pPr>
  </w:style>
  <w:style w:type="paragraph" w:customStyle="1" w:styleId="ListBullet3Level2">
    <w:name w:val="List Bullet 3 (Level 2)"/>
    <w:basedOn w:val="Text3"/>
    <w:pPr>
      <w:numPr>
        <w:ilvl w:val="1"/>
        <w:numId w:val="6"/>
      </w:numPr>
    </w:pPr>
  </w:style>
  <w:style w:type="paragraph" w:styleId="ListBullet3">
    <w:name w:val="List Bullet 3"/>
    <w:basedOn w:val="Text3"/>
    <w:pPr>
      <w:numPr>
        <w:numId w:val="6"/>
      </w:numPr>
    </w:pPr>
  </w:style>
  <w:style w:type="paragraph" w:customStyle="1" w:styleId="ListBullet2Level4">
    <w:name w:val="List Bullet 2 (Level 4)"/>
    <w:basedOn w:val="Text2"/>
    <w:unhideWhenUsed/>
    <w:pPr>
      <w:numPr>
        <w:ilvl w:val="3"/>
        <w:numId w:val="5"/>
      </w:numPr>
    </w:pPr>
  </w:style>
  <w:style w:type="paragraph" w:customStyle="1" w:styleId="ListBullet2Level3">
    <w:name w:val="List Bullet 2 (Level 3)"/>
    <w:basedOn w:val="Text2"/>
    <w:unhideWhenUsed/>
    <w:pPr>
      <w:numPr>
        <w:ilvl w:val="2"/>
        <w:numId w:val="5"/>
      </w:numPr>
    </w:pPr>
  </w:style>
  <w:style w:type="paragraph" w:customStyle="1" w:styleId="ListBullet2Level2">
    <w:name w:val="List Bullet 2 (Level 2)"/>
    <w:basedOn w:val="Text2"/>
    <w:pPr>
      <w:numPr>
        <w:ilvl w:val="1"/>
        <w:numId w:val="5"/>
      </w:numPr>
    </w:pPr>
  </w:style>
  <w:style w:type="paragraph" w:styleId="ListBullet2">
    <w:name w:val="List Bullet 2"/>
    <w:basedOn w:val="Text2"/>
    <w:pPr>
      <w:numPr>
        <w:numId w:val="5"/>
      </w:numPr>
    </w:pPr>
  </w:style>
  <w:style w:type="paragraph" w:customStyle="1" w:styleId="ListBullet1Level4">
    <w:name w:val="List Bullet 1 (Level 4)"/>
    <w:basedOn w:val="Text1"/>
    <w:semiHidden/>
    <w:unhideWhenUsed/>
    <w:pPr>
      <w:numPr>
        <w:ilvl w:val="3"/>
        <w:numId w:val="4"/>
      </w:numPr>
    </w:pPr>
  </w:style>
  <w:style w:type="paragraph" w:customStyle="1" w:styleId="ListBullet1Level3">
    <w:name w:val="List Bullet 1 (Level 3)"/>
    <w:basedOn w:val="Text1"/>
    <w:unhideWhenUsed/>
    <w:pPr>
      <w:numPr>
        <w:ilvl w:val="2"/>
        <w:numId w:val="4"/>
      </w:numPr>
    </w:pPr>
  </w:style>
  <w:style w:type="paragraph" w:customStyle="1" w:styleId="ListBullet1Level2">
    <w:name w:val="List Bullet 1 (Level 2)"/>
    <w:basedOn w:val="Text1"/>
    <w:pPr>
      <w:numPr>
        <w:ilvl w:val="1"/>
        <w:numId w:val="4"/>
      </w:numPr>
    </w:pPr>
  </w:style>
  <w:style w:type="paragraph" w:customStyle="1" w:styleId="ListBullet1">
    <w:name w:val="List Bullet 1"/>
    <w:basedOn w:val="Text1"/>
    <w:pPr>
      <w:numPr>
        <w:numId w:val="4"/>
      </w:numPr>
    </w:pPr>
  </w:style>
  <w:style w:type="paragraph" w:customStyle="1" w:styleId="ListBulletLevel4">
    <w:name w:val="List Bullet (Level 4)"/>
    <w:basedOn w:val="Text1"/>
    <w:semiHidden/>
    <w:unhideWhenUsed/>
    <w:pPr>
      <w:numPr>
        <w:ilvl w:val="3"/>
        <w:numId w:val="3"/>
      </w:numPr>
    </w:pPr>
  </w:style>
  <w:style w:type="paragraph" w:customStyle="1" w:styleId="ListBulletLevel3">
    <w:name w:val="List Bullet (Level 3)"/>
    <w:basedOn w:val="Text1"/>
    <w:semiHidden/>
    <w:unhideWhenUsed/>
    <w:pPr>
      <w:numPr>
        <w:ilvl w:val="2"/>
        <w:numId w:val="3"/>
      </w:numPr>
    </w:pPr>
  </w:style>
  <w:style w:type="paragraph" w:customStyle="1" w:styleId="ListBulletLevel2">
    <w:name w:val="List Bullet (Level 2)"/>
    <w:basedOn w:val="Text1"/>
    <w:pPr>
      <w:numPr>
        <w:ilvl w:val="1"/>
        <w:numId w:val="3"/>
      </w:numPr>
    </w:pPr>
  </w:style>
  <w:style w:type="paragraph" w:styleId="ListBullet">
    <w:name w:val="List Bullet"/>
    <w:basedOn w:val="Normal"/>
    <w:pPr>
      <w:numPr>
        <w:numId w:val="3"/>
      </w:numPr>
    </w:pPr>
  </w:style>
  <w:style w:type="paragraph" w:styleId="TOC9">
    <w:name w:val="toc 9"/>
    <w:basedOn w:val="Normal"/>
    <w:next w:val="Normal"/>
    <w:uiPriority w:val="39"/>
    <w:pPr>
      <w:tabs>
        <w:tab w:val="right" w:leader="dot" w:pos="8640"/>
      </w:tabs>
    </w:pPr>
  </w:style>
  <w:style w:type="paragraph" w:styleId="TOC8">
    <w:name w:val="toc 8"/>
    <w:basedOn w:val="Normal"/>
    <w:next w:val="Normal"/>
    <w:uiPriority w:val="39"/>
    <w:pPr>
      <w:tabs>
        <w:tab w:val="right" w:leader="dot" w:pos="8640"/>
      </w:tabs>
    </w:pPr>
  </w:style>
  <w:style w:type="paragraph" w:styleId="TOC7">
    <w:name w:val="toc 7"/>
    <w:basedOn w:val="Normal"/>
    <w:next w:val="Normal"/>
    <w:uiPriority w:val="39"/>
    <w:pPr>
      <w:tabs>
        <w:tab w:val="right" w:leader="dot" w:pos="8640"/>
      </w:tabs>
    </w:pPr>
  </w:style>
  <w:style w:type="paragraph" w:styleId="TOC6">
    <w:name w:val="toc 6"/>
    <w:basedOn w:val="Normal"/>
    <w:next w:val="Normal"/>
    <w:uiPriority w:val="39"/>
    <w:pPr>
      <w:tabs>
        <w:tab w:val="right" w:leader="dot" w:pos="8640"/>
      </w:tabs>
    </w:pPr>
  </w:style>
  <w:style w:type="paragraph" w:styleId="TOC5">
    <w:name w:val="toc 5"/>
    <w:basedOn w:val="Normal"/>
    <w:next w:val="Normal"/>
    <w:uiPriority w:val="39"/>
    <w:pPr>
      <w:tabs>
        <w:tab w:val="right" w:leader="dot" w:pos="8640"/>
      </w:tabs>
      <w:spacing w:before="120" w:after="60"/>
      <w:ind w:right="720"/>
    </w:pPr>
    <w:rPr>
      <w:b/>
    </w:rPr>
  </w:style>
  <w:style w:type="paragraph" w:styleId="TOC4">
    <w:name w:val="toc 4"/>
    <w:basedOn w:val="Normal"/>
    <w:next w:val="Normal"/>
    <w:uiPriority w:val="39"/>
    <w:pPr>
      <w:tabs>
        <w:tab w:val="left" w:pos="1446"/>
        <w:tab w:val="left" w:pos="1587"/>
        <w:tab w:val="right" w:leader="dot" w:pos="8640"/>
      </w:tabs>
      <w:spacing w:after="60"/>
      <w:ind w:left="1445" w:right="720" w:hanging="850"/>
    </w:pPr>
    <w:rPr>
      <w:noProof/>
      <w:sz w:val="20"/>
    </w:rPr>
  </w:style>
  <w:style w:type="paragraph" w:styleId="TOC3">
    <w:name w:val="toc 3"/>
    <w:basedOn w:val="Normal"/>
    <w:next w:val="Normal"/>
    <w:uiPriority w:val="39"/>
    <w:pPr>
      <w:tabs>
        <w:tab w:val="left" w:pos="595"/>
        <w:tab w:val="right" w:leader="dot" w:pos="8640"/>
      </w:tabs>
      <w:spacing w:after="60"/>
      <w:ind w:left="1190" w:right="720" w:hanging="595"/>
    </w:pPr>
    <w:rPr>
      <w:sz w:val="20"/>
    </w:rPr>
  </w:style>
  <w:style w:type="paragraph" w:styleId="TOC2">
    <w:name w:val="toc 2"/>
    <w:basedOn w:val="Normal"/>
    <w:next w:val="Normal"/>
    <w:uiPriority w:val="39"/>
    <w:pPr>
      <w:tabs>
        <w:tab w:val="left" w:pos="595"/>
        <w:tab w:val="right" w:leader="dot" w:pos="8640"/>
      </w:tabs>
      <w:spacing w:after="60"/>
      <w:ind w:left="595" w:right="720" w:hanging="595"/>
    </w:pPr>
    <w:rPr>
      <w:noProof/>
      <w:sz w:val="20"/>
    </w:rPr>
  </w:style>
  <w:style w:type="paragraph" w:styleId="TOC1">
    <w:name w:val="toc 1"/>
    <w:basedOn w:val="Normal"/>
    <w:next w:val="Normal"/>
    <w:uiPriority w:val="39"/>
    <w:pPr>
      <w:tabs>
        <w:tab w:val="left" w:pos="595"/>
        <w:tab w:val="right" w:leader="dot" w:pos="8640"/>
      </w:tabs>
      <w:spacing w:after="60"/>
      <w:ind w:left="595" w:right="720" w:hanging="595"/>
    </w:pPr>
    <w:rPr>
      <w:b/>
      <w:caps/>
      <w:sz w:val="20"/>
    </w:rPr>
  </w:style>
  <w:style w:type="paragraph" w:styleId="TOCHeading">
    <w:name w:val="TOC Heading"/>
    <w:basedOn w:val="Normal"/>
    <w:next w:val="Normal"/>
    <w:semiHidden/>
    <w:pPr>
      <w:spacing w:after="120"/>
      <w:jc w:val="center"/>
    </w:pPr>
    <w:rPr>
      <w:rFonts w:ascii="Times New Roman Bold" w:hAnsi="Times New Roman Bold"/>
      <w:b/>
      <w:sz w:val="32"/>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uiPriority w:val="90"/>
    <w:qFormat/>
    <w:pPr>
      <w:keepNext w:val="0"/>
      <w:spacing w:before="0"/>
      <w:outlineLvl w:val="9"/>
    </w:pPr>
    <w:rPr>
      <w:b w:val="0"/>
      <w:smallCaps w:val="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aliases w:val="Footnote text, Char, Char1, Char1 Char, Char2, Char3, Char11, Char1 Char2, Char21, Char4, Char12, Char1 Char3, Char22, Char5, Char13, Char1 Char4, Char23, Char6, Char14, Char1 Char5, Char24, Char7, Char15, Char1 Char6, Char25, Char8,fn,ft"/>
    <w:basedOn w:val="Normal"/>
    <w:link w:val="FootnoteTextChar"/>
    <w:uiPriority w:val="99"/>
    <w:qFormat/>
    <w:pPr>
      <w:spacing w:after="120"/>
      <w:ind w:left="357" w:hanging="357"/>
    </w:pPr>
    <w:rPr>
      <w:sz w:val="20"/>
    </w:rPr>
  </w:style>
  <w:style w:type="paragraph" w:styleId="Footer">
    <w:name w:val="footer"/>
    <w:basedOn w:val="Normal"/>
    <w:link w:val="FooterChar"/>
    <w:uiPriority w:val="99"/>
    <w:pPr>
      <w:spacing w:after="0"/>
      <w:ind w:right="-567"/>
      <w:jc w:val="left"/>
    </w:pPr>
    <w:rPr>
      <w:sz w:val="16"/>
    </w:rPr>
  </w:style>
  <w:style w:type="paragraph" w:styleId="EndnoteText">
    <w:name w:val="endnote text"/>
    <w:basedOn w:val="Normal"/>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next w:val="Normal"/>
    <w:pPr>
      <w:ind w:left="5102"/>
      <w:jc w:val="left"/>
    </w:pPr>
    <w:rPr>
      <w:sz w:val="20"/>
    </w:rPr>
  </w:style>
  <w:style w:type="paragraph" w:styleId="Date">
    <w:name w:val="Date"/>
    <w:basedOn w:val="Normal"/>
    <w:next w:val="References"/>
    <w:pPr>
      <w:spacing w:after="0"/>
      <w:ind w:left="5102" w:right="-567"/>
      <w:jc w:val="left"/>
    </w:pPr>
  </w:style>
  <w:style w:type="paragraph" w:customStyle="1" w:styleId="Contact">
    <w:name w:val="Contact"/>
    <w:basedOn w:val="Normal"/>
    <w:uiPriority w:val="99"/>
    <w:pPr>
      <w:spacing w:before="480" w:after="0"/>
      <w:ind w:left="567" w:hanging="567"/>
      <w:jc w:val="left"/>
    </w:pPr>
  </w:style>
  <w:style w:type="paragraph" w:styleId="Caption">
    <w:name w:val="caption"/>
    <w:aliases w:val="Table legend,Tab_Überschrift,Figure reference,Char Char,Char Char Char,Caption1 Char Char Char Char Char Char Char Char Tegn Tegn Tegn Tegn Tegn,Caption1 Char Char Char Char Char Char Char Char Tegn Tegn Tegn,F10 Table Figure and Chart Tit,Eco"/>
    <w:basedOn w:val="Normal"/>
    <w:next w:val="Normal"/>
    <w:link w:val="CaptionChar"/>
    <w:uiPriority w:val="99"/>
    <w:qFormat/>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uiPriority w:val="90"/>
    <w:qFormat/>
    <w:pPr>
      <w:ind w:left="482"/>
    </w:pPr>
  </w:style>
  <w:style w:type="paragraph" w:customStyle="1" w:styleId="Text2">
    <w:name w:val="Text 2"/>
    <w:basedOn w:val="Normal"/>
    <w:uiPriority w:val="90"/>
    <w:qFormat/>
    <w:pPr>
      <w:ind w:left="1202"/>
    </w:pPr>
  </w:style>
  <w:style w:type="paragraph" w:customStyle="1" w:styleId="Text3">
    <w:name w:val="Text 3"/>
    <w:basedOn w:val="Normal"/>
    <w:uiPriority w:val="90"/>
    <w:qFormat/>
    <w:pPr>
      <w:ind w:left="1202"/>
    </w:pPr>
  </w:style>
  <w:style w:type="paragraph" w:customStyle="1" w:styleId="Text4">
    <w:name w:val="Text 4"/>
    <w:basedOn w:val="Normal"/>
    <w:uiPriority w:val="90"/>
    <w:qFormat/>
    <w:pPr>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2"/>
      <w:jc w:val="left"/>
    </w:pPr>
  </w:style>
  <w:style w:type="paragraph" w:customStyle="1" w:styleId="PartTitle">
    <w:name w:val="PartTitle"/>
    <w:basedOn w:val="Normal"/>
    <w:next w:val="ChapterTitle"/>
    <w:uiPriority w:val="90"/>
    <w:qFormat/>
    <w:pPr>
      <w:keepNext/>
      <w:pageBreakBefore/>
      <w:spacing w:after="480"/>
      <w:jc w:val="center"/>
    </w:pPr>
    <w:rPr>
      <w:b/>
      <w:sz w:val="36"/>
    </w:rPr>
  </w:style>
  <w:style w:type="paragraph" w:customStyle="1" w:styleId="ChapterTitle">
    <w:name w:val="ChapterTitle"/>
    <w:basedOn w:val="Normal"/>
    <w:next w:val="SectionTitle"/>
    <w:uiPriority w:val="90"/>
    <w:qFormat/>
    <w:pPr>
      <w:keepNext/>
      <w:spacing w:after="480"/>
      <w:jc w:val="center"/>
    </w:pPr>
    <w:rPr>
      <w:b/>
      <w:sz w:val="32"/>
    </w:rPr>
  </w:style>
  <w:style w:type="paragraph" w:customStyle="1" w:styleId="SectionTitle">
    <w:name w:val="SectionTitle"/>
    <w:basedOn w:val="Normal"/>
    <w:next w:val="Heading1"/>
    <w:uiPriority w:val="90"/>
    <w:qFormat/>
    <w:pPr>
      <w:keepNext/>
      <w:spacing w:after="480"/>
      <w:jc w:val="center"/>
    </w:pPr>
    <w:rPr>
      <w:b/>
      <w:smallCaps/>
      <w:sz w:val="28"/>
    </w:rPr>
  </w:style>
  <w:style w:type="paragraph" w:styleId="Signature">
    <w:name w:val="Signature"/>
    <w:basedOn w:val="Normal"/>
    <w:next w:val="Enclosures"/>
    <w:pPr>
      <w:tabs>
        <w:tab w:val="left" w:pos="5102"/>
      </w:tabs>
      <w:spacing w:before="1200" w:after="0"/>
      <w:ind w:left="5102"/>
      <w:jc w:val="center"/>
    </w:pPr>
  </w:style>
  <w:style w:type="paragraph" w:customStyle="1" w:styleId="SignatureL">
    <w:name w:val="SignatureL"/>
    <w:basedOn w:val="Normal"/>
    <w:next w:val="Enclosures"/>
    <w:pPr>
      <w:tabs>
        <w:tab w:val="left" w:pos="5102"/>
      </w:tabs>
      <w:spacing w:before="1200" w:after="0"/>
      <w:jc w:val="left"/>
    </w:pPr>
  </w:style>
  <w:style w:type="paragraph" w:customStyle="1" w:styleId="DoubSign">
    <w:name w:val="DoubSign"/>
    <w:basedOn w:val="Normal"/>
    <w:next w:val="Enclosures"/>
    <w:pPr>
      <w:tabs>
        <w:tab w:val="left" w:pos="5102"/>
      </w:tabs>
      <w:spacing w:before="1200" w:after="0"/>
      <w:jc w:val="left"/>
    </w:pPr>
  </w:style>
  <w:style w:type="paragraph" w:customStyle="1" w:styleId="Enclosures">
    <w:name w:val="Enclosures"/>
    <w:basedOn w:val="Normal"/>
    <w:pPr>
      <w:keepNext/>
      <w:keepLines/>
      <w:tabs>
        <w:tab w:val="left" w:pos="5641"/>
      </w:tabs>
      <w:spacing w:before="480" w:after="0"/>
      <w:ind w:left="2382" w:hanging="1191"/>
      <w:jc w:val="left"/>
    </w:pPr>
  </w:style>
  <w:style w:type="paragraph" w:styleId="Title">
    <w:name w:val="Title"/>
    <w:basedOn w:val="Normal"/>
    <w:next w:val="SubTitle1"/>
    <w:link w:val="TitleChar"/>
    <w:uiPriority w:val="10"/>
    <w:qFormat/>
    <w:pPr>
      <w:spacing w:after="480"/>
      <w:jc w:val="center"/>
    </w:pPr>
    <w:rPr>
      <w:b/>
      <w:kern w:val="28"/>
      <w:sz w:val="48"/>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customStyle="1" w:styleId="YReferences">
    <w:name w:val="YReferences"/>
    <w:basedOn w:val="Normal"/>
    <w:next w:val="Normal"/>
    <w:pPr>
      <w:spacing w:after="480"/>
      <w:ind w:left="3062" w:hanging="1531"/>
    </w:pPr>
  </w:style>
  <w:style w:type="paragraph" w:customStyle="1" w:styleId="FooterLine">
    <w:name w:val="Footer Line"/>
    <w:basedOn w:val="Footer"/>
    <w:next w:val="Footer"/>
    <w:uiPriority w:val="99"/>
    <w:pPr>
      <w:tabs>
        <w:tab w:val="right" w:pos="8646"/>
      </w:tabs>
      <w:spacing w:before="120" w:line="264" w:lineRule="auto"/>
      <w:ind w:right="0"/>
      <w:jc w:val="both"/>
    </w:pPr>
  </w:style>
  <w:style w:type="paragraph" w:customStyle="1" w:styleId="HistoryTable">
    <w:name w:val="HistoryTable"/>
    <w:basedOn w:val="Normal"/>
    <w:pPr>
      <w:spacing w:before="60" w:after="60"/>
      <w:jc w:val="left"/>
    </w:pPr>
    <w:rPr>
      <w:sz w:val="20"/>
    </w:rPr>
  </w:style>
  <w:style w:type="paragraph" w:customStyle="1" w:styleId="HistTableHeading">
    <w:name w:val="HistTableHeading"/>
    <w:basedOn w:val="Normal"/>
    <w:next w:val="HistoryTable"/>
    <w:pPr>
      <w:spacing w:after="120"/>
      <w:jc w:val="center"/>
    </w:pPr>
    <w:rPr>
      <w:rFonts w:ascii="Times New Roman Bold" w:hAnsi="Times New Roman Bold"/>
      <w:b/>
      <w:sz w:val="32"/>
    </w:rPr>
  </w:style>
  <w:style w:type="paragraph" w:customStyle="1" w:styleId="FigureTitle">
    <w:name w:val="Figure Title"/>
    <w:basedOn w:val="Normal"/>
    <w:next w:val="FigureBody"/>
    <w:uiPriority w:val="6"/>
    <w:pPr>
      <w:keepNext/>
      <w:spacing w:after="180"/>
    </w:pPr>
    <w:rPr>
      <w:b/>
    </w:rPr>
  </w:style>
  <w:style w:type="paragraph" w:customStyle="1" w:styleId="FigureBody">
    <w:name w:val="Figure Body"/>
    <w:basedOn w:val="Normal"/>
    <w:next w:val="FigureNote"/>
    <w:uiPriority w:val="7"/>
    <w:pPr>
      <w:keepNext/>
      <w:spacing w:after="40"/>
    </w:pPr>
  </w:style>
  <w:style w:type="paragraph" w:customStyle="1" w:styleId="FigureNote">
    <w:name w:val="Figure Note"/>
    <w:basedOn w:val="FigureSource"/>
    <w:next w:val="FigureSource"/>
    <w:uiPriority w:val="7"/>
    <w:rPr>
      <w:b/>
    </w:rPr>
  </w:style>
  <w:style w:type="paragraph" w:customStyle="1" w:styleId="FigureSource">
    <w:name w:val="Figure Source"/>
    <w:basedOn w:val="Normal"/>
    <w:next w:val="Normal"/>
    <w:uiPriority w:val="7"/>
    <w:rPr>
      <w:sz w:val="20"/>
    </w:rPr>
  </w:style>
  <w:style w:type="paragraph" w:customStyle="1" w:styleId="AnnexHeading1">
    <w:name w:val="Annex Heading 1"/>
    <w:basedOn w:val="Normal"/>
    <w:next w:val="Normal"/>
    <w:pPr>
      <w:pageBreakBefore/>
      <w:spacing w:before="240"/>
      <w:outlineLvl w:val="0"/>
    </w:pPr>
    <w:rPr>
      <w:b/>
      <w:smallCaps/>
      <w:sz w:val="36"/>
    </w:rPr>
  </w:style>
  <w:style w:type="paragraph" w:styleId="Header">
    <w:name w:val="header"/>
    <w:basedOn w:val="Normal"/>
    <w:link w:val="HeaderChar"/>
    <w:uiPriority w:val="99"/>
    <w:pPr>
      <w:tabs>
        <w:tab w:val="center" w:pos="4150"/>
        <w:tab w:val="right" w:pos="8306"/>
      </w:tabs>
      <w:spacing w:after="0"/>
    </w:pPr>
  </w:style>
  <w:style w:type="character" w:customStyle="1" w:styleId="HeaderChar">
    <w:name w:val="Header Char"/>
    <w:basedOn w:val="DefaultParagraphFont"/>
    <w:link w:val="Header"/>
    <w:uiPriority w:val="99"/>
    <w:rPr>
      <w:sz w:val="24"/>
    </w:rPr>
  </w:style>
  <w:style w:type="table" w:customStyle="1" w:styleId="TableLetterhead">
    <w:name w:val="Table Letterhead"/>
    <w:basedOn w:val="TableNormal"/>
    <w:uiPriority w:val="99"/>
    <w:tblPr>
      <w:tblCellMar>
        <w:left w:w="0" w:type="dxa"/>
        <w:bottom w:w="340" w:type="dxa"/>
        <w:right w:w="0" w:type="dxa"/>
      </w:tblCellMar>
    </w:tblPr>
  </w:style>
  <w:style w:type="table" w:customStyle="1" w:styleId="TableHistory">
    <w:name w:val="Table History"/>
    <w:basedOn w:val="TableNormal"/>
    <w:uiPriority w:val="99"/>
    <w:pPr>
      <w:spacing w:before="60" w:after="60" w:line="264" w:lineRule="auto"/>
    </w:pPr>
    <w:rPr>
      <w:sz w:val="22"/>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character" w:customStyle="1" w:styleId="Heading2Char">
    <w:name w:val="Heading 2 Char"/>
    <w:basedOn w:val="DefaultParagraphFont"/>
    <w:link w:val="Heading2"/>
    <w:uiPriority w:val="9"/>
    <w:rPr>
      <w:b/>
    </w:rPr>
  </w:style>
  <w:style w:type="character" w:customStyle="1" w:styleId="Heading1Char">
    <w:name w:val="Heading 1 Char"/>
    <w:basedOn w:val="DefaultParagraphFont"/>
    <w:link w:val="Heading1"/>
    <w:uiPriority w:val="9"/>
    <w:rPr>
      <w:b/>
      <w:smallCaps/>
    </w:rPr>
  </w:style>
  <w:style w:type="character" w:customStyle="1" w:styleId="TitleChar">
    <w:name w:val="Title Char"/>
    <w:basedOn w:val="DefaultParagraphFont"/>
    <w:link w:val="Title"/>
    <w:uiPriority w:val="10"/>
    <w:rPr>
      <w:b/>
      <w:kern w:val="28"/>
      <w:sz w:val="48"/>
    </w:rPr>
  </w:style>
  <w:style w:type="character" w:customStyle="1" w:styleId="Heading3Char">
    <w:name w:val="Heading 3 Char"/>
    <w:basedOn w:val="DefaultParagraphFont"/>
    <w:link w:val="Heading3"/>
    <w:uiPriority w:val="9"/>
    <w:rPr>
      <w:i/>
    </w:rPr>
  </w:style>
  <w:style w:type="paragraph" w:styleId="Subtitle">
    <w:name w:val="Subtitle"/>
    <w:basedOn w:val="Normal"/>
    <w:next w:val="Normal"/>
    <w:link w:val="SubtitleChar"/>
    <w:uiPriority w:val="11"/>
    <w:qFormat/>
    <w:locked/>
    <w:pPr>
      <w:numPr>
        <w:ilvl w:val="1"/>
      </w:numPr>
      <w:spacing w:before="120" w:after="120"/>
      <w:jc w:val="left"/>
    </w:pPr>
    <w:rPr>
      <w:rFonts w:asciiTheme="majorHAnsi" w:eastAsiaTheme="majorEastAsia" w:hAnsiTheme="majorHAnsi" w:cstheme="majorBidi"/>
      <w:i/>
      <w:iCs/>
      <w:color w:val="5B9BD5" w:themeColor="accent1"/>
      <w:spacing w:val="15"/>
      <w:sz w:val="22"/>
      <w:szCs w:val="24"/>
      <w:lang w:eastAsia="en-US"/>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5B9BD5" w:themeColor="accent1"/>
      <w:spacing w:val="15"/>
      <w:sz w:val="22"/>
      <w:szCs w:val="24"/>
      <w:lang w:eastAsia="en-US"/>
    </w:rPr>
  </w:style>
  <w:style w:type="paragraph" w:styleId="NoSpacing">
    <w:name w:val="No Spacing"/>
    <w:uiPriority w:val="1"/>
    <w:locked/>
    <w:rPr>
      <w:rFonts w:eastAsiaTheme="minorHAnsi" w:cstheme="minorBidi"/>
      <w:szCs w:val="24"/>
      <w:lang w:eastAsia="en-US"/>
    </w:rPr>
  </w:style>
  <w:style w:type="character" w:styleId="SubtleEmphasis">
    <w:name w:val="Subtle Emphasis"/>
    <w:basedOn w:val="DefaultParagraphFont"/>
    <w:uiPriority w:val="19"/>
    <w:qFormat/>
    <w:locked/>
    <w:rPr>
      <w:i/>
      <w:iCs/>
      <w:color w:val="808080" w:themeColor="text1" w:themeTint="7F"/>
    </w:rPr>
  </w:style>
  <w:style w:type="character" w:styleId="Emphasis">
    <w:name w:val="Emphasis"/>
    <w:basedOn w:val="DefaultParagraphFont"/>
    <w:uiPriority w:val="20"/>
    <w:qFormat/>
    <w:locked/>
    <w:rPr>
      <w:i/>
      <w:iCs/>
    </w:rPr>
  </w:style>
  <w:style w:type="character" w:styleId="IntenseEmphasis">
    <w:name w:val="Intense Emphasis"/>
    <w:basedOn w:val="DefaultParagraphFont"/>
    <w:uiPriority w:val="21"/>
    <w:locked/>
    <w:rPr>
      <w:b/>
      <w:bCs/>
      <w:i/>
      <w:iCs/>
      <w:color w:val="5B9BD5" w:themeColor="accent1"/>
    </w:rPr>
  </w:style>
  <w:style w:type="character" w:styleId="Strong">
    <w:name w:val="Strong"/>
    <w:basedOn w:val="DefaultParagraphFont"/>
    <w:uiPriority w:val="22"/>
    <w:qFormat/>
    <w:locked/>
    <w:rPr>
      <w:b/>
      <w:bCs/>
    </w:rPr>
  </w:style>
  <w:style w:type="paragraph" w:styleId="Quote">
    <w:name w:val="Quote"/>
    <w:basedOn w:val="Normal"/>
    <w:next w:val="Normal"/>
    <w:link w:val="QuoteChar"/>
    <w:uiPriority w:val="29"/>
    <w:locked/>
    <w:pPr>
      <w:spacing w:before="120" w:after="120"/>
      <w:jc w:val="left"/>
    </w:pPr>
    <w:rPr>
      <w:rFonts w:asciiTheme="minorHAnsi" w:eastAsiaTheme="minorHAnsi" w:hAnsiTheme="minorHAnsi" w:cstheme="minorHAnsi"/>
      <w:i/>
      <w:iCs/>
      <w:color w:val="000000" w:themeColor="text1"/>
      <w:sz w:val="22"/>
      <w:szCs w:val="24"/>
      <w:lang w:eastAsia="en-US"/>
    </w:rPr>
  </w:style>
  <w:style w:type="character" w:customStyle="1" w:styleId="QuoteChar">
    <w:name w:val="Quote Char"/>
    <w:basedOn w:val="DefaultParagraphFont"/>
    <w:link w:val="Quote"/>
    <w:uiPriority w:val="29"/>
    <w:rPr>
      <w:rFonts w:asciiTheme="minorHAnsi" w:eastAsiaTheme="minorHAnsi" w:hAnsiTheme="minorHAnsi" w:cstheme="minorHAnsi"/>
      <w:i/>
      <w:iCs/>
      <w:color w:val="000000" w:themeColor="text1"/>
      <w:sz w:val="22"/>
      <w:szCs w:val="24"/>
      <w:lang w:eastAsia="en-US"/>
    </w:rPr>
  </w:style>
  <w:style w:type="paragraph" w:styleId="IntenseQuote">
    <w:name w:val="Intense Quote"/>
    <w:basedOn w:val="Normal"/>
    <w:next w:val="Normal"/>
    <w:link w:val="IntenseQuoteChar"/>
    <w:uiPriority w:val="30"/>
    <w:locked/>
    <w:pPr>
      <w:pBdr>
        <w:bottom w:val="single" w:sz="4" w:space="4" w:color="5B9BD5" w:themeColor="accent1"/>
      </w:pBdr>
      <w:spacing w:before="200" w:after="280"/>
      <w:ind w:left="936" w:right="936"/>
      <w:jc w:val="left"/>
    </w:pPr>
    <w:rPr>
      <w:rFonts w:asciiTheme="minorHAnsi" w:eastAsiaTheme="minorHAnsi" w:hAnsiTheme="minorHAnsi" w:cstheme="minorHAnsi"/>
      <w:b/>
      <w:bCs/>
      <w:i/>
      <w:iCs/>
      <w:color w:val="5B9BD5" w:themeColor="accent1"/>
      <w:sz w:val="22"/>
      <w:szCs w:val="24"/>
      <w:lang w:eastAsia="en-US"/>
    </w:rPr>
  </w:style>
  <w:style w:type="character" w:customStyle="1" w:styleId="IntenseQuoteChar">
    <w:name w:val="Intense Quote Char"/>
    <w:basedOn w:val="DefaultParagraphFont"/>
    <w:link w:val="IntenseQuote"/>
    <w:uiPriority w:val="30"/>
    <w:rPr>
      <w:rFonts w:asciiTheme="minorHAnsi" w:eastAsiaTheme="minorHAnsi" w:hAnsiTheme="minorHAnsi" w:cstheme="minorHAnsi"/>
      <w:b/>
      <w:bCs/>
      <w:i/>
      <w:iCs/>
      <w:color w:val="5B9BD5" w:themeColor="accent1"/>
      <w:sz w:val="22"/>
      <w:szCs w:val="24"/>
      <w:lang w:eastAsia="en-US"/>
    </w:rPr>
  </w:style>
  <w:style w:type="character" w:styleId="SubtleReference">
    <w:name w:val="Subtle Reference"/>
    <w:basedOn w:val="DefaultParagraphFont"/>
    <w:uiPriority w:val="31"/>
    <w:locked/>
    <w:rPr>
      <w:smallCaps/>
      <w:color w:val="ED7D31" w:themeColor="accent2"/>
      <w:u w:val="single"/>
    </w:rPr>
  </w:style>
  <w:style w:type="character" w:styleId="IntenseReference">
    <w:name w:val="Intense Reference"/>
    <w:basedOn w:val="DefaultParagraphFont"/>
    <w:uiPriority w:val="32"/>
    <w:locked/>
    <w:rPr>
      <w:b/>
      <w:bCs/>
      <w:smallCaps/>
      <w:color w:val="ED7D31" w:themeColor="accent2"/>
      <w:spacing w:val="5"/>
      <w:u w:val="single"/>
    </w:rPr>
  </w:style>
  <w:style w:type="character" w:styleId="BookTitle">
    <w:name w:val="Book Title"/>
    <w:basedOn w:val="DefaultParagraphFont"/>
    <w:uiPriority w:val="33"/>
    <w:locked/>
    <w:rPr>
      <w:b/>
      <w:bCs/>
      <w:smallCaps/>
      <w:spacing w:val="5"/>
    </w:rPr>
  </w:style>
  <w:style w:type="paragraph" w:styleId="ListParagraph">
    <w:name w:val="List Paragraph"/>
    <w:aliases w:val="Heading 2_sj,List Paragraph1,Dot pt"/>
    <w:basedOn w:val="Normal"/>
    <w:link w:val="ListParagraphChar"/>
    <w:uiPriority w:val="34"/>
    <w:qFormat/>
    <w:locked/>
    <w:pPr>
      <w:spacing w:before="120" w:after="120"/>
      <w:ind w:left="720"/>
      <w:contextualSpacing/>
      <w:jc w:val="left"/>
    </w:pPr>
    <w:rPr>
      <w:rFonts w:asciiTheme="minorHAnsi" w:eastAsiaTheme="minorHAnsi" w:hAnsiTheme="minorHAnsi" w:cstheme="minorHAnsi"/>
      <w:sz w:val="22"/>
      <w:szCs w:val="24"/>
      <w:lang w:eastAsia="en-US"/>
    </w:rPr>
  </w:style>
  <w:style w:type="character" w:customStyle="1" w:styleId="Heading4Char">
    <w:name w:val="Heading 4 Char"/>
    <w:basedOn w:val="DefaultParagraphFont"/>
    <w:link w:val="Heading4"/>
    <w:uiPriority w:val="9"/>
  </w:style>
  <w:style w:type="character" w:customStyle="1" w:styleId="Heading5Char">
    <w:name w:val="Heading 5 Char"/>
    <w:basedOn w:val="DefaultParagraphFont"/>
    <w:link w:val="Heading5"/>
    <w:uiPriority w:val="9"/>
  </w:style>
  <w:style w:type="character" w:customStyle="1" w:styleId="Heading6Char">
    <w:name w:val="Heading 6 Char"/>
    <w:basedOn w:val="DefaultParagraphFont"/>
    <w:link w:val="Heading6"/>
    <w:uiPriority w:val="9"/>
    <w:semiHidden/>
  </w:style>
  <w:style w:type="numbering" w:customStyle="1" w:styleId="Style1">
    <w:name w:val="Style1"/>
    <w:uiPriority w:val="99"/>
    <w:pPr>
      <w:numPr>
        <w:numId w:val="18"/>
      </w:numPr>
    </w:pPr>
  </w:style>
  <w:style w:type="character" w:customStyle="1" w:styleId="Heading7Char">
    <w:name w:val="Heading 7 Char"/>
    <w:basedOn w:val="DefaultParagraphFont"/>
    <w:link w:val="Heading7"/>
    <w:uiPriority w:val="9"/>
    <w:semiHidden/>
  </w:style>
  <w:style w:type="character" w:customStyle="1" w:styleId="Heading8Char">
    <w:name w:val="Heading 8 Char"/>
    <w:basedOn w:val="DefaultParagraphFont"/>
    <w:link w:val="Heading8"/>
    <w:uiPriority w:val="9"/>
    <w:semiHidden/>
  </w:style>
  <w:style w:type="character" w:customStyle="1" w:styleId="Heading9Char">
    <w:name w:val="Heading 9 Char"/>
    <w:basedOn w:val="DefaultParagraphFont"/>
    <w:link w:val="Heading9"/>
    <w:uiPriority w:val="9"/>
    <w:semiHidden/>
  </w:style>
  <w:style w:type="character" w:customStyle="1" w:styleId="ListParagraphChar">
    <w:name w:val="List Paragraph Char"/>
    <w:aliases w:val="Heading 2_sj Char,List Paragraph1 Char,Dot pt Char"/>
    <w:link w:val="ListParagraph"/>
    <w:uiPriority w:val="34"/>
    <w:rPr>
      <w:rFonts w:asciiTheme="minorHAnsi" w:eastAsiaTheme="minorHAnsi" w:hAnsiTheme="minorHAnsi" w:cstheme="minorHAnsi"/>
      <w:sz w:val="22"/>
      <w:szCs w:val="24"/>
      <w:lang w:eastAsia="en-US"/>
    </w:rPr>
  </w:style>
  <w:style w:type="character" w:styleId="CommentReference">
    <w:name w:val="annotation reference"/>
    <w:uiPriority w:val="99"/>
    <w:locked/>
    <w:rPr>
      <w:sz w:val="16"/>
      <w:szCs w:val="16"/>
    </w:rPr>
  </w:style>
  <w:style w:type="paragraph" w:styleId="CommentText">
    <w:name w:val="annotation text"/>
    <w:basedOn w:val="Normal"/>
    <w:link w:val="CommentTextChar"/>
    <w:uiPriority w:val="99"/>
    <w:locked/>
    <w:pPr>
      <w:spacing w:before="120" w:after="120"/>
      <w:jc w:val="left"/>
    </w:pPr>
    <w:rPr>
      <w:sz w:val="20"/>
    </w:rPr>
  </w:style>
  <w:style w:type="character" w:customStyle="1" w:styleId="CommentTextChar">
    <w:name w:val="Comment Text Char"/>
    <w:basedOn w:val="DefaultParagraphFont"/>
    <w:link w:val="CommentText"/>
    <w:uiPriority w:val="99"/>
    <w:rPr>
      <w:sz w:val="20"/>
    </w:rPr>
  </w:style>
  <w:style w:type="character" w:styleId="Hyperlink">
    <w:name w:val="Hyperlink"/>
    <w:basedOn w:val="DefaultParagraphFont"/>
    <w:uiPriority w:val="99"/>
    <w:unhideWhenUsed/>
    <w:locked/>
    <w:rPr>
      <w:color w:val="0563C1" w:themeColor="hyperlink"/>
      <w:u w:val="single"/>
    </w:rPr>
  </w:style>
  <w:style w:type="paragraph" w:styleId="BalloonText">
    <w:name w:val="Balloon Text"/>
    <w:basedOn w:val="Normal"/>
    <w:link w:val="BalloonTextChar"/>
    <w:uiPriority w:val="99"/>
    <w:semiHidden/>
    <w:unhideWhenUsed/>
    <w:locked/>
    <w:pPr>
      <w:spacing w:before="120" w:after="120"/>
      <w:jc w:val="left"/>
    </w:pPr>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Pr>
      <w:rFonts w:ascii="Segoe UI" w:eastAsiaTheme="minorHAns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locked/>
    <w:rPr>
      <w:rFonts w:ascii="Arial" w:eastAsiaTheme="minorHAnsi" w:hAnsi="Arial" w:cstheme="minorBidi"/>
      <w:b/>
      <w:bCs/>
      <w:lang w:eastAsia="en-US"/>
    </w:rPr>
  </w:style>
  <w:style w:type="character" w:customStyle="1" w:styleId="CommentSubjectChar">
    <w:name w:val="Comment Subject Char"/>
    <w:basedOn w:val="CommentTextChar"/>
    <w:link w:val="CommentSubject"/>
    <w:uiPriority w:val="99"/>
    <w:semiHidden/>
    <w:rPr>
      <w:rFonts w:ascii="Arial" w:eastAsiaTheme="minorHAnsi" w:hAnsi="Arial" w:cstheme="minorBidi"/>
      <w:b/>
      <w:bCs/>
      <w:sz w:val="20"/>
      <w:lang w:eastAsia="en-US"/>
    </w:rPr>
  </w:style>
  <w:style w:type="paragraph" w:styleId="Bibliography">
    <w:name w:val="Bibliography"/>
    <w:basedOn w:val="Normal"/>
    <w:next w:val="Normal"/>
    <w:uiPriority w:val="37"/>
    <w:unhideWhenUsed/>
    <w:locked/>
    <w:pPr>
      <w:tabs>
        <w:tab w:val="left" w:pos="384"/>
      </w:tabs>
      <w:spacing w:before="60" w:after="0"/>
      <w:ind w:left="386" w:hanging="386"/>
      <w:jc w:val="left"/>
    </w:pPr>
    <w:rPr>
      <w:rFonts w:asciiTheme="minorHAnsi" w:eastAsiaTheme="minorHAnsi" w:hAnsiTheme="minorHAnsi" w:cstheme="minorHAnsi"/>
      <w:sz w:val="18"/>
      <w:szCs w:val="24"/>
      <w:lang w:eastAsia="en-US"/>
    </w:rPr>
  </w:style>
  <w:style w:type="character" w:customStyle="1" w:styleId="FootnoteTextChar">
    <w:name w:val="Footnote Text Char"/>
    <w:aliases w:val="Footnote text Char, Char Char, Char1 Char1, Char1 Char Char, Char2 Char, Char3 Char, Char11 Char, Char1 Char2 Char, Char21 Char, Char4 Char, Char12 Char, Char1 Char3 Char, Char22 Char, Char5 Char, Char13 Char, Char1 Char4 Char,fn Char"/>
    <w:basedOn w:val="DefaultParagraphFont"/>
    <w:link w:val="FootnoteText"/>
    <w:uiPriority w:val="99"/>
    <w:rPr>
      <w:sz w:val="20"/>
    </w:rPr>
  </w:style>
  <w:style w:type="character" w:styleId="FootnoteReference">
    <w:name w:val="footnote reference"/>
    <w:aliases w:val="ftref,16 Point,Superscript 6 Point,number,SUPERS,Footnote Reference Superscript,(Ref. de nota al pie),stylish,Appel note de bas de page,Ref,de nota al pie,BVI fnr,Footnote symbol,Footnote Refernece,callout,Odwołanie przypisu,FR"/>
    <w:uiPriority w:val="99"/>
    <w:qFormat/>
    <w:locked/>
    <w:rPr>
      <w:vertAlign w:val="superscript"/>
    </w:rPr>
  </w:style>
  <w:style w:type="table" w:styleId="TableGrid">
    <w:name w:val="Table Grid"/>
    <w:basedOn w:val="TableNormal"/>
    <w:uiPriority w:val="39"/>
    <w:lock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locked/>
    <w:pPr>
      <w:spacing w:after="150"/>
      <w:jc w:val="left"/>
    </w:pPr>
    <w:rPr>
      <w:szCs w:val="24"/>
    </w:rPr>
  </w:style>
  <w:style w:type="table" w:customStyle="1" w:styleId="GridTableLight">
    <w:name w:val="Grid Table Light"/>
    <w:basedOn w:val="TableNormal"/>
    <w:uiPriority w:val="40"/>
    <w:locked/>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Pr>
      <w:color w:val="808080"/>
      <w:shd w:val="clear" w:color="auto" w:fill="E6E6E6"/>
    </w:rPr>
  </w:style>
  <w:style w:type="paragraph" w:customStyle="1" w:styleId="Source">
    <w:name w:val="Source"/>
    <w:basedOn w:val="Normal"/>
    <w:qFormat/>
    <w:pPr>
      <w:spacing w:after="120"/>
      <w:jc w:val="right"/>
    </w:pPr>
    <w:rPr>
      <w:rFonts w:ascii="Open Sans" w:eastAsiaTheme="minorHAnsi" w:hAnsi="Open Sans" w:cstheme="minorBidi"/>
      <w:sz w:val="16"/>
      <w:szCs w:val="16"/>
      <w:lang w:val="da-DK" w:eastAsia="en-US"/>
    </w:rPr>
  </w:style>
  <w:style w:type="character" w:customStyle="1" w:styleId="UnresolvedMention2">
    <w:name w:val="Unresolved Mention2"/>
    <w:basedOn w:val="DefaultParagraphFont"/>
    <w:uiPriority w:val="99"/>
    <w:semiHidden/>
    <w:unhideWhenUsed/>
    <w:rPr>
      <w:color w:val="808080"/>
      <w:shd w:val="clear" w:color="auto" w:fill="E6E6E6"/>
    </w:rPr>
  </w:style>
  <w:style w:type="character" w:styleId="FollowedHyperlink">
    <w:name w:val="FollowedHyperlink"/>
    <w:basedOn w:val="DefaultParagraphFont"/>
    <w:uiPriority w:val="99"/>
    <w:semiHidden/>
    <w:unhideWhenUsed/>
    <w:locked/>
    <w:rPr>
      <w:color w:val="954F72" w:themeColor="followedHyperlink"/>
      <w:u w:val="single"/>
    </w:rPr>
  </w:style>
  <w:style w:type="paragraph" w:styleId="Revision">
    <w:name w:val="Revision"/>
    <w:hidden/>
    <w:uiPriority w:val="99"/>
    <w:semiHidden/>
    <w:locked/>
    <w:rPr>
      <w:rFonts w:asciiTheme="minorHAnsi" w:eastAsiaTheme="minorHAnsi" w:hAnsiTheme="minorHAnsi" w:cstheme="minorHAnsi"/>
      <w:sz w:val="22"/>
      <w:szCs w:val="24"/>
      <w:lang w:eastAsia="en-US"/>
    </w:rPr>
  </w:style>
  <w:style w:type="table" w:customStyle="1" w:styleId="PlainTable1">
    <w:name w:val="Plain Table 1"/>
    <w:basedOn w:val="TableNormal"/>
    <w:uiPriority w:val="41"/>
    <w:locked/>
    <w:rPr>
      <w:rFonts w:eastAsiaTheme="minorHAnsi" w:cstheme="minorBidi"/>
      <w:szCs w:val="24"/>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ndnoteReference">
    <w:name w:val="endnote reference"/>
    <w:basedOn w:val="DefaultParagraphFont"/>
    <w:uiPriority w:val="99"/>
    <w:semiHidden/>
    <w:unhideWhenUsed/>
    <w:locked/>
    <w:rPr>
      <w:vertAlign w:val="superscript"/>
    </w:rPr>
  </w:style>
  <w:style w:type="paragraph" w:customStyle="1" w:styleId="BodyTextKeep">
    <w:name w:val="Body Text Keep"/>
    <w:basedOn w:val="BodyText"/>
    <w:pPr>
      <w:keepNext/>
      <w:overflowPunct w:val="0"/>
      <w:autoSpaceDE w:val="0"/>
      <w:autoSpaceDN w:val="0"/>
      <w:adjustRightInd w:val="0"/>
      <w:jc w:val="left"/>
      <w:textAlignment w:val="baseline"/>
    </w:pPr>
    <w:rPr>
      <w:color w:val="FF0000"/>
      <w:lang w:eastAsia="en-US"/>
    </w:rPr>
  </w:style>
  <w:style w:type="paragraph" w:styleId="BodyText">
    <w:name w:val="Body Text"/>
    <w:basedOn w:val="Normal"/>
    <w:link w:val="BodyTextChar"/>
    <w:uiPriority w:val="99"/>
    <w:semiHidden/>
    <w:locked/>
    <w:pPr>
      <w:spacing w:after="120"/>
    </w:pPr>
  </w:style>
  <w:style w:type="character" w:customStyle="1" w:styleId="BodyTextChar">
    <w:name w:val="Body Text Char"/>
    <w:basedOn w:val="DefaultParagraphFont"/>
    <w:link w:val="BodyText"/>
    <w:uiPriority w:val="99"/>
    <w:semiHidden/>
  </w:style>
  <w:style w:type="table" w:customStyle="1" w:styleId="PlainTable5">
    <w:name w:val="Plain Table 5"/>
    <w:basedOn w:val="TableNormal"/>
    <w:locke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Default">
    <w:name w:val="Default"/>
    <w:pPr>
      <w:autoSpaceDE w:val="0"/>
      <w:autoSpaceDN w:val="0"/>
      <w:adjustRightInd w:val="0"/>
    </w:pPr>
    <w:rPr>
      <w:rFonts w:ascii="Segoe UI" w:eastAsiaTheme="minorHAnsi" w:hAnsi="Segoe UI" w:cs="Segoe UI"/>
      <w:color w:val="000000"/>
      <w:szCs w:val="24"/>
      <w:lang w:eastAsia="en-US"/>
    </w:rPr>
  </w:style>
  <w:style w:type="character" w:customStyle="1" w:styleId="FooterChar">
    <w:name w:val="Footer Char"/>
    <w:basedOn w:val="DefaultParagraphFont"/>
    <w:link w:val="Footer"/>
    <w:uiPriority w:val="99"/>
    <w:rPr>
      <w:sz w:val="16"/>
    </w:rPr>
  </w:style>
  <w:style w:type="character" w:customStyle="1" w:styleId="st">
    <w:name w:val="st"/>
    <w:basedOn w:val="DefaultParagraphFont"/>
  </w:style>
  <w:style w:type="character" w:customStyle="1" w:styleId="A4">
    <w:name w:val="A4"/>
    <w:uiPriority w:val="99"/>
    <w:rPr>
      <w:rFonts w:cs="Verdana"/>
      <w:color w:val="000000"/>
      <w:sz w:val="22"/>
      <w:szCs w:val="22"/>
    </w:rPr>
  </w:style>
  <w:style w:type="paragraph" w:customStyle="1" w:styleId="Pa0">
    <w:name w:val="Pa0"/>
    <w:basedOn w:val="Default"/>
    <w:next w:val="Default"/>
    <w:uiPriority w:val="99"/>
    <w:pPr>
      <w:spacing w:line="241" w:lineRule="atLeast"/>
    </w:pPr>
    <w:rPr>
      <w:rFonts w:ascii="Calibri" w:hAnsi="Calibri" w:cstheme="minorBidi"/>
      <w:color w:val="auto"/>
    </w:rPr>
  </w:style>
  <w:style w:type="character" w:customStyle="1" w:styleId="A1">
    <w:name w:val="A1"/>
    <w:uiPriority w:val="99"/>
    <w:rPr>
      <w:rFonts w:cs="Calibri"/>
      <w:color w:val="000000"/>
      <w:sz w:val="20"/>
      <w:szCs w:val="20"/>
    </w:rPr>
  </w:style>
  <w:style w:type="character" w:customStyle="1" w:styleId="st1">
    <w:name w:val="st1"/>
    <w:basedOn w:val="DefaultParagraphFont"/>
  </w:style>
  <w:style w:type="paragraph" w:customStyle="1" w:styleId="EndNoteBibliography">
    <w:name w:val="EndNote Bibliography"/>
    <w:basedOn w:val="Normal"/>
    <w:link w:val="EndNoteBibliographyChar"/>
    <w:pPr>
      <w:spacing w:after="0"/>
    </w:pPr>
    <w:rPr>
      <w:rFonts w:ascii="Arial" w:eastAsia="ヒラギノ角ゴ Pro W3" w:hAnsi="Arial" w:cs="Arial"/>
      <w:noProof/>
      <w:color w:val="000000"/>
      <w:sz w:val="22"/>
      <w:szCs w:val="24"/>
      <w:lang w:val="en-US" w:eastAsia="en-US"/>
    </w:rPr>
  </w:style>
  <w:style w:type="character" w:customStyle="1" w:styleId="EndNoteBibliographyChar">
    <w:name w:val="EndNote Bibliography Char"/>
    <w:basedOn w:val="DefaultParagraphFont"/>
    <w:link w:val="EndNoteBibliography"/>
    <w:rPr>
      <w:rFonts w:ascii="Arial" w:eastAsia="ヒラギノ角ゴ Pro W3" w:hAnsi="Arial" w:cs="Arial"/>
      <w:noProof/>
      <w:color w:val="000000"/>
      <w:sz w:val="22"/>
      <w:szCs w:val="24"/>
      <w:lang w:val="en-US" w:eastAsia="en-US"/>
    </w:rPr>
  </w:style>
  <w:style w:type="paragraph" w:customStyle="1" w:styleId="xxxmsonormal">
    <w:name w:val="x_x_x_msonormal"/>
    <w:basedOn w:val="Normal"/>
    <w:pPr>
      <w:spacing w:before="100" w:beforeAutospacing="1" w:after="100" w:afterAutospacing="1"/>
      <w:jc w:val="left"/>
    </w:pPr>
    <w:rPr>
      <w:szCs w:val="24"/>
    </w:rPr>
  </w:style>
  <w:style w:type="character" w:customStyle="1" w:styleId="CaptionChar">
    <w:name w:val="Caption Char"/>
    <w:aliases w:val="Table legend Char,Tab_Überschrift Char,Figure reference Char,Char Char Char1,Char Char Char Char,Caption1 Char Char Char Char Char Char Char Char Tegn Tegn Tegn Tegn Tegn Char,F10 Table Figure and Chart Tit Char,Eco Char"/>
    <w:basedOn w:val="DefaultParagraphFont"/>
    <w:link w:val="Caption"/>
    <w:locked/>
    <w:rPr>
      <w:i/>
      <w:sz w:val="22"/>
    </w:rPr>
  </w:style>
  <w:style w:type="character" w:customStyle="1" w:styleId="UnresolvedMention3">
    <w:name w:val="Unresolved Mention3"/>
    <w:basedOn w:val="DefaultParagraphFont"/>
    <w:uiPriority w:val="99"/>
    <w:semiHidden/>
    <w:unhideWhenUsed/>
    <w:rPr>
      <w:color w:val="605E5C"/>
      <w:shd w:val="clear" w:color="auto" w:fill="E1DFDD"/>
    </w:rPr>
  </w:style>
  <w:style w:type="character" w:customStyle="1" w:styleId="Quotation">
    <w:name w:val="Quotation"/>
    <w:qFormat/>
    <w:rPr>
      <w:i/>
      <w:iCs/>
    </w:rPr>
  </w:style>
  <w:style w:type="paragraph" w:customStyle="1" w:styleId="Fig">
    <w:name w:val="Fig"/>
    <w:basedOn w:val="Caption"/>
    <w:qFormat/>
    <w:pPr>
      <w:suppressLineNumbers/>
      <w:spacing w:before="120" w:after="120" w:line="276" w:lineRule="auto"/>
      <w:jc w:val="left"/>
    </w:pPr>
    <w:rPr>
      <w:rFonts w:asciiTheme="minorHAnsi" w:eastAsiaTheme="minorHAnsi" w:hAnsiTheme="minorHAnsi" w:cs="Lohit Devanagari"/>
      <w:iCs/>
      <w:sz w:val="24"/>
      <w:szCs w:val="24"/>
      <w:lang w:eastAsia="en-US"/>
    </w:rPr>
  </w:style>
  <w:style w:type="character" w:customStyle="1" w:styleId="UnresolvedMention4">
    <w:name w:val="Unresolved Mention4"/>
    <w:basedOn w:val="DefaultParagraphFont"/>
    <w:uiPriority w:val="99"/>
    <w:semiHidden/>
    <w:unhideWhenUsed/>
    <w:rPr>
      <w:color w:val="605E5C"/>
      <w:shd w:val="clear" w:color="auto" w:fill="E1DFDD"/>
    </w:rPr>
  </w:style>
  <w:style w:type="character" w:customStyle="1" w:styleId="UnresolvedMention5">
    <w:name w:val="Unresolved Mention5"/>
    <w:basedOn w:val="DefaultParagraphFont"/>
    <w:uiPriority w:val="99"/>
    <w:semiHidden/>
    <w:unhideWhenUsed/>
    <w:rPr>
      <w:color w:val="605E5C"/>
      <w:shd w:val="clear" w:color="auto" w:fill="E1DFDD"/>
    </w:rPr>
  </w:style>
  <w:style w:type="character" w:customStyle="1" w:styleId="UnresolvedMention6">
    <w:name w:val="Unresolved Mention6"/>
    <w:basedOn w:val="DefaultParagraphFont"/>
    <w:uiPriority w:val="99"/>
    <w:semiHidden/>
    <w:unhideWhenUsed/>
    <w:rPr>
      <w:color w:val="605E5C"/>
      <w:shd w:val="clear" w:color="auto" w:fill="E1DFDD"/>
    </w:rPr>
  </w:style>
  <w:style w:type="paragraph" w:customStyle="1" w:styleId="paragraph">
    <w:name w:val="paragraph"/>
    <w:basedOn w:val="Normal"/>
    <w:pPr>
      <w:spacing w:after="0"/>
      <w:jc w:val="left"/>
    </w:pPr>
    <w:rPr>
      <w:szCs w:val="24"/>
    </w:rPr>
  </w:style>
  <w:style w:type="character" w:customStyle="1" w:styleId="normaltextrun1">
    <w:name w:val="normaltextrun1"/>
    <w:basedOn w:val="DefaultParagraphFont"/>
  </w:style>
  <w:style w:type="character" w:customStyle="1" w:styleId="eop">
    <w:name w:val="eop"/>
    <w:basedOn w:val="DefaultParagraphFont"/>
  </w:style>
  <w:style w:type="character" w:customStyle="1" w:styleId="ms-rtestyle-p2">
    <w:name w:val="ms-rtestyle-p2"/>
    <w:basedOn w:val="DefaultParagraphFont"/>
    <w:rPr>
      <w:rFonts w:ascii="Calibri" w:hAnsi="Calibri" w:hint="default"/>
      <w:b w:val="0"/>
      <w:bCs w:val="0"/>
      <w:color w:val="6E6E6E"/>
      <w:sz w:val="23"/>
      <w:szCs w:val="23"/>
    </w:rPr>
  </w:style>
  <w:style w:type="paragraph" w:customStyle="1" w:styleId="SecurityMarking">
    <w:name w:val="SecurityMarking"/>
    <w:basedOn w:val="Normal"/>
    <w:pPr>
      <w:spacing w:after="0" w:line="276" w:lineRule="auto"/>
      <w:ind w:left="5103"/>
      <w:jc w:val="left"/>
    </w:pPr>
    <w:rPr>
      <w:rFonts w:eastAsiaTheme="minorHAnsi"/>
      <w:sz w:val="28"/>
      <w:szCs w:val="22"/>
      <w:lang w:eastAsia="en-US"/>
    </w:rPr>
  </w:style>
  <w:style w:type="paragraph" w:customStyle="1" w:styleId="DateMarking">
    <w:name w:val="DateMarking"/>
    <w:basedOn w:val="Normal"/>
    <w:pPr>
      <w:spacing w:after="0" w:line="276" w:lineRule="auto"/>
      <w:ind w:left="5103"/>
      <w:jc w:val="left"/>
    </w:pPr>
    <w:rPr>
      <w:rFonts w:eastAsiaTheme="minorHAnsi"/>
      <w:i/>
      <w:sz w:val="28"/>
      <w:szCs w:val="22"/>
      <w:lang w:eastAsia="en-US"/>
    </w:rPr>
  </w:style>
  <w:style w:type="paragraph" w:customStyle="1" w:styleId="ReleasableTo">
    <w:name w:val="ReleasableTo"/>
    <w:basedOn w:val="Normal"/>
    <w:pPr>
      <w:spacing w:after="0" w:line="276" w:lineRule="auto"/>
      <w:ind w:left="5103"/>
      <w:jc w:val="left"/>
    </w:pPr>
    <w:rPr>
      <w:rFonts w:eastAsiaTheme="minorHAnsi"/>
      <w:i/>
      <w:sz w:val="28"/>
      <w:szCs w:val="22"/>
      <w:lang w:eastAsia="en-US"/>
    </w:rPr>
  </w:style>
  <w:style w:type="paragraph" w:customStyle="1" w:styleId="HeaderSensitivityRight">
    <w:name w:val="Header Sensitivity Right"/>
    <w:basedOn w:val="Normal"/>
    <w:pPr>
      <w:spacing w:after="120"/>
      <w:jc w:val="right"/>
    </w:pPr>
    <w:rPr>
      <w:sz w:val="28"/>
    </w:rPr>
  </w:style>
  <w:style w:type="paragraph" w:customStyle="1" w:styleId="Graphicsourcenotes">
    <w:name w:val="Graphic source/notes"/>
    <w:basedOn w:val="Normal"/>
    <w:next w:val="Normal"/>
    <w:pPr>
      <w:overflowPunct w:val="0"/>
      <w:autoSpaceDE w:val="0"/>
      <w:autoSpaceDN w:val="0"/>
      <w:adjustRightInd w:val="0"/>
      <w:spacing w:after="120"/>
      <w:jc w:val="left"/>
      <w:textAlignment w:val="baseline"/>
    </w:pPr>
    <w:rPr>
      <w:rFonts w:ascii="Arial" w:hAnsi="Arial"/>
      <w:sz w:val="18"/>
      <w:lang w:eastAsia="da-DK"/>
    </w:rPr>
  </w:style>
  <w:style w:type="character" w:customStyle="1" w:styleId="UnresolvedMention7">
    <w:name w:val="Unresolved Mention7"/>
    <w:basedOn w:val="DefaultParagraphFont"/>
    <w:uiPriority w:val="99"/>
    <w:semiHidden/>
    <w:unhideWhenUsed/>
    <w:rPr>
      <w:color w:val="605E5C"/>
      <w:shd w:val="clear" w:color="auto" w:fill="E1DFDD"/>
    </w:rPr>
  </w:style>
  <w:style w:type="character" w:customStyle="1" w:styleId="UnresolvedMention8">
    <w:name w:val="Unresolved Mention8"/>
    <w:basedOn w:val="DefaultParagraphFont"/>
    <w:uiPriority w:val="99"/>
    <w:semiHidden/>
    <w:unhideWhenUsed/>
    <w:rPr>
      <w:color w:val="605E5C"/>
      <w:shd w:val="clear" w:color="auto" w:fill="E1DFDD"/>
    </w:rPr>
  </w:style>
  <w:style w:type="character" w:customStyle="1" w:styleId="UnresolvedMention9">
    <w:name w:val="Unresolved Mention9"/>
    <w:basedOn w:val="DefaultParagraphFont"/>
    <w:uiPriority w:val="99"/>
    <w:semiHidden/>
    <w:unhideWhenUse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en-GB" w:eastAsia="en-GB" w:bidi="ar-SA"/>
      </w:rPr>
    </w:rPrDefault>
    <w:pPrDefault/>
  </w:docDefaults>
  <w:latentStyles w:defLockedState="1" w:defUIPriority="0" w:defSemiHidden="1" w:defUnhideWhenUsed="0" w:defQFormat="0" w:count="267">
    <w:lsdException w:name="Normal" w:semiHidden="0" w:uiPriority="9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semiHidden="0" w:uiPriority="99"/>
    <w:lsdException w:name="footer" w:semiHidden="0" w:uiPriority="99"/>
    <w:lsdException w:name="caption" w:semiHidden="0" w:uiPriority="99" w:qFormat="1"/>
    <w:lsdException w:name="footnote reference" w:uiPriority="99" w:qFormat="1"/>
    <w:lsdException w:name="annotation reference" w:uiPriority="99"/>
    <w:lsdException w:name="endnote reference" w:uiPriority="99"/>
    <w:lsdException w:name="List Bullet" w:semiHidden="0"/>
    <w:lsdException w:name="List Number" w:semiHidden="0"/>
    <w:lsdException w:name="List Bullet 2" w:semiHidden="0"/>
    <w:lsdException w:name="List Bullet 3" w:semiHidden="0"/>
    <w:lsdException w:name="List Bullet 4" w:semiHidden="0"/>
    <w:lsdException w:name="List Number 2" w:semiHidden="0"/>
    <w:lsdException w:name="List Number 3" w:semiHidden="0"/>
    <w:lsdException w:name="List Number 4" w:semiHidden="0"/>
    <w:lsdException w:name="Title" w:semiHidden="0" w:uiPriority="10" w:qFormat="1"/>
    <w:lsdException w:name="Signature" w:semiHidden="0"/>
    <w:lsdException w:name="Default Paragraph Font" w:uiPriority="1"/>
    <w:lsdException w:name="Body Text" w:uiPriority="99"/>
    <w:lsdException w:name="Subtitle" w:uiPriority="11" w:qFormat="1"/>
    <w:lsdException w:name="Date" w:semiHidden="0"/>
    <w:lsdException w:name="Hyperlink" w:uiPriority="99"/>
    <w:lsdException w:name="FollowedHyperlink" w:uiPriority="99"/>
    <w:lsdException w:name="Strong" w:uiPriority="22" w:qFormat="1"/>
    <w:lsdException w:name="Emphasis" w:uiPriority="20" w:qFormat="1"/>
    <w:lsdException w:name="Normal (Web)" w:uiPriority="99"/>
    <w:lsdException w:name="HTML Keyboard" w:unhideWhenUsed="1"/>
    <w:lsdException w:name="Normal Table" w:semiHidden="0" w:uiPriority="99"/>
    <w:lsdException w:name="annotation subject" w:uiPriority="99"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semiHidden="0"/>
    <w:lsdException w:name="Table Subtle 2" w:unhideWhenUsed="1"/>
    <w:lsdException w:name="Table Web 1" w:unhideWhenUsed="1"/>
    <w:lsdException w:name="Table Web 2" w:semiHidden="0"/>
    <w:lsdException w:name="Table Web 3" w:semiHidden="0"/>
    <w:lsdException w:name="Balloon Text" w:uiPriority="99" w:unhideWhenUsed="1"/>
    <w:lsdException w:name="Table Grid" w:semiHidden="0" w:uiPriority="39"/>
    <w:lsdException w:name="Table Theme" w:unhideWhenUsed="1"/>
    <w:lsdException w:name="Placeholder Text" w:uiPriority="99"/>
    <w:lsdException w:name="No Spacing" w:uiPriority="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Revision" w:uiPriority="99"/>
    <w:lsdException w:name="List Paragraph" w:uiPriority="34" w:qFormat="1"/>
    <w:lsdException w:name="Quote" w:uiPriority="29"/>
    <w:lsdException w:name="Intense Quote" w:uiPriority="3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uiPriority="37" w:unhideWhenUsed="1"/>
    <w:lsdException w:name="TOC Heading" w:unhideWhenUsed="1"/>
  </w:latentStyles>
  <w:style w:type="paragraph" w:default="1" w:styleId="Normal">
    <w:name w:val="Normal"/>
    <w:uiPriority w:val="90"/>
    <w:qFormat/>
    <w:pPr>
      <w:spacing w:after="240"/>
      <w:jc w:val="both"/>
    </w:pPr>
  </w:style>
  <w:style w:type="paragraph" w:styleId="Heading1">
    <w:name w:val="heading 1"/>
    <w:basedOn w:val="Normal"/>
    <w:next w:val="Text1"/>
    <w:link w:val="Heading1Char"/>
    <w:uiPriority w:val="9"/>
    <w:qFormat/>
    <w:pPr>
      <w:keepNext/>
      <w:numPr>
        <w:numId w:val="2"/>
      </w:numPr>
      <w:spacing w:before="240"/>
      <w:outlineLvl w:val="0"/>
    </w:pPr>
    <w:rPr>
      <w:b/>
      <w:smallCaps/>
    </w:rPr>
  </w:style>
  <w:style w:type="paragraph" w:styleId="Heading2">
    <w:name w:val="heading 2"/>
    <w:basedOn w:val="Normal"/>
    <w:next w:val="Text2"/>
    <w:link w:val="Heading2Char"/>
    <w:uiPriority w:val="9"/>
    <w:qFormat/>
    <w:pPr>
      <w:keepNext/>
      <w:numPr>
        <w:ilvl w:val="1"/>
        <w:numId w:val="2"/>
      </w:numPr>
      <w:outlineLvl w:val="1"/>
    </w:pPr>
    <w:rPr>
      <w:b/>
    </w:rPr>
  </w:style>
  <w:style w:type="paragraph" w:styleId="Heading3">
    <w:name w:val="heading 3"/>
    <w:basedOn w:val="Normal"/>
    <w:next w:val="Text3"/>
    <w:link w:val="Heading3Char"/>
    <w:uiPriority w:val="9"/>
    <w:qFormat/>
    <w:pPr>
      <w:keepNext/>
      <w:numPr>
        <w:ilvl w:val="2"/>
        <w:numId w:val="2"/>
      </w:numPr>
      <w:outlineLvl w:val="2"/>
    </w:pPr>
    <w:rPr>
      <w:i/>
    </w:rPr>
  </w:style>
  <w:style w:type="paragraph" w:styleId="Heading4">
    <w:name w:val="heading 4"/>
    <w:basedOn w:val="Normal"/>
    <w:next w:val="Text4"/>
    <w:link w:val="Heading4Char"/>
    <w:uiPriority w:val="9"/>
    <w:qFormat/>
    <w:pPr>
      <w:keepNext/>
      <w:numPr>
        <w:ilvl w:val="3"/>
        <w:numId w:val="2"/>
      </w:numPr>
      <w:outlineLvl w:val="3"/>
    </w:pPr>
  </w:style>
  <w:style w:type="paragraph" w:styleId="Heading5">
    <w:name w:val="heading 5"/>
    <w:basedOn w:val="Normal"/>
    <w:next w:val="Normal"/>
    <w:link w:val="Heading5Char"/>
    <w:uiPriority w:val="9"/>
    <w:pPr>
      <w:keepNext/>
      <w:numPr>
        <w:ilvl w:val="4"/>
        <w:numId w:val="2"/>
      </w:numPr>
      <w:outlineLvl w:val="4"/>
    </w:pPr>
  </w:style>
  <w:style w:type="paragraph" w:styleId="Heading6">
    <w:name w:val="heading 6"/>
    <w:basedOn w:val="Normal"/>
    <w:next w:val="Normal"/>
    <w:link w:val="Heading6Char"/>
    <w:uiPriority w:val="9"/>
    <w:semiHidden/>
    <w:pPr>
      <w:keepNext/>
      <w:numPr>
        <w:ilvl w:val="5"/>
        <w:numId w:val="2"/>
      </w:numPr>
      <w:outlineLvl w:val="5"/>
    </w:pPr>
  </w:style>
  <w:style w:type="paragraph" w:styleId="Heading7">
    <w:name w:val="heading 7"/>
    <w:basedOn w:val="Normal"/>
    <w:next w:val="Normal"/>
    <w:link w:val="Heading7Char"/>
    <w:uiPriority w:val="9"/>
    <w:semiHidden/>
    <w:pPr>
      <w:keepNext/>
      <w:numPr>
        <w:ilvl w:val="6"/>
        <w:numId w:val="2"/>
      </w:numPr>
      <w:outlineLvl w:val="6"/>
    </w:pPr>
  </w:style>
  <w:style w:type="paragraph" w:styleId="Heading8">
    <w:name w:val="heading 8"/>
    <w:basedOn w:val="Normal"/>
    <w:next w:val="Normal"/>
    <w:link w:val="Heading8Char"/>
    <w:uiPriority w:val="9"/>
    <w:semiHidden/>
    <w:pPr>
      <w:keepNext/>
      <w:numPr>
        <w:ilvl w:val="7"/>
        <w:numId w:val="2"/>
      </w:numPr>
      <w:outlineLvl w:val="7"/>
    </w:pPr>
  </w:style>
  <w:style w:type="paragraph" w:styleId="Heading9">
    <w:name w:val="heading 9"/>
    <w:basedOn w:val="Normal"/>
    <w:next w:val="Normal"/>
    <w:link w:val="Heading9Char"/>
    <w:uiPriority w:val="9"/>
    <w:semiHidden/>
    <w:pPr>
      <w:keepNext/>
      <w:numPr>
        <w:ilvl w:val="8"/>
        <w:numId w:val="2"/>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C8F6C"/>
    </w:rPr>
  </w:style>
  <w:style w:type="paragraph" w:customStyle="1" w:styleId="LegalNumPar3">
    <w:name w:val="LegalNumPar3"/>
    <w:basedOn w:val="Normal"/>
    <w:pPr>
      <w:numPr>
        <w:ilvl w:val="2"/>
        <w:numId w:val="1"/>
      </w:numPr>
      <w:spacing w:line="360" w:lineRule="auto"/>
      <w:jc w:val="left"/>
    </w:pPr>
  </w:style>
  <w:style w:type="paragraph" w:customStyle="1" w:styleId="LegalNumPar2">
    <w:name w:val="LegalNumPar2"/>
    <w:basedOn w:val="Normal"/>
    <w:pPr>
      <w:numPr>
        <w:ilvl w:val="1"/>
        <w:numId w:val="1"/>
      </w:numPr>
      <w:spacing w:line="360" w:lineRule="auto"/>
      <w:jc w:val="left"/>
    </w:pPr>
  </w:style>
  <w:style w:type="paragraph" w:customStyle="1" w:styleId="LegalNumPar">
    <w:name w:val="LegalNumPar"/>
    <w:basedOn w:val="Normal"/>
    <w:uiPriority w:val="90"/>
    <w:qFormat/>
    <w:pPr>
      <w:numPr>
        <w:numId w:val="1"/>
      </w:numPr>
      <w:spacing w:line="360" w:lineRule="auto"/>
      <w:jc w:val="left"/>
    </w:pPr>
  </w:style>
  <w:style w:type="paragraph" w:customStyle="1" w:styleId="Marking">
    <w:name w:val="Marking"/>
    <w:basedOn w:val="Normal"/>
    <w:pPr>
      <w:spacing w:line="276" w:lineRule="auto"/>
      <w:contextualSpacing/>
      <w:jc w:val="right"/>
    </w:pPr>
    <w:rPr>
      <w:sz w:val="28"/>
    </w:rPr>
  </w:style>
  <w:style w:type="paragraph" w:customStyle="1" w:styleId="ListNumber4Level4">
    <w:name w:val="List Number 4 (Level 4)"/>
    <w:basedOn w:val="Text4"/>
    <w:semiHidden/>
    <w:unhideWhenUsed/>
    <w:pPr>
      <w:numPr>
        <w:ilvl w:val="3"/>
        <w:numId w:val="12"/>
      </w:numPr>
    </w:pPr>
  </w:style>
  <w:style w:type="paragraph" w:customStyle="1" w:styleId="ListNumber4Level3">
    <w:name w:val="List Number 4 (Level 3)"/>
    <w:basedOn w:val="Text4"/>
    <w:semiHidden/>
    <w:unhideWhenUsed/>
    <w:pPr>
      <w:numPr>
        <w:ilvl w:val="2"/>
        <w:numId w:val="12"/>
      </w:numPr>
    </w:pPr>
  </w:style>
  <w:style w:type="paragraph" w:customStyle="1" w:styleId="ListNumber4Level2">
    <w:name w:val="List Number 4 (Level 2)"/>
    <w:basedOn w:val="Text4"/>
    <w:pPr>
      <w:numPr>
        <w:ilvl w:val="1"/>
        <w:numId w:val="12"/>
      </w:numPr>
    </w:pPr>
  </w:style>
  <w:style w:type="paragraph" w:styleId="ListNumber4">
    <w:name w:val="List Number 4"/>
    <w:basedOn w:val="Text4"/>
    <w:pPr>
      <w:numPr>
        <w:numId w:val="12"/>
      </w:numPr>
    </w:pPr>
  </w:style>
  <w:style w:type="paragraph" w:customStyle="1" w:styleId="ListNumber3Level4">
    <w:name w:val="List Number 3 (Level 4)"/>
    <w:basedOn w:val="Text3"/>
    <w:semiHidden/>
    <w:unhideWhenUsed/>
    <w:pPr>
      <w:numPr>
        <w:ilvl w:val="3"/>
        <w:numId w:val="11"/>
      </w:numPr>
    </w:pPr>
  </w:style>
  <w:style w:type="paragraph" w:customStyle="1" w:styleId="ListNumber3Level3">
    <w:name w:val="List Number 3 (Level 3)"/>
    <w:basedOn w:val="Text3"/>
    <w:semiHidden/>
    <w:unhideWhenUsed/>
    <w:pPr>
      <w:numPr>
        <w:ilvl w:val="2"/>
        <w:numId w:val="11"/>
      </w:numPr>
    </w:pPr>
  </w:style>
  <w:style w:type="paragraph" w:customStyle="1" w:styleId="ListNumber3Level2">
    <w:name w:val="List Number 3 (Level 2)"/>
    <w:basedOn w:val="Text3"/>
    <w:pPr>
      <w:numPr>
        <w:ilvl w:val="1"/>
        <w:numId w:val="11"/>
      </w:numPr>
    </w:pPr>
  </w:style>
  <w:style w:type="paragraph" w:styleId="ListNumber3">
    <w:name w:val="List Number 3"/>
    <w:basedOn w:val="Text3"/>
    <w:pPr>
      <w:numPr>
        <w:numId w:val="11"/>
      </w:numPr>
    </w:pPr>
  </w:style>
  <w:style w:type="paragraph" w:customStyle="1" w:styleId="ListNumber2Level4">
    <w:name w:val="List Number 2 (Level 4)"/>
    <w:basedOn w:val="Text2"/>
    <w:semiHidden/>
    <w:unhideWhenUsed/>
    <w:pPr>
      <w:numPr>
        <w:ilvl w:val="3"/>
        <w:numId w:val="10"/>
      </w:numPr>
    </w:pPr>
  </w:style>
  <w:style w:type="paragraph" w:customStyle="1" w:styleId="ListNumber2Level3">
    <w:name w:val="List Number 2 (Level 3)"/>
    <w:basedOn w:val="Text2"/>
    <w:semiHidden/>
    <w:unhideWhenUsed/>
    <w:pPr>
      <w:numPr>
        <w:ilvl w:val="2"/>
        <w:numId w:val="10"/>
      </w:numPr>
    </w:pPr>
  </w:style>
  <w:style w:type="paragraph" w:customStyle="1" w:styleId="ListNumber2Level2">
    <w:name w:val="List Number 2 (Level 2)"/>
    <w:basedOn w:val="Text2"/>
    <w:pPr>
      <w:numPr>
        <w:ilvl w:val="1"/>
        <w:numId w:val="10"/>
      </w:numPr>
    </w:pPr>
  </w:style>
  <w:style w:type="paragraph" w:styleId="ListNumber2">
    <w:name w:val="List Number 2"/>
    <w:basedOn w:val="Text2"/>
    <w:pPr>
      <w:numPr>
        <w:numId w:val="10"/>
      </w:numPr>
    </w:pPr>
  </w:style>
  <w:style w:type="paragraph" w:customStyle="1" w:styleId="ListNumber1Level4">
    <w:name w:val="List Number 1 (Level 4)"/>
    <w:basedOn w:val="Text1"/>
    <w:semiHidden/>
    <w:unhideWhenUsed/>
    <w:pPr>
      <w:numPr>
        <w:ilvl w:val="3"/>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2">
    <w:name w:val="List Number 1 (Level 2)"/>
    <w:basedOn w:val="Text1"/>
    <w:pPr>
      <w:numPr>
        <w:ilvl w:val="1"/>
        <w:numId w:val="9"/>
      </w:numPr>
    </w:pPr>
  </w:style>
  <w:style w:type="paragraph" w:customStyle="1" w:styleId="ListNumber1">
    <w:name w:val="List Number 1"/>
    <w:basedOn w:val="Text1"/>
    <w:pPr>
      <w:numPr>
        <w:numId w:val="9"/>
      </w:numPr>
    </w:pPr>
  </w:style>
  <w:style w:type="paragraph" w:customStyle="1" w:styleId="ListNumberLevel4">
    <w:name w:val="List Number (Level 4)"/>
    <w:basedOn w:val="Normal"/>
    <w:semiHidden/>
    <w:unhideWhenUsed/>
    <w:pPr>
      <w:numPr>
        <w:ilvl w:val="3"/>
        <w:numId w:val="8"/>
      </w:numPr>
    </w:pPr>
  </w:style>
  <w:style w:type="paragraph" w:customStyle="1" w:styleId="ListNumberLevel3">
    <w:name w:val="List Number (Level 3)"/>
    <w:basedOn w:val="Normal"/>
    <w:semiHidden/>
    <w:unhideWhenUsed/>
    <w:pPr>
      <w:numPr>
        <w:ilvl w:val="2"/>
        <w:numId w:val="8"/>
      </w:numPr>
    </w:pPr>
  </w:style>
  <w:style w:type="paragraph" w:customStyle="1" w:styleId="ListNumberLevel2">
    <w:name w:val="List Number (Level 2)"/>
    <w:basedOn w:val="Normal"/>
    <w:pPr>
      <w:numPr>
        <w:ilvl w:val="1"/>
        <w:numId w:val="8"/>
      </w:numPr>
    </w:pPr>
  </w:style>
  <w:style w:type="paragraph" w:styleId="ListNumber">
    <w:name w:val="List Number"/>
    <w:basedOn w:val="Normal"/>
    <w:pPr>
      <w:numPr>
        <w:numId w:val="8"/>
      </w:numPr>
    </w:pPr>
  </w:style>
  <w:style w:type="paragraph" w:customStyle="1" w:styleId="ListDash4Level4">
    <w:name w:val="List Dash 4 (Level 4)"/>
    <w:basedOn w:val="Text4"/>
    <w:semiHidden/>
    <w:unhideWhenUsed/>
    <w:pPr>
      <w:numPr>
        <w:ilvl w:val="3"/>
        <w:numId w:val="17"/>
      </w:numPr>
    </w:pPr>
  </w:style>
  <w:style w:type="paragraph" w:customStyle="1" w:styleId="ListDash4Level3">
    <w:name w:val="List Dash 4 (Level 3)"/>
    <w:basedOn w:val="Text4"/>
    <w:semiHidden/>
    <w:unhideWhenUsed/>
    <w:pPr>
      <w:numPr>
        <w:ilvl w:val="2"/>
        <w:numId w:val="17"/>
      </w:numPr>
    </w:pPr>
  </w:style>
  <w:style w:type="paragraph" w:customStyle="1" w:styleId="ListDash4Level2">
    <w:name w:val="List Dash 4 (Level 2)"/>
    <w:basedOn w:val="Text4"/>
    <w:pPr>
      <w:numPr>
        <w:ilvl w:val="1"/>
        <w:numId w:val="17"/>
      </w:numPr>
    </w:pPr>
  </w:style>
  <w:style w:type="paragraph" w:customStyle="1" w:styleId="ListDash4">
    <w:name w:val="List Dash 4"/>
    <w:basedOn w:val="Text4"/>
    <w:pPr>
      <w:numPr>
        <w:numId w:val="17"/>
      </w:numPr>
    </w:pPr>
  </w:style>
  <w:style w:type="paragraph" w:customStyle="1" w:styleId="ListDash3Level4">
    <w:name w:val="List Dash 3 (Level 4)"/>
    <w:basedOn w:val="Text3"/>
    <w:semiHidden/>
    <w:unhideWhenUsed/>
    <w:pPr>
      <w:numPr>
        <w:ilvl w:val="3"/>
        <w:numId w:val="16"/>
      </w:numPr>
    </w:pPr>
  </w:style>
  <w:style w:type="paragraph" w:customStyle="1" w:styleId="ListDash3Level3">
    <w:name w:val="List Dash 3 (Level 3)"/>
    <w:basedOn w:val="Text3"/>
    <w:semiHidden/>
    <w:unhideWhenUsed/>
    <w:pPr>
      <w:numPr>
        <w:ilvl w:val="2"/>
        <w:numId w:val="16"/>
      </w:numPr>
    </w:pPr>
  </w:style>
  <w:style w:type="paragraph" w:customStyle="1" w:styleId="ListDash3Level2">
    <w:name w:val="List Dash 3 (Level 2)"/>
    <w:basedOn w:val="Text3"/>
    <w:pPr>
      <w:numPr>
        <w:ilvl w:val="1"/>
        <w:numId w:val="16"/>
      </w:numPr>
    </w:pPr>
  </w:style>
  <w:style w:type="paragraph" w:customStyle="1" w:styleId="ListDash3">
    <w:name w:val="List Dash 3"/>
    <w:basedOn w:val="Text3"/>
    <w:pPr>
      <w:numPr>
        <w:numId w:val="16"/>
      </w:numPr>
    </w:pPr>
  </w:style>
  <w:style w:type="paragraph" w:customStyle="1" w:styleId="ListDash2Level4">
    <w:name w:val="List Dash 2 (Level 4)"/>
    <w:basedOn w:val="Text2"/>
    <w:semiHidden/>
    <w:unhideWhenUsed/>
    <w:pPr>
      <w:numPr>
        <w:ilvl w:val="3"/>
        <w:numId w:val="15"/>
      </w:numPr>
    </w:pPr>
  </w:style>
  <w:style w:type="paragraph" w:customStyle="1" w:styleId="ListDash2Level3">
    <w:name w:val="List Dash 2 (Level 3)"/>
    <w:basedOn w:val="Text2"/>
    <w:semiHidden/>
    <w:unhideWhenUsed/>
    <w:pPr>
      <w:numPr>
        <w:ilvl w:val="2"/>
        <w:numId w:val="15"/>
      </w:numPr>
    </w:pPr>
  </w:style>
  <w:style w:type="paragraph" w:customStyle="1" w:styleId="ListDash2Level2">
    <w:name w:val="List Dash 2 (Level 2)"/>
    <w:basedOn w:val="Text2"/>
    <w:pPr>
      <w:numPr>
        <w:ilvl w:val="1"/>
        <w:numId w:val="15"/>
      </w:numPr>
    </w:pPr>
  </w:style>
  <w:style w:type="paragraph" w:customStyle="1" w:styleId="ListDash2">
    <w:name w:val="List Dash 2"/>
    <w:basedOn w:val="Text2"/>
    <w:pPr>
      <w:numPr>
        <w:numId w:val="15"/>
      </w:numPr>
    </w:pPr>
  </w:style>
  <w:style w:type="paragraph" w:customStyle="1" w:styleId="ListDash1Level4">
    <w:name w:val="List Dash 1 (Level 4)"/>
    <w:basedOn w:val="Text1"/>
    <w:semiHidden/>
    <w:unhideWhenUsed/>
    <w:pPr>
      <w:numPr>
        <w:ilvl w:val="3"/>
        <w:numId w:val="14"/>
      </w:numPr>
    </w:pPr>
  </w:style>
  <w:style w:type="paragraph" w:customStyle="1" w:styleId="ListDash1Level3">
    <w:name w:val="List Dash 1 (Level 3)"/>
    <w:basedOn w:val="Text1"/>
    <w:semiHidden/>
    <w:unhideWhenUsed/>
    <w:pPr>
      <w:numPr>
        <w:ilvl w:val="2"/>
        <w:numId w:val="14"/>
      </w:numPr>
    </w:pPr>
  </w:style>
  <w:style w:type="paragraph" w:customStyle="1" w:styleId="ListDash1Level2">
    <w:name w:val="List Dash 1 (Level 2)"/>
    <w:basedOn w:val="Text1"/>
    <w:pPr>
      <w:numPr>
        <w:ilvl w:val="1"/>
        <w:numId w:val="14"/>
      </w:numPr>
    </w:pPr>
  </w:style>
  <w:style w:type="paragraph" w:customStyle="1" w:styleId="ListDash1">
    <w:name w:val="List Dash 1"/>
    <w:basedOn w:val="Text1"/>
    <w:pPr>
      <w:numPr>
        <w:numId w:val="14"/>
      </w:numPr>
    </w:pPr>
  </w:style>
  <w:style w:type="paragraph" w:customStyle="1" w:styleId="ListDashLevel4">
    <w:name w:val="List Dash (Level 4)"/>
    <w:basedOn w:val="Normal"/>
    <w:semiHidden/>
    <w:unhideWhenUsed/>
    <w:pPr>
      <w:numPr>
        <w:ilvl w:val="3"/>
        <w:numId w:val="13"/>
      </w:numPr>
    </w:pPr>
  </w:style>
  <w:style w:type="paragraph" w:customStyle="1" w:styleId="ListDashLevel3">
    <w:name w:val="List Dash (Level 3)"/>
    <w:basedOn w:val="Normal"/>
    <w:semiHidden/>
    <w:unhideWhenUsed/>
    <w:pPr>
      <w:numPr>
        <w:ilvl w:val="2"/>
        <w:numId w:val="13"/>
      </w:numPr>
    </w:pPr>
  </w:style>
  <w:style w:type="paragraph" w:customStyle="1" w:styleId="ListDashLevel2">
    <w:name w:val="List Dash (Level 2)"/>
    <w:basedOn w:val="Normal"/>
    <w:pPr>
      <w:numPr>
        <w:ilvl w:val="1"/>
        <w:numId w:val="13"/>
      </w:numPr>
    </w:pPr>
  </w:style>
  <w:style w:type="paragraph" w:customStyle="1" w:styleId="ListDash">
    <w:name w:val="List Dash"/>
    <w:basedOn w:val="Normal"/>
    <w:pPr>
      <w:numPr>
        <w:numId w:val="13"/>
      </w:numPr>
    </w:pPr>
  </w:style>
  <w:style w:type="paragraph" w:customStyle="1" w:styleId="ListBullet4Level4">
    <w:name w:val="List Bullet 4 (Level 4)"/>
    <w:basedOn w:val="Text4"/>
    <w:semiHidden/>
    <w:unhideWhenUsed/>
    <w:pPr>
      <w:numPr>
        <w:ilvl w:val="3"/>
        <w:numId w:val="7"/>
      </w:numPr>
    </w:pPr>
  </w:style>
  <w:style w:type="paragraph" w:customStyle="1" w:styleId="ListBullet4Level3">
    <w:name w:val="List Bullet 4 (Level 3)"/>
    <w:basedOn w:val="Text4"/>
    <w:semiHidden/>
    <w:unhideWhenUsed/>
    <w:pPr>
      <w:numPr>
        <w:ilvl w:val="2"/>
        <w:numId w:val="7"/>
      </w:numPr>
    </w:pPr>
  </w:style>
  <w:style w:type="paragraph" w:customStyle="1" w:styleId="ListBullet4Level2">
    <w:name w:val="List Bullet 4 (Level 2)"/>
    <w:basedOn w:val="Text4"/>
    <w:pPr>
      <w:numPr>
        <w:ilvl w:val="1"/>
        <w:numId w:val="7"/>
      </w:numPr>
    </w:pPr>
  </w:style>
  <w:style w:type="paragraph" w:styleId="ListBullet4">
    <w:name w:val="List Bullet 4"/>
    <w:basedOn w:val="Text4"/>
    <w:pPr>
      <w:numPr>
        <w:numId w:val="7"/>
      </w:numPr>
    </w:pPr>
  </w:style>
  <w:style w:type="paragraph" w:customStyle="1" w:styleId="ListBullet3Level4">
    <w:name w:val="List Bullet 3 (Level 4)"/>
    <w:basedOn w:val="Text3"/>
    <w:semiHidden/>
    <w:unhideWhenUsed/>
    <w:pPr>
      <w:numPr>
        <w:ilvl w:val="3"/>
        <w:numId w:val="6"/>
      </w:numPr>
    </w:pPr>
  </w:style>
  <w:style w:type="paragraph" w:customStyle="1" w:styleId="ListBullet3Level3">
    <w:name w:val="List Bullet 3 (Level 3)"/>
    <w:basedOn w:val="Text3"/>
    <w:semiHidden/>
    <w:unhideWhenUsed/>
    <w:pPr>
      <w:numPr>
        <w:ilvl w:val="2"/>
        <w:numId w:val="6"/>
      </w:numPr>
    </w:pPr>
  </w:style>
  <w:style w:type="paragraph" w:customStyle="1" w:styleId="ListBullet3Level2">
    <w:name w:val="List Bullet 3 (Level 2)"/>
    <w:basedOn w:val="Text3"/>
    <w:pPr>
      <w:numPr>
        <w:ilvl w:val="1"/>
        <w:numId w:val="6"/>
      </w:numPr>
    </w:pPr>
  </w:style>
  <w:style w:type="paragraph" w:styleId="ListBullet3">
    <w:name w:val="List Bullet 3"/>
    <w:basedOn w:val="Text3"/>
    <w:pPr>
      <w:numPr>
        <w:numId w:val="6"/>
      </w:numPr>
    </w:pPr>
  </w:style>
  <w:style w:type="paragraph" w:customStyle="1" w:styleId="ListBullet2Level4">
    <w:name w:val="List Bullet 2 (Level 4)"/>
    <w:basedOn w:val="Text2"/>
    <w:unhideWhenUsed/>
    <w:pPr>
      <w:numPr>
        <w:ilvl w:val="3"/>
        <w:numId w:val="5"/>
      </w:numPr>
    </w:pPr>
  </w:style>
  <w:style w:type="paragraph" w:customStyle="1" w:styleId="ListBullet2Level3">
    <w:name w:val="List Bullet 2 (Level 3)"/>
    <w:basedOn w:val="Text2"/>
    <w:unhideWhenUsed/>
    <w:pPr>
      <w:numPr>
        <w:ilvl w:val="2"/>
        <w:numId w:val="5"/>
      </w:numPr>
    </w:pPr>
  </w:style>
  <w:style w:type="paragraph" w:customStyle="1" w:styleId="ListBullet2Level2">
    <w:name w:val="List Bullet 2 (Level 2)"/>
    <w:basedOn w:val="Text2"/>
    <w:pPr>
      <w:numPr>
        <w:ilvl w:val="1"/>
        <w:numId w:val="5"/>
      </w:numPr>
    </w:pPr>
  </w:style>
  <w:style w:type="paragraph" w:styleId="ListBullet2">
    <w:name w:val="List Bullet 2"/>
    <w:basedOn w:val="Text2"/>
    <w:pPr>
      <w:numPr>
        <w:numId w:val="5"/>
      </w:numPr>
    </w:pPr>
  </w:style>
  <w:style w:type="paragraph" w:customStyle="1" w:styleId="ListBullet1Level4">
    <w:name w:val="List Bullet 1 (Level 4)"/>
    <w:basedOn w:val="Text1"/>
    <w:semiHidden/>
    <w:unhideWhenUsed/>
    <w:pPr>
      <w:numPr>
        <w:ilvl w:val="3"/>
        <w:numId w:val="4"/>
      </w:numPr>
    </w:pPr>
  </w:style>
  <w:style w:type="paragraph" w:customStyle="1" w:styleId="ListBullet1Level3">
    <w:name w:val="List Bullet 1 (Level 3)"/>
    <w:basedOn w:val="Text1"/>
    <w:unhideWhenUsed/>
    <w:pPr>
      <w:numPr>
        <w:ilvl w:val="2"/>
        <w:numId w:val="4"/>
      </w:numPr>
    </w:pPr>
  </w:style>
  <w:style w:type="paragraph" w:customStyle="1" w:styleId="ListBullet1Level2">
    <w:name w:val="List Bullet 1 (Level 2)"/>
    <w:basedOn w:val="Text1"/>
    <w:pPr>
      <w:numPr>
        <w:ilvl w:val="1"/>
        <w:numId w:val="4"/>
      </w:numPr>
    </w:pPr>
  </w:style>
  <w:style w:type="paragraph" w:customStyle="1" w:styleId="ListBullet1">
    <w:name w:val="List Bullet 1"/>
    <w:basedOn w:val="Text1"/>
    <w:pPr>
      <w:numPr>
        <w:numId w:val="4"/>
      </w:numPr>
    </w:pPr>
  </w:style>
  <w:style w:type="paragraph" w:customStyle="1" w:styleId="ListBulletLevel4">
    <w:name w:val="List Bullet (Level 4)"/>
    <w:basedOn w:val="Text1"/>
    <w:semiHidden/>
    <w:unhideWhenUsed/>
    <w:pPr>
      <w:numPr>
        <w:ilvl w:val="3"/>
        <w:numId w:val="3"/>
      </w:numPr>
    </w:pPr>
  </w:style>
  <w:style w:type="paragraph" w:customStyle="1" w:styleId="ListBulletLevel3">
    <w:name w:val="List Bullet (Level 3)"/>
    <w:basedOn w:val="Text1"/>
    <w:semiHidden/>
    <w:unhideWhenUsed/>
    <w:pPr>
      <w:numPr>
        <w:ilvl w:val="2"/>
        <w:numId w:val="3"/>
      </w:numPr>
    </w:pPr>
  </w:style>
  <w:style w:type="paragraph" w:customStyle="1" w:styleId="ListBulletLevel2">
    <w:name w:val="List Bullet (Level 2)"/>
    <w:basedOn w:val="Text1"/>
    <w:pPr>
      <w:numPr>
        <w:ilvl w:val="1"/>
        <w:numId w:val="3"/>
      </w:numPr>
    </w:pPr>
  </w:style>
  <w:style w:type="paragraph" w:styleId="ListBullet">
    <w:name w:val="List Bullet"/>
    <w:basedOn w:val="Normal"/>
    <w:pPr>
      <w:numPr>
        <w:numId w:val="3"/>
      </w:numPr>
    </w:pPr>
  </w:style>
  <w:style w:type="paragraph" w:styleId="TOC9">
    <w:name w:val="toc 9"/>
    <w:basedOn w:val="Normal"/>
    <w:next w:val="Normal"/>
    <w:uiPriority w:val="39"/>
    <w:pPr>
      <w:tabs>
        <w:tab w:val="right" w:leader="dot" w:pos="8640"/>
      </w:tabs>
    </w:pPr>
  </w:style>
  <w:style w:type="paragraph" w:styleId="TOC8">
    <w:name w:val="toc 8"/>
    <w:basedOn w:val="Normal"/>
    <w:next w:val="Normal"/>
    <w:uiPriority w:val="39"/>
    <w:pPr>
      <w:tabs>
        <w:tab w:val="right" w:leader="dot" w:pos="8640"/>
      </w:tabs>
    </w:pPr>
  </w:style>
  <w:style w:type="paragraph" w:styleId="TOC7">
    <w:name w:val="toc 7"/>
    <w:basedOn w:val="Normal"/>
    <w:next w:val="Normal"/>
    <w:uiPriority w:val="39"/>
    <w:pPr>
      <w:tabs>
        <w:tab w:val="right" w:leader="dot" w:pos="8640"/>
      </w:tabs>
    </w:pPr>
  </w:style>
  <w:style w:type="paragraph" w:styleId="TOC6">
    <w:name w:val="toc 6"/>
    <w:basedOn w:val="Normal"/>
    <w:next w:val="Normal"/>
    <w:uiPriority w:val="39"/>
    <w:pPr>
      <w:tabs>
        <w:tab w:val="right" w:leader="dot" w:pos="8640"/>
      </w:tabs>
    </w:pPr>
  </w:style>
  <w:style w:type="paragraph" w:styleId="TOC5">
    <w:name w:val="toc 5"/>
    <w:basedOn w:val="Normal"/>
    <w:next w:val="Normal"/>
    <w:uiPriority w:val="39"/>
    <w:pPr>
      <w:tabs>
        <w:tab w:val="right" w:leader="dot" w:pos="8640"/>
      </w:tabs>
      <w:spacing w:before="120" w:after="60"/>
      <w:ind w:right="720"/>
    </w:pPr>
    <w:rPr>
      <w:b/>
    </w:rPr>
  </w:style>
  <w:style w:type="paragraph" w:styleId="TOC4">
    <w:name w:val="toc 4"/>
    <w:basedOn w:val="Normal"/>
    <w:next w:val="Normal"/>
    <w:uiPriority w:val="39"/>
    <w:pPr>
      <w:tabs>
        <w:tab w:val="left" w:pos="1446"/>
        <w:tab w:val="left" w:pos="1587"/>
        <w:tab w:val="right" w:leader="dot" w:pos="8640"/>
      </w:tabs>
      <w:spacing w:after="60"/>
      <w:ind w:left="1445" w:right="720" w:hanging="850"/>
    </w:pPr>
    <w:rPr>
      <w:noProof/>
      <w:sz w:val="20"/>
    </w:rPr>
  </w:style>
  <w:style w:type="paragraph" w:styleId="TOC3">
    <w:name w:val="toc 3"/>
    <w:basedOn w:val="Normal"/>
    <w:next w:val="Normal"/>
    <w:uiPriority w:val="39"/>
    <w:pPr>
      <w:tabs>
        <w:tab w:val="left" w:pos="595"/>
        <w:tab w:val="right" w:leader="dot" w:pos="8640"/>
      </w:tabs>
      <w:spacing w:after="60"/>
      <w:ind w:left="1190" w:right="720" w:hanging="595"/>
    </w:pPr>
    <w:rPr>
      <w:sz w:val="20"/>
    </w:rPr>
  </w:style>
  <w:style w:type="paragraph" w:styleId="TOC2">
    <w:name w:val="toc 2"/>
    <w:basedOn w:val="Normal"/>
    <w:next w:val="Normal"/>
    <w:uiPriority w:val="39"/>
    <w:pPr>
      <w:tabs>
        <w:tab w:val="left" w:pos="595"/>
        <w:tab w:val="right" w:leader="dot" w:pos="8640"/>
      </w:tabs>
      <w:spacing w:after="60"/>
      <w:ind w:left="595" w:right="720" w:hanging="595"/>
    </w:pPr>
    <w:rPr>
      <w:noProof/>
      <w:sz w:val="20"/>
    </w:rPr>
  </w:style>
  <w:style w:type="paragraph" w:styleId="TOC1">
    <w:name w:val="toc 1"/>
    <w:basedOn w:val="Normal"/>
    <w:next w:val="Normal"/>
    <w:uiPriority w:val="39"/>
    <w:pPr>
      <w:tabs>
        <w:tab w:val="left" w:pos="595"/>
        <w:tab w:val="right" w:leader="dot" w:pos="8640"/>
      </w:tabs>
      <w:spacing w:after="60"/>
      <w:ind w:left="595" w:right="720" w:hanging="595"/>
    </w:pPr>
    <w:rPr>
      <w:b/>
      <w:caps/>
      <w:sz w:val="20"/>
    </w:rPr>
  </w:style>
  <w:style w:type="paragraph" w:styleId="TOCHeading">
    <w:name w:val="TOC Heading"/>
    <w:basedOn w:val="Normal"/>
    <w:next w:val="Normal"/>
    <w:semiHidden/>
    <w:pPr>
      <w:spacing w:after="120"/>
      <w:jc w:val="center"/>
    </w:pPr>
    <w:rPr>
      <w:rFonts w:ascii="Times New Roman Bold" w:hAnsi="Times New Roman Bold"/>
      <w:b/>
      <w:sz w:val="32"/>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uiPriority w:val="90"/>
    <w:qFormat/>
    <w:pPr>
      <w:keepNext w:val="0"/>
      <w:spacing w:before="0"/>
      <w:outlineLvl w:val="9"/>
    </w:pPr>
    <w:rPr>
      <w:b w:val="0"/>
      <w:smallCaps w:val="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aliases w:val="Footnote text, Char, Char1, Char1 Char, Char2, Char3, Char11, Char1 Char2, Char21, Char4, Char12, Char1 Char3, Char22, Char5, Char13, Char1 Char4, Char23, Char6, Char14, Char1 Char5, Char24, Char7, Char15, Char1 Char6, Char25, Char8,fn,ft"/>
    <w:basedOn w:val="Normal"/>
    <w:link w:val="FootnoteTextChar"/>
    <w:uiPriority w:val="99"/>
    <w:qFormat/>
    <w:pPr>
      <w:spacing w:after="120"/>
      <w:ind w:left="357" w:hanging="357"/>
    </w:pPr>
    <w:rPr>
      <w:sz w:val="20"/>
    </w:rPr>
  </w:style>
  <w:style w:type="paragraph" w:styleId="Footer">
    <w:name w:val="footer"/>
    <w:basedOn w:val="Normal"/>
    <w:link w:val="FooterChar"/>
    <w:uiPriority w:val="99"/>
    <w:pPr>
      <w:spacing w:after="0"/>
      <w:ind w:right="-567"/>
      <w:jc w:val="left"/>
    </w:pPr>
    <w:rPr>
      <w:sz w:val="16"/>
    </w:rPr>
  </w:style>
  <w:style w:type="paragraph" w:styleId="EndnoteText">
    <w:name w:val="endnote text"/>
    <w:basedOn w:val="Normal"/>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next w:val="Normal"/>
    <w:pPr>
      <w:ind w:left="5102"/>
      <w:jc w:val="left"/>
    </w:pPr>
    <w:rPr>
      <w:sz w:val="20"/>
    </w:rPr>
  </w:style>
  <w:style w:type="paragraph" w:styleId="Date">
    <w:name w:val="Date"/>
    <w:basedOn w:val="Normal"/>
    <w:next w:val="References"/>
    <w:pPr>
      <w:spacing w:after="0"/>
      <w:ind w:left="5102" w:right="-567"/>
      <w:jc w:val="left"/>
    </w:pPr>
  </w:style>
  <w:style w:type="paragraph" w:customStyle="1" w:styleId="Contact">
    <w:name w:val="Contact"/>
    <w:basedOn w:val="Normal"/>
    <w:uiPriority w:val="99"/>
    <w:pPr>
      <w:spacing w:before="480" w:after="0"/>
      <w:ind w:left="567" w:hanging="567"/>
      <w:jc w:val="left"/>
    </w:pPr>
  </w:style>
  <w:style w:type="paragraph" w:styleId="Caption">
    <w:name w:val="caption"/>
    <w:aliases w:val="Table legend,Tab_Überschrift,Figure reference,Char Char,Char Char Char,Caption1 Char Char Char Char Char Char Char Char Tegn Tegn Tegn Tegn Tegn,Caption1 Char Char Char Char Char Char Char Char Tegn Tegn Tegn,F10 Table Figure and Chart Tit,Eco"/>
    <w:basedOn w:val="Normal"/>
    <w:next w:val="Normal"/>
    <w:link w:val="CaptionChar"/>
    <w:uiPriority w:val="99"/>
    <w:qFormat/>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uiPriority w:val="90"/>
    <w:qFormat/>
    <w:pPr>
      <w:ind w:left="482"/>
    </w:pPr>
  </w:style>
  <w:style w:type="paragraph" w:customStyle="1" w:styleId="Text2">
    <w:name w:val="Text 2"/>
    <w:basedOn w:val="Normal"/>
    <w:uiPriority w:val="90"/>
    <w:qFormat/>
    <w:pPr>
      <w:ind w:left="1202"/>
    </w:pPr>
  </w:style>
  <w:style w:type="paragraph" w:customStyle="1" w:styleId="Text3">
    <w:name w:val="Text 3"/>
    <w:basedOn w:val="Normal"/>
    <w:uiPriority w:val="90"/>
    <w:qFormat/>
    <w:pPr>
      <w:ind w:left="1202"/>
    </w:pPr>
  </w:style>
  <w:style w:type="paragraph" w:customStyle="1" w:styleId="Text4">
    <w:name w:val="Text 4"/>
    <w:basedOn w:val="Normal"/>
    <w:uiPriority w:val="90"/>
    <w:qFormat/>
    <w:pPr>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2"/>
      <w:jc w:val="left"/>
    </w:pPr>
  </w:style>
  <w:style w:type="paragraph" w:customStyle="1" w:styleId="PartTitle">
    <w:name w:val="PartTitle"/>
    <w:basedOn w:val="Normal"/>
    <w:next w:val="ChapterTitle"/>
    <w:uiPriority w:val="90"/>
    <w:qFormat/>
    <w:pPr>
      <w:keepNext/>
      <w:pageBreakBefore/>
      <w:spacing w:after="480"/>
      <w:jc w:val="center"/>
    </w:pPr>
    <w:rPr>
      <w:b/>
      <w:sz w:val="36"/>
    </w:rPr>
  </w:style>
  <w:style w:type="paragraph" w:customStyle="1" w:styleId="ChapterTitle">
    <w:name w:val="ChapterTitle"/>
    <w:basedOn w:val="Normal"/>
    <w:next w:val="SectionTitle"/>
    <w:uiPriority w:val="90"/>
    <w:qFormat/>
    <w:pPr>
      <w:keepNext/>
      <w:spacing w:after="480"/>
      <w:jc w:val="center"/>
    </w:pPr>
    <w:rPr>
      <w:b/>
      <w:sz w:val="32"/>
    </w:rPr>
  </w:style>
  <w:style w:type="paragraph" w:customStyle="1" w:styleId="SectionTitle">
    <w:name w:val="SectionTitle"/>
    <w:basedOn w:val="Normal"/>
    <w:next w:val="Heading1"/>
    <w:uiPriority w:val="90"/>
    <w:qFormat/>
    <w:pPr>
      <w:keepNext/>
      <w:spacing w:after="480"/>
      <w:jc w:val="center"/>
    </w:pPr>
    <w:rPr>
      <w:b/>
      <w:smallCaps/>
      <w:sz w:val="28"/>
    </w:rPr>
  </w:style>
  <w:style w:type="paragraph" w:styleId="Signature">
    <w:name w:val="Signature"/>
    <w:basedOn w:val="Normal"/>
    <w:next w:val="Enclosures"/>
    <w:pPr>
      <w:tabs>
        <w:tab w:val="left" w:pos="5102"/>
      </w:tabs>
      <w:spacing w:before="1200" w:after="0"/>
      <w:ind w:left="5102"/>
      <w:jc w:val="center"/>
    </w:pPr>
  </w:style>
  <w:style w:type="paragraph" w:customStyle="1" w:styleId="SignatureL">
    <w:name w:val="SignatureL"/>
    <w:basedOn w:val="Normal"/>
    <w:next w:val="Enclosures"/>
    <w:pPr>
      <w:tabs>
        <w:tab w:val="left" w:pos="5102"/>
      </w:tabs>
      <w:spacing w:before="1200" w:after="0"/>
      <w:jc w:val="left"/>
    </w:pPr>
  </w:style>
  <w:style w:type="paragraph" w:customStyle="1" w:styleId="DoubSign">
    <w:name w:val="DoubSign"/>
    <w:basedOn w:val="Normal"/>
    <w:next w:val="Enclosures"/>
    <w:pPr>
      <w:tabs>
        <w:tab w:val="left" w:pos="5102"/>
      </w:tabs>
      <w:spacing w:before="1200" w:after="0"/>
      <w:jc w:val="left"/>
    </w:pPr>
  </w:style>
  <w:style w:type="paragraph" w:customStyle="1" w:styleId="Enclosures">
    <w:name w:val="Enclosures"/>
    <w:basedOn w:val="Normal"/>
    <w:pPr>
      <w:keepNext/>
      <w:keepLines/>
      <w:tabs>
        <w:tab w:val="left" w:pos="5641"/>
      </w:tabs>
      <w:spacing w:before="480" w:after="0"/>
      <w:ind w:left="2382" w:hanging="1191"/>
      <w:jc w:val="left"/>
    </w:pPr>
  </w:style>
  <w:style w:type="paragraph" w:styleId="Title">
    <w:name w:val="Title"/>
    <w:basedOn w:val="Normal"/>
    <w:next w:val="SubTitle1"/>
    <w:link w:val="TitleChar"/>
    <w:uiPriority w:val="10"/>
    <w:qFormat/>
    <w:pPr>
      <w:spacing w:after="480"/>
      <w:jc w:val="center"/>
    </w:pPr>
    <w:rPr>
      <w:b/>
      <w:kern w:val="28"/>
      <w:sz w:val="48"/>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customStyle="1" w:styleId="YReferences">
    <w:name w:val="YReferences"/>
    <w:basedOn w:val="Normal"/>
    <w:next w:val="Normal"/>
    <w:pPr>
      <w:spacing w:after="480"/>
      <w:ind w:left="3062" w:hanging="1531"/>
    </w:pPr>
  </w:style>
  <w:style w:type="paragraph" w:customStyle="1" w:styleId="FooterLine">
    <w:name w:val="Footer Line"/>
    <w:basedOn w:val="Footer"/>
    <w:next w:val="Footer"/>
    <w:uiPriority w:val="99"/>
    <w:pPr>
      <w:tabs>
        <w:tab w:val="right" w:pos="8646"/>
      </w:tabs>
      <w:spacing w:before="120" w:line="264" w:lineRule="auto"/>
      <w:ind w:right="0"/>
      <w:jc w:val="both"/>
    </w:pPr>
  </w:style>
  <w:style w:type="paragraph" w:customStyle="1" w:styleId="HistoryTable">
    <w:name w:val="HistoryTable"/>
    <w:basedOn w:val="Normal"/>
    <w:pPr>
      <w:spacing w:before="60" w:after="60"/>
      <w:jc w:val="left"/>
    </w:pPr>
    <w:rPr>
      <w:sz w:val="20"/>
    </w:rPr>
  </w:style>
  <w:style w:type="paragraph" w:customStyle="1" w:styleId="HistTableHeading">
    <w:name w:val="HistTableHeading"/>
    <w:basedOn w:val="Normal"/>
    <w:next w:val="HistoryTable"/>
    <w:pPr>
      <w:spacing w:after="120"/>
      <w:jc w:val="center"/>
    </w:pPr>
    <w:rPr>
      <w:rFonts w:ascii="Times New Roman Bold" w:hAnsi="Times New Roman Bold"/>
      <w:b/>
      <w:sz w:val="32"/>
    </w:rPr>
  </w:style>
  <w:style w:type="paragraph" w:customStyle="1" w:styleId="FigureTitle">
    <w:name w:val="Figure Title"/>
    <w:basedOn w:val="Normal"/>
    <w:next w:val="FigureBody"/>
    <w:uiPriority w:val="6"/>
    <w:pPr>
      <w:keepNext/>
      <w:spacing w:after="180"/>
    </w:pPr>
    <w:rPr>
      <w:b/>
    </w:rPr>
  </w:style>
  <w:style w:type="paragraph" w:customStyle="1" w:styleId="FigureBody">
    <w:name w:val="Figure Body"/>
    <w:basedOn w:val="Normal"/>
    <w:next w:val="FigureNote"/>
    <w:uiPriority w:val="7"/>
    <w:pPr>
      <w:keepNext/>
      <w:spacing w:after="40"/>
    </w:pPr>
  </w:style>
  <w:style w:type="paragraph" w:customStyle="1" w:styleId="FigureNote">
    <w:name w:val="Figure Note"/>
    <w:basedOn w:val="FigureSource"/>
    <w:next w:val="FigureSource"/>
    <w:uiPriority w:val="7"/>
    <w:rPr>
      <w:b/>
    </w:rPr>
  </w:style>
  <w:style w:type="paragraph" w:customStyle="1" w:styleId="FigureSource">
    <w:name w:val="Figure Source"/>
    <w:basedOn w:val="Normal"/>
    <w:next w:val="Normal"/>
    <w:uiPriority w:val="7"/>
    <w:rPr>
      <w:sz w:val="20"/>
    </w:rPr>
  </w:style>
  <w:style w:type="paragraph" w:customStyle="1" w:styleId="AnnexHeading1">
    <w:name w:val="Annex Heading 1"/>
    <w:basedOn w:val="Normal"/>
    <w:next w:val="Normal"/>
    <w:pPr>
      <w:pageBreakBefore/>
      <w:spacing w:before="240"/>
      <w:outlineLvl w:val="0"/>
    </w:pPr>
    <w:rPr>
      <w:b/>
      <w:smallCaps/>
      <w:sz w:val="36"/>
    </w:rPr>
  </w:style>
  <w:style w:type="paragraph" w:styleId="Header">
    <w:name w:val="header"/>
    <w:basedOn w:val="Normal"/>
    <w:link w:val="HeaderChar"/>
    <w:uiPriority w:val="99"/>
    <w:pPr>
      <w:tabs>
        <w:tab w:val="center" w:pos="4150"/>
        <w:tab w:val="right" w:pos="8306"/>
      </w:tabs>
      <w:spacing w:after="0"/>
    </w:pPr>
  </w:style>
  <w:style w:type="character" w:customStyle="1" w:styleId="HeaderChar">
    <w:name w:val="Header Char"/>
    <w:basedOn w:val="DefaultParagraphFont"/>
    <w:link w:val="Header"/>
    <w:uiPriority w:val="99"/>
    <w:rPr>
      <w:sz w:val="24"/>
    </w:rPr>
  </w:style>
  <w:style w:type="table" w:customStyle="1" w:styleId="TableLetterhead">
    <w:name w:val="Table Letterhead"/>
    <w:basedOn w:val="TableNormal"/>
    <w:uiPriority w:val="99"/>
    <w:tblPr>
      <w:tblCellMar>
        <w:left w:w="0" w:type="dxa"/>
        <w:bottom w:w="340" w:type="dxa"/>
        <w:right w:w="0" w:type="dxa"/>
      </w:tblCellMar>
    </w:tblPr>
  </w:style>
  <w:style w:type="table" w:customStyle="1" w:styleId="TableHistory">
    <w:name w:val="Table History"/>
    <w:basedOn w:val="TableNormal"/>
    <w:uiPriority w:val="99"/>
    <w:pPr>
      <w:spacing w:before="60" w:after="60" w:line="264" w:lineRule="auto"/>
    </w:pPr>
    <w:rPr>
      <w:sz w:val="22"/>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character" w:customStyle="1" w:styleId="Heading2Char">
    <w:name w:val="Heading 2 Char"/>
    <w:basedOn w:val="DefaultParagraphFont"/>
    <w:link w:val="Heading2"/>
    <w:uiPriority w:val="9"/>
    <w:rPr>
      <w:b/>
    </w:rPr>
  </w:style>
  <w:style w:type="character" w:customStyle="1" w:styleId="Heading1Char">
    <w:name w:val="Heading 1 Char"/>
    <w:basedOn w:val="DefaultParagraphFont"/>
    <w:link w:val="Heading1"/>
    <w:uiPriority w:val="9"/>
    <w:rPr>
      <w:b/>
      <w:smallCaps/>
    </w:rPr>
  </w:style>
  <w:style w:type="character" w:customStyle="1" w:styleId="TitleChar">
    <w:name w:val="Title Char"/>
    <w:basedOn w:val="DefaultParagraphFont"/>
    <w:link w:val="Title"/>
    <w:uiPriority w:val="10"/>
    <w:rPr>
      <w:b/>
      <w:kern w:val="28"/>
      <w:sz w:val="48"/>
    </w:rPr>
  </w:style>
  <w:style w:type="character" w:customStyle="1" w:styleId="Heading3Char">
    <w:name w:val="Heading 3 Char"/>
    <w:basedOn w:val="DefaultParagraphFont"/>
    <w:link w:val="Heading3"/>
    <w:uiPriority w:val="9"/>
    <w:rPr>
      <w:i/>
    </w:rPr>
  </w:style>
  <w:style w:type="paragraph" w:styleId="Subtitle">
    <w:name w:val="Subtitle"/>
    <w:basedOn w:val="Normal"/>
    <w:next w:val="Normal"/>
    <w:link w:val="SubtitleChar"/>
    <w:uiPriority w:val="11"/>
    <w:qFormat/>
    <w:locked/>
    <w:pPr>
      <w:numPr>
        <w:ilvl w:val="1"/>
      </w:numPr>
      <w:spacing w:before="120" w:after="120"/>
      <w:jc w:val="left"/>
    </w:pPr>
    <w:rPr>
      <w:rFonts w:asciiTheme="majorHAnsi" w:eastAsiaTheme="majorEastAsia" w:hAnsiTheme="majorHAnsi" w:cstheme="majorBidi"/>
      <w:i/>
      <w:iCs/>
      <w:color w:val="5B9BD5" w:themeColor="accent1"/>
      <w:spacing w:val="15"/>
      <w:sz w:val="22"/>
      <w:szCs w:val="24"/>
      <w:lang w:eastAsia="en-US"/>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5B9BD5" w:themeColor="accent1"/>
      <w:spacing w:val="15"/>
      <w:sz w:val="22"/>
      <w:szCs w:val="24"/>
      <w:lang w:eastAsia="en-US"/>
    </w:rPr>
  </w:style>
  <w:style w:type="paragraph" w:styleId="NoSpacing">
    <w:name w:val="No Spacing"/>
    <w:uiPriority w:val="1"/>
    <w:locked/>
    <w:rPr>
      <w:rFonts w:eastAsiaTheme="minorHAnsi" w:cstheme="minorBidi"/>
      <w:szCs w:val="24"/>
      <w:lang w:eastAsia="en-US"/>
    </w:rPr>
  </w:style>
  <w:style w:type="character" w:styleId="SubtleEmphasis">
    <w:name w:val="Subtle Emphasis"/>
    <w:basedOn w:val="DefaultParagraphFont"/>
    <w:uiPriority w:val="19"/>
    <w:qFormat/>
    <w:locked/>
    <w:rPr>
      <w:i/>
      <w:iCs/>
      <w:color w:val="808080" w:themeColor="text1" w:themeTint="7F"/>
    </w:rPr>
  </w:style>
  <w:style w:type="character" w:styleId="Emphasis">
    <w:name w:val="Emphasis"/>
    <w:basedOn w:val="DefaultParagraphFont"/>
    <w:uiPriority w:val="20"/>
    <w:qFormat/>
    <w:locked/>
    <w:rPr>
      <w:i/>
      <w:iCs/>
    </w:rPr>
  </w:style>
  <w:style w:type="character" w:styleId="IntenseEmphasis">
    <w:name w:val="Intense Emphasis"/>
    <w:basedOn w:val="DefaultParagraphFont"/>
    <w:uiPriority w:val="21"/>
    <w:locked/>
    <w:rPr>
      <w:b/>
      <w:bCs/>
      <w:i/>
      <w:iCs/>
      <w:color w:val="5B9BD5" w:themeColor="accent1"/>
    </w:rPr>
  </w:style>
  <w:style w:type="character" w:styleId="Strong">
    <w:name w:val="Strong"/>
    <w:basedOn w:val="DefaultParagraphFont"/>
    <w:uiPriority w:val="22"/>
    <w:qFormat/>
    <w:locked/>
    <w:rPr>
      <w:b/>
      <w:bCs/>
    </w:rPr>
  </w:style>
  <w:style w:type="paragraph" w:styleId="Quote">
    <w:name w:val="Quote"/>
    <w:basedOn w:val="Normal"/>
    <w:next w:val="Normal"/>
    <w:link w:val="QuoteChar"/>
    <w:uiPriority w:val="29"/>
    <w:locked/>
    <w:pPr>
      <w:spacing w:before="120" w:after="120"/>
      <w:jc w:val="left"/>
    </w:pPr>
    <w:rPr>
      <w:rFonts w:asciiTheme="minorHAnsi" w:eastAsiaTheme="minorHAnsi" w:hAnsiTheme="minorHAnsi" w:cstheme="minorHAnsi"/>
      <w:i/>
      <w:iCs/>
      <w:color w:val="000000" w:themeColor="text1"/>
      <w:sz w:val="22"/>
      <w:szCs w:val="24"/>
      <w:lang w:eastAsia="en-US"/>
    </w:rPr>
  </w:style>
  <w:style w:type="character" w:customStyle="1" w:styleId="QuoteChar">
    <w:name w:val="Quote Char"/>
    <w:basedOn w:val="DefaultParagraphFont"/>
    <w:link w:val="Quote"/>
    <w:uiPriority w:val="29"/>
    <w:rPr>
      <w:rFonts w:asciiTheme="minorHAnsi" w:eastAsiaTheme="minorHAnsi" w:hAnsiTheme="minorHAnsi" w:cstheme="minorHAnsi"/>
      <w:i/>
      <w:iCs/>
      <w:color w:val="000000" w:themeColor="text1"/>
      <w:sz w:val="22"/>
      <w:szCs w:val="24"/>
      <w:lang w:eastAsia="en-US"/>
    </w:rPr>
  </w:style>
  <w:style w:type="paragraph" w:styleId="IntenseQuote">
    <w:name w:val="Intense Quote"/>
    <w:basedOn w:val="Normal"/>
    <w:next w:val="Normal"/>
    <w:link w:val="IntenseQuoteChar"/>
    <w:uiPriority w:val="30"/>
    <w:locked/>
    <w:pPr>
      <w:pBdr>
        <w:bottom w:val="single" w:sz="4" w:space="4" w:color="5B9BD5" w:themeColor="accent1"/>
      </w:pBdr>
      <w:spacing w:before="200" w:after="280"/>
      <w:ind w:left="936" w:right="936"/>
      <w:jc w:val="left"/>
    </w:pPr>
    <w:rPr>
      <w:rFonts w:asciiTheme="minorHAnsi" w:eastAsiaTheme="minorHAnsi" w:hAnsiTheme="minorHAnsi" w:cstheme="minorHAnsi"/>
      <w:b/>
      <w:bCs/>
      <w:i/>
      <w:iCs/>
      <w:color w:val="5B9BD5" w:themeColor="accent1"/>
      <w:sz w:val="22"/>
      <w:szCs w:val="24"/>
      <w:lang w:eastAsia="en-US"/>
    </w:rPr>
  </w:style>
  <w:style w:type="character" w:customStyle="1" w:styleId="IntenseQuoteChar">
    <w:name w:val="Intense Quote Char"/>
    <w:basedOn w:val="DefaultParagraphFont"/>
    <w:link w:val="IntenseQuote"/>
    <w:uiPriority w:val="30"/>
    <w:rPr>
      <w:rFonts w:asciiTheme="minorHAnsi" w:eastAsiaTheme="minorHAnsi" w:hAnsiTheme="minorHAnsi" w:cstheme="minorHAnsi"/>
      <w:b/>
      <w:bCs/>
      <w:i/>
      <w:iCs/>
      <w:color w:val="5B9BD5" w:themeColor="accent1"/>
      <w:sz w:val="22"/>
      <w:szCs w:val="24"/>
      <w:lang w:eastAsia="en-US"/>
    </w:rPr>
  </w:style>
  <w:style w:type="character" w:styleId="SubtleReference">
    <w:name w:val="Subtle Reference"/>
    <w:basedOn w:val="DefaultParagraphFont"/>
    <w:uiPriority w:val="31"/>
    <w:locked/>
    <w:rPr>
      <w:smallCaps/>
      <w:color w:val="ED7D31" w:themeColor="accent2"/>
      <w:u w:val="single"/>
    </w:rPr>
  </w:style>
  <w:style w:type="character" w:styleId="IntenseReference">
    <w:name w:val="Intense Reference"/>
    <w:basedOn w:val="DefaultParagraphFont"/>
    <w:uiPriority w:val="32"/>
    <w:locked/>
    <w:rPr>
      <w:b/>
      <w:bCs/>
      <w:smallCaps/>
      <w:color w:val="ED7D31" w:themeColor="accent2"/>
      <w:spacing w:val="5"/>
      <w:u w:val="single"/>
    </w:rPr>
  </w:style>
  <w:style w:type="character" w:styleId="BookTitle">
    <w:name w:val="Book Title"/>
    <w:basedOn w:val="DefaultParagraphFont"/>
    <w:uiPriority w:val="33"/>
    <w:locked/>
    <w:rPr>
      <w:b/>
      <w:bCs/>
      <w:smallCaps/>
      <w:spacing w:val="5"/>
    </w:rPr>
  </w:style>
  <w:style w:type="paragraph" w:styleId="ListParagraph">
    <w:name w:val="List Paragraph"/>
    <w:aliases w:val="Heading 2_sj,List Paragraph1,Dot pt"/>
    <w:basedOn w:val="Normal"/>
    <w:link w:val="ListParagraphChar"/>
    <w:uiPriority w:val="34"/>
    <w:qFormat/>
    <w:locked/>
    <w:pPr>
      <w:spacing w:before="120" w:after="120"/>
      <w:ind w:left="720"/>
      <w:contextualSpacing/>
      <w:jc w:val="left"/>
    </w:pPr>
    <w:rPr>
      <w:rFonts w:asciiTheme="minorHAnsi" w:eastAsiaTheme="minorHAnsi" w:hAnsiTheme="minorHAnsi" w:cstheme="minorHAnsi"/>
      <w:sz w:val="22"/>
      <w:szCs w:val="24"/>
      <w:lang w:eastAsia="en-US"/>
    </w:rPr>
  </w:style>
  <w:style w:type="character" w:customStyle="1" w:styleId="Heading4Char">
    <w:name w:val="Heading 4 Char"/>
    <w:basedOn w:val="DefaultParagraphFont"/>
    <w:link w:val="Heading4"/>
    <w:uiPriority w:val="9"/>
  </w:style>
  <w:style w:type="character" w:customStyle="1" w:styleId="Heading5Char">
    <w:name w:val="Heading 5 Char"/>
    <w:basedOn w:val="DefaultParagraphFont"/>
    <w:link w:val="Heading5"/>
    <w:uiPriority w:val="9"/>
  </w:style>
  <w:style w:type="character" w:customStyle="1" w:styleId="Heading6Char">
    <w:name w:val="Heading 6 Char"/>
    <w:basedOn w:val="DefaultParagraphFont"/>
    <w:link w:val="Heading6"/>
    <w:uiPriority w:val="9"/>
    <w:semiHidden/>
  </w:style>
  <w:style w:type="numbering" w:customStyle="1" w:styleId="Style1">
    <w:name w:val="Style1"/>
    <w:uiPriority w:val="99"/>
    <w:pPr>
      <w:numPr>
        <w:numId w:val="18"/>
      </w:numPr>
    </w:pPr>
  </w:style>
  <w:style w:type="character" w:customStyle="1" w:styleId="Heading7Char">
    <w:name w:val="Heading 7 Char"/>
    <w:basedOn w:val="DefaultParagraphFont"/>
    <w:link w:val="Heading7"/>
    <w:uiPriority w:val="9"/>
    <w:semiHidden/>
  </w:style>
  <w:style w:type="character" w:customStyle="1" w:styleId="Heading8Char">
    <w:name w:val="Heading 8 Char"/>
    <w:basedOn w:val="DefaultParagraphFont"/>
    <w:link w:val="Heading8"/>
    <w:uiPriority w:val="9"/>
    <w:semiHidden/>
  </w:style>
  <w:style w:type="character" w:customStyle="1" w:styleId="Heading9Char">
    <w:name w:val="Heading 9 Char"/>
    <w:basedOn w:val="DefaultParagraphFont"/>
    <w:link w:val="Heading9"/>
    <w:uiPriority w:val="9"/>
    <w:semiHidden/>
  </w:style>
  <w:style w:type="character" w:customStyle="1" w:styleId="ListParagraphChar">
    <w:name w:val="List Paragraph Char"/>
    <w:aliases w:val="Heading 2_sj Char,List Paragraph1 Char,Dot pt Char"/>
    <w:link w:val="ListParagraph"/>
    <w:uiPriority w:val="34"/>
    <w:rPr>
      <w:rFonts w:asciiTheme="minorHAnsi" w:eastAsiaTheme="minorHAnsi" w:hAnsiTheme="minorHAnsi" w:cstheme="minorHAnsi"/>
      <w:sz w:val="22"/>
      <w:szCs w:val="24"/>
      <w:lang w:eastAsia="en-US"/>
    </w:rPr>
  </w:style>
  <w:style w:type="character" w:styleId="CommentReference">
    <w:name w:val="annotation reference"/>
    <w:uiPriority w:val="99"/>
    <w:locked/>
    <w:rPr>
      <w:sz w:val="16"/>
      <w:szCs w:val="16"/>
    </w:rPr>
  </w:style>
  <w:style w:type="paragraph" w:styleId="CommentText">
    <w:name w:val="annotation text"/>
    <w:basedOn w:val="Normal"/>
    <w:link w:val="CommentTextChar"/>
    <w:uiPriority w:val="99"/>
    <w:locked/>
    <w:pPr>
      <w:spacing w:before="120" w:after="120"/>
      <w:jc w:val="left"/>
    </w:pPr>
    <w:rPr>
      <w:sz w:val="20"/>
    </w:rPr>
  </w:style>
  <w:style w:type="character" w:customStyle="1" w:styleId="CommentTextChar">
    <w:name w:val="Comment Text Char"/>
    <w:basedOn w:val="DefaultParagraphFont"/>
    <w:link w:val="CommentText"/>
    <w:uiPriority w:val="99"/>
    <w:rPr>
      <w:sz w:val="20"/>
    </w:rPr>
  </w:style>
  <w:style w:type="character" w:styleId="Hyperlink">
    <w:name w:val="Hyperlink"/>
    <w:basedOn w:val="DefaultParagraphFont"/>
    <w:uiPriority w:val="99"/>
    <w:unhideWhenUsed/>
    <w:locked/>
    <w:rPr>
      <w:color w:val="0563C1" w:themeColor="hyperlink"/>
      <w:u w:val="single"/>
    </w:rPr>
  </w:style>
  <w:style w:type="paragraph" w:styleId="BalloonText">
    <w:name w:val="Balloon Text"/>
    <w:basedOn w:val="Normal"/>
    <w:link w:val="BalloonTextChar"/>
    <w:uiPriority w:val="99"/>
    <w:semiHidden/>
    <w:unhideWhenUsed/>
    <w:locked/>
    <w:pPr>
      <w:spacing w:before="120" w:after="120"/>
      <w:jc w:val="left"/>
    </w:pPr>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Pr>
      <w:rFonts w:ascii="Segoe UI" w:eastAsiaTheme="minorHAns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locked/>
    <w:rPr>
      <w:rFonts w:ascii="Arial" w:eastAsiaTheme="minorHAnsi" w:hAnsi="Arial" w:cstheme="minorBidi"/>
      <w:b/>
      <w:bCs/>
      <w:lang w:eastAsia="en-US"/>
    </w:rPr>
  </w:style>
  <w:style w:type="character" w:customStyle="1" w:styleId="CommentSubjectChar">
    <w:name w:val="Comment Subject Char"/>
    <w:basedOn w:val="CommentTextChar"/>
    <w:link w:val="CommentSubject"/>
    <w:uiPriority w:val="99"/>
    <w:semiHidden/>
    <w:rPr>
      <w:rFonts w:ascii="Arial" w:eastAsiaTheme="minorHAnsi" w:hAnsi="Arial" w:cstheme="minorBidi"/>
      <w:b/>
      <w:bCs/>
      <w:sz w:val="20"/>
      <w:lang w:eastAsia="en-US"/>
    </w:rPr>
  </w:style>
  <w:style w:type="paragraph" w:styleId="Bibliography">
    <w:name w:val="Bibliography"/>
    <w:basedOn w:val="Normal"/>
    <w:next w:val="Normal"/>
    <w:uiPriority w:val="37"/>
    <w:unhideWhenUsed/>
    <w:locked/>
    <w:pPr>
      <w:tabs>
        <w:tab w:val="left" w:pos="384"/>
      </w:tabs>
      <w:spacing w:before="60" w:after="0"/>
      <w:ind w:left="386" w:hanging="386"/>
      <w:jc w:val="left"/>
    </w:pPr>
    <w:rPr>
      <w:rFonts w:asciiTheme="minorHAnsi" w:eastAsiaTheme="minorHAnsi" w:hAnsiTheme="minorHAnsi" w:cstheme="minorHAnsi"/>
      <w:sz w:val="18"/>
      <w:szCs w:val="24"/>
      <w:lang w:eastAsia="en-US"/>
    </w:rPr>
  </w:style>
  <w:style w:type="character" w:customStyle="1" w:styleId="FootnoteTextChar">
    <w:name w:val="Footnote Text Char"/>
    <w:aliases w:val="Footnote text Char, Char Char, Char1 Char1, Char1 Char Char, Char2 Char, Char3 Char, Char11 Char, Char1 Char2 Char, Char21 Char, Char4 Char, Char12 Char, Char1 Char3 Char, Char22 Char, Char5 Char, Char13 Char, Char1 Char4 Char,fn Char"/>
    <w:basedOn w:val="DefaultParagraphFont"/>
    <w:link w:val="FootnoteText"/>
    <w:uiPriority w:val="99"/>
    <w:rPr>
      <w:sz w:val="20"/>
    </w:rPr>
  </w:style>
  <w:style w:type="character" w:styleId="FootnoteReference">
    <w:name w:val="footnote reference"/>
    <w:aliases w:val="ftref,16 Point,Superscript 6 Point,number,SUPERS,Footnote Reference Superscript,(Ref. de nota al pie),stylish,Appel note de bas de page,Ref,de nota al pie,BVI fnr,Footnote symbol,Footnote Refernece,callout,Odwołanie przypisu,FR"/>
    <w:uiPriority w:val="99"/>
    <w:qFormat/>
    <w:locked/>
    <w:rPr>
      <w:vertAlign w:val="superscript"/>
    </w:rPr>
  </w:style>
  <w:style w:type="table" w:styleId="TableGrid">
    <w:name w:val="Table Grid"/>
    <w:basedOn w:val="TableNormal"/>
    <w:uiPriority w:val="39"/>
    <w:lock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locked/>
    <w:pPr>
      <w:spacing w:after="150"/>
      <w:jc w:val="left"/>
    </w:pPr>
    <w:rPr>
      <w:szCs w:val="24"/>
    </w:rPr>
  </w:style>
  <w:style w:type="table" w:customStyle="1" w:styleId="GridTableLight">
    <w:name w:val="Grid Table Light"/>
    <w:basedOn w:val="TableNormal"/>
    <w:uiPriority w:val="40"/>
    <w:locked/>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Pr>
      <w:color w:val="808080"/>
      <w:shd w:val="clear" w:color="auto" w:fill="E6E6E6"/>
    </w:rPr>
  </w:style>
  <w:style w:type="paragraph" w:customStyle="1" w:styleId="Source">
    <w:name w:val="Source"/>
    <w:basedOn w:val="Normal"/>
    <w:qFormat/>
    <w:pPr>
      <w:spacing w:after="120"/>
      <w:jc w:val="right"/>
    </w:pPr>
    <w:rPr>
      <w:rFonts w:ascii="Open Sans" w:eastAsiaTheme="minorHAnsi" w:hAnsi="Open Sans" w:cstheme="minorBidi"/>
      <w:sz w:val="16"/>
      <w:szCs w:val="16"/>
      <w:lang w:val="da-DK" w:eastAsia="en-US"/>
    </w:rPr>
  </w:style>
  <w:style w:type="character" w:customStyle="1" w:styleId="UnresolvedMention2">
    <w:name w:val="Unresolved Mention2"/>
    <w:basedOn w:val="DefaultParagraphFont"/>
    <w:uiPriority w:val="99"/>
    <w:semiHidden/>
    <w:unhideWhenUsed/>
    <w:rPr>
      <w:color w:val="808080"/>
      <w:shd w:val="clear" w:color="auto" w:fill="E6E6E6"/>
    </w:rPr>
  </w:style>
  <w:style w:type="character" w:styleId="FollowedHyperlink">
    <w:name w:val="FollowedHyperlink"/>
    <w:basedOn w:val="DefaultParagraphFont"/>
    <w:uiPriority w:val="99"/>
    <w:semiHidden/>
    <w:unhideWhenUsed/>
    <w:locked/>
    <w:rPr>
      <w:color w:val="954F72" w:themeColor="followedHyperlink"/>
      <w:u w:val="single"/>
    </w:rPr>
  </w:style>
  <w:style w:type="paragraph" w:styleId="Revision">
    <w:name w:val="Revision"/>
    <w:hidden/>
    <w:uiPriority w:val="99"/>
    <w:semiHidden/>
    <w:locked/>
    <w:rPr>
      <w:rFonts w:asciiTheme="minorHAnsi" w:eastAsiaTheme="minorHAnsi" w:hAnsiTheme="minorHAnsi" w:cstheme="minorHAnsi"/>
      <w:sz w:val="22"/>
      <w:szCs w:val="24"/>
      <w:lang w:eastAsia="en-US"/>
    </w:rPr>
  </w:style>
  <w:style w:type="table" w:customStyle="1" w:styleId="PlainTable1">
    <w:name w:val="Plain Table 1"/>
    <w:basedOn w:val="TableNormal"/>
    <w:uiPriority w:val="41"/>
    <w:locked/>
    <w:rPr>
      <w:rFonts w:eastAsiaTheme="minorHAnsi" w:cstheme="minorBidi"/>
      <w:szCs w:val="24"/>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ndnoteReference">
    <w:name w:val="endnote reference"/>
    <w:basedOn w:val="DefaultParagraphFont"/>
    <w:uiPriority w:val="99"/>
    <w:semiHidden/>
    <w:unhideWhenUsed/>
    <w:locked/>
    <w:rPr>
      <w:vertAlign w:val="superscript"/>
    </w:rPr>
  </w:style>
  <w:style w:type="paragraph" w:customStyle="1" w:styleId="BodyTextKeep">
    <w:name w:val="Body Text Keep"/>
    <w:basedOn w:val="BodyText"/>
    <w:pPr>
      <w:keepNext/>
      <w:overflowPunct w:val="0"/>
      <w:autoSpaceDE w:val="0"/>
      <w:autoSpaceDN w:val="0"/>
      <w:adjustRightInd w:val="0"/>
      <w:jc w:val="left"/>
      <w:textAlignment w:val="baseline"/>
    </w:pPr>
    <w:rPr>
      <w:color w:val="FF0000"/>
      <w:lang w:eastAsia="en-US"/>
    </w:rPr>
  </w:style>
  <w:style w:type="paragraph" w:styleId="BodyText">
    <w:name w:val="Body Text"/>
    <w:basedOn w:val="Normal"/>
    <w:link w:val="BodyTextChar"/>
    <w:uiPriority w:val="99"/>
    <w:semiHidden/>
    <w:locked/>
    <w:pPr>
      <w:spacing w:after="120"/>
    </w:pPr>
  </w:style>
  <w:style w:type="character" w:customStyle="1" w:styleId="BodyTextChar">
    <w:name w:val="Body Text Char"/>
    <w:basedOn w:val="DefaultParagraphFont"/>
    <w:link w:val="BodyText"/>
    <w:uiPriority w:val="99"/>
    <w:semiHidden/>
  </w:style>
  <w:style w:type="table" w:customStyle="1" w:styleId="PlainTable5">
    <w:name w:val="Plain Table 5"/>
    <w:basedOn w:val="TableNormal"/>
    <w:locke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Default">
    <w:name w:val="Default"/>
    <w:pPr>
      <w:autoSpaceDE w:val="0"/>
      <w:autoSpaceDN w:val="0"/>
      <w:adjustRightInd w:val="0"/>
    </w:pPr>
    <w:rPr>
      <w:rFonts w:ascii="Segoe UI" w:eastAsiaTheme="minorHAnsi" w:hAnsi="Segoe UI" w:cs="Segoe UI"/>
      <w:color w:val="000000"/>
      <w:szCs w:val="24"/>
      <w:lang w:eastAsia="en-US"/>
    </w:rPr>
  </w:style>
  <w:style w:type="character" w:customStyle="1" w:styleId="FooterChar">
    <w:name w:val="Footer Char"/>
    <w:basedOn w:val="DefaultParagraphFont"/>
    <w:link w:val="Footer"/>
    <w:uiPriority w:val="99"/>
    <w:rPr>
      <w:sz w:val="16"/>
    </w:rPr>
  </w:style>
  <w:style w:type="character" w:customStyle="1" w:styleId="st">
    <w:name w:val="st"/>
    <w:basedOn w:val="DefaultParagraphFont"/>
  </w:style>
  <w:style w:type="character" w:customStyle="1" w:styleId="A4">
    <w:name w:val="A4"/>
    <w:uiPriority w:val="99"/>
    <w:rPr>
      <w:rFonts w:cs="Verdana"/>
      <w:color w:val="000000"/>
      <w:sz w:val="22"/>
      <w:szCs w:val="22"/>
    </w:rPr>
  </w:style>
  <w:style w:type="paragraph" w:customStyle="1" w:styleId="Pa0">
    <w:name w:val="Pa0"/>
    <w:basedOn w:val="Default"/>
    <w:next w:val="Default"/>
    <w:uiPriority w:val="99"/>
    <w:pPr>
      <w:spacing w:line="241" w:lineRule="atLeast"/>
    </w:pPr>
    <w:rPr>
      <w:rFonts w:ascii="Calibri" w:hAnsi="Calibri" w:cstheme="minorBidi"/>
      <w:color w:val="auto"/>
    </w:rPr>
  </w:style>
  <w:style w:type="character" w:customStyle="1" w:styleId="A1">
    <w:name w:val="A1"/>
    <w:uiPriority w:val="99"/>
    <w:rPr>
      <w:rFonts w:cs="Calibri"/>
      <w:color w:val="000000"/>
      <w:sz w:val="20"/>
      <w:szCs w:val="20"/>
    </w:rPr>
  </w:style>
  <w:style w:type="character" w:customStyle="1" w:styleId="st1">
    <w:name w:val="st1"/>
    <w:basedOn w:val="DefaultParagraphFont"/>
  </w:style>
  <w:style w:type="paragraph" w:customStyle="1" w:styleId="EndNoteBibliography">
    <w:name w:val="EndNote Bibliography"/>
    <w:basedOn w:val="Normal"/>
    <w:link w:val="EndNoteBibliographyChar"/>
    <w:pPr>
      <w:spacing w:after="0"/>
    </w:pPr>
    <w:rPr>
      <w:rFonts w:ascii="Arial" w:eastAsia="ヒラギノ角ゴ Pro W3" w:hAnsi="Arial" w:cs="Arial"/>
      <w:noProof/>
      <w:color w:val="000000"/>
      <w:sz w:val="22"/>
      <w:szCs w:val="24"/>
      <w:lang w:val="en-US" w:eastAsia="en-US"/>
    </w:rPr>
  </w:style>
  <w:style w:type="character" w:customStyle="1" w:styleId="EndNoteBibliographyChar">
    <w:name w:val="EndNote Bibliography Char"/>
    <w:basedOn w:val="DefaultParagraphFont"/>
    <w:link w:val="EndNoteBibliography"/>
    <w:rPr>
      <w:rFonts w:ascii="Arial" w:eastAsia="ヒラギノ角ゴ Pro W3" w:hAnsi="Arial" w:cs="Arial"/>
      <w:noProof/>
      <w:color w:val="000000"/>
      <w:sz w:val="22"/>
      <w:szCs w:val="24"/>
      <w:lang w:val="en-US" w:eastAsia="en-US"/>
    </w:rPr>
  </w:style>
  <w:style w:type="paragraph" w:customStyle="1" w:styleId="xxxmsonormal">
    <w:name w:val="x_x_x_msonormal"/>
    <w:basedOn w:val="Normal"/>
    <w:pPr>
      <w:spacing w:before="100" w:beforeAutospacing="1" w:after="100" w:afterAutospacing="1"/>
      <w:jc w:val="left"/>
    </w:pPr>
    <w:rPr>
      <w:szCs w:val="24"/>
    </w:rPr>
  </w:style>
  <w:style w:type="character" w:customStyle="1" w:styleId="CaptionChar">
    <w:name w:val="Caption Char"/>
    <w:aliases w:val="Table legend Char,Tab_Überschrift Char,Figure reference Char,Char Char Char1,Char Char Char Char,Caption1 Char Char Char Char Char Char Char Char Tegn Tegn Tegn Tegn Tegn Char,F10 Table Figure and Chart Tit Char,Eco Char"/>
    <w:basedOn w:val="DefaultParagraphFont"/>
    <w:link w:val="Caption"/>
    <w:locked/>
    <w:rPr>
      <w:i/>
      <w:sz w:val="22"/>
    </w:rPr>
  </w:style>
  <w:style w:type="character" w:customStyle="1" w:styleId="UnresolvedMention3">
    <w:name w:val="Unresolved Mention3"/>
    <w:basedOn w:val="DefaultParagraphFont"/>
    <w:uiPriority w:val="99"/>
    <w:semiHidden/>
    <w:unhideWhenUsed/>
    <w:rPr>
      <w:color w:val="605E5C"/>
      <w:shd w:val="clear" w:color="auto" w:fill="E1DFDD"/>
    </w:rPr>
  </w:style>
  <w:style w:type="character" w:customStyle="1" w:styleId="Quotation">
    <w:name w:val="Quotation"/>
    <w:qFormat/>
    <w:rPr>
      <w:i/>
      <w:iCs/>
    </w:rPr>
  </w:style>
  <w:style w:type="paragraph" w:customStyle="1" w:styleId="Fig">
    <w:name w:val="Fig"/>
    <w:basedOn w:val="Caption"/>
    <w:qFormat/>
    <w:pPr>
      <w:suppressLineNumbers/>
      <w:spacing w:before="120" w:after="120" w:line="276" w:lineRule="auto"/>
      <w:jc w:val="left"/>
    </w:pPr>
    <w:rPr>
      <w:rFonts w:asciiTheme="minorHAnsi" w:eastAsiaTheme="minorHAnsi" w:hAnsiTheme="minorHAnsi" w:cs="Lohit Devanagari"/>
      <w:iCs/>
      <w:sz w:val="24"/>
      <w:szCs w:val="24"/>
      <w:lang w:eastAsia="en-US"/>
    </w:rPr>
  </w:style>
  <w:style w:type="character" w:customStyle="1" w:styleId="UnresolvedMention4">
    <w:name w:val="Unresolved Mention4"/>
    <w:basedOn w:val="DefaultParagraphFont"/>
    <w:uiPriority w:val="99"/>
    <w:semiHidden/>
    <w:unhideWhenUsed/>
    <w:rPr>
      <w:color w:val="605E5C"/>
      <w:shd w:val="clear" w:color="auto" w:fill="E1DFDD"/>
    </w:rPr>
  </w:style>
  <w:style w:type="character" w:customStyle="1" w:styleId="UnresolvedMention5">
    <w:name w:val="Unresolved Mention5"/>
    <w:basedOn w:val="DefaultParagraphFont"/>
    <w:uiPriority w:val="99"/>
    <w:semiHidden/>
    <w:unhideWhenUsed/>
    <w:rPr>
      <w:color w:val="605E5C"/>
      <w:shd w:val="clear" w:color="auto" w:fill="E1DFDD"/>
    </w:rPr>
  </w:style>
  <w:style w:type="character" w:customStyle="1" w:styleId="UnresolvedMention6">
    <w:name w:val="Unresolved Mention6"/>
    <w:basedOn w:val="DefaultParagraphFont"/>
    <w:uiPriority w:val="99"/>
    <w:semiHidden/>
    <w:unhideWhenUsed/>
    <w:rPr>
      <w:color w:val="605E5C"/>
      <w:shd w:val="clear" w:color="auto" w:fill="E1DFDD"/>
    </w:rPr>
  </w:style>
  <w:style w:type="paragraph" w:customStyle="1" w:styleId="paragraph">
    <w:name w:val="paragraph"/>
    <w:basedOn w:val="Normal"/>
    <w:pPr>
      <w:spacing w:after="0"/>
      <w:jc w:val="left"/>
    </w:pPr>
    <w:rPr>
      <w:szCs w:val="24"/>
    </w:rPr>
  </w:style>
  <w:style w:type="character" w:customStyle="1" w:styleId="normaltextrun1">
    <w:name w:val="normaltextrun1"/>
    <w:basedOn w:val="DefaultParagraphFont"/>
  </w:style>
  <w:style w:type="character" w:customStyle="1" w:styleId="eop">
    <w:name w:val="eop"/>
    <w:basedOn w:val="DefaultParagraphFont"/>
  </w:style>
  <w:style w:type="character" w:customStyle="1" w:styleId="ms-rtestyle-p2">
    <w:name w:val="ms-rtestyle-p2"/>
    <w:basedOn w:val="DefaultParagraphFont"/>
    <w:rPr>
      <w:rFonts w:ascii="Calibri" w:hAnsi="Calibri" w:hint="default"/>
      <w:b w:val="0"/>
      <w:bCs w:val="0"/>
      <w:color w:val="6E6E6E"/>
      <w:sz w:val="23"/>
      <w:szCs w:val="23"/>
    </w:rPr>
  </w:style>
  <w:style w:type="paragraph" w:customStyle="1" w:styleId="SecurityMarking">
    <w:name w:val="SecurityMarking"/>
    <w:basedOn w:val="Normal"/>
    <w:pPr>
      <w:spacing w:after="0" w:line="276" w:lineRule="auto"/>
      <w:ind w:left="5103"/>
      <w:jc w:val="left"/>
    </w:pPr>
    <w:rPr>
      <w:rFonts w:eastAsiaTheme="minorHAnsi"/>
      <w:sz w:val="28"/>
      <w:szCs w:val="22"/>
      <w:lang w:eastAsia="en-US"/>
    </w:rPr>
  </w:style>
  <w:style w:type="paragraph" w:customStyle="1" w:styleId="DateMarking">
    <w:name w:val="DateMarking"/>
    <w:basedOn w:val="Normal"/>
    <w:pPr>
      <w:spacing w:after="0" w:line="276" w:lineRule="auto"/>
      <w:ind w:left="5103"/>
      <w:jc w:val="left"/>
    </w:pPr>
    <w:rPr>
      <w:rFonts w:eastAsiaTheme="minorHAnsi"/>
      <w:i/>
      <w:sz w:val="28"/>
      <w:szCs w:val="22"/>
      <w:lang w:eastAsia="en-US"/>
    </w:rPr>
  </w:style>
  <w:style w:type="paragraph" w:customStyle="1" w:styleId="ReleasableTo">
    <w:name w:val="ReleasableTo"/>
    <w:basedOn w:val="Normal"/>
    <w:pPr>
      <w:spacing w:after="0" w:line="276" w:lineRule="auto"/>
      <w:ind w:left="5103"/>
      <w:jc w:val="left"/>
    </w:pPr>
    <w:rPr>
      <w:rFonts w:eastAsiaTheme="minorHAnsi"/>
      <w:i/>
      <w:sz w:val="28"/>
      <w:szCs w:val="22"/>
      <w:lang w:eastAsia="en-US"/>
    </w:rPr>
  </w:style>
  <w:style w:type="paragraph" w:customStyle="1" w:styleId="HeaderSensitivityRight">
    <w:name w:val="Header Sensitivity Right"/>
    <w:basedOn w:val="Normal"/>
    <w:pPr>
      <w:spacing w:after="120"/>
      <w:jc w:val="right"/>
    </w:pPr>
    <w:rPr>
      <w:sz w:val="28"/>
    </w:rPr>
  </w:style>
  <w:style w:type="paragraph" w:customStyle="1" w:styleId="Graphicsourcenotes">
    <w:name w:val="Graphic source/notes"/>
    <w:basedOn w:val="Normal"/>
    <w:next w:val="Normal"/>
    <w:pPr>
      <w:overflowPunct w:val="0"/>
      <w:autoSpaceDE w:val="0"/>
      <w:autoSpaceDN w:val="0"/>
      <w:adjustRightInd w:val="0"/>
      <w:spacing w:after="120"/>
      <w:jc w:val="left"/>
      <w:textAlignment w:val="baseline"/>
    </w:pPr>
    <w:rPr>
      <w:rFonts w:ascii="Arial" w:hAnsi="Arial"/>
      <w:sz w:val="18"/>
      <w:lang w:eastAsia="da-DK"/>
    </w:rPr>
  </w:style>
  <w:style w:type="character" w:customStyle="1" w:styleId="UnresolvedMention7">
    <w:name w:val="Unresolved Mention7"/>
    <w:basedOn w:val="DefaultParagraphFont"/>
    <w:uiPriority w:val="99"/>
    <w:semiHidden/>
    <w:unhideWhenUsed/>
    <w:rPr>
      <w:color w:val="605E5C"/>
      <w:shd w:val="clear" w:color="auto" w:fill="E1DFDD"/>
    </w:rPr>
  </w:style>
  <w:style w:type="character" w:customStyle="1" w:styleId="UnresolvedMention8">
    <w:name w:val="Unresolved Mention8"/>
    <w:basedOn w:val="DefaultParagraphFont"/>
    <w:uiPriority w:val="99"/>
    <w:semiHidden/>
    <w:unhideWhenUsed/>
    <w:rPr>
      <w:color w:val="605E5C"/>
      <w:shd w:val="clear" w:color="auto" w:fill="E1DFDD"/>
    </w:rPr>
  </w:style>
  <w:style w:type="character" w:customStyle="1" w:styleId="UnresolvedMention9">
    <w:name w:val="Unresolved Mention9"/>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911649">
      <w:bodyDiv w:val="1"/>
      <w:marLeft w:val="0"/>
      <w:marRight w:val="0"/>
      <w:marTop w:val="0"/>
      <w:marBottom w:val="0"/>
      <w:divBdr>
        <w:top w:val="none" w:sz="0" w:space="0" w:color="auto"/>
        <w:left w:val="none" w:sz="0" w:space="0" w:color="auto"/>
        <w:bottom w:val="none" w:sz="0" w:space="0" w:color="auto"/>
        <w:right w:val="none" w:sz="0" w:space="0" w:color="auto"/>
      </w:divBdr>
    </w:div>
    <w:div w:id="764619663">
      <w:bodyDiv w:val="1"/>
      <w:marLeft w:val="0"/>
      <w:marRight w:val="0"/>
      <w:marTop w:val="0"/>
      <w:marBottom w:val="0"/>
      <w:divBdr>
        <w:top w:val="none" w:sz="0" w:space="0" w:color="auto"/>
        <w:left w:val="none" w:sz="0" w:space="0" w:color="auto"/>
        <w:bottom w:val="none" w:sz="0" w:space="0" w:color="auto"/>
        <w:right w:val="none" w:sz="0" w:space="0" w:color="auto"/>
      </w:divBdr>
    </w:div>
    <w:div w:id="795099722">
      <w:bodyDiv w:val="1"/>
      <w:marLeft w:val="0"/>
      <w:marRight w:val="0"/>
      <w:marTop w:val="0"/>
      <w:marBottom w:val="0"/>
      <w:divBdr>
        <w:top w:val="none" w:sz="0" w:space="0" w:color="auto"/>
        <w:left w:val="none" w:sz="0" w:space="0" w:color="auto"/>
        <w:bottom w:val="none" w:sz="0" w:space="0" w:color="auto"/>
        <w:right w:val="none" w:sz="0" w:space="0" w:color="auto"/>
      </w:divBdr>
    </w:div>
    <w:div w:id="821192076">
      <w:bodyDiv w:val="1"/>
      <w:marLeft w:val="0"/>
      <w:marRight w:val="0"/>
      <w:marTop w:val="0"/>
      <w:marBottom w:val="0"/>
      <w:divBdr>
        <w:top w:val="none" w:sz="0" w:space="0" w:color="auto"/>
        <w:left w:val="none" w:sz="0" w:space="0" w:color="auto"/>
        <w:bottom w:val="none" w:sz="0" w:space="0" w:color="auto"/>
        <w:right w:val="none" w:sz="0" w:space="0" w:color="auto"/>
      </w:divBdr>
    </w:div>
    <w:div w:id="832841090">
      <w:bodyDiv w:val="1"/>
      <w:marLeft w:val="0"/>
      <w:marRight w:val="0"/>
      <w:marTop w:val="0"/>
      <w:marBottom w:val="0"/>
      <w:divBdr>
        <w:top w:val="none" w:sz="0" w:space="0" w:color="auto"/>
        <w:left w:val="none" w:sz="0" w:space="0" w:color="auto"/>
        <w:bottom w:val="none" w:sz="0" w:space="0" w:color="auto"/>
        <w:right w:val="none" w:sz="0" w:space="0" w:color="auto"/>
      </w:divBdr>
    </w:div>
    <w:div w:id="1349680747">
      <w:bodyDiv w:val="1"/>
      <w:marLeft w:val="0"/>
      <w:marRight w:val="0"/>
      <w:marTop w:val="0"/>
      <w:marBottom w:val="0"/>
      <w:divBdr>
        <w:top w:val="none" w:sz="0" w:space="0" w:color="auto"/>
        <w:left w:val="none" w:sz="0" w:space="0" w:color="auto"/>
        <w:bottom w:val="none" w:sz="0" w:space="0" w:color="auto"/>
        <w:right w:val="none" w:sz="0" w:space="0" w:color="auto"/>
      </w:divBdr>
    </w:div>
    <w:div w:id="1452820809">
      <w:bodyDiv w:val="1"/>
      <w:marLeft w:val="0"/>
      <w:marRight w:val="0"/>
      <w:marTop w:val="0"/>
      <w:marBottom w:val="0"/>
      <w:divBdr>
        <w:top w:val="none" w:sz="0" w:space="0" w:color="auto"/>
        <w:left w:val="none" w:sz="0" w:space="0" w:color="auto"/>
        <w:bottom w:val="none" w:sz="0" w:space="0" w:color="auto"/>
        <w:right w:val="none" w:sz="0" w:space="0" w:color="auto"/>
      </w:divBdr>
    </w:div>
    <w:div w:id="19333147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oleObject" Target="embeddings/oleObject2.bin"/><Relationship Id="rId39" Type="http://schemas.openxmlformats.org/officeDocument/2006/relationships/image" Target="media/image12.png"/><Relationship Id="rId21" Type="http://schemas.openxmlformats.org/officeDocument/2006/relationships/image" Target="media/image3.png"/><Relationship Id="rId34" Type="http://schemas.openxmlformats.org/officeDocument/2006/relationships/oleObject" Target="embeddings/oleObject6.bin"/><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emf"/><Relationship Id="rId63" Type="http://schemas.openxmlformats.org/officeDocument/2006/relationships/image" Target="media/image36.emf"/><Relationship Id="rId68" Type="http://schemas.openxmlformats.org/officeDocument/2006/relationships/header" Target="header5.xml"/><Relationship Id="rId7" Type="http://schemas.microsoft.com/office/2007/relationships/stylesWithEffects" Target="stylesWithEffects.xml"/><Relationship Id="rId71"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7.png"/><Relationship Id="rId11" Type="http://schemas.openxmlformats.org/officeDocument/2006/relationships/endnotes" Target="endnotes.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1.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emf"/><Relationship Id="rId66" Type="http://schemas.openxmlformats.org/officeDocument/2006/relationships/image" Target="media/image39.jpeg"/><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22.png"/><Relationship Id="rId57" Type="http://schemas.openxmlformats.org/officeDocument/2006/relationships/image" Target="media/image30.emf"/><Relationship Id="rId61" Type="http://schemas.openxmlformats.org/officeDocument/2006/relationships/image" Target="media/image34.emf"/><Relationship Id="rId10" Type="http://schemas.openxmlformats.org/officeDocument/2006/relationships/footnotes" Target="footnotes.xml"/><Relationship Id="rId19" Type="http://schemas.openxmlformats.org/officeDocument/2006/relationships/image" Target="media/image2.jpg"/><Relationship Id="rId31" Type="http://schemas.openxmlformats.org/officeDocument/2006/relationships/image" Target="media/image8.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emf"/><Relationship Id="rId65" Type="http://schemas.openxmlformats.org/officeDocument/2006/relationships/image" Target="media/image38.jpe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www.eea.europa.eu/data-and-maps/daviz/percentage-of-area-with-different" TargetMode="External"/><Relationship Id="rId27" Type="http://schemas.openxmlformats.org/officeDocument/2006/relationships/image" Target="media/image6.png"/><Relationship Id="rId30" Type="http://schemas.openxmlformats.org/officeDocument/2006/relationships/oleObject" Target="embeddings/oleObject4.bin"/><Relationship Id="rId35" Type="http://schemas.openxmlformats.org/officeDocument/2006/relationships/image" Target="media/image10.png"/><Relationship Id="rId43" Type="http://schemas.openxmlformats.org/officeDocument/2006/relationships/image" Target="media/image16.png"/><Relationship Id="rId48" Type="http://schemas.openxmlformats.org/officeDocument/2006/relationships/image" Target="media/image21.jpeg"/><Relationship Id="rId56" Type="http://schemas.openxmlformats.org/officeDocument/2006/relationships/image" Target="media/image29.emf"/><Relationship Id="rId64" Type="http://schemas.openxmlformats.org/officeDocument/2006/relationships/image" Target="media/image37.png"/><Relationship Id="rId69" Type="http://schemas.openxmlformats.org/officeDocument/2006/relationships/footer" Target="footer4.xml"/><Relationship Id="rId8" Type="http://schemas.openxmlformats.org/officeDocument/2006/relationships/settings" Target="settings.xml"/><Relationship Id="rId51" Type="http://schemas.openxmlformats.org/officeDocument/2006/relationships/image" Target="media/image24.png"/><Relationship Id="rId72"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oleObject" Target="embeddings/oleObject8.bin"/><Relationship Id="rId46" Type="http://schemas.openxmlformats.org/officeDocument/2006/relationships/image" Target="media/image19.png"/><Relationship Id="rId59" Type="http://schemas.openxmlformats.org/officeDocument/2006/relationships/image" Target="media/image32.emf"/><Relationship Id="rId67" Type="http://schemas.openxmlformats.org/officeDocument/2006/relationships/header" Target="header4.xml"/><Relationship Id="rId20" Type="http://schemas.openxmlformats.org/officeDocument/2006/relationships/hyperlink" Target="https://www.eea.europa.eu/data-and-maps/figures/status-assessment-of-natural-features-1" TargetMode="External"/><Relationship Id="rId41" Type="http://schemas.openxmlformats.org/officeDocument/2006/relationships/image" Target="media/image14.emf"/><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helcom.fi/helcom-at-work/projects/holas-ii" TargetMode="External"/><Relationship Id="rId2" Type="http://schemas.openxmlformats.org/officeDocument/2006/relationships/hyperlink" Target="https://water.europa.eu/marine" TargetMode="External"/><Relationship Id="rId1" Type="http://schemas.openxmlformats.org/officeDocument/2006/relationships/hyperlink" Target="https://cdr.eionet.europa.eu/help/msfd/MSFD%20Schemas" TargetMode="External"/><Relationship Id="rId6" Type="http://schemas.openxmlformats.org/officeDocument/2006/relationships/hyperlink" Target="http://www.blacksea-commission.org/SoE2009-2014/SoE2009-2014.pdf" TargetMode="External"/><Relationship Id="rId5" Type="http://schemas.openxmlformats.org/officeDocument/2006/relationships/hyperlink" Target="https://www.medqsr.org/" TargetMode="External"/><Relationship Id="rId4" Type="http://schemas.openxmlformats.org/officeDocument/2006/relationships/hyperlink" Target="https://oap.ospar.org/en/ospar-assessments/intermediate-assessment-2017/introduction/ospar-and-intermediate-assessment-20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Author Role="Creator">
  <Id>15593676-9e14-4128-94f4-22c23732e87e</Id>
  <Names>
    <Latin>
      <FirstName>Camino</FirstName>
      <LastName>LIQUETE</LastName>
    </Latin>
    <Greek>
      <FirstName/>
      <LastName/>
    </Greek>
    <Cyrillic>
      <FirstName/>
      <LastName/>
    </Cyrillic>
    <DocumentScript>
      <FirstName>Camino</FirstName>
      <LastName>LIQUETE</LastName>
      <FullName>Camino LIQUETE</FullName>
    </DocumentScript>
  </Names>
  <Initials>CL</Initials>
  <Gender>f</Gender>
  <Email>Camino.LIQUETE@ec.europa.eu</Email>
  <Service>ENV.C.2</Service>
  <Function ShowInSignature="true"/>
  <WebAddress/>
  <InheritedWebAddress>WebAddress</InheritedWebAddress>
  <OrgaEntity1>
    <Id>97cead3c-fd4c-47cd-8c1d-f49ace8dda92</Id>
    <LogicalLevel>1</LogicalLevel>
    <Name>ENV</Name>
    <HeadLine1>DIRECTORATE-GENERAL</HeadLine1>
    <HeadLine2>ENVIRONMENT</HeadLine2>
    <PrimaryAddressId>f03b5801-04c9-4931-aa17-c6d6c70bc579</PrimaryAddressId>
    <SecondaryAddressId/>
    <WebAddress>WebAddress</WebAddress>
    <InheritedWebAddress>WebAddress</InheritedWebAddress>
    <ShowInHeader>true</ShowInHeader>
  </OrgaEntity1>
  <OrgaEntity2>
    <Id>c6dcdd11-6a02-469f-8248-c573926d1e58</Id>
    <LogicalLevel>2</LogicalLevel>
    <Name>ENV.C</Name>
    <HeadLine1>Directorate C - Quality of Life</HeadLine1>
    <HeadLine2/>
    <PrimaryAddressId>f03b5801-04c9-4931-aa17-c6d6c70bc579</PrimaryAddressId>
    <SecondaryAddressId/>
    <WebAddress/>
    <InheritedWebAddress>WebAddress</InheritedWebAddress>
    <ShowInHeader>true</ShowInHeader>
  </OrgaEntity2>
  <OrgaEntity3>
    <Id>46d9d304-2a4f-47c9-899f-08d3d366d0e7</Id>
    <LogicalLevel>3</LogicalLevel>
    <Name>ENV.C.2</Name>
    <HeadLine1>ENV.C.2 - Marine Environment &amp; Water Industry</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+32 229 55987</Phone>
    <Office>BU-9 04/204</Office>
  </MainWorkplace>
  <Workplaces>
    <Workplace IsMain="false">
      <AddressId>1264fb81-f6bb-475e-9f9d-a937d3be6ee2</AddressId>
      <Fax/>
      <Phone/>
      <Office/>
    </Workplace>
    <Workplace IsMain="true">
      <AddressId>f03b5801-04c9-4931-aa17-c6d6c70bc579</AddressId>
      <Fax/>
      <Phone>+32 229 55987</Phone>
      <Office>BU-9 04/204</Office>
    </Workplace>
  </Workplaces>
</Author>
</file>

<file path=customXml/item2.xml><?xml version="1.0" encoding="utf-8"?>
<EurolookProperties>
  <ProductCustomizationId>EC</ProductCustomizationId>
  <Created>
    <Version>10.0.38495.0</Version>
    <Date>2019-04-25T12:01:36</Date>
    <Language>EN</Language>
  </Created>
  <Edited>
    <Version>10.0.39616.0</Version>
    <Date>2020-04-08T17:16:09</Date>
  </Edited>
  <DocumentModel>
    <Id>6cbda13a-4db2-46c6-876a-ef72275827ef</Id>
    <Name>Report</Name>
  </DocumentModel>
  <DocumentDate>2019-04-25T12:01:36</DocumentDate>
  <DocumentVersion>0.1</DocumentVersion>
  <CompatibilityMode>Eurolook10</CompatibilityMode>
  <Address/>
</EurolookProperties>
</file>

<file path=customXml/item3.xml><?xml version="1.0" encoding="utf-8"?>
<Texts>
  <SecurityPersonalData>Personal data</SecurityPersonalData>
  <SecurityPharma>Pharma investigations</SecurityPharma>
  <MarkingUntilText>UNTIL</MarkingUntilText>
  <LabelPictureSeq>Picture {SEQ Picture \* ARABIC } – </LabelPictureSeq>
  <SecurityMediationServiceMatter>Mediation service</SecurityMediationServiceMatter>
  <SecurityEconomyAndFinance>Economy and finance</SecurityEconomyAndFinance>
  <FooterFax>Fax</FooterFax>
  <FooterOffice>Office:</FooterOffice>
  <SecurityOlafInvestigations>OLAF investigations</SecurityOlafInvestigations>
  <TechHistory>Document History</TechHistory>
  <SensitiveHandling>Handling instructions for SENSITIVE information are given at https://europa.eu/!db43PX</SensitiveHandling>
  <SecurityOlafSpecialHandling>OLAF investigations</SecurityOlafSpecialHandling>
  <SecurityPersonal>Personal</SecurityPersonal>
  <CourtProceduralDocuments>Court procedural documents</CourtProceduralDocuments>
  <OrgaRoot>EUROPEAN COMMISSION</OrgaRoot>
  <TechHistoryComment>Comment</TechHistoryComment>
  <Contact>Contact:</Contact>
  <SensitiveLabel>Sensitive</SensitiveLabel>
  <SpecialHandlingLabel>Special Handling</SpecialHandlingLabel>
  <SecurityInvestigationsDisciplinary>Investigations and disciplinary matters</SecurityInvestigationsDisciplinary>
  <SecurityCompOperations>COMP Operations</SecurityCompOperations>
  <SecurityEuSatellite>EU satellite navigation matters</SecurityEuSatellite>
  <SecurityReleasable>RELEASABLE TO:</SecurityReleasable>
  <AddresseeTo>To:</AddresseeTo>
  <SecurityStaffMatter>Staff matter</SecurityStaffMatter>
  <SecurityOpinionLegalService>Opinion of the Legal Service</SecurityOpinionLegalService>
  <SpecialHandlingFootnote>Special handling instructions are given at https://europa.eu/!db43PX</SpecialHandlingFootnote>
  <SecurityEtsSensitive>ETS</SecurityEtsSensitive>
  <SecurityEtsCritical>ETS Critical</SecurityEtsCritical>
  <SecurityCompSpecial>COMP</SecurityCompSpecial>
  <LabelSource>Source</LabelSource>
  <SecurityPharmaSpecial>Pharma investigations</SecurityPharmaSpecial>
  <TOCHeading>Table of Contents</TOCHeading>
  <TechHistoryDate>Date</TechHistoryDate>
  <AddressFooterBrussels>Commission européenne/Europese Commissie, 1049 Bruxelles/Brussel, BELGIQUE/BELGIË - Tel. +32 22991111</AddressFooterBrussels>
  <SecurityIasOperations>IAS operations</SecurityIasOperations>
  <TechHistoryCreatedBy>Document created by</TechHistoryCreatedBy>
  <FooterPhone>Tel. direct line</FooterPhone>
  <SecuritySecurityMatter>Security matter</SecuritySecurityMatter>
  <SecurityPersonalDataHandling>Shall only be communicated on a need to know basis pursuant to Regulation (EC) No 45/2001. Where e-mail is used, this must be encrypted using SECEM.</SecurityPersonalDataHandling>
  <TechHistoryVersion>Version</TechHistoryVersion>
  <TLPAmber>TLP: Amber</TLPAmber>
  <SecurityMedicalSecret>Medical secret</SecurityMedicalSecret>
  <Contacts>Contacts:</Contacts>
  <SecurityEmbargo>Embargo until</SecurityEmbargo>
  <DateFormatShort>dd/MM/yyyy</DateFormatShort>
  <DateFormatLong>d MMMM yyyy</DateFormatLong>
</Texts>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EE044946-5330-43F7-8D16-AA78684F2938}">
  <ds:schemaRefs/>
</ds:datastoreItem>
</file>

<file path=customXml/itemProps2.xml><?xml version="1.0" encoding="utf-8"?>
<ds:datastoreItem xmlns:ds="http://schemas.openxmlformats.org/officeDocument/2006/customXml" ds:itemID="{D3EA5527-7367-4268-9D83-5125C98D0ED2}">
  <ds:schemaRefs/>
</ds:datastoreItem>
</file>

<file path=customXml/itemProps3.xml><?xml version="1.0" encoding="utf-8"?>
<ds:datastoreItem xmlns:ds="http://schemas.openxmlformats.org/officeDocument/2006/customXml" ds:itemID="{4EF90DE6-88B6-4264-9629-4D8DFDFE87D2}">
  <ds:schemaRefs/>
</ds:datastoreItem>
</file>

<file path=customXml/itemProps4.xml><?xml version="1.0" encoding="utf-8"?>
<ds:datastoreItem xmlns:ds="http://schemas.openxmlformats.org/officeDocument/2006/customXml" ds:itemID="{061FFEEC-A032-4999-9CC1-DB4690E5E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10</Pages>
  <Words>19088</Words>
  <Characters>105748</Characters>
  <Application>Microsoft Office Word</Application>
  <DocSecurity>0</DocSecurity>
  <PresentationFormat>Microsoft Word 14.0</PresentationFormat>
  <Lines>2579</Lines>
  <Paragraphs>1076</Paragraphs>
  <ScaleCrop>true</ScaleCrop>
  <HeadingPairs>
    <vt:vector size="2" baseType="variant">
      <vt:variant>
        <vt:lpstr>Title</vt:lpstr>
      </vt:variant>
      <vt:variant>
        <vt:i4>1</vt:i4>
      </vt:variant>
    </vt:vector>
  </HeadingPairs>
  <TitlesOfParts>
    <vt:vector size="1" baseType="lpstr">
      <vt:lpstr>Review of the status of the marine environment</vt:lpstr>
    </vt:vector>
  </TitlesOfParts>
  <Manager/>
  <Company/>
  <LinksUpToDate>false</LinksUpToDate>
  <CharactersWithSpaces>123760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status of the marine environment</dc:title>
  <dc:subject>Towards clean, healthy and productive oceans and seas</dc:subject>
  <dc:creator/>
  <cp:keywords/>
  <dc:description/>
  <cp:lastModifiedBy>WES PDFC Administrator</cp:lastModifiedBy>
  <cp:revision>29</cp:revision>
  <cp:lastPrinted>2019-05-16T09:41:00Z</cp:lastPrinted>
  <dcterms:created xsi:type="dcterms:W3CDTF">2020-03-20T15:33:00Z</dcterms:created>
  <dcterms:modified xsi:type="dcterms:W3CDTF">2020-06-16T08:00:00Z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3</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7.0, Build 20190717</vt:lpwstr>
  </property>
  <property fmtid="{D5CDD505-2E9C-101B-9397-08002B2CF9AE}" pid="8" name="CPTemplateID">
    <vt:lpwstr>CP-025</vt:lpwstr>
  </property>
  <property fmtid="{D5CDD505-2E9C-101B-9397-08002B2CF9AE}" pid="9" name="_LW_INVALIDATED__LW_INVALIDATED__LW_INVALIDATED__LW_INVALIDATED__LW_INVALIDATED__LW_INVALIDATED__LW_INVALIDATED__LW_INVALIDATED__LW_INVALIDATED__LW_INVALIDATED_EurolookVersion">
    <vt:lpwstr>10.0</vt:lpwstr>
  </property>
  <property fmtid="{D5CDD505-2E9C-101B-9397-08002B2CF9AE}" pid="10" name="_LW_INVALIDATED__LW_INVALIDATED__LW_INVALIDATED__LW_INVALIDATED__LW_INVALIDATED__LW_INVALIDATED__LW_INVALIDATED__LW_INVALIDATED__LW_INVALIDATED__LW_INVALIDATED_ELDocType">
    <vt:lpwstr>rep.dot</vt:lpwstr>
  </property>
</Properties>
</file>