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B87" w:rsidRDefault="00936202" w:rsidP="00BF42C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ADAEACD-01AF-4693-B57E-3F3D0798637B" style="width:450.5pt;height:5in">
            <v:imagedata r:id="rId7" o:title=""/>
          </v:shape>
        </w:pict>
      </w:r>
    </w:p>
    <w:bookmarkEnd w:id="0"/>
    <w:p w:rsidR="00315B87" w:rsidRDefault="00315B87">
      <w:pPr>
        <w:rPr>
          <w:noProof/>
        </w:rPr>
        <w:sectPr w:rsidR="00315B87" w:rsidSect="00BF42C2">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315B87" w:rsidRDefault="00C32692">
      <w:pPr>
        <w:pStyle w:val="AMPRSec2TITLE1"/>
        <w:rPr>
          <w:noProof/>
        </w:rPr>
        <w:sectPr w:rsidR="00315B87">
          <w:headerReference w:type="even" r:id="rId14"/>
          <w:headerReference w:type="default" r:id="rId15"/>
          <w:footerReference w:type="even" r:id="rId16"/>
          <w:footerReference w:type="default" r:id="rId17"/>
          <w:headerReference w:type="first" r:id="rId18"/>
          <w:footerReference w:type="first" r:id="rId19"/>
          <w:footnotePr>
            <w:numStart w:val="48"/>
          </w:footnotePr>
          <w:pgSz w:w="11906" w:h="16838"/>
          <w:pgMar w:top="1417" w:right="1417" w:bottom="1134" w:left="1417" w:header="567" w:footer="454" w:gutter="0"/>
          <w:pgNumType w:start="41"/>
          <w:cols w:space="720"/>
          <w:titlePg/>
          <w:docGrid w:linePitch="360"/>
        </w:sectPr>
      </w:pPr>
      <w:bookmarkStart w:id="1" w:name="Section1"/>
      <w:bookmarkStart w:id="2" w:name="_Toc535249357"/>
      <w:bookmarkStart w:id="3" w:name="_Toc4680688"/>
      <w:bookmarkStart w:id="4" w:name="_Toc4682962"/>
      <w:bookmarkStart w:id="5" w:name="_Toc37166570"/>
      <w:bookmarkStart w:id="6" w:name="_Toc37948904"/>
      <w:bookmarkStart w:id="7" w:name="_Toc37955819"/>
      <w:bookmarkStart w:id="8" w:name="_Toc37956053"/>
      <w:r>
        <w:rPr>
          <w:noProof/>
        </w:rPr>
        <w:lastRenderedPageBreak/>
        <w:t>Section</w:t>
      </w:r>
      <w:r>
        <w:rPr>
          <w:rFonts w:ascii="Calibri" w:hAnsi="Calibri" w:cs="Calibri"/>
          <w:noProof/>
        </w:rPr>
        <w:t> </w:t>
      </w:r>
      <w:bookmarkEnd w:id="1"/>
      <w:r>
        <w:rPr>
          <w:noProof/>
        </w:rPr>
        <w:t>2 –</w:t>
      </w:r>
      <w:r>
        <w:rPr>
          <w:noProof/>
        </w:rPr>
        <w:br/>
      </w:r>
      <w:bookmarkEnd w:id="2"/>
      <w:bookmarkEnd w:id="3"/>
      <w:bookmarkEnd w:id="4"/>
      <w:r>
        <w:rPr>
          <w:noProof/>
        </w:rPr>
        <w:t xml:space="preserve">Internal control and financial </w:t>
      </w:r>
      <w:bookmarkEnd w:id="5"/>
      <w:bookmarkEnd w:id="6"/>
      <w:bookmarkEnd w:id="7"/>
      <w:bookmarkEnd w:id="8"/>
      <w:r>
        <w:rPr>
          <w:noProof/>
        </w:rPr>
        <w:t>management</w:t>
      </w:r>
    </w:p>
    <w:p w:rsidR="00315B87" w:rsidRDefault="00315B87">
      <w:pPr>
        <w:rPr>
          <w:noProof/>
        </w:rPr>
        <w:sectPr w:rsidR="00315B87">
          <w:headerReference w:type="even" r:id="rId20"/>
          <w:headerReference w:type="default" r:id="rId21"/>
          <w:footerReference w:type="even" r:id="rId22"/>
          <w:footerReference w:type="default" r:id="rId23"/>
          <w:headerReference w:type="first" r:id="rId24"/>
          <w:footerReference w:type="first" r:id="rId25"/>
          <w:footnotePr>
            <w:numStart w:val="48"/>
          </w:footnotePr>
          <w:pgSz w:w="11906" w:h="16838"/>
          <w:pgMar w:top="1417" w:right="1417" w:bottom="1134" w:left="1417" w:header="567" w:footer="454" w:gutter="0"/>
          <w:cols w:space="720"/>
          <w:docGrid w:linePitch="360"/>
        </w:sectPr>
      </w:pPr>
    </w:p>
    <w:p w:rsidR="00315B87" w:rsidRDefault="00C32692">
      <w:pPr>
        <w:pStyle w:val="AMPRSec2TITLE2-numbered"/>
        <w:rPr>
          <w:noProof/>
        </w:rPr>
      </w:pPr>
      <w:bookmarkStart w:id="9" w:name="_Toc37166571"/>
      <w:bookmarkStart w:id="10" w:name="_Toc37948905"/>
      <w:bookmarkStart w:id="11" w:name="_Toc37955820"/>
      <w:bookmarkStart w:id="12" w:name="_Toc37956054"/>
      <w:bookmarkStart w:id="13" w:name="_Toc3206052"/>
      <w:bookmarkStart w:id="14" w:name="_Toc4603941"/>
      <w:bookmarkStart w:id="15" w:name="_Toc4603962"/>
      <w:bookmarkStart w:id="16" w:name="_Toc4680689"/>
      <w:bookmarkStart w:id="17" w:name="_Toc4682963"/>
      <w:bookmarkStart w:id="18" w:name="_Toc4683087"/>
      <w:r>
        <w:rPr>
          <w:noProof/>
        </w:rPr>
        <w:lastRenderedPageBreak/>
        <w:t>The Commission manages the EU budget in a complex environment</w:t>
      </w:r>
      <w:bookmarkEnd w:id="9"/>
      <w:bookmarkEnd w:id="10"/>
      <w:bookmarkEnd w:id="11"/>
      <w:bookmarkEnd w:id="12"/>
    </w:p>
    <w:p w:rsidR="00315B87" w:rsidRDefault="00C32692">
      <w:pPr>
        <w:pStyle w:val="AMPRBodyText"/>
        <w:rPr>
          <w:noProof/>
        </w:rPr>
      </w:pPr>
      <w:r>
        <w:rPr>
          <w:noProof/>
        </w:rPr>
        <w:t>The Commission attaches great importance to the sound financial management of the EU budget, as well as of the European Development Fund and the EU Trust Funds. It is the Commission’s duty to make the best possible use of taxpayers’ money to support the achievement of the EU’s policy objectives. It is therefore essential to ensure both a high level of compliance with the applicable rules and that funding reaches the intended beneficiaries in an effective, efficient and economical manner. Consequently, the Commission strives to achieve the highest standards in financial management while striking the right balance between a low level of errors, fast payments and reasonable costs of controls.</w:t>
      </w:r>
    </w:p>
    <w:p w:rsidR="00315B87" w:rsidRDefault="00C32692">
      <w:pPr>
        <w:pStyle w:val="AMPRSec2TITLE3-numbered"/>
        <w:rPr>
          <w:noProof/>
        </w:rPr>
      </w:pPr>
      <w:r>
        <w:rPr>
          <w:noProof/>
        </w:rPr>
        <w:t>The EU budget: a wide variety of areas, beneficiaries and spending</w:t>
      </w:r>
    </w:p>
    <w:p w:rsidR="00315B87" w:rsidRDefault="00C32692">
      <w:pPr>
        <w:pStyle w:val="AMPRBodyText"/>
        <w:rPr>
          <w:noProof/>
        </w:rPr>
      </w:pPr>
      <w:r>
        <w:rPr>
          <w:noProof/>
        </w:rPr>
        <w:t>In 2019, the expenditure</w:t>
      </w:r>
      <w:r>
        <w:rPr>
          <w:rStyle w:val="fnRef"/>
          <w:rFonts w:ascii="Arial" w:hAnsi="Arial" w:cs="Arial"/>
          <w:noProof/>
        </w:rPr>
        <w:t> </w:t>
      </w:r>
      <w:r>
        <w:rPr>
          <w:rStyle w:val="fnRef"/>
          <w:noProof/>
        </w:rPr>
        <w:t>(</w:t>
      </w:r>
      <w:r>
        <w:rPr>
          <w:rStyle w:val="fnRefNo"/>
          <w:noProof/>
        </w:rPr>
        <w:footnoteReference w:id="1"/>
      </w:r>
      <w:r>
        <w:rPr>
          <w:rStyle w:val="fnRef"/>
          <w:noProof/>
        </w:rPr>
        <w:t>)</w:t>
      </w:r>
      <w:r>
        <w:rPr>
          <w:noProof/>
        </w:rPr>
        <w:t xml:space="preserve"> from the EU budget amounted to </w:t>
      </w:r>
      <w:r>
        <w:rPr>
          <w:rStyle w:val="AMPRcharBoldBlue"/>
          <w:noProof/>
        </w:rPr>
        <w:t>EUR</w:t>
      </w:r>
      <w:r>
        <w:rPr>
          <w:rStyle w:val="AMPRcharBoldBlue"/>
          <w:rFonts w:ascii="Calibri" w:hAnsi="Calibri" w:cs="Calibri"/>
          <w:noProof/>
        </w:rPr>
        <w:t> </w:t>
      </w:r>
      <w:r>
        <w:rPr>
          <w:rStyle w:val="AMPRcharBoldBlue"/>
          <w:noProof/>
        </w:rPr>
        <w:t>147</w:t>
      </w:r>
      <w:r>
        <w:rPr>
          <w:rStyle w:val="AMPRcharBoldBlue"/>
          <w:rFonts w:ascii="Calibri" w:hAnsi="Calibri" w:cs="Calibri"/>
          <w:noProof/>
        </w:rPr>
        <w:t> </w:t>
      </w:r>
      <w:r>
        <w:rPr>
          <w:rStyle w:val="AMPRcharBoldBlue"/>
          <w:noProof/>
        </w:rPr>
        <w:t>billion</w:t>
      </w:r>
      <w:r>
        <w:rPr>
          <w:noProof/>
        </w:rPr>
        <w:t xml:space="preserve"> (see chart below), corresponding to 240</w:t>
      </w:r>
      <w:r>
        <w:rPr>
          <w:rFonts w:ascii="Calibri" w:hAnsi="Calibri" w:cs="Calibri"/>
          <w:noProof/>
        </w:rPr>
        <w:t> </w:t>
      </w:r>
      <w:r>
        <w:rPr>
          <w:noProof/>
        </w:rPr>
        <w:t>000 payments ranging from a few hundred euros (Erasmus scholarships) to hundreds of millions of euros (large projects such as ITER or Galileo and Copernicus, as well as budgetary support to developing countries). These payments are made to support activities as varied as farming and the development of rural and urban areas, the improvement of transport and digital infrastructure, research, aid to small and medium-sized enterprises, protection of the environment, training for unemployed people, the integration of migrants and border protection, support to countries wishing to join the EU and aid to neighbouring and developing countries. The recipients of EU funds are very diverse and numerous.</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single" w:sz="6" w:space="0" w:color="FFFFFF" w:themeColor="background1"/>
        </w:tblBorders>
        <w:tblCellMar>
          <w:top w:w="113" w:type="dxa"/>
          <w:bottom w:w="113" w:type="dxa"/>
        </w:tblCellMar>
        <w:tblLook w:val="04A0" w:firstRow="1" w:lastRow="0" w:firstColumn="1" w:lastColumn="0" w:noHBand="0" w:noVBand="1"/>
      </w:tblPr>
      <w:tblGrid>
        <w:gridCol w:w="1691"/>
        <w:gridCol w:w="1712"/>
        <w:gridCol w:w="1712"/>
        <w:gridCol w:w="1618"/>
        <w:gridCol w:w="1579"/>
        <w:gridCol w:w="760"/>
      </w:tblGrid>
      <w:tr w:rsidR="00315B87">
        <w:tc>
          <w:tcPr>
            <w:tcW w:w="1809" w:type="dxa"/>
            <w:tcBorders>
              <w:bottom w:val="nil"/>
            </w:tcBorders>
            <w:shd w:val="clear" w:color="auto" w:fill="92D050"/>
            <w:tcMar>
              <w:top w:w="0" w:type="dxa"/>
            </w:tcMar>
          </w:tcPr>
          <w:p w:rsidR="00315B87" w:rsidRDefault="00C32692">
            <w:pPr>
              <w:suppressAutoHyphens/>
              <w:spacing w:before="80"/>
              <w:rPr>
                <w:b/>
                <w:noProof/>
                <w:color w:val="FFFFFF" w:themeColor="background1"/>
              </w:rPr>
            </w:pPr>
            <w:r>
              <w:rPr>
                <w:b/>
                <w:bCs/>
                <w:noProof/>
                <w:color w:val="FFFFFF" w:themeColor="background1"/>
              </w:rPr>
              <w:t>Natural resources</w:t>
            </w:r>
          </w:p>
        </w:tc>
        <w:tc>
          <w:tcPr>
            <w:tcW w:w="1843" w:type="dxa"/>
            <w:tcBorders>
              <w:bottom w:val="nil"/>
            </w:tcBorders>
            <w:shd w:val="clear" w:color="auto" w:fill="5B9BD5" w:themeFill="accent1"/>
            <w:tcMar>
              <w:top w:w="0" w:type="dxa"/>
            </w:tcMar>
          </w:tcPr>
          <w:p w:rsidR="00315B87" w:rsidRDefault="00C32692">
            <w:pPr>
              <w:suppressAutoHyphens/>
              <w:spacing w:before="80"/>
              <w:rPr>
                <w:b/>
                <w:noProof/>
                <w:color w:val="FFFFFF" w:themeColor="background1"/>
              </w:rPr>
            </w:pPr>
            <w:r>
              <w:rPr>
                <w:b/>
                <w:bCs/>
                <w:noProof/>
                <w:color w:val="FFFFFF" w:themeColor="background1"/>
              </w:rPr>
              <w:t>Cohesion</w:t>
            </w:r>
          </w:p>
          <w:p w:rsidR="00315B87" w:rsidRDefault="00315B87">
            <w:pPr>
              <w:suppressAutoHyphens/>
              <w:spacing w:before="80"/>
              <w:rPr>
                <w:noProof/>
                <w:color w:val="F26A47"/>
              </w:rPr>
            </w:pPr>
          </w:p>
        </w:tc>
        <w:tc>
          <w:tcPr>
            <w:tcW w:w="1843" w:type="dxa"/>
            <w:tcBorders>
              <w:bottom w:val="nil"/>
            </w:tcBorders>
            <w:shd w:val="clear" w:color="auto" w:fill="A5A5A5" w:themeFill="accent3"/>
            <w:tcMar>
              <w:top w:w="0" w:type="dxa"/>
            </w:tcMar>
          </w:tcPr>
          <w:p w:rsidR="00315B87" w:rsidRDefault="00C32692">
            <w:pPr>
              <w:suppressAutoHyphens/>
              <w:spacing w:before="80"/>
              <w:rPr>
                <w:b/>
                <w:noProof/>
                <w:color w:val="FFFFFF" w:themeColor="background1"/>
                <w:lang w:val="en-GB"/>
              </w:rPr>
            </w:pPr>
            <w:r>
              <w:rPr>
                <w:b/>
                <w:bCs/>
                <w:noProof/>
                <w:color w:val="FFFFFF" w:themeColor="background1"/>
                <w:lang w:val="en-GB"/>
              </w:rPr>
              <w:t>Research, industry, space, energy and transport</w:t>
            </w:r>
          </w:p>
        </w:tc>
        <w:tc>
          <w:tcPr>
            <w:tcW w:w="1701" w:type="dxa"/>
            <w:tcBorders>
              <w:bottom w:val="nil"/>
            </w:tcBorders>
            <w:shd w:val="clear" w:color="auto" w:fill="FFC000" w:themeFill="accent4"/>
            <w:tcMar>
              <w:top w:w="0" w:type="dxa"/>
            </w:tcMar>
          </w:tcPr>
          <w:p w:rsidR="00315B87" w:rsidRDefault="00C32692">
            <w:pPr>
              <w:suppressAutoHyphens/>
              <w:spacing w:before="80"/>
              <w:rPr>
                <w:b/>
                <w:noProof/>
                <w:color w:val="FFFFFF" w:themeColor="background1"/>
              </w:rPr>
            </w:pPr>
            <w:r>
              <w:rPr>
                <w:b/>
                <w:bCs/>
                <w:noProof/>
                <w:color w:val="FFFFFF" w:themeColor="background1"/>
              </w:rPr>
              <w:t>External relations</w:t>
            </w:r>
          </w:p>
        </w:tc>
        <w:tc>
          <w:tcPr>
            <w:tcW w:w="1699" w:type="dxa"/>
            <w:tcBorders>
              <w:bottom w:val="nil"/>
            </w:tcBorders>
            <w:shd w:val="clear" w:color="auto" w:fill="70AD47" w:themeFill="accent6"/>
            <w:tcMar>
              <w:top w:w="0" w:type="dxa"/>
            </w:tcMar>
          </w:tcPr>
          <w:p w:rsidR="00315B87" w:rsidRDefault="00C32692">
            <w:pPr>
              <w:suppressAutoHyphens/>
              <w:spacing w:before="80"/>
              <w:rPr>
                <w:b/>
                <w:noProof/>
                <w:color w:val="FFFFFF" w:themeColor="background1"/>
              </w:rPr>
            </w:pPr>
            <w:r>
              <w:rPr>
                <w:b/>
                <w:bCs/>
                <w:noProof/>
                <w:color w:val="FFFFFF" w:themeColor="background1"/>
              </w:rPr>
              <w:t>Other internal policies</w:t>
            </w:r>
          </w:p>
        </w:tc>
        <w:tc>
          <w:tcPr>
            <w:tcW w:w="711" w:type="dxa"/>
            <w:vMerge w:val="restart"/>
            <w:shd w:val="clear" w:color="auto" w:fill="BFBFBF" w:themeFill="background1" w:themeFillShade="BF"/>
            <w:tcMar>
              <w:top w:w="0" w:type="dxa"/>
            </w:tcMar>
            <w:textDirection w:val="btLr"/>
          </w:tcPr>
          <w:p w:rsidR="00315B87" w:rsidRDefault="00C32692">
            <w:pPr>
              <w:suppressAutoHyphens/>
              <w:ind w:left="113" w:right="113"/>
              <w:jc w:val="center"/>
              <w:rPr>
                <w:b/>
                <w:noProof/>
                <w:color w:val="FFFFFF" w:themeColor="background1"/>
                <w:lang w:val="en-GB"/>
              </w:rPr>
            </w:pPr>
            <w:r>
              <w:rPr>
                <w:b/>
                <w:bCs/>
                <w:noProof/>
                <w:color w:val="FFFFFF" w:themeColor="background1"/>
                <w:lang w:val="en-GB"/>
              </w:rPr>
              <w:t>Other services and administration</w:t>
            </w:r>
          </w:p>
          <w:p w:rsidR="00315B87" w:rsidRDefault="00C32692">
            <w:pPr>
              <w:suppressAutoHyphens/>
              <w:ind w:left="113" w:right="113"/>
              <w:jc w:val="center"/>
              <w:rPr>
                <w:noProof/>
                <w:color w:val="FFFFFF" w:themeColor="background1"/>
                <w:lang w:val="en-GB"/>
              </w:rPr>
            </w:pPr>
            <w:r>
              <w:rPr>
                <w:noProof/>
                <w:color w:val="FFFFFF" w:themeColor="background1"/>
                <w:lang w:val="en-GB"/>
              </w:rPr>
              <w:t>EUR 7 billion (5%)</w:t>
            </w:r>
          </w:p>
        </w:tc>
      </w:tr>
      <w:tr w:rsidR="00315B87">
        <w:tc>
          <w:tcPr>
            <w:tcW w:w="1809" w:type="dxa"/>
            <w:tcBorders>
              <w:bottom w:val="single" w:sz="6" w:space="0" w:color="FFFFFF" w:themeColor="background1"/>
            </w:tcBorders>
            <w:shd w:val="clear" w:color="auto" w:fill="92D050"/>
          </w:tcPr>
          <w:p w:rsidR="00315B87" w:rsidRDefault="00C32692">
            <w:pPr>
              <w:suppressAutoHyphens/>
              <w:rPr>
                <w:b/>
                <w:noProof/>
                <w:color w:val="FFFFFF" w:themeColor="background1"/>
              </w:rPr>
            </w:pPr>
            <w:r>
              <w:rPr>
                <w:noProof/>
                <w:color w:val="FFFFFF" w:themeColor="background1"/>
              </w:rPr>
              <w:t>EUR 59 billion (40%)</w:t>
            </w:r>
          </w:p>
        </w:tc>
        <w:tc>
          <w:tcPr>
            <w:tcW w:w="1843" w:type="dxa"/>
            <w:tcBorders>
              <w:bottom w:val="single" w:sz="6" w:space="0" w:color="FFFFFF" w:themeColor="background1"/>
            </w:tcBorders>
            <w:shd w:val="clear" w:color="auto" w:fill="5B9BD5" w:themeFill="accent1"/>
          </w:tcPr>
          <w:p w:rsidR="00315B87" w:rsidRDefault="00C32692">
            <w:pPr>
              <w:suppressAutoHyphens/>
              <w:rPr>
                <w:b/>
                <w:noProof/>
                <w:color w:val="FFFFFF" w:themeColor="background1"/>
              </w:rPr>
            </w:pPr>
            <w:r>
              <w:rPr>
                <w:noProof/>
                <w:color w:val="FFFFFF" w:themeColor="background1"/>
              </w:rPr>
              <w:t>EUR 47 billion (32%)</w:t>
            </w:r>
          </w:p>
        </w:tc>
        <w:tc>
          <w:tcPr>
            <w:tcW w:w="1843" w:type="dxa"/>
            <w:tcBorders>
              <w:bottom w:val="single" w:sz="6" w:space="0" w:color="FFFFFF" w:themeColor="background1"/>
            </w:tcBorders>
            <w:shd w:val="clear" w:color="auto" w:fill="A5A5A5" w:themeFill="accent3"/>
          </w:tcPr>
          <w:p w:rsidR="00315B87" w:rsidRDefault="00C32692">
            <w:pPr>
              <w:suppressAutoHyphens/>
              <w:rPr>
                <w:noProof/>
                <w:color w:val="FFFFFF" w:themeColor="background1"/>
              </w:rPr>
            </w:pPr>
            <w:r>
              <w:rPr>
                <w:noProof/>
                <w:color w:val="FFFFFF" w:themeColor="background1"/>
              </w:rPr>
              <w:t xml:space="preserve">EUR 15 billion </w:t>
            </w:r>
            <w:r>
              <w:rPr>
                <w:noProof/>
                <w:color w:val="FFFFFF" w:themeColor="background1"/>
              </w:rPr>
              <w:br/>
              <w:t>(10%)</w:t>
            </w:r>
          </w:p>
        </w:tc>
        <w:tc>
          <w:tcPr>
            <w:tcW w:w="1701" w:type="dxa"/>
            <w:tcBorders>
              <w:bottom w:val="single" w:sz="6" w:space="0" w:color="FFFFFF" w:themeColor="background1"/>
            </w:tcBorders>
            <w:shd w:val="clear" w:color="auto" w:fill="FFC000" w:themeFill="accent4"/>
          </w:tcPr>
          <w:p w:rsidR="00315B87" w:rsidRDefault="00C32692">
            <w:pPr>
              <w:suppressAutoHyphens/>
              <w:rPr>
                <w:noProof/>
                <w:color w:val="FFFFFF" w:themeColor="background1"/>
              </w:rPr>
            </w:pPr>
            <w:r>
              <w:rPr>
                <w:noProof/>
                <w:color w:val="FFFFFF" w:themeColor="background1"/>
              </w:rPr>
              <w:t>EUR 12 billion (8%)</w:t>
            </w:r>
          </w:p>
        </w:tc>
        <w:tc>
          <w:tcPr>
            <w:tcW w:w="1699" w:type="dxa"/>
            <w:tcBorders>
              <w:bottom w:val="single" w:sz="6" w:space="0" w:color="FFFFFF" w:themeColor="background1"/>
            </w:tcBorders>
            <w:shd w:val="clear" w:color="auto" w:fill="70AD47" w:themeFill="accent6"/>
          </w:tcPr>
          <w:p w:rsidR="00315B87" w:rsidRDefault="00C32692">
            <w:pPr>
              <w:suppressAutoHyphens/>
              <w:rPr>
                <w:noProof/>
                <w:color w:val="FFFFFF" w:themeColor="background1"/>
              </w:rPr>
            </w:pPr>
            <w:r>
              <w:rPr>
                <w:noProof/>
                <w:color w:val="FFFFFF" w:themeColor="background1"/>
              </w:rPr>
              <w:t>EUR 7 billion (5%)</w:t>
            </w:r>
          </w:p>
        </w:tc>
        <w:tc>
          <w:tcPr>
            <w:tcW w:w="711" w:type="dxa"/>
            <w:vMerge/>
            <w:shd w:val="clear" w:color="auto" w:fill="BFBFBF" w:themeFill="background1" w:themeFillShade="BF"/>
          </w:tcPr>
          <w:p w:rsidR="00315B87" w:rsidRDefault="00315B87">
            <w:pPr>
              <w:suppressAutoHyphens/>
              <w:rPr>
                <w:noProof/>
                <w:color w:val="F26A47"/>
              </w:rPr>
            </w:pPr>
          </w:p>
        </w:tc>
      </w:tr>
      <w:tr w:rsidR="00315B87">
        <w:trPr>
          <w:trHeight w:val="545"/>
        </w:trPr>
        <w:tc>
          <w:tcPr>
            <w:tcW w:w="1809" w:type="dxa"/>
            <w:tcBorders>
              <w:top w:val="single" w:sz="6" w:space="0" w:color="FFFFFF" w:themeColor="background1"/>
              <w:bottom w:val="single" w:sz="6" w:space="0" w:color="FFFFFF" w:themeColor="background1"/>
            </w:tcBorders>
            <w:shd w:val="clear" w:color="auto" w:fill="92D050"/>
          </w:tcPr>
          <w:p w:rsidR="00315B87" w:rsidRDefault="00C32692">
            <w:pPr>
              <w:suppressAutoHyphens/>
              <w:rPr>
                <w:noProof/>
                <w:color w:val="F26A47"/>
              </w:rPr>
            </w:pPr>
            <w:r>
              <w:rPr>
                <w:noProof/>
                <w:color w:val="F26A47"/>
                <w:lang w:eastAsia="fr-BE"/>
              </w:rPr>
              <mc:AlternateContent>
                <mc:Choice Requires="wpg">
                  <w:drawing>
                    <wp:anchor distT="0" distB="0" distL="114300" distR="114300" simplePos="0" relativeHeight="251652096" behindDoc="0" locked="0" layoutInCell="1" allowOverlap="1">
                      <wp:simplePos x="0" y="0"/>
                      <wp:positionH relativeFrom="column">
                        <wp:posOffset>381591</wp:posOffset>
                      </wp:positionH>
                      <wp:positionV relativeFrom="paragraph">
                        <wp:posOffset>42545</wp:posOffset>
                      </wp:positionV>
                      <wp:extent cx="206375" cy="285750"/>
                      <wp:effectExtent l="38100" t="0" r="41275" b="0"/>
                      <wp:wrapNone/>
                      <wp:docPr id="18" name="Group 26"/>
                      <wp:cNvGraphicFramePr/>
                      <a:graphic xmlns:a="http://schemas.openxmlformats.org/drawingml/2006/main">
                        <a:graphicData uri="http://schemas.microsoft.com/office/word/2010/wordprocessingGroup">
                          <wpg:wgp>
                            <wpg:cNvGrpSpPr/>
                            <wpg:grpSpPr>
                              <a:xfrm>
                                <a:off x="0" y="0"/>
                                <a:ext cx="206375" cy="285750"/>
                                <a:chOff x="0" y="0"/>
                                <a:chExt cx="206375" cy="285750"/>
                              </a:xfrm>
                              <a:solidFill>
                                <a:sysClr val="window" lastClr="FFFFFF"/>
                              </a:solidFill>
                            </wpg:grpSpPr>
                            <wps:wsp>
                              <wps:cNvPr id="19" name="Freeform 19"/>
                              <wps:cNvSpPr>
                                <a:spLocks noEditPoints="1"/>
                              </wps:cNvSpPr>
                              <wps:spPr bwMode="auto">
                                <a:xfrm>
                                  <a:off x="144462" y="41275"/>
                                  <a:ext cx="61913" cy="244475"/>
                                </a:xfrm>
                                <a:custGeom>
                                  <a:avLst/>
                                  <a:gdLst>
                                    <a:gd name="T0" fmla="*/ 29 w 51"/>
                                    <a:gd name="T1" fmla="*/ 126 h 200"/>
                                    <a:gd name="T2" fmla="*/ 43 w 51"/>
                                    <a:gd name="T3" fmla="*/ 111 h 200"/>
                                    <a:gd name="T4" fmla="*/ 43 w 51"/>
                                    <a:gd name="T5" fmla="*/ 134 h 200"/>
                                    <a:gd name="T6" fmla="*/ 29 w 51"/>
                                    <a:gd name="T7" fmla="*/ 149 h 200"/>
                                    <a:gd name="T8" fmla="*/ 29 w 51"/>
                                    <a:gd name="T9" fmla="*/ 126 h 200"/>
                                    <a:gd name="T10" fmla="*/ 7 w 51"/>
                                    <a:gd name="T11" fmla="*/ 111 h 200"/>
                                    <a:gd name="T12" fmla="*/ 22 w 51"/>
                                    <a:gd name="T13" fmla="*/ 126 h 200"/>
                                    <a:gd name="T14" fmla="*/ 22 w 51"/>
                                    <a:gd name="T15" fmla="*/ 149 h 200"/>
                                    <a:gd name="T16" fmla="*/ 7 w 51"/>
                                    <a:gd name="T17" fmla="*/ 134 h 200"/>
                                    <a:gd name="T18" fmla="*/ 7 w 51"/>
                                    <a:gd name="T19" fmla="*/ 111 h 200"/>
                                    <a:gd name="T20" fmla="*/ 22 w 51"/>
                                    <a:gd name="T21" fmla="*/ 81 h 200"/>
                                    <a:gd name="T22" fmla="*/ 7 w 51"/>
                                    <a:gd name="T23" fmla="*/ 67 h 200"/>
                                    <a:gd name="T24" fmla="*/ 7 w 51"/>
                                    <a:gd name="T25" fmla="*/ 44 h 200"/>
                                    <a:gd name="T26" fmla="*/ 22 w 51"/>
                                    <a:gd name="T27" fmla="*/ 59 h 200"/>
                                    <a:gd name="T28" fmla="*/ 22 w 51"/>
                                    <a:gd name="T29" fmla="*/ 81 h 200"/>
                                    <a:gd name="T30" fmla="*/ 43 w 51"/>
                                    <a:gd name="T31" fmla="*/ 67 h 200"/>
                                    <a:gd name="T32" fmla="*/ 29 w 51"/>
                                    <a:gd name="T33" fmla="*/ 81 h 200"/>
                                    <a:gd name="T34" fmla="*/ 29 w 51"/>
                                    <a:gd name="T35" fmla="*/ 59 h 200"/>
                                    <a:gd name="T36" fmla="*/ 43 w 51"/>
                                    <a:gd name="T37" fmla="*/ 44 h 200"/>
                                    <a:gd name="T38" fmla="*/ 43 w 51"/>
                                    <a:gd name="T39" fmla="*/ 67 h 200"/>
                                    <a:gd name="T40" fmla="*/ 43 w 51"/>
                                    <a:gd name="T41" fmla="*/ 100 h 200"/>
                                    <a:gd name="T42" fmla="*/ 29 w 51"/>
                                    <a:gd name="T43" fmla="*/ 115 h 200"/>
                                    <a:gd name="T44" fmla="*/ 29 w 51"/>
                                    <a:gd name="T45" fmla="*/ 111 h 200"/>
                                    <a:gd name="T46" fmla="*/ 25 w 51"/>
                                    <a:gd name="T47" fmla="*/ 107 h 200"/>
                                    <a:gd name="T48" fmla="*/ 22 w 51"/>
                                    <a:gd name="T49" fmla="*/ 111 h 200"/>
                                    <a:gd name="T50" fmla="*/ 22 w 51"/>
                                    <a:gd name="T51" fmla="*/ 115 h 200"/>
                                    <a:gd name="T52" fmla="*/ 7 w 51"/>
                                    <a:gd name="T53" fmla="*/ 100 h 200"/>
                                    <a:gd name="T54" fmla="*/ 7 w 51"/>
                                    <a:gd name="T55" fmla="*/ 78 h 200"/>
                                    <a:gd name="T56" fmla="*/ 22 w 51"/>
                                    <a:gd name="T57" fmla="*/ 92 h 200"/>
                                    <a:gd name="T58" fmla="*/ 22 w 51"/>
                                    <a:gd name="T59" fmla="*/ 96 h 200"/>
                                    <a:gd name="T60" fmla="*/ 25 w 51"/>
                                    <a:gd name="T61" fmla="*/ 99 h 200"/>
                                    <a:gd name="T62" fmla="*/ 29 w 51"/>
                                    <a:gd name="T63" fmla="*/ 96 h 200"/>
                                    <a:gd name="T64" fmla="*/ 29 w 51"/>
                                    <a:gd name="T65" fmla="*/ 92 h 200"/>
                                    <a:gd name="T66" fmla="*/ 43 w 51"/>
                                    <a:gd name="T67" fmla="*/ 78 h 200"/>
                                    <a:gd name="T68" fmla="*/ 43 w 51"/>
                                    <a:gd name="T69" fmla="*/ 100 h 200"/>
                                    <a:gd name="T70" fmla="*/ 47 w 51"/>
                                    <a:gd name="T71" fmla="*/ 0 h 200"/>
                                    <a:gd name="T72" fmla="*/ 43 w 51"/>
                                    <a:gd name="T73" fmla="*/ 3 h 200"/>
                                    <a:gd name="T74" fmla="*/ 43 w 51"/>
                                    <a:gd name="T75" fmla="*/ 33 h 200"/>
                                    <a:gd name="T76" fmla="*/ 29 w 51"/>
                                    <a:gd name="T77" fmla="*/ 48 h 200"/>
                                    <a:gd name="T78" fmla="*/ 29 w 51"/>
                                    <a:gd name="T79" fmla="*/ 3 h 200"/>
                                    <a:gd name="T80" fmla="*/ 25 w 51"/>
                                    <a:gd name="T81" fmla="*/ 0 h 200"/>
                                    <a:gd name="T82" fmla="*/ 22 w 51"/>
                                    <a:gd name="T83" fmla="*/ 3 h 200"/>
                                    <a:gd name="T84" fmla="*/ 22 w 51"/>
                                    <a:gd name="T85" fmla="*/ 48 h 200"/>
                                    <a:gd name="T86" fmla="*/ 7 w 51"/>
                                    <a:gd name="T87" fmla="*/ 33 h 200"/>
                                    <a:gd name="T88" fmla="*/ 7 w 51"/>
                                    <a:gd name="T89" fmla="*/ 3 h 200"/>
                                    <a:gd name="T90" fmla="*/ 3 w 51"/>
                                    <a:gd name="T91" fmla="*/ 0 h 200"/>
                                    <a:gd name="T92" fmla="*/ 0 w 51"/>
                                    <a:gd name="T93" fmla="*/ 3 h 200"/>
                                    <a:gd name="T94" fmla="*/ 0 w 51"/>
                                    <a:gd name="T95" fmla="*/ 136 h 200"/>
                                    <a:gd name="T96" fmla="*/ 1 w 51"/>
                                    <a:gd name="T97" fmla="*/ 138 h 200"/>
                                    <a:gd name="T98" fmla="*/ 22 w 51"/>
                                    <a:gd name="T99" fmla="*/ 159 h 200"/>
                                    <a:gd name="T100" fmla="*/ 22 w 51"/>
                                    <a:gd name="T101" fmla="*/ 196 h 200"/>
                                    <a:gd name="T102" fmla="*/ 25 w 51"/>
                                    <a:gd name="T103" fmla="*/ 200 h 200"/>
                                    <a:gd name="T104" fmla="*/ 29 w 51"/>
                                    <a:gd name="T105" fmla="*/ 196 h 200"/>
                                    <a:gd name="T106" fmla="*/ 29 w 51"/>
                                    <a:gd name="T107" fmla="*/ 159 h 200"/>
                                    <a:gd name="T108" fmla="*/ 50 w 51"/>
                                    <a:gd name="T109" fmla="*/ 138 h 200"/>
                                    <a:gd name="T110" fmla="*/ 51 w 51"/>
                                    <a:gd name="T111" fmla="*/ 136 h 200"/>
                                    <a:gd name="T112" fmla="*/ 51 w 51"/>
                                    <a:gd name="T113" fmla="*/ 3 h 200"/>
                                    <a:gd name="T114" fmla="*/ 47 w 51"/>
                                    <a:gd name="T115"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 h="200">
                                      <a:moveTo>
                                        <a:pt x="29" y="126"/>
                                      </a:moveTo>
                                      <a:cubicBezTo>
                                        <a:pt x="43" y="111"/>
                                        <a:pt x="43" y="111"/>
                                        <a:pt x="43" y="111"/>
                                      </a:cubicBezTo>
                                      <a:cubicBezTo>
                                        <a:pt x="43" y="134"/>
                                        <a:pt x="43" y="134"/>
                                        <a:pt x="43" y="134"/>
                                      </a:cubicBezTo>
                                      <a:cubicBezTo>
                                        <a:pt x="29" y="149"/>
                                        <a:pt x="29" y="149"/>
                                        <a:pt x="29" y="149"/>
                                      </a:cubicBezTo>
                                      <a:lnTo>
                                        <a:pt x="29" y="126"/>
                                      </a:lnTo>
                                      <a:close/>
                                      <a:moveTo>
                                        <a:pt x="7" y="111"/>
                                      </a:moveTo>
                                      <a:cubicBezTo>
                                        <a:pt x="22" y="126"/>
                                        <a:pt x="22" y="126"/>
                                        <a:pt x="22" y="126"/>
                                      </a:cubicBezTo>
                                      <a:cubicBezTo>
                                        <a:pt x="22" y="149"/>
                                        <a:pt x="22" y="149"/>
                                        <a:pt x="22" y="149"/>
                                      </a:cubicBezTo>
                                      <a:cubicBezTo>
                                        <a:pt x="7" y="134"/>
                                        <a:pt x="7" y="134"/>
                                        <a:pt x="7" y="134"/>
                                      </a:cubicBezTo>
                                      <a:lnTo>
                                        <a:pt x="7" y="111"/>
                                      </a:lnTo>
                                      <a:close/>
                                      <a:moveTo>
                                        <a:pt x="22" y="81"/>
                                      </a:moveTo>
                                      <a:cubicBezTo>
                                        <a:pt x="7" y="67"/>
                                        <a:pt x="7" y="67"/>
                                        <a:pt x="7" y="67"/>
                                      </a:cubicBezTo>
                                      <a:cubicBezTo>
                                        <a:pt x="7" y="44"/>
                                        <a:pt x="7" y="44"/>
                                        <a:pt x="7" y="44"/>
                                      </a:cubicBezTo>
                                      <a:cubicBezTo>
                                        <a:pt x="22" y="59"/>
                                        <a:pt x="22" y="59"/>
                                        <a:pt x="22" y="59"/>
                                      </a:cubicBezTo>
                                      <a:lnTo>
                                        <a:pt x="22" y="81"/>
                                      </a:lnTo>
                                      <a:close/>
                                      <a:moveTo>
                                        <a:pt x="43" y="67"/>
                                      </a:moveTo>
                                      <a:cubicBezTo>
                                        <a:pt x="29" y="81"/>
                                        <a:pt x="29" y="81"/>
                                        <a:pt x="29" y="81"/>
                                      </a:cubicBezTo>
                                      <a:cubicBezTo>
                                        <a:pt x="29" y="59"/>
                                        <a:pt x="29" y="59"/>
                                        <a:pt x="29" y="59"/>
                                      </a:cubicBezTo>
                                      <a:cubicBezTo>
                                        <a:pt x="43" y="44"/>
                                        <a:pt x="43" y="44"/>
                                        <a:pt x="43" y="44"/>
                                      </a:cubicBezTo>
                                      <a:lnTo>
                                        <a:pt x="43" y="67"/>
                                      </a:lnTo>
                                      <a:close/>
                                      <a:moveTo>
                                        <a:pt x="43" y="100"/>
                                      </a:moveTo>
                                      <a:cubicBezTo>
                                        <a:pt x="29" y="115"/>
                                        <a:pt x="29" y="115"/>
                                        <a:pt x="29" y="115"/>
                                      </a:cubicBezTo>
                                      <a:cubicBezTo>
                                        <a:pt x="29" y="111"/>
                                        <a:pt x="29" y="111"/>
                                        <a:pt x="29" y="111"/>
                                      </a:cubicBezTo>
                                      <a:cubicBezTo>
                                        <a:pt x="29" y="109"/>
                                        <a:pt x="27" y="107"/>
                                        <a:pt x="25" y="107"/>
                                      </a:cubicBezTo>
                                      <a:cubicBezTo>
                                        <a:pt x="23" y="107"/>
                                        <a:pt x="22" y="109"/>
                                        <a:pt x="22" y="111"/>
                                      </a:cubicBezTo>
                                      <a:cubicBezTo>
                                        <a:pt x="22" y="115"/>
                                        <a:pt x="22" y="115"/>
                                        <a:pt x="22" y="115"/>
                                      </a:cubicBezTo>
                                      <a:cubicBezTo>
                                        <a:pt x="7" y="100"/>
                                        <a:pt x="7" y="100"/>
                                        <a:pt x="7" y="100"/>
                                      </a:cubicBezTo>
                                      <a:cubicBezTo>
                                        <a:pt x="7" y="78"/>
                                        <a:pt x="7" y="78"/>
                                        <a:pt x="7" y="78"/>
                                      </a:cubicBezTo>
                                      <a:cubicBezTo>
                                        <a:pt x="22" y="92"/>
                                        <a:pt x="22" y="92"/>
                                        <a:pt x="22" y="92"/>
                                      </a:cubicBezTo>
                                      <a:cubicBezTo>
                                        <a:pt x="22" y="96"/>
                                        <a:pt x="22" y="96"/>
                                        <a:pt x="22" y="96"/>
                                      </a:cubicBezTo>
                                      <a:cubicBezTo>
                                        <a:pt x="22" y="98"/>
                                        <a:pt x="23" y="99"/>
                                        <a:pt x="25" y="99"/>
                                      </a:cubicBezTo>
                                      <a:cubicBezTo>
                                        <a:pt x="27" y="99"/>
                                        <a:pt x="29" y="98"/>
                                        <a:pt x="29" y="96"/>
                                      </a:cubicBezTo>
                                      <a:cubicBezTo>
                                        <a:pt x="29" y="92"/>
                                        <a:pt x="29" y="92"/>
                                        <a:pt x="29" y="92"/>
                                      </a:cubicBezTo>
                                      <a:cubicBezTo>
                                        <a:pt x="43" y="78"/>
                                        <a:pt x="43" y="78"/>
                                        <a:pt x="43" y="78"/>
                                      </a:cubicBezTo>
                                      <a:lnTo>
                                        <a:pt x="43" y="100"/>
                                      </a:lnTo>
                                      <a:close/>
                                      <a:moveTo>
                                        <a:pt x="47" y="0"/>
                                      </a:moveTo>
                                      <a:cubicBezTo>
                                        <a:pt x="45" y="0"/>
                                        <a:pt x="43" y="1"/>
                                        <a:pt x="43" y="3"/>
                                      </a:cubicBezTo>
                                      <a:cubicBezTo>
                                        <a:pt x="43" y="33"/>
                                        <a:pt x="43" y="33"/>
                                        <a:pt x="43" y="33"/>
                                      </a:cubicBezTo>
                                      <a:cubicBezTo>
                                        <a:pt x="29" y="48"/>
                                        <a:pt x="29" y="48"/>
                                        <a:pt x="29" y="48"/>
                                      </a:cubicBezTo>
                                      <a:cubicBezTo>
                                        <a:pt x="29" y="3"/>
                                        <a:pt x="29" y="3"/>
                                        <a:pt x="29" y="3"/>
                                      </a:cubicBezTo>
                                      <a:cubicBezTo>
                                        <a:pt x="29" y="1"/>
                                        <a:pt x="27"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3" y="0"/>
                                      </a:cubicBezTo>
                                      <a:cubicBezTo>
                                        <a:pt x="1" y="0"/>
                                        <a:pt x="0" y="1"/>
                                        <a:pt x="0" y="3"/>
                                      </a:cubicBezTo>
                                      <a:cubicBezTo>
                                        <a:pt x="0" y="136"/>
                                        <a:pt x="0" y="136"/>
                                        <a:pt x="0" y="136"/>
                                      </a:cubicBezTo>
                                      <a:cubicBezTo>
                                        <a:pt x="0" y="137"/>
                                        <a:pt x="0" y="137"/>
                                        <a:pt x="1" y="138"/>
                                      </a:cubicBezTo>
                                      <a:cubicBezTo>
                                        <a:pt x="22" y="159"/>
                                        <a:pt x="22" y="159"/>
                                        <a:pt x="22" y="159"/>
                                      </a:cubicBezTo>
                                      <a:cubicBezTo>
                                        <a:pt x="22" y="196"/>
                                        <a:pt x="22" y="196"/>
                                        <a:pt x="22" y="196"/>
                                      </a:cubicBezTo>
                                      <a:cubicBezTo>
                                        <a:pt x="22" y="199"/>
                                        <a:pt x="23" y="200"/>
                                        <a:pt x="25" y="200"/>
                                      </a:cubicBezTo>
                                      <a:cubicBezTo>
                                        <a:pt x="27" y="200"/>
                                        <a:pt x="29" y="199"/>
                                        <a:pt x="29" y="196"/>
                                      </a:cubicBezTo>
                                      <a:cubicBezTo>
                                        <a:pt x="29" y="159"/>
                                        <a:pt x="29" y="159"/>
                                        <a:pt x="29" y="159"/>
                                      </a:cubicBezTo>
                                      <a:cubicBezTo>
                                        <a:pt x="50" y="138"/>
                                        <a:pt x="50" y="138"/>
                                        <a:pt x="50" y="138"/>
                                      </a:cubicBezTo>
                                      <a:cubicBezTo>
                                        <a:pt x="50" y="137"/>
                                        <a:pt x="51" y="137"/>
                                        <a:pt x="51" y="136"/>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0" y="41275"/>
                                  <a:ext cx="61913" cy="244475"/>
                                </a:xfrm>
                                <a:custGeom>
                                  <a:avLst/>
                                  <a:gdLst>
                                    <a:gd name="T0" fmla="*/ 22 w 51"/>
                                    <a:gd name="T1" fmla="*/ 81 h 200"/>
                                    <a:gd name="T2" fmla="*/ 7 w 51"/>
                                    <a:gd name="T3" fmla="*/ 67 h 200"/>
                                    <a:gd name="T4" fmla="*/ 7 w 51"/>
                                    <a:gd name="T5" fmla="*/ 44 h 200"/>
                                    <a:gd name="T6" fmla="*/ 22 w 51"/>
                                    <a:gd name="T7" fmla="*/ 59 h 200"/>
                                    <a:gd name="T8" fmla="*/ 22 w 51"/>
                                    <a:gd name="T9" fmla="*/ 81 h 200"/>
                                    <a:gd name="T10" fmla="*/ 44 w 51"/>
                                    <a:gd name="T11" fmla="*/ 67 h 200"/>
                                    <a:gd name="T12" fmla="*/ 29 w 51"/>
                                    <a:gd name="T13" fmla="*/ 81 h 200"/>
                                    <a:gd name="T14" fmla="*/ 29 w 51"/>
                                    <a:gd name="T15" fmla="*/ 59 h 200"/>
                                    <a:gd name="T16" fmla="*/ 44 w 51"/>
                                    <a:gd name="T17" fmla="*/ 44 h 200"/>
                                    <a:gd name="T18" fmla="*/ 7 w 51"/>
                                    <a:gd name="T19" fmla="*/ 78 h 200"/>
                                    <a:gd name="T20" fmla="*/ 22 w 51"/>
                                    <a:gd name="T21" fmla="*/ 92 h 200"/>
                                    <a:gd name="T22" fmla="*/ 22 w 51"/>
                                    <a:gd name="T23" fmla="*/ 115 h 200"/>
                                    <a:gd name="T24" fmla="*/ 7 w 51"/>
                                    <a:gd name="T25" fmla="*/ 100 h 200"/>
                                    <a:gd name="T26" fmla="*/ 44 w 51"/>
                                    <a:gd name="T27" fmla="*/ 100 h 200"/>
                                    <a:gd name="T28" fmla="*/ 29 w 51"/>
                                    <a:gd name="T29" fmla="*/ 115 h 200"/>
                                    <a:gd name="T30" fmla="*/ 29 w 51"/>
                                    <a:gd name="T31" fmla="*/ 92 h 200"/>
                                    <a:gd name="T32" fmla="*/ 44 w 51"/>
                                    <a:gd name="T33" fmla="*/ 78 h 200"/>
                                    <a:gd name="T34" fmla="*/ 44 w 51"/>
                                    <a:gd name="T35" fmla="*/ 100 h 200"/>
                                    <a:gd name="T36" fmla="*/ 25 w 51"/>
                                    <a:gd name="T37" fmla="*/ 140 h 200"/>
                                    <a:gd name="T38" fmla="*/ 22 w 51"/>
                                    <a:gd name="T39" fmla="*/ 144 h 200"/>
                                    <a:gd name="T40" fmla="*/ 22 w 51"/>
                                    <a:gd name="T41" fmla="*/ 149 h 200"/>
                                    <a:gd name="T42" fmla="*/ 7 w 51"/>
                                    <a:gd name="T43" fmla="*/ 134 h 200"/>
                                    <a:gd name="T44" fmla="*/ 7 w 51"/>
                                    <a:gd name="T45" fmla="*/ 111 h 200"/>
                                    <a:gd name="T46" fmla="*/ 22 w 51"/>
                                    <a:gd name="T47" fmla="*/ 126 h 200"/>
                                    <a:gd name="T48" fmla="*/ 22 w 51"/>
                                    <a:gd name="T49" fmla="*/ 129 h 200"/>
                                    <a:gd name="T50" fmla="*/ 25 w 51"/>
                                    <a:gd name="T51" fmla="*/ 133 h 200"/>
                                    <a:gd name="T52" fmla="*/ 29 w 51"/>
                                    <a:gd name="T53" fmla="*/ 129 h 200"/>
                                    <a:gd name="T54" fmla="*/ 29 w 51"/>
                                    <a:gd name="T55" fmla="*/ 126 h 200"/>
                                    <a:gd name="T56" fmla="*/ 44 w 51"/>
                                    <a:gd name="T57" fmla="*/ 111 h 200"/>
                                    <a:gd name="T58" fmla="*/ 44 w 51"/>
                                    <a:gd name="T59" fmla="*/ 134 h 200"/>
                                    <a:gd name="T60" fmla="*/ 29 w 51"/>
                                    <a:gd name="T61" fmla="*/ 149 h 200"/>
                                    <a:gd name="T62" fmla="*/ 29 w 51"/>
                                    <a:gd name="T63" fmla="*/ 144 h 200"/>
                                    <a:gd name="T64" fmla="*/ 25 w 51"/>
                                    <a:gd name="T65" fmla="*/ 140 h 200"/>
                                    <a:gd name="T66" fmla="*/ 47 w 51"/>
                                    <a:gd name="T67" fmla="*/ 0 h 200"/>
                                    <a:gd name="T68" fmla="*/ 44 w 51"/>
                                    <a:gd name="T69" fmla="*/ 3 h 200"/>
                                    <a:gd name="T70" fmla="*/ 44 w 51"/>
                                    <a:gd name="T71" fmla="*/ 33 h 200"/>
                                    <a:gd name="T72" fmla="*/ 29 w 51"/>
                                    <a:gd name="T73" fmla="*/ 48 h 200"/>
                                    <a:gd name="T74" fmla="*/ 29 w 51"/>
                                    <a:gd name="T75" fmla="*/ 3 h 200"/>
                                    <a:gd name="T76" fmla="*/ 25 w 51"/>
                                    <a:gd name="T77" fmla="*/ 0 h 200"/>
                                    <a:gd name="T78" fmla="*/ 22 w 51"/>
                                    <a:gd name="T79" fmla="*/ 3 h 200"/>
                                    <a:gd name="T80" fmla="*/ 22 w 51"/>
                                    <a:gd name="T81" fmla="*/ 48 h 200"/>
                                    <a:gd name="T82" fmla="*/ 7 w 51"/>
                                    <a:gd name="T83" fmla="*/ 33 h 200"/>
                                    <a:gd name="T84" fmla="*/ 7 w 51"/>
                                    <a:gd name="T85" fmla="*/ 3 h 200"/>
                                    <a:gd name="T86" fmla="*/ 4 w 51"/>
                                    <a:gd name="T87" fmla="*/ 0 h 200"/>
                                    <a:gd name="T88" fmla="*/ 0 w 51"/>
                                    <a:gd name="T89" fmla="*/ 3 h 200"/>
                                    <a:gd name="T90" fmla="*/ 0 w 51"/>
                                    <a:gd name="T91" fmla="*/ 136 h 200"/>
                                    <a:gd name="T92" fmla="*/ 1 w 51"/>
                                    <a:gd name="T93" fmla="*/ 138 h 200"/>
                                    <a:gd name="T94" fmla="*/ 22 w 51"/>
                                    <a:gd name="T95" fmla="*/ 159 h 200"/>
                                    <a:gd name="T96" fmla="*/ 22 w 51"/>
                                    <a:gd name="T97" fmla="*/ 196 h 200"/>
                                    <a:gd name="T98" fmla="*/ 25 w 51"/>
                                    <a:gd name="T99" fmla="*/ 200 h 200"/>
                                    <a:gd name="T100" fmla="*/ 29 w 51"/>
                                    <a:gd name="T101" fmla="*/ 196 h 200"/>
                                    <a:gd name="T102" fmla="*/ 29 w 51"/>
                                    <a:gd name="T103" fmla="*/ 159 h 200"/>
                                    <a:gd name="T104" fmla="*/ 50 w 51"/>
                                    <a:gd name="T105" fmla="*/ 138 h 200"/>
                                    <a:gd name="T106" fmla="*/ 51 w 51"/>
                                    <a:gd name="T107" fmla="*/ 136 h 200"/>
                                    <a:gd name="T108" fmla="*/ 51 w 51"/>
                                    <a:gd name="T109" fmla="*/ 3 h 200"/>
                                    <a:gd name="T110" fmla="*/ 47 w 51"/>
                                    <a:gd name="T11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 h="200">
                                      <a:moveTo>
                                        <a:pt x="22" y="81"/>
                                      </a:moveTo>
                                      <a:cubicBezTo>
                                        <a:pt x="7" y="67"/>
                                        <a:pt x="7" y="67"/>
                                        <a:pt x="7" y="67"/>
                                      </a:cubicBezTo>
                                      <a:cubicBezTo>
                                        <a:pt x="7" y="44"/>
                                        <a:pt x="7" y="44"/>
                                        <a:pt x="7" y="44"/>
                                      </a:cubicBezTo>
                                      <a:cubicBezTo>
                                        <a:pt x="22" y="59"/>
                                        <a:pt x="22" y="59"/>
                                        <a:pt x="22" y="59"/>
                                      </a:cubicBezTo>
                                      <a:lnTo>
                                        <a:pt x="22" y="81"/>
                                      </a:lnTo>
                                      <a:close/>
                                      <a:moveTo>
                                        <a:pt x="44" y="67"/>
                                      </a:moveTo>
                                      <a:cubicBezTo>
                                        <a:pt x="29" y="81"/>
                                        <a:pt x="29" y="81"/>
                                        <a:pt x="29" y="81"/>
                                      </a:cubicBezTo>
                                      <a:cubicBezTo>
                                        <a:pt x="29" y="59"/>
                                        <a:pt x="29" y="59"/>
                                        <a:pt x="29" y="59"/>
                                      </a:cubicBezTo>
                                      <a:cubicBezTo>
                                        <a:pt x="44" y="44"/>
                                        <a:pt x="44" y="44"/>
                                        <a:pt x="44" y="44"/>
                                      </a:cubicBezTo>
                                      <a:moveTo>
                                        <a:pt x="7" y="78"/>
                                      </a:moveTo>
                                      <a:cubicBezTo>
                                        <a:pt x="22" y="92"/>
                                        <a:pt x="22" y="92"/>
                                        <a:pt x="22" y="92"/>
                                      </a:cubicBezTo>
                                      <a:cubicBezTo>
                                        <a:pt x="22" y="115"/>
                                        <a:pt x="22" y="115"/>
                                        <a:pt x="22" y="115"/>
                                      </a:cubicBezTo>
                                      <a:cubicBezTo>
                                        <a:pt x="7" y="100"/>
                                        <a:pt x="7" y="100"/>
                                        <a:pt x="7" y="100"/>
                                      </a:cubicBezTo>
                                      <a:moveTo>
                                        <a:pt x="44" y="100"/>
                                      </a:moveTo>
                                      <a:cubicBezTo>
                                        <a:pt x="29" y="115"/>
                                        <a:pt x="29" y="115"/>
                                        <a:pt x="29" y="115"/>
                                      </a:cubicBezTo>
                                      <a:cubicBezTo>
                                        <a:pt x="29" y="92"/>
                                        <a:pt x="29" y="92"/>
                                        <a:pt x="29" y="92"/>
                                      </a:cubicBezTo>
                                      <a:cubicBezTo>
                                        <a:pt x="44" y="78"/>
                                        <a:pt x="44" y="78"/>
                                        <a:pt x="44" y="78"/>
                                      </a:cubicBezTo>
                                      <a:lnTo>
                                        <a:pt x="44" y="100"/>
                                      </a:lnTo>
                                      <a:close/>
                                      <a:moveTo>
                                        <a:pt x="25" y="140"/>
                                      </a:moveTo>
                                      <a:cubicBezTo>
                                        <a:pt x="23" y="140"/>
                                        <a:pt x="22" y="142"/>
                                        <a:pt x="22" y="144"/>
                                      </a:cubicBezTo>
                                      <a:cubicBezTo>
                                        <a:pt x="22" y="149"/>
                                        <a:pt x="22" y="149"/>
                                        <a:pt x="22" y="149"/>
                                      </a:cubicBezTo>
                                      <a:cubicBezTo>
                                        <a:pt x="7" y="134"/>
                                        <a:pt x="7" y="134"/>
                                        <a:pt x="7" y="134"/>
                                      </a:cubicBezTo>
                                      <a:cubicBezTo>
                                        <a:pt x="7" y="111"/>
                                        <a:pt x="7" y="111"/>
                                        <a:pt x="7" y="111"/>
                                      </a:cubicBezTo>
                                      <a:cubicBezTo>
                                        <a:pt x="22" y="126"/>
                                        <a:pt x="22" y="126"/>
                                        <a:pt x="22" y="126"/>
                                      </a:cubicBezTo>
                                      <a:cubicBezTo>
                                        <a:pt x="22" y="129"/>
                                        <a:pt x="22" y="129"/>
                                        <a:pt x="22" y="129"/>
                                      </a:cubicBezTo>
                                      <a:cubicBezTo>
                                        <a:pt x="22" y="131"/>
                                        <a:pt x="23" y="133"/>
                                        <a:pt x="25" y="133"/>
                                      </a:cubicBezTo>
                                      <a:cubicBezTo>
                                        <a:pt x="28" y="133"/>
                                        <a:pt x="29" y="131"/>
                                        <a:pt x="29" y="129"/>
                                      </a:cubicBezTo>
                                      <a:cubicBezTo>
                                        <a:pt x="29" y="126"/>
                                        <a:pt x="29" y="126"/>
                                        <a:pt x="29" y="126"/>
                                      </a:cubicBezTo>
                                      <a:cubicBezTo>
                                        <a:pt x="44" y="111"/>
                                        <a:pt x="44" y="111"/>
                                        <a:pt x="44" y="111"/>
                                      </a:cubicBezTo>
                                      <a:cubicBezTo>
                                        <a:pt x="44" y="134"/>
                                        <a:pt x="44" y="134"/>
                                        <a:pt x="44" y="134"/>
                                      </a:cubicBezTo>
                                      <a:cubicBezTo>
                                        <a:pt x="29" y="149"/>
                                        <a:pt x="29" y="149"/>
                                        <a:pt x="29" y="149"/>
                                      </a:cubicBezTo>
                                      <a:cubicBezTo>
                                        <a:pt x="29" y="144"/>
                                        <a:pt x="29" y="144"/>
                                        <a:pt x="29" y="144"/>
                                      </a:cubicBezTo>
                                      <a:cubicBezTo>
                                        <a:pt x="29" y="142"/>
                                        <a:pt x="28" y="140"/>
                                        <a:pt x="25" y="140"/>
                                      </a:cubicBezTo>
                                      <a:moveTo>
                                        <a:pt x="47" y="0"/>
                                      </a:moveTo>
                                      <a:cubicBezTo>
                                        <a:pt x="45" y="0"/>
                                        <a:pt x="44" y="1"/>
                                        <a:pt x="44" y="3"/>
                                      </a:cubicBezTo>
                                      <a:cubicBezTo>
                                        <a:pt x="44" y="33"/>
                                        <a:pt x="44" y="33"/>
                                        <a:pt x="44" y="33"/>
                                      </a:cubicBezTo>
                                      <a:cubicBezTo>
                                        <a:pt x="29" y="48"/>
                                        <a:pt x="29" y="48"/>
                                        <a:pt x="29" y="48"/>
                                      </a:cubicBezTo>
                                      <a:cubicBezTo>
                                        <a:pt x="29" y="3"/>
                                        <a:pt x="29" y="3"/>
                                        <a:pt x="29" y="3"/>
                                      </a:cubicBezTo>
                                      <a:cubicBezTo>
                                        <a:pt x="29" y="1"/>
                                        <a:pt x="28"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4" y="0"/>
                                      </a:cubicBezTo>
                                      <a:cubicBezTo>
                                        <a:pt x="2" y="0"/>
                                        <a:pt x="0" y="1"/>
                                        <a:pt x="0" y="3"/>
                                      </a:cubicBezTo>
                                      <a:cubicBezTo>
                                        <a:pt x="0" y="136"/>
                                        <a:pt x="0" y="136"/>
                                        <a:pt x="0" y="136"/>
                                      </a:cubicBezTo>
                                      <a:cubicBezTo>
                                        <a:pt x="0" y="137"/>
                                        <a:pt x="0" y="137"/>
                                        <a:pt x="1" y="138"/>
                                      </a:cubicBezTo>
                                      <a:cubicBezTo>
                                        <a:pt x="22" y="159"/>
                                        <a:pt x="22" y="159"/>
                                        <a:pt x="22" y="159"/>
                                      </a:cubicBezTo>
                                      <a:cubicBezTo>
                                        <a:pt x="22" y="196"/>
                                        <a:pt x="22" y="196"/>
                                        <a:pt x="22" y="196"/>
                                      </a:cubicBezTo>
                                      <a:cubicBezTo>
                                        <a:pt x="22" y="199"/>
                                        <a:pt x="23" y="200"/>
                                        <a:pt x="25" y="200"/>
                                      </a:cubicBezTo>
                                      <a:cubicBezTo>
                                        <a:pt x="28" y="200"/>
                                        <a:pt x="29" y="199"/>
                                        <a:pt x="29" y="196"/>
                                      </a:cubicBezTo>
                                      <a:cubicBezTo>
                                        <a:pt x="29" y="159"/>
                                        <a:pt x="29" y="159"/>
                                        <a:pt x="29" y="159"/>
                                      </a:cubicBezTo>
                                      <a:cubicBezTo>
                                        <a:pt x="50" y="138"/>
                                        <a:pt x="50" y="138"/>
                                        <a:pt x="50" y="138"/>
                                      </a:cubicBezTo>
                                      <a:cubicBezTo>
                                        <a:pt x="51" y="137"/>
                                        <a:pt x="51" y="137"/>
                                        <a:pt x="51" y="136"/>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73025" y="0"/>
                                  <a:ext cx="60325" cy="285750"/>
                                </a:xfrm>
                                <a:custGeom>
                                  <a:avLst/>
                                  <a:gdLst>
                                    <a:gd name="T0" fmla="*/ 29 w 51"/>
                                    <a:gd name="T1" fmla="*/ 126 h 234"/>
                                    <a:gd name="T2" fmla="*/ 43 w 51"/>
                                    <a:gd name="T3" fmla="*/ 111 h 234"/>
                                    <a:gd name="T4" fmla="*/ 43 w 51"/>
                                    <a:gd name="T5" fmla="*/ 134 h 234"/>
                                    <a:gd name="T6" fmla="*/ 29 w 51"/>
                                    <a:gd name="T7" fmla="*/ 148 h 234"/>
                                    <a:gd name="T8" fmla="*/ 29 w 51"/>
                                    <a:gd name="T9" fmla="*/ 126 h 234"/>
                                    <a:gd name="T10" fmla="*/ 7 w 51"/>
                                    <a:gd name="T11" fmla="*/ 111 h 234"/>
                                    <a:gd name="T12" fmla="*/ 22 w 51"/>
                                    <a:gd name="T13" fmla="*/ 126 h 234"/>
                                    <a:gd name="T14" fmla="*/ 22 w 51"/>
                                    <a:gd name="T15" fmla="*/ 148 h 234"/>
                                    <a:gd name="T16" fmla="*/ 7 w 51"/>
                                    <a:gd name="T17" fmla="*/ 134 h 234"/>
                                    <a:gd name="T18" fmla="*/ 7 w 51"/>
                                    <a:gd name="T19" fmla="*/ 111 h 234"/>
                                    <a:gd name="T20" fmla="*/ 7 w 51"/>
                                    <a:gd name="T21" fmla="*/ 78 h 234"/>
                                    <a:gd name="T22" fmla="*/ 22 w 51"/>
                                    <a:gd name="T23" fmla="*/ 92 h 234"/>
                                    <a:gd name="T24" fmla="*/ 22 w 51"/>
                                    <a:gd name="T25" fmla="*/ 115 h 234"/>
                                    <a:gd name="T26" fmla="*/ 7 w 51"/>
                                    <a:gd name="T27" fmla="*/ 100 h 234"/>
                                    <a:gd name="T28" fmla="*/ 7 w 51"/>
                                    <a:gd name="T29" fmla="*/ 78 h 234"/>
                                    <a:gd name="T30" fmla="*/ 43 w 51"/>
                                    <a:gd name="T31" fmla="*/ 100 h 234"/>
                                    <a:gd name="T32" fmla="*/ 29 w 51"/>
                                    <a:gd name="T33" fmla="*/ 115 h 234"/>
                                    <a:gd name="T34" fmla="*/ 29 w 51"/>
                                    <a:gd name="T35" fmla="*/ 92 h 234"/>
                                    <a:gd name="T36" fmla="*/ 43 w 51"/>
                                    <a:gd name="T37" fmla="*/ 78 h 234"/>
                                    <a:gd name="T38" fmla="*/ 43 w 51"/>
                                    <a:gd name="T39" fmla="*/ 100 h 234"/>
                                    <a:gd name="T40" fmla="*/ 25 w 51"/>
                                    <a:gd name="T41" fmla="*/ 66 h 234"/>
                                    <a:gd name="T42" fmla="*/ 29 w 51"/>
                                    <a:gd name="T43" fmla="*/ 62 h 234"/>
                                    <a:gd name="T44" fmla="*/ 29 w 51"/>
                                    <a:gd name="T45" fmla="*/ 59 h 234"/>
                                    <a:gd name="T46" fmla="*/ 43 w 51"/>
                                    <a:gd name="T47" fmla="*/ 44 h 234"/>
                                    <a:gd name="T48" fmla="*/ 43 w 51"/>
                                    <a:gd name="T49" fmla="*/ 67 h 234"/>
                                    <a:gd name="T50" fmla="*/ 29 w 51"/>
                                    <a:gd name="T51" fmla="*/ 81 h 234"/>
                                    <a:gd name="T52" fmla="*/ 29 w 51"/>
                                    <a:gd name="T53" fmla="*/ 77 h 234"/>
                                    <a:gd name="T54" fmla="*/ 25 w 51"/>
                                    <a:gd name="T55" fmla="*/ 73 h 234"/>
                                    <a:gd name="T56" fmla="*/ 22 w 51"/>
                                    <a:gd name="T57" fmla="*/ 77 h 234"/>
                                    <a:gd name="T58" fmla="*/ 22 w 51"/>
                                    <a:gd name="T59" fmla="*/ 81 h 234"/>
                                    <a:gd name="T60" fmla="*/ 7 w 51"/>
                                    <a:gd name="T61" fmla="*/ 67 h 234"/>
                                    <a:gd name="T62" fmla="*/ 7 w 51"/>
                                    <a:gd name="T63" fmla="*/ 44 h 234"/>
                                    <a:gd name="T64" fmla="*/ 22 w 51"/>
                                    <a:gd name="T65" fmla="*/ 59 h 234"/>
                                    <a:gd name="T66" fmla="*/ 22 w 51"/>
                                    <a:gd name="T67" fmla="*/ 62 h 234"/>
                                    <a:gd name="T68" fmla="*/ 25 w 51"/>
                                    <a:gd name="T69" fmla="*/ 66 h 234"/>
                                    <a:gd name="T70" fmla="*/ 47 w 51"/>
                                    <a:gd name="T71" fmla="*/ 0 h 234"/>
                                    <a:gd name="T72" fmla="*/ 43 w 51"/>
                                    <a:gd name="T73" fmla="*/ 3 h 234"/>
                                    <a:gd name="T74" fmla="*/ 43 w 51"/>
                                    <a:gd name="T75" fmla="*/ 33 h 234"/>
                                    <a:gd name="T76" fmla="*/ 29 w 51"/>
                                    <a:gd name="T77" fmla="*/ 48 h 234"/>
                                    <a:gd name="T78" fmla="*/ 29 w 51"/>
                                    <a:gd name="T79" fmla="*/ 3 h 234"/>
                                    <a:gd name="T80" fmla="*/ 25 w 51"/>
                                    <a:gd name="T81" fmla="*/ 0 h 234"/>
                                    <a:gd name="T82" fmla="*/ 22 w 51"/>
                                    <a:gd name="T83" fmla="*/ 3 h 234"/>
                                    <a:gd name="T84" fmla="*/ 22 w 51"/>
                                    <a:gd name="T85" fmla="*/ 48 h 234"/>
                                    <a:gd name="T86" fmla="*/ 7 w 51"/>
                                    <a:gd name="T87" fmla="*/ 33 h 234"/>
                                    <a:gd name="T88" fmla="*/ 7 w 51"/>
                                    <a:gd name="T89" fmla="*/ 3 h 234"/>
                                    <a:gd name="T90" fmla="*/ 4 w 51"/>
                                    <a:gd name="T91" fmla="*/ 0 h 234"/>
                                    <a:gd name="T92" fmla="*/ 0 w 51"/>
                                    <a:gd name="T93" fmla="*/ 3 h 234"/>
                                    <a:gd name="T94" fmla="*/ 0 w 51"/>
                                    <a:gd name="T95" fmla="*/ 135 h 234"/>
                                    <a:gd name="T96" fmla="*/ 1 w 51"/>
                                    <a:gd name="T97" fmla="*/ 138 h 234"/>
                                    <a:gd name="T98" fmla="*/ 22 w 51"/>
                                    <a:gd name="T99" fmla="*/ 159 h 234"/>
                                    <a:gd name="T100" fmla="*/ 22 w 51"/>
                                    <a:gd name="T101" fmla="*/ 230 h 234"/>
                                    <a:gd name="T102" fmla="*/ 25 w 51"/>
                                    <a:gd name="T103" fmla="*/ 234 h 234"/>
                                    <a:gd name="T104" fmla="*/ 29 w 51"/>
                                    <a:gd name="T105" fmla="*/ 230 h 234"/>
                                    <a:gd name="T106" fmla="*/ 29 w 51"/>
                                    <a:gd name="T107" fmla="*/ 159 h 234"/>
                                    <a:gd name="T108" fmla="*/ 50 w 51"/>
                                    <a:gd name="T109" fmla="*/ 138 h 234"/>
                                    <a:gd name="T110" fmla="*/ 51 w 51"/>
                                    <a:gd name="T111" fmla="*/ 135 h 234"/>
                                    <a:gd name="T112" fmla="*/ 51 w 51"/>
                                    <a:gd name="T113" fmla="*/ 3 h 234"/>
                                    <a:gd name="T114" fmla="*/ 47 w 51"/>
                                    <a:gd name="T115"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1" h="234">
                                      <a:moveTo>
                                        <a:pt x="29" y="126"/>
                                      </a:moveTo>
                                      <a:cubicBezTo>
                                        <a:pt x="43" y="111"/>
                                        <a:pt x="43" y="111"/>
                                        <a:pt x="43" y="111"/>
                                      </a:cubicBezTo>
                                      <a:cubicBezTo>
                                        <a:pt x="43" y="134"/>
                                        <a:pt x="43" y="134"/>
                                        <a:pt x="43" y="134"/>
                                      </a:cubicBezTo>
                                      <a:cubicBezTo>
                                        <a:pt x="29" y="148"/>
                                        <a:pt x="29" y="148"/>
                                        <a:pt x="29" y="148"/>
                                      </a:cubicBezTo>
                                      <a:lnTo>
                                        <a:pt x="29" y="126"/>
                                      </a:lnTo>
                                      <a:close/>
                                      <a:moveTo>
                                        <a:pt x="7" y="111"/>
                                      </a:moveTo>
                                      <a:cubicBezTo>
                                        <a:pt x="22" y="126"/>
                                        <a:pt x="22" y="126"/>
                                        <a:pt x="22" y="126"/>
                                      </a:cubicBezTo>
                                      <a:cubicBezTo>
                                        <a:pt x="22" y="148"/>
                                        <a:pt x="22" y="148"/>
                                        <a:pt x="22" y="148"/>
                                      </a:cubicBezTo>
                                      <a:cubicBezTo>
                                        <a:pt x="7" y="134"/>
                                        <a:pt x="7" y="134"/>
                                        <a:pt x="7" y="134"/>
                                      </a:cubicBezTo>
                                      <a:lnTo>
                                        <a:pt x="7" y="111"/>
                                      </a:lnTo>
                                      <a:close/>
                                      <a:moveTo>
                                        <a:pt x="7" y="78"/>
                                      </a:moveTo>
                                      <a:cubicBezTo>
                                        <a:pt x="22" y="92"/>
                                        <a:pt x="22" y="92"/>
                                        <a:pt x="22" y="92"/>
                                      </a:cubicBezTo>
                                      <a:cubicBezTo>
                                        <a:pt x="22" y="115"/>
                                        <a:pt x="22" y="115"/>
                                        <a:pt x="22" y="115"/>
                                      </a:cubicBezTo>
                                      <a:cubicBezTo>
                                        <a:pt x="7" y="100"/>
                                        <a:pt x="7" y="100"/>
                                        <a:pt x="7" y="100"/>
                                      </a:cubicBezTo>
                                      <a:lnTo>
                                        <a:pt x="7" y="78"/>
                                      </a:lnTo>
                                      <a:close/>
                                      <a:moveTo>
                                        <a:pt x="43" y="100"/>
                                      </a:moveTo>
                                      <a:cubicBezTo>
                                        <a:pt x="29" y="115"/>
                                        <a:pt x="29" y="115"/>
                                        <a:pt x="29" y="115"/>
                                      </a:cubicBezTo>
                                      <a:cubicBezTo>
                                        <a:pt x="29" y="92"/>
                                        <a:pt x="29" y="92"/>
                                        <a:pt x="29" y="92"/>
                                      </a:cubicBezTo>
                                      <a:cubicBezTo>
                                        <a:pt x="43" y="78"/>
                                        <a:pt x="43" y="78"/>
                                        <a:pt x="43" y="78"/>
                                      </a:cubicBezTo>
                                      <a:lnTo>
                                        <a:pt x="43" y="100"/>
                                      </a:lnTo>
                                      <a:close/>
                                      <a:moveTo>
                                        <a:pt x="25" y="66"/>
                                      </a:moveTo>
                                      <a:cubicBezTo>
                                        <a:pt x="27" y="66"/>
                                        <a:pt x="29" y="64"/>
                                        <a:pt x="29" y="62"/>
                                      </a:cubicBezTo>
                                      <a:cubicBezTo>
                                        <a:pt x="29" y="59"/>
                                        <a:pt x="29" y="59"/>
                                        <a:pt x="29" y="59"/>
                                      </a:cubicBezTo>
                                      <a:cubicBezTo>
                                        <a:pt x="43" y="44"/>
                                        <a:pt x="43" y="44"/>
                                        <a:pt x="43" y="44"/>
                                      </a:cubicBezTo>
                                      <a:cubicBezTo>
                                        <a:pt x="43" y="67"/>
                                        <a:pt x="43" y="67"/>
                                        <a:pt x="43" y="67"/>
                                      </a:cubicBezTo>
                                      <a:cubicBezTo>
                                        <a:pt x="29" y="81"/>
                                        <a:pt x="29" y="81"/>
                                        <a:pt x="29" y="81"/>
                                      </a:cubicBezTo>
                                      <a:cubicBezTo>
                                        <a:pt x="29" y="77"/>
                                        <a:pt x="29" y="77"/>
                                        <a:pt x="29" y="77"/>
                                      </a:cubicBezTo>
                                      <a:cubicBezTo>
                                        <a:pt x="29" y="75"/>
                                        <a:pt x="27" y="73"/>
                                        <a:pt x="25" y="73"/>
                                      </a:cubicBezTo>
                                      <a:cubicBezTo>
                                        <a:pt x="23" y="73"/>
                                        <a:pt x="22" y="75"/>
                                        <a:pt x="22" y="77"/>
                                      </a:cubicBezTo>
                                      <a:cubicBezTo>
                                        <a:pt x="22" y="81"/>
                                        <a:pt x="22" y="81"/>
                                        <a:pt x="22" y="81"/>
                                      </a:cubicBezTo>
                                      <a:cubicBezTo>
                                        <a:pt x="7" y="67"/>
                                        <a:pt x="7" y="67"/>
                                        <a:pt x="7" y="67"/>
                                      </a:cubicBezTo>
                                      <a:cubicBezTo>
                                        <a:pt x="7" y="44"/>
                                        <a:pt x="7" y="44"/>
                                        <a:pt x="7" y="44"/>
                                      </a:cubicBezTo>
                                      <a:cubicBezTo>
                                        <a:pt x="22" y="59"/>
                                        <a:pt x="22" y="59"/>
                                        <a:pt x="22" y="59"/>
                                      </a:cubicBezTo>
                                      <a:cubicBezTo>
                                        <a:pt x="22" y="62"/>
                                        <a:pt x="22" y="62"/>
                                        <a:pt x="22" y="62"/>
                                      </a:cubicBezTo>
                                      <a:cubicBezTo>
                                        <a:pt x="22" y="64"/>
                                        <a:pt x="23" y="66"/>
                                        <a:pt x="25" y="66"/>
                                      </a:cubicBezTo>
                                      <a:moveTo>
                                        <a:pt x="47" y="0"/>
                                      </a:moveTo>
                                      <a:cubicBezTo>
                                        <a:pt x="45" y="0"/>
                                        <a:pt x="43" y="1"/>
                                        <a:pt x="43" y="3"/>
                                      </a:cubicBezTo>
                                      <a:cubicBezTo>
                                        <a:pt x="43" y="33"/>
                                        <a:pt x="43" y="33"/>
                                        <a:pt x="43" y="33"/>
                                      </a:cubicBezTo>
                                      <a:cubicBezTo>
                                        <a:pt x="29" y="48"/>
                                        <a:pt x="29" y="48"/>
                                        <a:pt x="29" y="48"/>
                                      </a:cubicBezTo>
                                      <a:cubicBezTo>
                                        <a:pt x="29" y="3"/>
                                        <a:pt x="29" y="3"/>
                                        <a:pt x="29" y="3"/>
                                      </a:cubicBezTo>
                                      <a:cubicBezTo>
                                        <a:pt x="29" y="1"/>
                                        <a:pt x="27" y="0"/>
                                        <a:pt x="25" y="0"/>
                                      </a:cubicBezTo>
                                      <a:cubicBezTo>
                                        <a:pt x="23" y="0"/>
                                        <a:pt x="22" y="1"/>
                                        <a:pt x="22" y="3"/>
                                      </a:cubicBezTo>
                                      <a:cubicBezTo>
                                        <a:pt x="22" y="48"/>
                                        <a:pt x="22" y="48"/>
                                        <a:pt x="22" y="48"/>
                                      </a:cubicBezTo>
                                      <a:cubicBezTo>
                                        <a:pt x="7" y="33"/>
                                        <a:pt x="7" y="33"/>
                                        <a:pt x="7" y="33"/>
                                      </a:cubicBezTo>
                                      <a:cubicBezTo>
                                        <a:pt x="7" y="3"/>
                                        <a:pt x="7" y="3"/>
                                        <a:pt x="7" y="3"/>
                                      </a:cubicBezTo>
                                      <a:cubicBezTo>
                                        <a:pt x="7" y="1"/>
                                        <a:pt x="6" y="0"/>
                                        <a:pt x="4" y="0"/>
                                      </a:cubicBezTo>
                                      <a:cubicBezTo>
                                        <a:pt x="2" y="0"/>
                                        <a:pt x="0" y="1"/>
                                        <a:pt x="0" y="3"/>
                                      </a:cubicBezTo>
                                      <a:cubicBezTo>
                                        <a:pt x="0" y="135"/>
                                        <a:pt x="0" y="135"/>
                                        <a:pt x="0" y="135"/>
                                      </a:cubicBezTo>
                                      <a:cubicBezTo>
                                        <a:pt x="0" y="136"/>
                                        <a:pt x="0" y="137"/>
                                        <a:pt x="1" y="138"/>
                                      </a:cubicBezTo>
                                      <a:cubicBezTo>
                                        <a:pt x="22" y="159"/>
                                        <a:pt x="22" y="159"/>
                                        <a:pt x="22" y="159"/>
                                      </a:cubicBezTo>
                                      <a:cubicBezTo>
                                        <a:pt x="22" y="230"/>
                                        <a:pt x="22" y="230"/>
                                        <a:pt x="22" y="230"/>
                                      </a:cubicBezTo>
                                      <a:cubicBezTo>
                                        <a:pt x="22" y="233"/>
                                        <a:pt x="23" y="234"/>
                                        <a:pt x="25" y="234"/>
                                      </a:cubicBezTo>
                                      <a:cubicBezTo>
                                        <a:pt x="27" y="234"/>
                                        <a:pt x="29" y="233"/>
                                        <a:pt x="29" y="230"/>
                                      </a:cubicBezTo>
                                      <a:cubicBezTo>
                                        <a:pt x="29" y="159"/>
                                        <a:pt x="29" y="159"/>
                                        <a:pt x="29" y="159"/>
                                      </a:cubicBezTo>
                                      <a:cubicBezTo>
                                        <a:pt x="50" y="138"/>
                                        <a:pt x="50" y="138"/>
                                        <a:pt x="50" y="138"/>
                                      </a:cubicBezTo>
                                      <a:cubicBezTo>
                                        <a:pt x="51" y="137"/>
                                        <a:pt x="51" y="136"/>
                                        <a:pt x="51" y="135"/>
                                      </a:cubicBezTo>
                                      <a:cubicBezTo>
                                        <a:pt x="51" y="3"/>
                                        <a:pt x="51" y="3"/>
                                        <a:pt x="51" y="3"/>
                                      </a:cubicBezTo>
                                      <a:cubicBezTo>
                                        <a:pt x="51" y="1"/>
                                        <a:pt x="49" y="0"/>
                                        <a:pt x="4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EFAF1C" id="Group 26" o:spid="_x0000_s1026" style="position:absolute;margin-left:30.05pt;margin-top:3.35pt;width:16.25pt;height:22.5pt;z-index:251652096;mso-width-relative:margin;mso-height-relative:margin" coordsize="2063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">
                      <v:shape id="Freeform 19" o:spid="_x0000_s1027" style="position:absolute;left:144462;top:41275;width:61913;height:244475;visibility:visible;mso-wrap-style:square;v-text-anchor:top" coordsize="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" path="m29,126c43,111,43,111,43,111v,23,,23,,23c29,149,29,149,29,149r,-23xm7,111v15,15,15,15,15,15c22,149,22,149,22,149,7,134,7,134,7,134r,-23xm22,81c7,67,7,67,7,67,7,44,7,44,7,44,22,59,22,59,22,59r,22xm43,67c29,81,29,81,29,81v,-22,,-22,,-22c43,44,43,44,43,44r,23xm43,100c29,115,29,115,29,115v,-4,,-4,,-4c29,109,27,107,25,107v-2,,-3,2,-3,4c22,115,22,115,22,115,7,100,7,100,7,100,7,78,7,78,7,78,22,92,22,92,22,92v,4,,4,,4c22,98,23,99,25,99v2,,4,-1,4,-3c29,92,29,92,29,92,43,78,43,78,43,78r,22xm47,c45,,43,1,43,3v,30,,30,,30c29,48,29,48,29,48,29,3,29,3,29,3,29,1,27,,25,,23,,22,1,22,3v,45,,45,,45c7,33,7,33,7,33,7,3,7,3,7,3,7,1,6,,3,,1,,,1,,3,,136,,136,,136v,1,,1,1,2c22,159,22,159,22,159v,37,,37,,37c22,199,23,200,25,200v2,,4,-1,4,-4c29,159,29,159,29,159,50,138,50,138,50,138v,-1,1,-1,1,-2c51,3,51,3,51,3,51,1,49,,47,e" filled="f" stroked="f">
                        <v:path arrowok="t" o:connecttype="custom" o:connectlocs="35205,154019;52201,135684;52201,163798;35205,182134;35205,154019;8498,135684;26708,154019;26708,182134;8498,163798;8498,135684;26708,99012;8498,81899;8498,53785;26708,72120;26708,99012;52201,81899;35205,99012;35205,72120;52201,53785;52201,81899;52201,122238;35205,140573;35205,135684;30350,130794;26708,135684;26708,140573;8498,122238;8498,95345;26708,112459;26708,117348;30350,121015;35205,117348;35205,112459;52201,95345;52201,122238;57057,0;52201,3667;52201,40338;35205,58674;35205,3667;30350,0;26708,3667;26708,58674;8498,40338;8498,3667;3642,0;0,3667;0,166243;1214,168688;26708,194358;26708,239586;30350,244475;35205,239586;35205,194358;60699,168688;61913,166243;61913,3667;57057,0" o:connectangles="0,0,0,0,0,0,0,0,0,0,0,0,0,0,0,0,0,0,0,0,0,0,0,0,0,0,0,0,0,0,0,0,0,0,0,0,0,0,0,0,0,0,0,0,0,0,0,0,0,0,0,0,0,0,0,0,0,0"/>
                        <o:lock v:ext="edit" verticies="t"/>
                      </v:shape>
                      <v:shape id="Freeform 20" o:spid="_x0000_s1028" style="position:absolute;top:41275;width:61913;height:244475;visibility:visible;mso-wrap-style:square;v-text-anchor:top" coordsize="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" path="m22,81c7,67,7,67,7,67,7,44,7,44,7,44,22,59,22,59,22,59r,22xm44,67c29,81,29,81,29,81v,-22,,-22,,-22c44,44,44,44,44,44m7,78c22,92,22,92,22,92v,23,,23,,23c7,100,7,100,7,100t37,c29,115,29,115,29,115v,-23,,-23,,-23c44,78,44,78,44,78r,22xm25,140v-2,,-3,2,-3,4c22,149,22,149,22,149,7,134,7,134,7,134v,-23,,-23,,-23c22,126,22,126,22,126v,3,,3,,3c22,131,23,133,25,133v3,,4,-2,4,-4c29,126,29,126,29,126,44,111,44,111,44,111v,23,,23,,23c29,149,29,149,29,149v,-5,,-5,,-5c29,142,28,140,25,140m47,c45,,44,1,44,3v,30,,30,,30c29,48,29,48,29,48,29,3,29,3,29,3,29,1,28,,25,,23,,22,1,22,3v,45,,45,,45c7,33,7,33,7,33,7,3,7,3,7,3,7,1,6,,4,,2,,,1,,3,,136,,136,,136v,1,,1,1,2c22,159,22,159,22,159v,37,,37,,37c22,199,23,200,25,200v3,,4,-1,4,-4c29,159,29,159,29,159,50,138,50,138,50,138v1,-1,1,-1,1,-2c51,3,51,3,51,3,51,1,49,,47,e" filled="f" stroked="f">
                        <v:path arrowok="t" o:connecttype="custom" o:connectlocs="26708,99012;8498,81899;8498,53785;26708,72120;26708,99012;53415,81899;35205,99012;35205,72120;53415,53785;8498,95345;26708,112459;26708,140573;8498,122238;53415,122238;35205,140573;35205,112459;53415,95345;53415,122238;30350,171133;26708,176022;26708,182134;8498,163798;8498,135684;26708,154019;26708,157686;30350,162576;35205,157686;35205,154019;53415,135684;53415,163798;35205,182134;35205,176022;30350,171133;57057,0;53415,3667;53415,40338;35205,58674;35205,3667;30350,0;26708,3667;26708,58674;8498,40338;8498,3667;4856,0;0,3667;0,166243;1214,168688;26708,194358;26708,239586;30350,244475;35205,239586;35205,194358;60699,168688;61913,166243;61913,3667;57057,0" o:connectangles="0,0,0,0,0,0,0,0,0,0,0,0,0,0,0,0,0,0,0,0,0,0,0,0,0,0,0,0,0,0,0,0,0,0,0,0,0,0,0,0,0,0,0,0,0,0,0,0,0,0,0,0,0,0,0,0"/>
                        <o:lock v:ext="edit" verticies="t"/>
                      </v:shape>
                      <v:shape id="Freeform 21" o:spid="_x0000_s1029" style="position:absolute;left:73025;width:60325;height:285750;visibility:visible;mso-wrap-style:square;v-text-anchor:top" coordsize="5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" path="m29,126c43,111,43,111,43,111v,23,,23,,23c29,148,29,148,29,148r,-22xm7,111v15,15,15,15,15,15c22,148,22,148,22,148,7,134,7,134,7,134r,-23xm7,78c22,92,22,92,22,92v,23,,23,,23c7,100,7,100,7,100l7,78xm43,100c29,115,29,115,29,115v,-23,,-23,,-23c43,78,43,78,43,78r,22xm25,66v2,,4,-2,4,-4c29,59,29,59,29,59,43,44,43,44,43,44v,23,,23,,23c29,81,29,81,29,81v,-4,,-4,,-4c29,75,27,73,25,73v-2,,-3,2,-3,4c22,81,22,81,22,81,7,67,7,67,7,67,7,44,7,44,7,44,22,59,22,59,22,59v,3,,3,,3c22,64,23,66,25,66m47,c45,,43,1,43,3v,30,,30,,30c29,48,29,48,29,48,29,3,29,3,29,3,29,1,27,,25,,23,,22,1,22,3v,45,,45,,45c7,33,7,33,7,33,7,3,7,3,7,3,7,1,6,,4,,2,,,1,,3,,135,,135,,135v,1,,2,1,3c22,159,22,159,22,159v,71,,71,,71c22,233,23,234,25,234v2,,4,-1,4,-4c29,159,29,159,29,159,50,138,50,138,50,138v1,-1,1,-2,1,-3c51,3,51,3,51,3,51,1,49,,47,e" filled="f" stroked="f">
                        <v:path arrowok="t" o:connecttype="custom" o:connectlocs="34302,153865;50862,135548;50862,163635;34302,180731;34302,153865;8280,135548;26023,153865;26023,180731;8280,163635;8280,135548;8280,95250;26023,112346;26023,140433;8280,122115;8280,95250;50862,122115;34302,140433;34302,112346;50862,95250;50862,122115;29571,80596;34302,75712;34302,72048;50862,53731;50862,81817;34302,98913;34302,94029;29571,89144;26023,94029;26023,98913;8280,81817;8280,53731;26023,72048;26023,75712;29571,80596;55594,0;50862,3663;50862,40298;34302,58615;34302,3663;29571,0;26023,3663;26023,58615;8280,40298;8280,3663;4731,0;0,3663;0,164856;1183,168519;26023,194163;26023,280865;29571,285750;34302,280865;34302,194163;59142,168519;60325,164856;60325,3663;55594,0" o:connectangles="0,0,0,0,0,0,0,0,0,0,0,0,0,0,0,0,0,0,0,0,0,0,0,0,0,0,0,0,0,0,0,0,0,0,0,0,0,0,0,0,0,0,0,0,0,0,0,0,0,0,0,0,0,0,0,0,0,0"/>
                        <o:lock v:ext="edit" verticies="t"/>
                      </v:shape>
                    </v:group>
                  </w:pict>
                </mc:Fallback>
              </mc:AlternateContent>
            </w:r>
          </w:p>
        </w:tc>
        <w:tc>
          <w:tcPr>
            <w:tcW w:w="1843" w:type="dxa"/>
            <w:tcBorders>
              <w:top w:val="single" w:sz="6" w:space="0" w:color="FFFFFF" w:themeColor="background1"/>
              <w:bottom w:val="single" w:sz="6" w:space="0" w:color="FFFFFF" w:themeColor="background1"/>
            </w:tcBorders>
            <w:shd w:val="clear" w:color="auto" w:fill="5B9BD5" w:themeFill="accent1"/>
          </w:tcPr>
          <w:p w:rsidR="00315B87" w:rsidRDefault="00C32692">
            <w:pPr>
              <w:suppressAutoHyphens/>
              <w:rPr>
                <w:noProof/>
                <w:color w:val="F26A47"/>
              </w:rPr>
            </w:pPr>
            <w:r>
              <w:rPr>
                <w:noProof/>
                <w:color w:val="F26A47"/>
                <w:lang w:eastAsia="fr-BE"/>
              </w:rPr>
              <mc:AlternateContent>
                <mc:Choice Requires="wpg">
                  <w:drawing>
                    <wp:anchor distT="0" distB="0" distL="114300" distR="114300" simplePos="0" relativeHeight="251659264" behindDoc="0" locked="0" layoutInCell="1" allowOverlap="1">
                      <wp:simplePos x="0" y="0"/>
                      <wp:positionH relativeFrom="column">
                        <wp:posOffset>361315</wp:posOffset>
                      </wp:positionH>
                      <wp:positionV relativeFrom="paragraph">
                        <wp:posOffset>63206</wp:posOffset>
                      </wp:positionV>
                      <wp:extent cx="217805" cy="234950"/>
                      <wp:effectExtent l="95250" t="0" r="0" b="0"/>
                      <wp:wrapNone/>
                      <wp:docPr id="14" name="Group 5"/>
                      <wp:cNvGraphicFramePr/>
                      <a:graphic xmlns:a="http://schemas.openxmlformats.org/drawingml/2006/main">
                        <a:graphicData uri="http://schemas.microsoft.com/office/word/2010/wordprocessingGroup">
                          <wpg:wgp>
                            <wpg:cNvGrpSpPr/>
                            <wpg:grpSpPr bwMode="auto">
                              <a:xfrm>
                                <a:off x="0" y="0"/>
                                <a:ext cx="217805" cy="234950"/>
                                <a:chOff x="0" y="0"/>
                                <a:chExt cx="1429" cy="1543"/>
                              </a:xfrm>
                              <a:solidFill>
                                <a:sysClr val="window" lastClr="FFFFFF"/>
                              </a:solidFill>
                            </wpg:grpSpPr>
                            <wps:wsp>
                              <wps:cNvPr id="15" name="Freeform 15"/>
                              <wps:cNvSpPr>
                                <a:spLocks/>
                              </wps:cNvSpPr>
                              <wps:spPr bwMode="auto">
                                <a:xfrm>
                                  <a:off x="0" y="3"/>
                                  <a:ext cx="68" cy="1540"/>
                                </a:xfrm>
                                <a:custGeom>
                                  <a:avLst/>
                                  <a:gdLst>
                                    <a:gd name="T0" fmla="*/ 15 w 29"/>
                                    <a:gd name="T1" fmla="*/ 652 h 652"/>
                                    <a:gd name="T2" fmla="*/ 0 w 29"/>
                                    <a:gd name="T3" fmla="*/ 637 h 652"/>
                                    <a:gd name="T4" fmla="*/ 0 w 29"/>
                                    <a:gd name="T5" fmla="*/ 15 h 652"/>
                                    <a:gd name="T6" fmla="*/ 15 w 29"/>
                                    <a:gd name="T7" fmla="*/ 0 h 652"/>
                                    <a:gd name="T8" fmla="*/ 29 w 29"/>
                                    <a:gd name="T9" fmla="*/ 15 h 652"/>
                                    <a:gd name="T10" fmla="*/ 29 w 29"/>
                                    <a:gd name="T11" fmla="*/ 637 h 652"/>
                                    <a:gd name="T12" fmla="*/ 15 w 29"/>
                                    <a:gd name="T13" fmla="*/ 652 h 652"/>
                                  </a:gdLst>
                                  <a:ahLst/>
                                  <a:cxnLst>
                                    <a:cxn ang="0">
                                      <a:pos x="T0" y="T1"/>
                                    </a:cxn>
                                    <a:cxn ang="0">
                                      <a:pos x="T2" y="T3"/>
                                    </a:cxn>
                                    <a:cxn ang="0">
                                      <a:pos x="T4" y="T5"/>
                                    </a:cxn>
                                    <a:cxn ang="0">
                                      <a:pos x="T6" y="T7"/>
                                    </a:cxn>
                                    <a:cxn ang="0">
                                      <a:pos x="T8" y="T9"/>
                                    </a:cxn>
                                    <a:cxn ang="0">
                                      <a:pos x="T10" y="T11"/>
                                    </a:cxn>
                                    <a:cxn ang="0">
                                      <a:pos x="T12" y="T13"/>
                                    </a:cxn>
                                  </a:cxnLst>
                                  <a:rect l="0" t="0" r="r" b="b"/>
                                  <a:pathLst>
                                    <a:path w="29" h="652">
                                      <a:moveTo>
                                        <a:pt x="15" y="652"/>
                                      </a:moveTo>
                                      <a:cubicBezTo>
                                        <a:pt x="7" y="652"/>
                                        <a:pt x="0" y="645"/>
                                        <a:pt x="0" y="637"/>
                                      </a:cubicBezTo>
                                      <a:cubicBezTo>
                                        <a:pt x="0" y="15"/>
                                        <a:pt x="0" y="15"/>
                                        <a:pt x="0" y="15"/>
                                      </a:cubicBezTo>
                                      <a:cubicBezTo>
                                        <a:pt x="0" y="7"/>
                                        <a:pt x="7" y="0"/>
                                        <a:pt x="15" y="0"/>
                                      </a:cubicBezTo>
                                      <a:cubicBezTo>
                                        <a:pt x="22" y="0"/>
                                        <a:pt x="29" y="7"/>
                                        <a:pt x="29" y="15"/>
                                      </a:cubicBezTo>
                                      <a:cubicBezTo>
                                        <a:pt x="29" y="637"/>
                                        <a:pt x="29" y="637"/>
                                        <a:pt x="29" y="637"/>
                                      </a:cubicBezTo>
                                      <a:cubicBezTo>
                                        <a:pt x="29" y="645"/>
                                        <a:pt x="22" y="652"/>
                                        <a:pt x="15" y="6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0" y="0"/>
                                  <a:ext cx="1429" cy="1330"/>
                                </a:xfrm>
                                <a:custGeom>
                                  <a:avLst/>
                                  <a:gdLst>
                                    <a:gd name="T0" fmla="*/ 468 w 605"/>
                                    <a:gd name="T1" fmla="*/ 563 h 563"/>
                                    <a:gd name="T2" fmla="*/ 296 w 605"/>
                                    <a:gd name="T3" fmla="*/ 509 h 563"/>
                                    <a:gd name="T4" fmla="*/ 136 w 605"/>
                                    <a:gd name="T5" fmla="*/ 459 h 563"/>
                                    <a:gd name="T6" fmla="*/ 24 w 605"/>
                                    <a:gd name="T7" fmla="*/ 507 h 563"/>
                                    <a:gd name="T8" fmla="*/ 9 w 605"/>
                                    <a:gd name="T9" fmla="*/ 510 h 563"/>
                                    <a:gd name="T10" fmla="*/ 0 w 605"/>
                                    <a:gd name="T11" fmla="*/ 496 h 563"/>
                                    <a:gd name="T12" fmla="*/ 0 w 605"/>
                                    <a:gd name="T13" fmla="*/ 67 h 563"/>
                                    <a:gd name="T14" fmla="*/ 5 w 605"/>
                                    <a:gd name="T15" fmla="*/ 56 h 563"/>
                                    <a:gd name="T16" fmla="*/ 136 w 605"/>
                                    <a:gd name="T17" fmla="*/ 0 h 563"/>
                                    <a:gd name="T18" fmla="*/ 308 w 605"/>
                                    <a:gd name="T19" fmla="*/ 54 h 563"/>
                                    <a:gd name="T20" fmla="*/ 468 w 605"/>
                                    <a:gd name="T21" fmla="*/ 104 h 563"/>
                                    <a:gd name="T22" fmla="*/ 580 w 605"/>
                                    <a:gd name="T23" fmla="*/ 56 h 563"/>
                                    <a:gd name="T24" fmla="*/ 597 w 605"/>
                                    <a:gd name="T25" fmla="*/ 54 h 563"/>
                                    <a:gd name="T26" fmla="*/ 603 w 605"/>
                                    <a:gd name="T27" fmla="*/ 71 h 563"/>
                                    <a:gd name="T28" fmla="*/ 519 w 605"/>
                                    <a:gd name="T29" fmla="*/ 329 h 563"/>
                                    <a:gd name="T30" fmla="*/ 601 w 605"/>
                                    <a:gd name="T31" fmla="*/ 489 h 563"/>
                                    <a:gd name="T32" fmla="*/ 599 w 605"/>
                                    <a:gd name="T33" fmla="*/ 507 h 563"/>
                                    <a:gd name="T34" fmla="*/ 468 w 605"/>
                                    <a:gd name="T35" fmla="*/ 563 h 563"/>
                                    <a:gd name="T36" fmla="*/ 136 w 605"/>
                                    <a:gd name="T37" fmla="*/ 430 h 563"/>
                                    <a:gd name="T38" fmla="*/ 308 w 605"/>
                                    <a:gd name="T39" fmla="*/ 483 h 563"/>
                                    <a:gd name="T40" fmla="*/ 468 w 605"/>
                                    <a:gd name="T41" fmla="*/ 534 h 563"/>
                                    <a:gd name="T42" fmla="*/ 571 w 605"/>
                                    <a:gd name="T43" fmla="*/ 494 h 563"/>
                                    <a:gd name="T44" fmla="*/ 490 w 605"/>
                                    <a:gd name="T45" fmla="*/ 336 h 563"/>
                                    <a:gd name="T46" fmla="*/ 490 w 605"/>
                                    <a:gd name="T47" fmla="*/ 325 h 563"/>
                                    <a:gd name="T48" fmla="*/ 563 w 605"/>
                                    <a:gd name="T49" fmla="*/ 105 h 563"/>
                                    <a:gd name="T50" fmla="*/ 468 w 605"/>
                                    <a:gd name="T51" fmla="*/ 133 h 563"/>
                                    <a:gd name="T52" fmla="*/ 296 w 605"/>
                                    <a:gd name="T53" fmla="*/ 80 h 563"/>
                                    <a:gd name="T54" fmla="*/ 136 w 605"/>
                                    <a:gd name="T55" fmla="*/ 29 h 563"/>
                                    <a:gd name="T56" fmla="*/ 29 w 605"/>
                                    <a:gd name="T57" fmla="*/ 73 h 563"/>
                                    <a:gd name="T58" fmla="*/ 29 w 605"/>
                                    <a:gd name="T59" fmla="*/ 466 h 563"/>
                                    <a:gd name="T60" fmla="*/ 136 w 605"/>
                                    <a:gd name="T61" fmla="*/ 43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5" h="563">
                                      <a:moveTo>
                                        <a:pt x="468" y="563"/>
                                      </a:moveTo>
                                      <a:cubicBezTo>
                                        <a:pt x="409" y="563"/>
                                        <a:pt x="352" y="536"/>
                                        <a:pt x="296" y="509"/>
                                      </a:cubicBezTo>
                                      <a:cubicBezTo>
                                        <a:pt x="240" y="483"/>
                                        <a:pt x="188" y="459"/>
                                        <a:pt x="136" y="459"/>
                                      </a:cubicBezTo>
                                      <a:cubicBezTo>
                                        <a:pt x="95" y="459"/>
                                        <a:pt x="59" y="474"/>
                                        <a:pt x="24" y="507"/>
                                      </a:cubicBezTo>
                                      <a:cubicBezTo>
                                        <a:pt x="20" y="511"/>
                                        <a:pt x="14" y="512"/>
                                        <a:pt x="9" y="510"/>
                                      </a:cubicBezTo>
                                      <a:cubicBezTo>
                                        <a:pt x="4" y="507"/>
                                        <a:pt x="0" y="502"/>
                                        <a:pt x="0" y="496"/>
                                      </a:cubicBezTo>
                                      <a:cubicBezTo>
                                        <a:pt x="0" y="67"/>
                                        <a:pt x="0" y="67"/>
                                        <a:pt x="0" y="67"/>
                                      </a:cubicBezTo>
                                      <a:cubicBezTo>
                                        <a:pt x="0" y="63"/>
                                        <a:pt x="2" y="59"/>
                                        <a:pt x="5" y="56"/>
                                      </a:cubicBezTo>
                                      <a:cubicBezTo>
                                        <a:pt x="45" y="18"/>
                                        <a:pt x="88" y="0"/>
                                        <a:pt x="136" y="0"/>
                                      </a:cubicBezTo>
                                      <a:cubicBezTo>
                                        <a:pt x="195" y="0"/>
                                        <a:pt x="252" y="27"/>
                                        <a:pt x="308" y="54"/>
                                      </a:cubicBezTo>
                                      <a:cubicBezTo>
                                        <a:pt x="363" y="80"/>
                                        <a:pt x="416" y="104"/>
                                        <a:pt x="468" y="104"/>
                                      </a:cubicBezTo>
                                      <a:cubicBezTo>
                                        <a:pt x="509" y="104"/>
                                        <a:pt x="545" y="89"/>
                                        <a:pt x="580" y="56"/>
                                      </a:cubicBezTo>
                                      <a:cubicBezTo>
                                        <a:pt x="584" y="52"/>
                                        <a:pt x="591" y="51"/>
                                        <a:pt x="597" y="54"/>
                                      </a:cubicBezTo>
                                      <a:cubicBezTo>
                                        <a:pt x="602" y="58"/>
                                        <a:pt x="605" y="64"/>
                                        <a:pt x="603" y="71"/>
                                      </a:cubicBezTo>
                                      <a:cubicBezTo>
                                        <a:pt x="576" y="163"/>
                                        <a:pt x="549" y="247"/>
                                        <a:pt x="519" y="329"/>
                                      </a:cubicBezTo>
                                      <a:cubicBezTo>
                                        <a:pt x="548" y="396"/>
                                        <a:pt x="575" y="448"/>
                                        <a:pt x="601" y="489"/>
                                      </a:cubicBezTo>
                                      <a:cubicBezTo>
                                        <a:pt x="605" y="494"/>
                                        <a:pt x="604" y="502"/>
                                        <a:pt x="599" y="507"/>
                                      </a:cubicBezTo>
                                      <a:cubicBezTo>
                                        <a:pt x="559" y="545"/>
                                        <a:pt x="516" y="563"/>
                                        <a:pt x="468" y="563"/>
                                      </a:cubicBezTo>
                                      <a:close/>
                                      <a:moveTo>
                                        <a:pt x="136" y="430"/>
                                      </a:moveTo>
                                      <a:cubicBezTo>
                                        <a:pt x="195" y="430"/>
                                        <a:pt x="252" y="457"/>
                                        <a:pt x="308" y="483"/>
                                      </a:cubicBezTo>
                                      <a:cubicBezTo>
                                        <a:pt x="363" y="509"/>
                                        <a:pt x="416" y="534"/>
                                        <a:pt x="468" y="534"/>
                                      </a:cubicBezTo>
                                      <a:cubicBezTo>
                                        <a:pt x="505" y="534"/>
                                        <a:pt x="539" y="521"/>
                                        <a:pt x="571" y="494"/>
                                      </a:cubicBezTo>
                                      <a:cubicBezTo>
                                        <a:pt x="545" y="452"/>
                                        <a:pt x="519" y="401"/>
                                        <a:pt x="490" y="336"/>
                                      </a:cubicBezTo>
                                      <a:cubicBezTo>
                                        <a:pt x="488" y="332"/>
                                        <a:pt x="488" y="328"/>
                                        <a:pt x="490" y="325"/>
                                      </a:cubicBezTo>
                                      <a:cubicBezTo>
                                        <a:pt x="516" y="255"/>
                                        <a:pt x="540" y="182"/>
                                        <a:pt x="563" y="105"/>
                                      </a:cubicBezTo>
                                      <a:cubicBezTo>
                                        <a:pt x="533" y="124"/>
                                        <a:pt x="502" y="133"/>
                                        <a:pt x="468" y="133"/>
                                      </a:cubicBezTo>
                                      <a:cubicBezTo>
                                        <a:pt x="409" y="133"/>
                                        <a:pt x="352" y="106"/>
                                        <a:pt x="296" y="80"/>
                                      </a:cubicBezTo>
                                      <a:cubicBezTo>
                                        <a:pt x="240" y="54"/>
                                        <a:pt x="188" y="29"/>
                                        <a:pt x="136" y="29"/>
                                      </a:cubicBezTo>
                                      <a:cubicBezTo>
                                        <a:pt x="97" y="29"/>
                                        <a:pt x="62" y="43"/>
                                        <a:pt x="29" y="73"/>
                                      </a:cubicBezTo>
                                      <a:cubicBezTo>
                                        <a:pt x="29" y="466"/>
                                        <a:pt x="29" y="466"/>
                                        <a:pt x="29" y="466"/>
                                      </a:cubicBezTo>
                                      <a:cubicBezTo>
                                        <a:pt x="62" y="442"/>
                                        <a:pt x="97" y="430"/>
                                        <a:pt x="136" y="4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BD53B1" id="Group 5" o:spid="_x0000_s1026" style="position:absolute;margin-left:28.45pt;margin-top:5pt;width:17.15pt;height:18.5pt;z-index:251659264;mso-width-relative:margin;mso-height-relative:margin" coordsize="1429,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">
                      <v:shape id="Freeform 15" o:spid="_x0000_s1027" style="position:absolute;top:3;width:68;height:1540;visibility:visible;mso-wrap-style:square;v-text-anchor:top" coordsize="2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" path="m15,652c7,652,,645,,637,,15,,15,,15,,7,7,,15,v7,,14,7,14,15c29,637,29,637,29,637v,8,-7,15,-14,15xe" filled="f" stroked="f">
                        <v:path arrowok="t" o:connecttype="custom" o:connectlocs="35,1540;0,1505;0,35;35,0;68,35;68,1505;35,1540" o:connectangles="0,0,0,0,0,0,0"/>
                      </v:shape>
                      <v:shape id="Freeform 16" o:spid="_x0000_s1028" style="position:absolute;width:1429;height:1330;visibility:visible;mso-wrap-style:square;v-text-anchor:top" coordsize="60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" path="m468,563v-59,,-116,-27,-172,-54c240,483,188,459,136,459v-41,,-77,15,-112,48c20,511,14,512,9,510,4,507,,502,,496,,67,,67,,67,,63,2,59,5,56,45,18,88,,136,v59,,116,27,172,54c363,80,416,104,468,104v41,,77,-15,112,-48c584,52,591,51,597,54v5,4,8,10,6,17c576,163,549,247,519,329v29,67,56,119,82,160c605,494,604,502,599,507v-40,38,-83,56,-131,56xm136,430v59,,116,27,172,53c363,509,416,534,468,534v37,,71,-13,103,-40c545,452,519,401,490,336v-2,-4,-2,-8,,-11c516,255,540,182,563,105v-30,19,-61,28,-95,28c409,133,352,106,296,80,240,54,188,29,136,29,97,29,62,43,29,73v,393,,393,,393c62,442,97,430,136,430xe" filled="f" stroked="f">
                        <v:path arrowok="t" o:connecttype="custom" o:connectlocs="1105,1330;699,1202;321,1084;57,1198;21,1205;0,1172;0,158;12,132;321,0;727,128;1105,246;1370,132;1410,128;1424,168;1226,777;1420,1155;1415,1198;1105,1330;321,1016;727,1141;1105,1261;1349,1167;1157,794;1157,768;1330,248;1105,314;699,189;321,69;68,172;68,1101;321,1016" o:connectangles="0,0,0,0,0,0,0,0,0,0,0,0,0,0,0,0,0,0,0,0,0,0,0,0,0,0,0,0,0,0,0"/>
                        <o:lock v:ext="edit" verticies="t"/>
                      </v:shape>
                    </v:group>
                  </w:pict>
                </mc:Fallback>
              </mc:AlternateContent>
            </w:r>
            <w:r>
              <w:rPr>
                <w:noProof/>
                <w:color w:val="F26A47"/>
                <w:lang w:eastAsia="fr-BE"/>
              </w:rPr>
              <mc:AlternateContent>
                <mc:Choice Requires="wpg">
                  <w:drawing>
                    <wp:anchor distT="0" distB="0" distL="114300" distR="114300" simplePos="0" relativeHeight="251661312" behindDoc="0" locked="0" layoutInCell="1" allowOverlap="1">
                      <wp:simplePos x="0" y="0"/>
                      <wp:positionH relativeFrom="column">
                        <wp:posOffset>691515</wp:posOffset>
                      </wp:positionH>
                      <wp:positionV relativeFrom="paragraph">
                        <wp:posOffset>60630</wp:posOffset>
                      </wp:positionV>
                      <wp:extent cx="250190" cy="248920"/>
                      <wp:effectExtent l="0" t="38100" r="35560" b="0"/>
                      <wp:wrapNone/>
                      <wp:docPr id="3" name="Group 61"/>
                      <wp:cNvGraphicFramePr/>
                      <a:graphic xmlns:a="http://schemas.openxmlformats.org/drawingml/2006/main">
                        <a:graphicData uri="http://schemas.microsoft.com/office/word/2010/wordprocessingGroup">
                          <wpg:wgp>
                            <wpg:cNvGrpSpPr/>
                            <wpg:grpSpPr bwMode="auto">
                              <a:xfrm>
                                <a:off x="0" y="0"/>
                                <a:ext cx="250190" cy="248920"/>
                                <a:chOff x="0" y="0"/>
                                <a:chExt cx="1793" cy="1786"/>
                              </a:xfrm>
                              <a:solidFill>
                                <a:sysClr val="window" lastClr="FFFFFF"/>
                              </a:solidFill>
                            </wpg:grpSpPr>
                            <wps:wsp>
                              <wps:cNvPr id="9" name="Freeform 9"/>
                              <wps:cNvSpPr>
                                <a:spLocks/>
                              </wps:cNvSpPr>
                              <wps:spPr bwMode="auto">
                                <a:xfrm>
                                  <a:off x="1309" y="10"/>
                                  <a:ext cx="484" cy="160"/>
                                </a:xfrm>
                                <a:custGeom>
                                  <a:avLst/>
                                  <a:gdLst>
                                    <a:gd name="T0" fmla="*/ 10 w 205"/>
                                    <a:gd name="T1" fmla="*/ 52 h 68"/>
                                    <a:gd name="T2" fmla="*/ 35 w 205"/>
                                    <a:gd name="T3" fmla="*/ 48 h 68"/>
                                    <a:gd name="T4" fmla="*/ 82 w 205"/>
                                    <a:gd name="T5" fmla="*/ 47 h 68"/>
                                    <a:gd name="T6" fmla="*/ 149 w 205"/>
                                    <a:gd name="T7" fmla="*/ 68 h 68"/>
                                    <a:gd name="T8" fmla="*/ 194 w 205"/>
                                    <a:gd name="T9" fmla="*/ 54 h 68"/>
                                    <a:gd name="T10" fmla="*/ 200 w 205"/>
                                    <a:gd name="T11" fmla="*/ 30 h 68"/>
                                    <a:gd name="T12" fmla="*/ 175 w 205"/>
                                    <a:gd name="T13" fmla="*/ 24 h 68"/>
                                    <a:gd name="T14" fmla="*/ 97 w 205"/>
                                    <a:gd name="T15" fmla="*/ 15 h 68"/>
                                    <a:gd name="T16" fmla="*/ 55 w 205"/>
                                    <a:gd name="T17" fmla="*/ 1 h 68"/>
                                    <a:gd name="T18" fmla="*/ 6 w 205"/>
                                    <a:gd name="T19" fmla="*/ 27 h 68"/>
                                    <a:gd name="T20" fmla="*/ 10 w 205"/>
                                    <a:gd name="T21" fmla="*/ 5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68">
                                      <a:moveTo>
                                        <a:pt x="10" y="52"/>
                                      </a:moveTo>
                                      <a:cubicBezTo>
                                        <a:pt x="18" y="58"/>
                                        <a:pt x="29" y="56"/>
                                        <a:pt x="35" y="48"/>
                                      </a:cubicBezTo>
                                      <a:cubicBezTo>
                                        <a:pt x="46" y="33"/>
                                        <a:pt x="55" y="34"/>
                                        <a:pt x="82" y="47"/>
                                      </a:cubicBezTo>
                                      <a:cubicBezTo>
                                        <a:pt x="101" y="57"/>
                                        <a:pt x="124" y="68"/>
                                        <a:pt x="149" y="68"/>
                                      </a:cubicBezTo>
                                      <a:cubicBezTo>
                                        <a:pt x="163" y="68"/>
                                        <a:pt x="178" y="64"/>
                                        <a:pt x="194" y="54"/>
                                      </a:cubicBezTo>
                                      <a:cubicBezTo>
                                        <a:pt x="202" y="49"/>
                                        <a:pt x="205" y="38"/>
                                        <a:pt x="200" y="30"/>
                                      </a:cubicBezTo>
                                      <a:cubicBezTo>
                                        <a:pt x="194" y="21"/>
                                        <a:pt x="183" y="19"/>
                                        <a:pt x="175" y="24"/>
                                      </a:cubicBezTo>
                                      <a:cubicBezTo>
                                        <a:pt x="150" y="39"/>
                                        <a:pt x="129" y="30"/>
                                        <a:pt x="97" y="15"/>
                                      </a:cubicBezTo>
                                      <a:cubicBezTo>
                                        <a:pt x="84" y="8"/>
                                        <a:pt x="70" y="2"/>
                                        <a:pt x="55" y="1"/>
                                      </a:cubicBezTo>
                                      <a:cubicBezTo>
                                        <a:pt x="36" y="0"/>
                                        <a:pt x="19" y="9"/>
                                        <a:pt x="6" y="27"/>
                                      </a:cubicBezTo>
                                      <a:cubicBezTo>
                                        <a:pt x="0" y="35"/>
                                        <a:pt x="2" y="46"/>
                                        <a:pt x="10" y="5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1224" y="213"/>
                                  <a:ext cx="345" cy="534"/>
                                </a:xfrm>
                                <a:custGeom>
                                  <a:avLst/>
                                  <a:gdLst>
                                    <a:gd name="T0" fmla="*/ 10 w 146"/>
                                    <a:gd name="T1" fmla="*/ 89 h 226"/>
                                    <a:gd name="T2" fmla="*/ 10 w 146"/>
                                    <a:gd name="T3" fmla="*/ 182 h 226"/>
                                    <a:gd name="T4" fmla="*/ 28 w 146"/>
                                    <a:gd name="T5" fmla="*/ 200 h 226"/>
                                    <a:gd name="T6" fmla="*/ 46 w 146"/>
                                    <a:gd name="T7" fmla="*/ 182 h 226"/>
                                    <a:gd name="T8" fmla="*/ 46 w 146"/>
                                    <a:gd name="T9" fmla="*/ 73 h 226"/>
                                    <a:gd name="T10" fmla="*/ 36 w 146"/>
                                    <a:gd name="T11" fmla="*/ 57 h 226"/>
                                    <a:gd name="T12" fmla="*/ 36 w 146"/>
                                    <a:gd name="T13" fmla="*/ 36 h 226"/>
                                    <a:gd name="T14" fmla="*/ 110 w 146"/>
                                    <a:gd name="T15" fmla="*/ 36 h 226"/>
                                    <a:gd name="T16" fmla="*/ 110 w 146"/>
                                    <a:gd name="T17" fmla="*/ 57 h 226"/>
                                    <a:gd name="T18" fmla="*/ 100 w 146"/>
                                    <a:gd name="T19" fmla="*/ 73 h 226"/>
                                    <a:gd name="T20" fmla="*/ 100 w 146"/>
                                    <a:gd name="T21" fmla="*/ 208 h 226"/>
                                    <a:gd name="T22" fmla="*/ 118 w 146"/>
                                    <a:gd name="T23" fmla="*/ 226 h 226"/>
                                    <a:gd name="T24" fmla="*/ 136 w 146"/>
                                    <a:gd name="T25" fmla="*/ 208 h 226"/>
                                    <a:gd name="T26" fmla="*/ 136 w 146"/>
                                    <a:gd name="T27" fmla="*/ 89 h 226"/>
                                    <a:gd name="T28" fmla="*/ 146 w 146"/>
                                    <a:gd name="T29" fmla="*/ 73 h 226"/>
                                    <a:gd name="T30" fmla="*/ 146 w 146"/>
                                    <a:gd name="T31" fmla="*/ 18 h 226"/>
                                    <a:gd name="T32" fmla="*/ 128 w 146"/>
                                    <a:gd name="T33" fmla="*/ 0 h 226"/>
                                    <a:gd name="T34" fmla="*/ 18 w 146"/>
                                    <a:gd name="T35" fmla="*/ 0 h 226"/>
                                    <a:gd name="T36" fmla="*/ 0 w 146"/>
                                    <a:gd name="T37" fmla="*/ 18 h 226"/>
                                    <a:gd name="T38" fmla="*/ 0 w 146"/>
                                    <a:gd name="T39" fmla="*/ 73 h 226"/>
                                    <a:gd name="T40" fmla="*/ 10 w 146"/>
                                    <a:gd name="T41" fmla="*/ 8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6" h="226">
                                      <a:moveTo>
                                        <a:pt x="10" y="89"/>
                                      </a:moveTo>
                                      <a:cubicBezTo>
                                        <a:pt x="10" y="182"/>
                                        <a:pt x="10" y="182"/>
                                        <a:pt x="10" y="182"/>
                                      </a:cubicBezTo>
                                      <a:cubicBezTo>
                                        <a:pt x="10" y="192"/>
                                        <a:pt x="18" y="200"/>
                                        <a:pt x="28" y="200"/>
                                      </a:cubicBezTo>
                                      <a:cubicBezTo>
                                        <a:pt x="38" y="200"/>
                                        <a:pt x="46" y="192"/>
                                        <a:pt x="46" y="182"/>
                                      </a:cubicBezTo>
                                      <a:cubicBezTo>
                                        <a:pt x="46" y="73"/>
                                        <a:pt x="46" y="73"/>
                                        <a:pt x="46" y="73"/>
                                      </a:cubicBezTo>
                                      <a:cubicBezTo>
                                        <a:pt x="46" y="66"/>
                                        <a:pt x="42" y="60"/>
                                        <a:pt x="36" y="57"/>
                                      </a:cubicBezTo>
                                      <a:cubicBezTo>
                                        <a:pt x="36" y="36"/>
                                        <a:pt x="36" y="36"/>
                                        <a:pt x="36" y="36"/>
                                      </a:cubicBezTo>
                                      <a:cubicBezTo>
                                        <a:pt x="110" y="36"/>
                                        <a:pt x="110" y="36"/>
                                        <a:pt x="110" y="36"/>
                                      </a:cubicBezTo>
                                      <a:cubicBezTo>
                                        <a:pt x="110" y="57"/>
                                        <a:pt x="110" y="57"/>
                                        <a:pt x="110" y="57"/>
                                      </a:cubicBezTo>
                                      <a:cubicBezTo>
                                        <a:pt x="104" y="60"/>
                                        <a:pt x="100" y="66"/>
                                        <a:pt x="100" y="73"/>
                                      </a:cubicBezTo>
                                      <a:cubicBezTo>
                                        <a:pt x="100" y="208"/>
                                        <a:pt x="100" y="208"/>
                                        <a:pt x="100" y="208"/>
                                      </a:cubicBezTo>
                                      <a:cubicBezTo>
                                        <a:pt x="100" y="218"/>
                                        <a:pt x="108" y="226"/>
                                        <a:pt x="118" y="226"/>
                                      </a:cubicBezTo>
                                      <a:cubicBezTo>
                                        <a:pt x="128" y="226"/>
                                        <a:pt x="136" y="218"/>
                                        <a:pt x="136" y="208"/>
                                      </a:cubicBezTo>
                                      <a:cubicBezTo>
                                        <a:pt x="136" y="89"/>
                                        <a:pt x="136" y="89"/>
                                        <a:pt x="136" y="89"/>
                                      </a:cubicBezTo>
                                      <a:cubicBezTo>
                                        <a:pt x="142" y="86"/>
                                        <a:pt x="146" y="80"/>
                                        <a:pt x="146" y="73"/>
                                      </a:cubicBezTo>
                                      <a:cubicBezTo>
                                        <a:pt x="146" y="18"/>
                                        <a:pt x="146" y="18"/>
                                        <a:pt x="146" y="18"/>
                                      </a:cubicBezTo>
                                      <a:cubicBezTo>
                                        <a:pt x="146" y="8"/>
                                        <a:pt x="138" y="0"/>
                                        <a:pt x="128" y="0"/>
                                      </a:cubicBezTo>
                                      <a:cubicBezTo>
                                        <a:pt x="18" y="0"/>
                                        <a:pt x="18" y="0"/>
                                        <a:pt x="18" y="0"/>
                                      </a:cubicBezTo>
                                      <a:cubicBezTo>
                                        <a:pt x="8" y="0"/>
                                        <a:pt x="0" y="8"/>
                                        <a:pt x="0" y="18"/>
                                      </a:cubicBezTo>
                                      <a:cubicBezTo>
                                        <a:pt x="0" y="73"/>
                                        <a:pt x="0" y="73"/>
                                        <a:pt x="0" y="73"/>
                                      </a:cubicBezTo>
                                      <a:cubicBezTo>
                                        <a:pt x="0" y="80"/>
                                        <a:pt x="4" y="86"/>
                                        <a:pt x="10" y="8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
                              <wps:cNvSpPr>
                                <a:spLocks noEditPoints="1"/>
                              </wps:cNvSpPr>
                              <wps:spPr bwMode="auto">
                                <a:xfrm>
                                  <a:off x="0" y="0"/>
                                  <a:ext cx="1786" cy="1786"/>
                                </a:xfrm>
                                <a:custGeom>
                                  <a:avLst/>
                                  <a:gdLst>
                                    <a:gd name="T0" fmla="*/ 699 w 756"/>
                                    <a:gd name="T1" fmla="*/ 720 h 756"/>
                                    <a:gd name="T2" fmla="*/ 686 w 756"/>
                                    <a:gd name="T3" fmla="*/ 358 h 756"/>
                                    <a:gd name="T4" fmla="*/ 355 w 756"/>
                                    <a:gd name="T5" fmla="*/ 271 h 756"/>
                                    <a:gd name="T6" fmla="*/ 348 w 756"/>
                                    <a:gd name="T7" fmla="*/ 405 h 756"/>
                                    <a:gd name="T8" fmla="*/ 265 w 756"/>
                                    <a:gd name="T9" fmla="*/ 306 h 756"/>
                                    <a:gd name="T10" fmla="*/ 296 w 756"/>
                                    <a:gd name="T11" fmla="*/ 289 h 756"/>
                                    <a:gd name="T12" fmla="*/ 261 w 756"/>
                                    <a:gd name="T13" fmla="*/ 271 h 756"/>
                                    <a:gd name="T14" fmla="*/ 317 w 756"/>
                                    <a:gd name="T15" fmla="*/ 212 h 756"/>
                                    <a:gd name="T16" fmla="*/ 327 w 756"/>
                                    <a:gd name="T17" fmla="*/ 209 h 756"/>
                                    <a:gd name="T18" fmla="*/ 335 w 756"/>
                                    <a:gd name="T19" fmla="*/ 191 h 756"/>
                                    <a:gd name="T20" fmla="*/ 300 w 756"/>
                                    <a:gd name="T21" fmla="*/ 93 h 756"/>
                                    <a:gd name="T22" fmla="*/ 286 w 756"/>
                                    <a:gd name="T23" fmla="*/ 81 h 756"/>
                                    <a:gd name="T24" fmla="*/ 239 w 756"/>
                                    <a:gd name="T25" fmla="*/ 81 h 756"/>
                                    <a:gd name="T26" fmla="*/ 214 w 756"/>
                                    <a:gd name="T27" fmla="*/ 0 h 756"/>
                                    <a:gd name="T28" fmla="*/ 149 w 756"/>
                                    <a:gd name="T29" fmla="*/ 16 h 756"/>
                                    <a:gd name="T30" fmla="*/ 98 w 756"/>
                                    <a:gd name="T31" fmla="*/ 81 h 756"/>
                                    <a:gd name="T32" fmla="*/ 82 w 756"/>
                                    <a:gd name="T33" fmla="*/ 90 h 756"/>
                                    <a:gd name="T34" fmla="*/ 46 w 756"/>
                                    <a:gd name="T35" fmla="*/ 187 h 756"/>
                                    <a:gd name="T36" fmla="*/ 45 w 756"/>
                                    <a:gd name="T37" fmla="*/ 197 h 756"/>
                                    <a:gd name="T38" fmla="*/ 60 w 756"/>
                                    <a:gd name="T39" fmla="*/ 211 h 756"/>
                                    <a:gd name="T40" fmla="*/ 127 w 756"/>
                                    <a:gd name="T41" fmla="*/ 212 h 756"/>
                                    <a:gd name="T42" fmla="*/ 103 w 756"/>
                                    <a:gd name="T43" fmla="*/ 271 h 756"/>
                                    <a:gd name="T44" fmla="*/ 103 w 756"/>
                                    <a:gd name="T45" fmla="*/ 306 h 756"/>
                                    <a:gd name="T46" fmla="*/ 105 w 756"/>
                                    <a:gd name="T47" fmla="*/ 405 h 756"/>
                                    <a:gd name="T48" fmla="*/ 45 w 756"/>
                                    <a:gd name="T49" fmla="*/ 423 h 756"/>
                                    <a:gd name="T50" fmla="*/ 18 w 756"/>
                                    <a:gd name="T51" fmla="*/ 720 h 756"/>
                                    <a:gd name="T52" fmla="*/ 18 w 756"/>
                                    <a:gd name="T53" fmla="*/ 756 h 756"/>
                                    <a:gd name="T54" fmla="*/ 756 w 756"/>
                                    <a:gd name="T55" fmla="*/ 738 h 756"/>
                                    <a:gd name="T56" fmla="*/ 183 w 756"/>
                                    <a:gd name="T57" fmla="*/ 36 h 756"/>
                                    <a:gd name="T58" fmla="*/ 203 w 756"/>
                                    <a:gd name="T59" fmla="*/ 81 h 756"/>
                                    <a:gd name="T60" fmla="*/ 183 w 756"/>
                                    <a:gd name="T61" fmla="*/ 36 h 756"/>
                                    <a:gd name="T62" fmla="*/ 207 w 756"/>
                                    <a:gd name="T63" fmla="*/ 117 h 756"/>
                                    <a:gd name="T64" fmla="*/ 167 w 756"/>
                                    <a:gd name="T65" fmla="*/ 176 h 756"/>
                                    <a:gd name="T66" fmla="*/ 163 w 756"/>
                                    <a:gd name="T67" fmla="*/ 212 h 756"/>
                                    <a:gd name="T68" fmla="*/ 224 w 756"/>
                                    <a:gd name="T69" fmla="*/ 271 h 756"/>
                                    <a:gd name="T70" fmla="*/ 163 w 756"/>
                                    <a:gd name="T71" fmla="*/ 212 h 756"/>
                                    <a:gd name="T72" fmla="*/ 110 w 756"/>
                                    <a:gd name="T73" fmla="*/ 117 h 756"/>
                                    <a:gd name="T74" fmla="*/ 131 w 756"/>
                                    <a:gd name="T75" fmla="*/ 176 h 756"/>
                                    <a:gd name="T76" fmla="*/ 146 w 756"/>
                                    <a:gd name="T77" fmla="*/ 720 h 756"/>
                                    <a:gd name="T78" fmla="*/ 81 w 756"/>
                                    <a:gd name="T79" fmla="*/ 441 h 756"/>
                                    <a:gd name="T80" fmla="*/ 121 w 756"/>
                                    <a:gd name="T81" fmla="*/ 441 h 756"/>
                                    <a:gd name="T82" fmla="*/ 146 w 756"/>
                                    <a:gd name="T83" fmla="*/ 720 h 756"/>
                                    <a:gd name="T84" fmla="*/ 152 w 756"/>
                                    <a:gd name="T85" fmla="*/ 306 h 756"/>
                                    <a:gd name="T86" fmla="*/ 240 w 756"/>
                                    <a:gd name="T87" fmla="*/ 405 h 756"/>
                                    <a:gd name="T88" fmla="*/ 141 w 756"/>
                                    <a:gd name="T89" fmla="*/ 405 h 756"/>
                                    <a:gd name="T90" fmla="*/ 182 w 756"/>
                                    <a:gd name="T91" fmla="*/ 720 h 756"/>
                                    <a:gd name="T92" fmla="*/ 247 w 756"/>
                                    <a:gd name="T93" fmla="*/ 441 h 756"/>
                                    <a:gd name="T94" fmla="*/ 243 w 756"/>
                                    <a:gd name="T95" fmla="*/ 117 h 756"/>
                                    <a:gd name="T96" fmla="*/ 292 w 756"/>
                                    <a:gd name="T97" fmla="*/ 176 h 756"/>
                                    <a:gd name="T98" fmla="*/ 243 w 756"/>
                                    <a:gd name="T99" fmla="*/ 117 h 756"/>
                                    <a:gd name="T100" fmla="*/ 283 w 756"/>
                                    <a:gd name="T101" fmla="*/ 720 h 756"/>
                                    <a:gd name="T102" fmla="*/ 348 w 756"/>
                                    <a:gd name="T103" fmla="*/ 441 h 756"/>
                                    <a:gd name="T104" fmla="*/ 659 w 756"/>
                                    <a:gd name="T105" fmla="*/ 723 h 756"/>
                                    <a:gd name="T106" fmla="*/ 380 w 756"/>
                                    <a:gd name="T107" fmla="*/ 313 h 756"/>
                                    <a:gd name="T108" fmla="*/ 659 w 756"/>
                                    <a:gd name="T109" fmla="*/ 723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6" h="756">
                                      <a:moveTo>
                                        <a:pt x="738" y="720"/>
                                      </a:moveTo>
                                      <a:cubicBezTo>
                                        <a:pt x="699" y="720"/>
                                        <a:pt x="699" y="720"/>
                                        <a:pt x="699" y="720"/>
                                      </a:cubicBezTo>
                                      <a:cubicBezTo>
                                        <a:pt x="699" y="376"/>
                                        <a:pt x="699" y="376"/>
                                        <a:pt x="699" y="376"/>
                                      </a:cubicBezTo>
                                      <a:cubicBezTo>
                                        <a:pt x="699" y="368"/>
                                        <a:pt x="694" y="361"/>
                                        <a:pt x="686" y="358"/>
                                      </a:cubicBezTo>
                                      <a:cubicBezTo>
                                        <a:pt x="371" y="268"/>
                                        <a:pt x="371" y="268"/>
                                        <a:pt x="371" y="268"/>
                                      </a:cubicBezTo>
                                      <a:cubicBezTo>
                                        <a:pt x="366" y="267"/>
                                        <a:pt x="360" y="268"/>
                                        <a:pt x="355" y="271"/>
                                      </a:cubicBezTo>
                                      <a:cubicBezTo>
                                        <a:pt x="351" y="275"/>
                                        <a:pt x="348" y="280"/>
                                        <a:pt x="348" y="286"/>
                                      </a:cubicBezTo>
                                      <a:cubicBezTo>
                                        <a:pt x="348" y="405"/>
                                        <a:pt x="348" y="405"/>
                                        <a:pt x="348" y="405"/>
                                      </a:cubicBezTo>
                                      <a:cubicBezTo>
                                        <a:pt x="276" y="405"/>
                                        <a:pt x="276" y="405"/>
                                        <a:pt x="276" y="405"/>
                                      </a:cubicBezTo>
                                      <a:cubicBezTo>
                                        <a:pt x="265" y="306"/>
                                        <a:pt x="265" y="306"/>
                                        <a:pt x="265" y="306"/>
                                      </a:cubicBezTo>
                                      <a:cubicBezTo>
                                        <a:pt x="278" y="306"/>
                                        <a:pt x="278" y="306"/>
                                        <a:pt x="278" y="306"/>
                                      </a:cubicBezTo>
                                      <a:cubicBezTo>
                                        <a:pt x="288" y="306"/>
                                        <a:pt x="296" y="298"/>
                                        <a:pt x="296" y="289"/>
                                      </a:cubicBezTo>
                                      <a:cubicBezTo>
                                        <a:pt x="296" y="279"/>
                                        <a:pt x="288" y="271"/>
                                        <a:pt x="278" y="271"/>
                                      </a:cubicBezTo>
                                      <a:cubicBezTo>
                                        <a:pt x="261" y="271"/>
                                        <a:pt x="261" y="271"/>
                                        <a:pt x="261" y="271"/>
                                      </a:cubicBezTo>
                                      <a:cubicBezTo>
                                        <a:pt x="254" y="212"/>
                                        <a:pt x="254" y="212"/>
                                        <a:pt x="254" y="212"/>
                                      </a:cubicBezTo>
                                      <a:cubicBezTo>
                                        <a:pt x="317" y="212"/>
                                        <a:pt x="317" y="212"/>
                                        <a:pt x="317" y="212"/>
                                      </a:cubicBezTo>
                                      <a:cubicBezTo>
                                        <a:pt x="318" y="212"/>
                                        <a:pt x="320" y="212"/>
                                        <a:pt x="321" y="211"/>
                                      </a:cubicBezTo>
                                      <a:cubicBezTo>
                                        <a:pt x="323" y="211"/>
                                        <a:pt x="325" y="210"/>
                                        <a:pt x="327" y="209"/>
                                      </a:cubicBezTo>
                                      <a:cubicBezTo>
                                        <a:pt x="332" y="206"/>
                                        <a:pt x="335" y="201"/>
                                        <a:pt x="335" y="197"/>
                                      </a:cubicBezTo>
                                      <a:cubicBezTo>
                                        <a:pt x="336" y="195"/>
                                        <a:pt x="336" y="193"/>
                                        <a:pt x="335" y="191"/>
                                      </a:cubicBezTo>
                                      <a:cubicBezTo>
                                        <a:pt x="335" y="189"/>
                                        <a:pt x="335" y="188"/>
                                        <a:pt x="334" y="187"/>
                                      </a:cubicBezTo>
                                      <a:cubicBezTo>
                                        <a:pt x="300" y="93"/>
                                        <a:pt x="300" y="93"/>
                                        <a:pt x="300" y="93"/>
                                      </a:cubicBezTo>
                                      <a:cubicBezTo>
                                        <a:pt x="300" y="92"/>
                                        <a:pt x="299" y="91"/>
                                        <a:pt x="299" y="90"/>
                                      </a:cubicBezTo>
                                      <a:cubicBezTo>
                                        <a:pt x="297" y="86"/>
                                        <a:pt x="293" y="82"/>
                                        <a:pt x="286" y="81"/>
                                      </a:cubicBezTo>
                                      <a:cubicBezTo>
                                        <a:pt x="285" y="81"/>
                                        <a:pt x="284" y="81"/>
                                        <a:pt x="283" y="81"/>
                                      </a:cubicBezTo>
                                      <a:cubicBezTo>
                                        <a:pt x="239" y="81"/>
                                        <a:pt x="239" y="81"/>
                                        <a:pt x="239" y="81"/>
                                      </a:cubicBezTo>
                                      <a:cubicBezTo>
                                        <a:pt x="232" y="16"/>
                                        <a:pt x="232" y="16"/>
                                        <a:pt x="232" y="16"/>
                                      </a:cubicBezTo>
                                      <a:cubicBezTo>
                                        <a:pt x="231" y="7"/>
                                        <a:pt x="223" y="0"/>
                                        <a:pt x="214" y="0"/>
                                      </a:cubicBezTo>
                                      <a:cubicBezTo>
                                        <a:pt x="167" y="0"/>
                                        <a:pt x="167" y="0"/>
                                        <a:pt x="167" y="0"/>
                                      </a:cubicBezTo>
                                      <a:cubicBezTo>
                                        <a:pt x="158" y="0"/>
                                        <a:pt x="150" y="7"/>
                                        <a:pt x="149" y="16"/>
                                      </a:cubicBezTo>
                                      <a:cubicBezTo>
                                        <a:pt x="142" y="81"/>
                                        <a:pt x="142" y="81"/>
                                        <a:pt x="142" y="81"/>
                                      </a:cubicBezTo>
                                      <a:cubicBezTo>
                                        <a:pt x="98" y="81"/>
                                        <a:pt x="98" y="81"/>
                                        <a:pt x="98" y="81"/>
                                      </a:cubicBezTo>
                                      <a:cubicBezTo>
                                        <a:pt x="97" y="81"/>
                                        <a:pt x="95" y="81"/>
                                        <a:pt x="94" y="81"/>
                                      </a:cubicBezTo>
                                      <a:cubicBezTo>
                                        <a:pt x="90" y="82"/>
                                        <a:pt x="85" y="82"/>
                                        <a:pt x="82" y="90"/>
                                      </a:cubicBezTo>
                                      <a:cubicBezTo>
                                        <a:pt x="81" y="91"/>
                                        <a:pt x="81" y="92"/>
                                        <a:pt x="80" y="93"/>
                                      </a:cubicBezTo>
                                      <a:cubicBezTo>
                                        <a:pt x="46" y="187"/>
                                        <a:pt x="46" y="187"/>
                                        <a:pt x="46" y="187"/>
                                      </a:cubicBezTo>
                                      <a:cubicBezTo>
                                        <a:pt x="46" y="188"/>
                                        <a:pt x="45" y="189"/>
                                        <a:pt x="45" y="191"/>
                                      </a:cubicBezTo>
                                      <a:cubicBezTo>
                                        <a:pt x="45" y="193"/>
                                        <a:pt x="45" y="195"/>
                                        <a:pt x="45" y="197"/>
                                      </a:cubicBezTo>
                                      <a:cubicBezTo>
                                        <a:pt x="46" y="203"/>
                                        <a:pt x="52" y="208"/>
                                        <a:pt x="54" y="209"/>
                                      </a:cubicBezTo>
                                      <a:cubicBezTo>
                                        <a:pt x="56" y="210"/>
                                        <a:pt x="58" y="211"/>
                                        <a:pt x="60" y="211"/>
                                      </a:cubicBezTo>
                                      <a:cubicBezTo>
                                        <a:pt x="61" y="212"/>
                                        <a:pt x="62" y="212"/>
                                        <a:pt x="63" y="212"/>
                                      </a:cubicBezTo>
                                      <a:cubicBezTo>
                                        <a:pt x="127" y="212"/>
                                        <a:pt x="127" y="212"/>
                                        <a:pt x="127" y="212"/>
                                      </a:cubicBezTo>
                                      <a:cubicBezTo>
                                        <a:pt x="120" y="271"/>
                                        <a:pt x="120" y="271"/>
                                        <a:pt x="120" y="271"/>
                                      </a:cubicBezTo>
                                      <a:cubicBezTo>
                                        <a:pt x="103" y="271"/>
                                        <a:pt x="103" y="271"/>
                                        <a:pt x="103" y="271"/>
                                      </a:cubicBezTo>
                                      <a:cubicBezTo>
                                        <a:pt x="93" y="271"/>
                                        <a:pt x="85" y="279"/>
                                        <a:pt x="85" y="289"/>
                                      </a:cubicBezTo>
                                      <a:cubicBezTo>
                                        <a:pt x="85" y="298"/>
                                        <a:pt x="93" y="306"/>
                                        <a:pt x="103" y="306"/>
                                      </a:cubicBezTo>
                                      <a:cubicBezTo>
                                        <a:pt x="116" y="306"/>
                                        <a:pt x="116" y="306"/>
                                        <a:pt x="116" y="306"/>
                                      </a:cubicBezTo>
                                      <a:cubicBezTo>
                                        <a:pt x="105" y="405"/>
                                        <a:pt x="105" y="405"/>
                                        <a:pt x="105" y="405"/>
                                      </a:cubicBezTo>
                                      <a:cubicBezTo>
                                        <a:pt x="63" y="405"/>
                                        <a:pt x="63" y="405"/>
                                        <a:pt x="63" y="405"/>
                                      </a:cubicBezTo>
                                      <a:cubicBezTo>
                                        <a:pt x="53" y="405"/>
                                        <a:pt x="45" y="413"/>
                                        <a:pt x="45" y="423"/>
                                      </a:cubicBezTo>
                                      <a:cubicBezTo>
                                        <a:pt x="45" y="720"/>
                                        <a:pt x="45" y="720"/>
                                        <a:pt x="45" y="720"/>
                                      </a:cubicBezTo>
                                      <a:cubicBezTo>
                                        <a:pt x="18" y="720"/>
                                        <a:pt x="18" y="720"/>
                                        <a:pt x="18" y="720"/>
                                      </a:cubicBezTo>
                                      <a:cubicBezTo>
                                        <a:pt x="8" y="720"/>
                                        <a:pt x="0" y="728"/>
                                        <a:pt x="0" y="738"/>
                                      </a:cubicBezTo>
                                      <a:cubicBezTo>
                                        <a:pt x="0" y="748"/>
                                        <a:pt x="8" y="756"/>
                                        <a:pt x="18" y="756"/>
                                      </a:cubicBezTo>
                                      <a:cubicBezTo>
                                        <a:pt x="738" y="756"/>
                                        <a:pt x="738" y="756"/>
                                        <a:pt x="738" y="756"/>
                                      </a:cubicBezTo>
                                      <a:cubicBezTo>
                                        <a:pt x="748" y="756"/>
                                        <a:pt x="756" y="748"/>
                                        <a:pt x="756" y="738"/>
                                      </a:cubicBezTo>
                                      <a:cubicBezTo>
                                        <a:pt x="756" y="728"/>
                                        <a:pt x="748" y="720"/>
                                        <a:pt x="738" y="720"/>
                                      </a:cubicBezTo>
                                      <a:close/>
                                      <a:moveTo>
                                        <a:pt x="183" y="36"/>
                                      </a:moveTo>
                                      <a:cubicBezTo>
                                        <a:pt x="198" y="36"/>
                                        <a:pt x="198" y="36"/>
                                        <a:pt x="198" y="36"/>
                                      </a:cubicBezTo>
                                      <a:cubicBezTo>
                                        <a:pt x="203" y="81"/>
                                        <a:pt x="203" y="81"/>
                                        <a:pt x="203" y="81"/>
                                      </a:cubicBezTo>
                                      <a:cubicBezTo>
                                        <a:pt x="178" y="81"/>
                                        <a:pt x="178" y="81"/>
                                        <a:pt x="178" y="81"/>
                                      </a:cubicBezTo>
                                      <a:lnTo>
                                        <a:pt x="183" y="36"/>
                                      </a:lnTo>
                                      <a:close/>
                                      <a:moveTo>
                                        <a:pt x="174" y="117"/>
                                      </a:moveTo>
                                      <a:cubicBezTo>
                                        <a:pt x="207" y="117"/>
                                        <a:pt x="207" y="117"/>
                                        <a:pt x="207" y="117"/>
                                      </a:cubicBezTo>
                                      <a:cubicBezTo>
                                        <a:pt x="214" y="176"/>
                                        <a:pt x="214" y="176"/>
                                        <a:pt x="214" y="176"/>
                                      </a:cubicBezTo>
                                      <a:cubicBezTo>
                                        <a:pt x="167" y="176"/>
                                        <a:pt x="167" y="176"/>
                                        <a:pt x="167" y="176"/>
                                      </a:cubicBezTo>
                                      <a:lnTo>
                                        <a:pt x="174" y="117"/>
                                      </a:lnTo>
                                      <a:close/>
                                      <a:moveTo>
                                        <a:pt x="163" y="212"/>
                                      </a:moveTo>
                                      <a:cubicBezTo>
                                        <a:pt x="218" y="212"/>
                                        <a:pt x="218" y="212"/>
                                        <a:pt x="218" y="212"/>
                                      </a:cubicBezTo>
                                      <a:cubicBezTo>
                                        <a:pt x="224" y="271"/>
                                        <a:pt x="224" y="271"/>
                                        <a:pt x="224" y="271"/>
                                      </a:cubicBezTo>
                                      <a:cubicBezTo>
                                        <a:pt x="156" y="271"/>
                                        <a:pt x="156" y="271"/>
                                        <a:pt x="156" y="271"/>
                                      </a:cubicBezTo>
                                      <a:lnTo>
                                        <a:pt x="163" y="212"/>
                                      </a:lnTo>
                                      <a:close/>
                                      <a:moveTo>
                                        <a:pt x="89" y="176"/>
                                      </a:moveTo>
                                      <a:cubicBezTo>
                                        <a:pt x="110" y="117"/>
                                        <a:pt x="110" y="117"/>
                                        <a:pt x="110" y="117"/>
                                      </a:cubicBezTo>
                                      <a:cubicBezTo>
                                        <a:pt x="138" y="117"/>
                                        <a:pt x="138" y="117"/>
                                        <a:pt x="138" y="117"/>
                                      </a:cubicBezTo>
                                      <a:cubicBezTo>
                                        <a:pt x="131" y="176"/>
                                        <a:pt x="131" y="176"/>
                                        <a:pt x="131" y="176"/>
                                      </a:cubicBezTo>
                                      <a:lnTo>
                                        <a:pt x="89" y="176"/>
                                      </a:lnTo>
                                      <a:close/>
                                      <a:moveTo>
                                        <a:pt x="146" y="720"/>
                                      </a:moveTo>
                                      <a:cubicBezTo>
                                        <a:pt x="81" y="720"/>
                                        <a:pt x="81" y="720"/>
                                        <a:pt x="81" y="720"/>
                                      </a:cubicBezTo>
                                      <a:cubicBezTo>
                                        <a:pt x="81" y="441"/>
                                        <a:pt x="81" y="441"/>
                                        <a:pt x="81" y="441"/>
                                      </a:cubicBezTo>
                                      <a:cubicBezTo>
                                        <a:pt x="121" y="441"/>
                                        <a:pt x="121" y="441"/>
                                        <a:pt x="121" y="441"/>
                                      </a:cubicBezTo>
                                      <a:cubicBezTo>
                                        <a:pt x="121" y="441"/>
                                        <a:pt x="121" y="441"/>
                                        <a:pt x="121" y="441"/>
                                      </a:cubicBezTo>
                                      <a:cubicBezTo>
                                        <a:pt x="146" y="441"/>
                                        <a:pt x="146" y="441"/>
                                        <a:pt x="146" y="441"/>
                                      </a:cubicBezTo>
                                      <a:lnTo>
                                        <a:pt x="146" y="720"/>
                                      </a:lnTo>
                                      <a:close/>
                                      <a:moveTo>
                                        <a:pt x="141" y="405"/>
                                      </a:moveTo>
                                      <a:cubicBezTo>
                                        <a:pt x="152" y="306"/>
                                        <a:pt x="152" y="306"/>
                                        <a:pt x="152" y="306"/>
                                      </a:cubicBezTo>
                                      <a:cubicBezTo>
                                        <a:pt x="228" y="306"/>
                                        <a:pt x="228" y="306"/>
                                        <a:pt x="228" y="306"/>
                                      </a:cubicBezTo>
                                      <a:cubicBezTo>
                                        <a:pt x="240" y="405"/>
                                        <a:pt x="240" y="405"/>
                                        <a:pt x="240" y="405"/>
                                      </a:cubicBezTo>
                                      <a:cubicBezTo>
                                        <a:pt x="164" y="405"/>
                                        <a:pt x="164" y="405"/>
                                        <a:pt x="164" y="405"/>
                                      </a:cubicBezTo>
                                      <a:lnTo>
                                        <a:pt x="141" y="405"/>
                                      </a:lnTo>
                                      <a:close/>
                                      <a:moveTo>
                                        <a:pt x="247" y="720"/>
                                      </a:moveTo>
                                      <a:cubicBezTo>
                                        <a:pt x="182" y="720"/>
                                        <a:pt x="182" y="720"/>
                                        <a:pt x="182" y="720"/>
                                      </a:cubicBezTo>
                                      <a:cubicBezTo>
                                        <a:pt x="182" y="441"/>
                                        <a:pt x="182" y="441"/>
                                        <a:pt x="182" y="441"/>
                                      </a:cubicBezTo>
                                      <a:cubicBezTo>
                                        <a:pt x="247" y="441"/>
                                        <a:pt x="247" y="441"/>
                                        <a:pt x="247" y="441"/>
                                      </a:cubicBezTo>
                                      <a:lnTo>
                                        <a:pt x="247" y="720"/>
                                      </a:lnTo>
                                      <a:close/>
                                      <a:moveTo>
                                        <a:pt x="243" y="117"/>
                                      </a:moveTo>
                                      <a:cubicBezTo>
                                        <a:pt x="271" y="117"/>
                                        <a:pt x="271" y="117"/>
                                        <a:pt x="271" y="117"/>
                                      </a:cubicBezTo>
                                      <a:cubicBezTo>
                                        <a:pt x="292" y="176"/>
                                        <a:pt x="292" y="176"/>
                                        <a:pt x="292" y="176"/>
                                      </a:cubicBezTo>
                                      <a:cubicBezTo>
                                        <a:pt x="250" y="176"/>
                                        <a:pt x="250" y="176"/>
                                        <a:pt x="250" y="176"/>
                                      </a:cubicBezTo>
                                      <a:lnTo>
                                        <a:pt x="243" y="117"/>
                                      </a:lnTo>
                                      <a:close/>
                                      <a:moveTo>
                                        <a:pt x="348" y="720"/>
                                      </a:moveTo>
                                      <a:cubicBezTo>
                                        <a:pt x="283" y="720"/>
                                        <a:pt x="283" y="720"/>
                                        <a:pt x="283" y="720"/>
                                      </a:cubicBezTo>
                                      <a:cubicBezTo>
                                        <a:pt x="283" y="441"/>
                                        <a:pt x="283" y="441"/>
                                        <a:pt x="283" y="441"/>
                                      </a:cubicBezTo>
                                      <a:cubicBezTo>
                                        <a:pt x="348" y="441"/>
                                        <a:pt x="348" y="441"/>
                                        <a:pt x="348" y="441"/>
                                      </a:cubicBezTo>
                                      <a:lnTo>
                                        <a:pt x="348" y="720"/>
                                      </a:lnTo>
                                      <a:close/>
                                      <a:moveTo>
                                        <a:pt x="659" y="723"/>
                                      </a:moveTo>
                                      <a:cubicBezTo>
                                        <a:pt x="380" y="723"/>
                                        <a:pt x="380" y="723"/>
                                        <a:pt x="380" y="723"/>
                                      </a:cubicBezTo>
                                      <a:cubicBezTo>
                                        <a:pt x="380" y="313"/>
                                        <a:pt x="380" y="313"/>
                                        <a:pt x="380" y="313"/>
                                      </a:cubicBezTo>
                                      <a:cubicBezTo>
                                        <a:pt x="659" y="393"/>
                                        <a:pt x="659" y="393"/>
                                        <a:pt x="659" y="393"/>
                                      </a:cubicBezTo>
                                      <a:lnTo>
                                        <a:pt x="659" y="7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993" y="1352"/>
                                  <a:ext cx="470" cy="85"/>
                                </a:xfrm>
                                <a:custGeom>
                                  <a:avLst/>
                                  <a:gdLst>
                                    <a:gd name="T0" fmla="*/ 18 w 199"/>
                                    <a:gd name="T1" fmla="*/ 36 h 36"/>
                                    <a:gd name="T2" fmla="*/ 181 w 199"/>
                                    <a:gd name="T3" fmla="*/ 36 h 36"/>
                                    <a:gd name="T4" fmla="*/ 199 w 199"/>
                                    <a:gd name="T5" fmla="*/ 18 h 36"/>
                                    <a:gd name="T6" fmla="*/ 181 w 199"/>
                                    <a:gd name="T7" fmla="*/ 0 h 36"/>
                                    <a:gd name="T8" fmla="*/ 18 w 199"/>
                                    <a:gd name="T9" fmla="*/ 0 h 36"/>
                                    <a:gd name="T10" fmla="*/ 0 w 199"/>
                                    <a:gd name="T11" fmla="*/ 18 h 36"/>
                                    <a:gd name="T12" fmla="*/ 18 w 199"/>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99" h="36">
                                      <a:moveTo>
                                        <a:pt x="18" y="36"/>
                                      </a:moveTo>
                                      <a:cubicBezTo>
                                        <a:pt x="181" y="36"/>
                                        <a:pt x="181" y="36"/>
                                        <a:pt x="181" y="36"/>
                                      </a:cubicBezTo>
                                      <a:cubicBezTo>
                                        <a:pt x="191" y="36"/>
                                        <a:pt x="199" y="28"/>
                                        <a:pt x="199" y="18"/>
                                      </a:cubicBezTo>
                                      <a:cubicBezTo>
                                        <a:pt x="199" y="8"/>
                                        <a:pt x="191" y="0"/>
                                        <a:pt x="181" y="0"/>
                                      </a:cubicBezTo>
                                      <a:cubicBezTo>
                                        <a:pt x="18" y="0"/>
                                        <a:pt x="18" y="0"/>
                                        <a:pt x="18" y="0"/>
                                      </a:cubicBezTo>
                                      <a:cubicBezTo>
                                        <a:pt x="8" y="0"/>
                                        <a:pt x="0" y="8"/>
                                        <a:pt x="0" y="18"/>
                                      </a:cubicBezTo>
                                      <a:cubicBezTo>
                                        <a:pt x="0" y="28"/>
                                        <a:pt x="8" y="36"/>
                                        <a:pt x="18"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93" y="1139"/>
                                  <a:ext cx="470" cy="85"/>
                                </a:xfrm>
                                <a:custGeom>
                                  <a:avLst/>
                                  <a:gdLst>
                                    <a:gd name="T0" fmla="*/ 18 w 199"/>
                                    <a:gd name="T1" fmla="*/ 36 h 36"/>
                                    <a:gd name="T2" fmla="*/ 181 w 199"/>
                                    <a:gd name="T3" fmla="*/ 36 h 36"/>
                                    <a:gd name="T4" fmla="*/ 199 w 199"/>
                                    <a:gd name="T5" fmla="*/ 18 h 36"/>
                                    <a:gd name="T6" fmla="*/ 181 w 199"/>
                                    <a:gd name="T7" fmla="*/ 0 h 36"/>
                                    <a:gd name="T8" fmla="*/ 18 w 199"/>
                                    <a:gd name="T9" fmla="*/ 0 h 36"/>
                                    <a:gd name="T10" fmla="*/ 0 w 199"/>
                                    <a:gd name="T11" fmla="*/ 18 h 36"/>
                                    <a:gd name="T12" fmla="*/ 18 w 199"/>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199" h="36">
                                      <a:moveTo>
                                        <a:pt x="18" y="36"/>
                                      </a:moveTo>
                                      <a:cubicBezTo>
                                        <a:pt x="181" y="36"/>
                                        <a:pt x="181" y="36"/>
                                        <a:pt x="181" y="36"/>
                                      </a:cubicBezTo>
                                      <a:cubicBezTo>
                                        <a:pt x="191" y="36"/>
                                        <a:pt x="199" y="28"/>
                                        <a:pt x="199" y="18"/>
                                      </a:cubicBezTo>
                                      <a:cubicBezTo>
                                        <a:pt x="199" y="8"/>
                                        <a:pt x="191" y="0"/>
                                        <a:pt x="181" y="0"/>
                                      </a:cubicBezTo>
                                      <a:cubicBezTo>
                                        <a:pt x="18" y="0"/>
                                        <a:pt x="18" y="0"/>
                                        <a:pt x="18" y="0"/>
                                      </a:cubicBezTo>
                                      <a:cubicBezTo>
                                        <a:pt x="8" y="0"/>
                                        <a:pt x="0" y="8"/>
                                        <a:pt x="0" y="18"/>
                                      </a:cubicBezTo>
                                      <a:cubicBezTo>
                                        <a:pt x="0" y="28"/>
                                        <a:pt x="8" y="36"/>
                                        <a:pt x="18"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340D20" id="Group 61" o:spid="_x0000_s1026" style="position:absolute;margin-left:54.45pt;margin-top:4.75pt;width:19.7pt;height:19.6pt;z-index:251661312;mso-width-relative:margin;mso-height-relative:margin" coordsize="1793,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">
                      <v:shape id="Freeform 9" o:spid="_x0000_s1027" style="position:absolute;left:1309;top:10;width:484;height:160;visibility:visible;mso-wrap-style:square;v-text-anchor:top" coordsize="2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" path="m10,52v8,6,19,4,25,-4c46,33,55,34,82,47v19,10,42,21,67,21c163,68,178,64,194,54v8,-5,11,-16,6,-24c194,21,183,19,175,24,150,39,129,30,97,15,84,8,70,2,55,1,36,,19,9,6,27,,35,2,46,10,52xe" filled="f" stroked="f">
                        <v:path arrowok="t" o:connecttype="custom" o:connectlocs="24,122;83,113;194,111;352,160;458,127;472,71;413,56;229,35;130,2;14,64;24,122" o:connectangles="0,0,0,0,0,0,0,0,0,0,0"/>
                      </v:shape>
                      <v:shape id="Freeform 10" o:spid="_x0000_s1028" style="position:absolute;left:1224;top:213;width:345;height:534;visibility:visible;mso-wrap-style:square;v-text-anchor:top" coordsize="1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" path="m10,89v,93,,93,,93c10,192,18,200,28,200v10,,18,-8,18,-18c46,73,46,73,46,73,46,66,42,60,36,57v,-21,,-21,,-21c110,36,110,36,110,36v,21,,21,,21c104,60,100,66,100,73v,135,,135,,135c100,218,108,226,118,226v10,,18,-8,18,-18c136,89,136,89,136,89v6,-3,10,-9,10,-16c146,18,146,18,146,18,146,8,138,,128,,18,,18,,18,,8,,,8,,18,,73,,73,,73v,7,4,13,10,16xe" filled="f" stroked="f">
                        <v:path arrowok="t" o:connecttype="custom" o:connectlocs="24,210;24,430;66,473;109,430;109,172;85,135;85,85;260,85;260,135;236,172;236,491;279,534;321,491;321,210;345,172;345,43;302,0;43,0;0,43;0,172;24,210" o:connectangles="0,0,0,0,0,0,0,0,0,0,0,0,0,0,0,0,0,0,0,0,0"/>
                      </v:shape>
                      <v:shape id="Freeform 11" o:spid="_x0000_s1029" style="position:absolute;width:1786;height:1786;visibility:visible;mso-wrap-style:square;v-text-anchor:top" coordsize="7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" path="m738,720v-39,,-39,,-39,c699,376,699,376,699,376v,-8,-5,-15,-13,-18c371,268,371,268,371,268v-5,-1,-11,,-16,3c351,275,348,280,348,286v,119,,119,,119c276,405,276,405,276,405,265,306,265,306,265,306v13,,13,,13,c288,306,296,298,296,289v,-10,-8,-18,-18,-18c261,271,261,271,261,271v-7,-59,-7,-59,-7,-59c317,212,317,212,317,212v1,,3,,4,-1c323,211,325,210,327,209v5,-3,8,-8,8,-12c336,195,336,193,335,191v,-2,,-3,-1,-4c300,93,300,93,300,93v,-1,-1,-2,-1,-3c297,86,293,82,286,81v-1,,-2,,-3,c239,81,239,81,239,81,232,16,232,16,232,16,231,7,223,,214,,167,,167,,167,v-9,,-17,7,-18,16c142,81,142,81,142,81v-44,,-44,,-44,c97,81,95,81,94,81v-4,1,-9,1,-12,9c81,91,81,92,80,93,46,187,46,187,46,187v,1,-1,2,-1,4c45,193,45,195,45,197v1,6,7,11,9,12c56,210,58,211,60,211v1,1,2,1,3,1c127,212,127,212,127,212v-7,59,-7,59,-7,59c103,271,103,271,103,271v-10,,-18,8,-18,18c85,298,93,306,103,306v13,,13,,13,c105,405,105,405,105,405v-42,,-42,,-42,c53,405,45,413,45,423v,297,,297,,297c18,720,18,720,18,720,8,720,,728,,738v,10,8,18,18,18c738,756,738,756,738,756v10,,18,-8,18,-18c756,728,748,720,738,720xm183,36v15,,15,,15,c203,81,203,81,203,81v-25,,-25,,-25,l183,36xm174,117v33,,33,,33,c214,176,214,176,214,176v-47,,-47,,-47,l174,117xm163,212v55,,55,,55,c224,271,224,271,224,271v-68,,-68,,-68,l163,212xm89,176v21,-59,21,-59,21,-59c138,117,138,117,138,117v-7,59,-7,59,-7,59l89,176xm146,720v-65,,-65,,-65,c81,441,81,441,81,441v40,,40,,40,c121,441,121,441,121,441v25,,25,,25,l146,720xm141,405v11,-99,11,-99,11,-99c228,306,228,306,228,306v12,99,12,99,12,99c164,405,164,405,164,405r-23,xm247,720v-65,,-65,,-65,c182,441,182,441,182,441v65,,65,,65,l247,720xm243,117v28,,28,,28,c292,176,292,176,292,176v-42,,-42,,-42,l243,117xm348,720v-65,,-65,,-65,c283,441,283,441,283,441v65,,65,,65,l348,720xm659,723v-279,,-279,,-279,c380,313,380,313,380,313v279,80,279,80,279,80l659,723xe" filled="f" stroked="f">
                        <v:path arrowok="t" o:connecttype="custom" o:connectlocs="1651,1701;1621,846;839,640;822,957;626,723;699,683;617,640;749,501;773,494;791,451;709,220;676,191;565,191;506,0;352,38;232,191;194,213;109,442;106,465;142,498;300,501;243,640;243,723;248,957;106,999;43,1701;43,1786;1786,1743;432,85;480,191;432,85;489,276;395,416;385,501;529,640;385,501;260,276;309,416;345,1701;191,1042;286,1042;345,1701;359,723;567,957;333,957;430,1701;584,1042;574,276;690,416;574,276;669,1701;822,1042;1557,1708;898,739;1557,1708" o:connectangles="0,0,0,0,0,0,0,0,0,0,0,0,0,0,0,0,0,0,0,0,0,0,0,0,0,0,0,0,0,0,0,0,0,0,0,0,0,0,0,0,0,0,0,0,0,0,0,0,0,0,0,0,0,0,0"/>
                        <o:lock v:ext="edit" verticies="t"/>
                      </v:shape>
                      <v:shape id="Freeform 12" o:spid="_x0000_s1030" style="position:absolute;left:993;top:1352;width:470;height:85;visibility:visible;mso-wrap-style:square;v-text-anchor:top" coordsize="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" path="m18,36v163,,163,,163,c191,36,199,28,199,18,199,8,191,,181,,18,,18,,18,,8,,,8,,18,,28,8,36,18,36xe" filled="f" stroked="f">
                        <v:path arrowok="t" o:connecttype="custom" o:connectlocs="43,85;427,85;470,43;427,0;43,0;0,43;43,85" o:connectangles="0,0,0,0,0,0,0"/>
                      </v:shape>
                      <v:shape id="Freeform 13" o:spid="_x0000_s1031" style="position:absolute;left:993;top:1139;width:470;height:85;visibility:visible;mso-wrap-style:square;v-text-anchor:top" coordsize="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" path="m18,36v163,,163,,163,c191,36,199,28,199,18,199,8,191,,181,,18,,18,,18,,8,,,8,,18,,28,8,36,18,36xe" filled="f" stroked="f">
                        <v:path arrowok="t" o:connecttype="custom" o:connectlocs="43,85;427,85;470,43;427,0;43,0;0,43;43,85" o:connectangles="0,0,0,0,0,0,0"/>
                      </v:shape>
                    </v:group>
                  </w:pict>
                </mc:Fallback>
              </mc:AlternateContent>
            </w:r>
            <w:r>
              <w:rPr>
                <w:noProof/>
                <w:color w:val="FF5050"/>
                <w:sz w:val="16"/>
                <w:lang w:eastAsia="fr-BE"/>
              </w:rPr>
              <mc:AlternateContent>
                <mc:Choice Requires="wps">
                  <w:drawing>
                    <wp:anchor distT="0" distB="0" distL="114300" distR="114300" simplePos="0" relativeHeight="251653120" behindDoc="0" locked="0" layoutInCell="1" allowOverlap="1">
                      <wp:simplePos x="0" y="0"/>
                      <wp:positionH relativeFrom="column">
                        <wp:posOffset>-635</wp:posOffset>
                      </wp:positionH>
                      <wp:positionV relativeFrom="paragraph">
                        <wp:posOffset>45720</wp:posOffset>
                      </wp:positionV>
                      <wp:extent cx="260985" cy="261620"/>
                      <wp:effectExtent l="0" t="0" r="5715" b="5080"/>
                      <wp:wrapNone/>
                      <wp:docPr id="2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60985" cy="261620"/>
                              </a:xfrm>
                              <a:custGeom>
                                <a:avLst/>
                                <a:gdLst>
                                  <a:gd name="T0" fmla="*/ 86 w 193"/>
                                  <a:gd name="T1" fmla="*/ 189 h 193"/>
                                  <a:gd name="T2" fmla="*/ 0 w 193"/>
                                  <a:gd name="T3" fmla="*/ 98 h 193"/>
                                  <a:gd name="T4" fmla="*/ 30 w 193"/>
                                  <a:gd name="T5" fmla="*/ 62 h 193"/>
                                  <a:gd name="T6" fmla="*/ 37 w 193"/>
                                  <a:gd name="T7" fmla="*/ 64 h 193"/>
                                  <a:gd name="T8" fmla="*/ 77 w 193"/>
                                  <a:gd name="T9" fmla="*/ 76 h 193"/>
                                  <a:gd name="T10" fmla="*/ 65 w 193"/>
                                  <a:gd name="T11" fmla="*/ 36 h 193"/>
                                  <a:gd name="T12" fmla="*/ 63 w 193"/>
                                  <a:gd name="T13" fmla="*/ 29 h 193"/>
                                  <a:gd name="T14" fmla="*/ 106 w 193"/>
                                  <a:gd name="T15" fmla="*/ 6 h 193"/>
                                  <a:gd name="T16" fmla="*/ 136 w 193"/>
                                  <a:gd name="T17" fmla="*/ 12 h 193"/>
                                  <a:gd name="T18" fmla="*/ 181 w 193"/>
                                  <a:gd name="T19" fmla="*/ 58 h 193"/>
                                  <a:gd name="T20" fmla="*/ 187 w 193"/>
                                  <a:gd name="T21" fmla="*/ 88 h 193"/>
                                  <a:gd name="T22" fmla="*/ 187 w 193"/>
                                  <a:gd name="T23" fmla="*/ 108 h 193"/>
                                  <a:gd name="T24" fmla="*/ 160 w 193"/>
                                  <a:gd name="T25" fmla="*/ 132 h 193"/>
                                  <a:gd name="T26" fmla="*/ 151 w 193"/>
                                  <a:gd name="T27" fmla="*/ 117 h 193"/>
                                  <a:gd name="T28" fmla="*/ 117 w 193"/>
                                  <a:gd name="T29" fmla="*/ 150 h 193"/>
                                  <a:gd name="T30" fmla="*/ 132 w 193"/>
                                  <a:gd name="T31" fmla="*/ 159 h 193"/>
                                  <a:gd name="T32" fmla="*/ 106 w 193"/>
                                  <a:gd name="T33" fmla="*/ 189 h 193"/>
                                  <a:gd name="T34" fmla="*/ 31 w 193"/>
                                  <a:gd name="T35" fmla="*/ 73 h 193"/>
                                  <a:gd name="T36" fmla="*/ 9 w 193"/>
                                  <a:gd name="T37" fmla="*/ 98 h 193"/>
                                  <a:gd name="T38" fmla="*/ 92 w 193"/>
                                  <a:gd name="T39" fmla="*/ 183 h 193"/>
                                  <a:gd name="T40" fmla="*/ 120 w 193"/>
                                  <a:gd name="T41" fmla="*/ 162 h 193"/>
                                  <a:gd name="T42" fmla="*/ 102 w 193"/>
                                  <a:gd name="T43" fmla="*/ 133 h 193"/>
                                  <a:gd name="T44" fmla="*/ 157 w 193"/>
                                  <a:gd name="T45" fmla="*/ 111 h 193"/>
                                  <a:gd name="T46" fmla="*/ 181 w 193"/>
                                  <a:gd name="T47" fmla="*/ 102 h 193"/>
                                  <a:gd name="T48" fmla="*/ 181 w 193"/>
                                  <a:gd name="T49" fmla="*/ 94 h 193"/>
                                  <a:gd name="T50" fmla="*/ 152 w 193"/>
                                  <a:gd name="T51" fmla="*/ 61 h 193"/>
                                  <a:gd name="T52" fmla="*/ 175 w 193"/>
                                  <a:gd name="T53" fmla="*/ 52 h 193"/>
                                  <a:gd name="T54" fmla="*/ 142 w 193"/>
                                  <a:gd name="T55" fmla="*/ 18 h 193"/>
                                  <a:gd name="T56" fmla="*/ 132 w 193"/>
                                  <a:gd name="T57" fmla="*/ 41 h 193"/>
                                  <a:gd name="T58" fmla="*/ 100 w 193"/>
                                  <a:gd name="T59" fmla="*/ 12 h 193"/>
                                  <a:gd name="T60" fmla="*/ 74 w 193"/>
                                  <a:gd name="T61" fmla="*/ 30 h 193"/>
                                  <a:gd name="T62" fmla="*/ 83 w 193"/>
                                  <a:gd name="T63" fmla="*/ 82 h 193"/>
                                  <a:gd name="T64" fmla="*/ 31 w 193"/>
                                  <a:gd name="T65" fmla="*/ 7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93">
                                    <a:moveTo>
                                      <a:pt x="96" y="193"/>
                                    </a:moveTo>
                                    <a:cubicBezTo>
                                      <a:pt x="92" y="193"/>
                                      <a:pt x="88" y="192"/>
                                      <a:pt x="86" y="189"/>
                                    </a:cubicBezTo>
                                    <a:cubicBezTo>
                                      <a:pt x="4" y="108"/>
                                      <a:pt x="4" y="108"/>
                                      <a:pt x="4" y="108"/>
                                    </a:cubicBezTo>
                                    <a:cubicBezTo>
                                      <a:pt x="1" y="105"/>
                                      <a:pt x="0" y="101"/>
                                      <a:pt x="0" y="98"/>
                                    </a:cubicBezTo>
                                    <a:cubicBezTo>
                                      <a:pt x="0" y="94"/>
                                      <a:pt x="1" y="90"/>
                                      <a:pt x="4" y="88"/>
                                    </a:cubicBezTo>
                                    <a:cubicBezTo>
                                      <a:pt x="30" y="62"/>
                                      <a:pt x="30" y="62"/>
                                      <a:pt x="30" y="62"/>
                                    </a:cubicBezTo>
                                    <a:cubicBezTo>
                                      <a:pt x="31" y="61"/>
                                      <a:pt x="32" y="61"/>
                                      <a:pt x="34" y="61"/>
                                    </a:cubicBezTo>
                                    <a:cubicBezTo>
                                      <a:pt x="35" y="62"/>
                                      <a:pt x="37" y="63"/>
                                      <a:pt x="37" y="64"/>
                                    </a:cubicBezTo>
                                    <a:cubicBezTo>
                                      <a:pt x="38" y="69"/>
                                      <a:pt x="40" y="73"/>
                                      <a:pt x="43" y="76"/>
                                    </a:cubicBezTo>
                                    <a:cubicBezTo>
                                      <a:pt x="52" y="85"/>
                                      <a:pt x="68" y="85"/>
                                      <a:pt x="77" y="76"/>
                                    </a:cubicBezTo>
                                    <a:cubicBezTo>
                                      <a:pt x="86" y="67"/>
                                      <a:pt x="86" y="52"/>
                                      <a:pt x="77" y="43"/>
                                    </a:cubicBezTo>
                                    <a:cubicBezTo>
                                      <a:pt x="73" y="40"/>
                                      <a:pt x="69" y="37"/>
                                      <a:pt x="65" y="36"/>
                                    </a:cubicBezTo>
                                    <a:cubicBezTo>
                                      <a:pt x="63" y="36"/>
                                      <a:pt x="62" y="35"/>
                                      <a:pt x="62" y="33"/>
                                    </a:cubicBezTo>
                                    <a:cubicBezTo>
                                      <a:pt x="61" y="32"/>
                                      <a:pt x="62" y="30"/>
                                      <a:pt x="63" y="29"/>
                                    </a:cubicBezTo>
                                    <a:cubicBezTo>
                                      <a:pt x="86" y="6"/>
                                      <a:pt x="86" y="6"/>
                                      <a:pt x="86" y="6"/>
                                    </a:cubicBezTo>
                                    <a:cubicBezTo>
                                      <a:pt x="91" y="1"/>
                                      <a:pt x="100" y="1"/>
                                      <a:pt x="106" y="6"/>
                                    </a:cubicBezTo>
                                    <a:cubicBezTo>
                                      <a:pt x="127" y="28"/>
                                      <a:pt x="127" y="28"/>
                                      <a:pt x="127" y="28"/>
                                    </a:cubicBezTo>
                                    <a:cubicBezTo>
                                      <a:pt x="128" y="22"/>
                                      <a:pt x="131" y="17"/>
                                      <a:pt x="136" y="12"/>
                                    </a:cubicBezTo>
                                    <a:cubicBezTo>
                                      <a:pt x="148" y="0"/>
                                      <a:pt x="169" y="0"/>
                                      <a:pt x="181" y="12"/>
                                    </a:cubicBezTo>
                                    <a:cubicBezTo>
                                      <a:pt x="193" y="25"/>
                                      <a:pt x="193" y="45"/>
                                      <a:pt x="181" y="58"/>
                                    </a:cubicBezTo>
                                    <a:cubicBezTo>
                                      <a:pt x="177" y="62"/>
                                      <a:pt x="171" y="65"/>
                                      <a:pt x="166" y="66"/>
                                    </a:cubicBezTo>
                                    <a:cubicBezTo>
                                      <a:pt x="187" y="88"/>
                                      <a:pt x="187" y="88"/>
                                      <a:pt x="187" y="88"/>
                                    </a:cubicBezTo>
                                    <a:cubicBezTo>
                                      <a:pt x="190" y="90"/>
                                      <a:pt x="191" y="94"/>
                                      <a:pt x="191" y="98"/>
                                    </a:cubicBezTo>
                                    <a:cubicBezTo>
                                      <a:pt x="191" y="101"/>
                                      <a:pt x="190" y="105"/>
                                      <a:pt x="187" y="108"/>
                                    </a:cubicBezTo>
                                    <a:cubicBezTo>
                                      <a:pt x="164" y="131"/>
                                      <a:pt x="164" y="131"/>
                                      <a:pt x="164" y="131"/>
                                    </a:cubicBezTo>
                                    <a:cubicBezTo>
                                      <a:pt x="163" y="132"/>
                                      <a:pt x="161" y="132"/>
                                      <a:pt x="160" y="132"/>
                                    </a:cubicBezTo>
                                    <a:cubicBezTo>
                                      <a:pt x="158" y="131"/>
                                      <a:pt x="157" y="130"/>
                                      <a:pt x="157" y="129"/>
                                    </a:cubicBezTo>
                                    <a:cubicBezTo>
                                      <a:pt x="156" y="124"/>
                                      <a:pt x="154" y="120"/>
                                      <a:pt x="151" y="117"/>
                                    </a:cubicBezTo>
                                    <a:cubicBezTo>
                                      <a:pt x="142" y="108"/>
                                      <a:pt x="126" y="108"/>
                                      <a:pt x="117" y="117"/>
                                    </a:cubicBezTo>
                                    <a:cubicBezTo>
                                      <a:pt x="108" y="126"/>
                                      <a:pt x="108" y="141"/>
                                      <a:pt x="117" y="150"/>
                                    </a:cubicBezTo>
                                    <a:cubicBezTo>
                                      <a:pt x="121" y="153"/>
                                      <a:pt x="125" y="155"/>
                                      <a:pt x="129" y="156"/>
                                    </a:cubicBezTo>
                                    <a:cubicBezTo>
                                      <a:pt x="131" y="157"/>
                                      <a:pt x="132" y="158"/>
                                      <a:pt x="132" y="159"/>
                                    </a:cubicBezTo>
                                    <a:cubicBezTo>
                                      <a:pt x="133" y="161"/>
                                      <a:pt x="132" y="162"/>
                                      <a:pt x="131" y="164"/>
                                    </a:cubicBezTo>
                                    <a:cubicBezTo>
                                      <a:pt x="106" y="189"/>
                                      <a:pt x="106" y="189"/>
                                      <a:pt x="106" y="189"/>
                                    </a:cubicBezTo>
                                    <a:cubicBezTo>
                                      <a:pt x="103" y="192"/>
                                      <a:pt x="99" y="193"/>
                                      <a:pt x="96" y="193"/>
                                    </a:cubicBezTo>
                                    <a:close/>
                                    <a:moveTo>
                                      <a:pt x="31" y="73"/>
                                    </a:moveTo>
                                    <a:cubicBezTo>
                                      <a:pt x="10" y="94"/>
                                      <a:pt x="10" y="94"/>
                                      <a:pt x="10" y="94"/>
                                    </a:cubicBezTo>
                                    <a:cubicBezTo>
                                      <a:pt x="9" y="95"/>
                                      <a:pt x="9" y="96"/>
                                      <a:pt x="9" y="98"/>
                                    </a:cubicBezTo>
                                    <a:cubicBezTo>
                                      <a:pt x="9" y="99"/>
                                      <a:pt x="9" y="101"/>
                                      <a:pt x="10" y="102"/>
                                    </a:cubicBezTo>
                                    <a:cubicBezTo>
                                      <a:pt x="92" y="183"/>
                                      <a:pt x="92" y="183"/>
                                      <a:pt x="92" y="183"/>
                                    </a:cubicBezTo>
                                    <a:cubicBezTo>
                                      <a:pt x="94" y="185"/>
                                      <a:pt x="97" y="185"/>
                                      <a:pt x="100" y="183"/>
                                    </a:cubicBezTo>
                                    <a:cubicBezTo>
                                      <a:pt x="120" y="162"/>
                                      <a:pt x="120" y="162"/>
                                      <a:pt x="120" y="162"/>
                                    </a:cubicBezTo>
                                    <a:cubicBezTo>
                                      <a:pt x="117" y="161"/>
                                      <a:pt x="114" y="159"/>
                                      <a:pt x="111" y="156"/>
                                    </a:cubicBezTo>
                                    <a:cubicBezTo>
                                      <a:pt x="105" y="150"/>
                                      <a:pt x="102" y="142"/>
                                      <a:pt x="102" y="133"/>
                                    </a:cubicBezTo>
                                    <a:cubicBezTo>
                                      <a:pt x="102" y="125"/>
                                      <a:pt x="105" y="117"/>
                                      <a:pt x="111" y="111"/>
                                    </a:cubicBezTo>
                                    <a:cubicBezTo>
                                      <a:pt x="123" y="99"/>
                                      <a:pt x="144" y="99"/>
                                      <a:pt x="157" y="111"/>
                                    </a:cubicBezTo>
                                    <a:cubicBezTo>
                                      <a:pt x="159" y="113"/>
                                      <a:pt x="161" y="116"/>
                                      <a:pt x="163" y="120"/>
                                    </a:cubicBezTo>
                                    <a:cubicBezTo>
                                      <a:pt x="181" y="102"/>
                                      <a:pt x="181" y="102"/>
                                      <a:pt x="181" y="102"/>
                                    </a:cubicBezTo>
                                    <a:cubicBezTo>
                                      <a:pt x="182" y="101"/>
                                      <a:pt x="183" y="99"/>
                                      <a:pt x="183" y="98"/>
                                    </a:cubicBezTo>
                                    <a:cubicBezTo>
                                      <a:pt x="183" y="96"/>
                                      <a:pt x="182" y="95"/>
                                      <a:pt x="181" y="94"/>
                                    </a:cubicBezTo>
                                    <a:cubicBezTo>
                                      <a:pt x="153" y="66"/>
                                      <a:pt x="153" y="66"/>
                                      <a:pt x="153" y="66"/>
                                    </a:cubicBezTo>
                                    <a:cubicBezTo>
                                      <a:pt x="152" y="64"/>
                                      <a:pt x="151" y="63"/>
                                      <a:pt x="152" y="61"/>
                                    </a:cubicBezTo>
                                    <a:cubicBezTo>
                                      <a:pt x="153" y="59"/>
                                      <a:pt x="154" y="58"/>
                                      <a:pt x="156" y="58"/>
                                    </a:cubicBezTo>
                                    <a:cubicBezTo>
                                      <a:pt x="163" y="59"/>
                                      <a:pt x="170" y="57"/>
                                      <a:pt x="175" y="52"/>
                                    </a:cubicBezTo>
                                    <a:cubicBezTo>
                                      <a:pt x="184" y="43"/>
                                      <a:pt x="184" y="28"/>
                                      <a:pt x="175" y="18"/>
                                    </a:cubicBezTo>
                                    <a:cubicBezTo>
                                      <a:pt x="166" y="10"/>
                                      <a:pt x="150" y="10"/>
                                      <a:pt x="142" y="18"/>
                                    </a:cubicBezTo>
                                    <a:cubicBezTo>
                                      <a:pt x="137" y="23"/>
                                      <a:pt x="134" y="30"/>
                                      <a:pt x="135" y="37"/>
                                    </a:cubicBezTo>
                                    <a:cubicBezTo>
                                      <a:pt x="135" y="39"/>
                                      <a:pt x="134" y="40"/>
                                      <a:pt x="132" y="41"/>
                                    </a:cubicBezTo>
                                    <a:cubicBezTo>
                                      <a:pt x="131" y="42"/>
                                      <a:pt x="129" y="42"/>
                                      <a:pt x="128" y="40"/>
                                    </a:cubicBezTo>
                                    <a:cubicBezTo>
                                      <a:pt x="100" y="12"/>
                                      <a:pt x="100" y="12"/>
                                      <a:pt x="100" y="12"/>
                                    </a:cubicBezTo>
                                    <a:cubicBezTo>
                                      <a:pt x="97" y="10"/>
                                      <a:pt x="94" y="10"/>
                                      <a:pt x="92" y="12"/>
                                    </a:cubicBezTo>
                                    <a:cubicBezTo>
                                      <a:pt x="74" y="30"/>
                                      <a:pt x="74" y="30"/>
                                      <a:pt x="74" y="30"/>
                                    </a:cubicBezTo>
                                    <a:cubicBezTo>
                                      <a:pt x="77" y="32"/>
                                      <a:pt x="80" y="34"/>
                                      <a:pt x="83" y="37"/>
                                    </a:cubicBezTo>
                                    <a:cubicBezTo>
                                      <a:pt x="95" y="49"/>
                                      <a:pt x="95" y="70"/>
                                      <a:pt x="83" y="82"/>
                                    </a:cubicBezTo>
                                    <a:cubicBezTo>
                                      <a:pt x="70" y="94"/>
                                      <a:pt x="49" y="94"/>
                                      <a:pt x="37" y="82"/>
                                    </a:cubicBezTo>
                                    <a:cubicBezTo>
                                      <a:pt x="35" y="79"/>
                                      <a:pt x="32" y="76"/>
                                      <a:pt x="31" y="73"/>
                                    </a:cubicBezTo>
                                    <a:close/>
                                  </a:path>
                                </a:pathLst>
                              </a:custGeom>
                              <a:solidFill>
                                <a:sysClr val="window" lastClr="FFFFFF"/>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4EA77D" id="Freeform 137" o:spid="_x0000_s1026" style="position:absolute;margin-left:-.05pt;margin-top:3.6pt;width:20.55pt;height:2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" path="m96,193v-4,,-8,-1,-10,-4c4,108,4,108,4,108,1,105,,101,,98,,94,1,90,4,88,30,62,30,62,30,62v1,-1,2,-1,4,-1c35,62,37,63,37,64v1,5,3,9,6,12c52,85,68,85,77,76v9,-9,9,-24,,-33c73,40,69,37,65,36v-2,,-3,-1,-3,-3c61,32,62,30,63,29,86,6,86,6,86,6v5,-5,14,-5,20,c127,28,127,28,127,28v1,-6,4,-11,9,-16c148,,169,,181,12v12,13,12,33,,46c177,62,171,65,166,66v21,22,21,22,21,22c190,90,191,94,191,98v,3,-1,7,-4,10c164,131,164,131,164,131v-1,1,-3,1,-4,1c158,131,157,130,157,129v-1,-5,-3,-9,-6,-12c142,108,126,108,117,117v-9,9,-9,24,,33c121,153,125,155,129,156v2,1,3,2,3,3c133,161,132,162,131,164v-25,25,-25,25,-25,25c103,192,99,193,96,193xm31,73c10,94,10,94,10,94,9,95,9,96,9,98v,1,,3,1,4c92,183,92,183,92,183v2,2,5,2,8,c120,162,120,162,120,162v-3,-1,-6,-3,-9,-6c105,150,102,142,102,133v,-8,3,-16,9,-22c123,99,144,99,157,111v2,2,4,5,6,9c181,102,181,102,181,102v1,-1,2,-3,2,-4c183,96,182,95,181,94,153,66,153,66,153,66v-1,-2,-2,-3,-1,-5c153,59,154,58,156,58v7,1,14,-1,19,-6c184,43,184,28,175,18v-9,-8,-25,-8,-33,c137,23,134,30,135,37v,2,-1,3,-3,4c131,42,129,42,128,40,100,12,100,12,100,12v-3,-2,-6,-2,-8,c74,30,74,30,74,30v3,2,6,4,9,7c95,49,95,70,83,82,70,94,49,94,37,82,35,79,32,76,31,73xe" fillcolor="window" stroked="f">
                      <v:path arrowok="t" o:connecttype="custom" o:connectlocs="116294,256198;0,132843;40568,84044;50033,86755;104124,103021;87897,48800;85192,39311;143339,8133;183907,16267;244758,78622;252871,119288;252871,146399;216361,178932;204190,158599;158214,203332;178498,215532;143339,256198;41920,98955;12170,132843;124407,248065;162270,219598;137930,180287;212304,150465;244758,138265;244758,127421;205543,82688;236644,70488;192020,24400;178498,55577;135225,16267;100067,40666;112237,111155;41920,98955" o:connectangles="0,0,0,0,0,0,0,0,0,0,0,0,0,0,0,0,0,0,0,0,0,0,0,0,0,0,0,0,0,0,0,0,0"/>
                      <o:lock v:ext="edit" verticies="t"/>
                    </v:shape>
                  </w:pict>
                </mc:Fallback>
              </mc:AlternateContent>
            </w:r>
          </w:p>
        </w:tc>
        <w:tc>
          <w:tcPr>
            <w:tcW w:w="1843" w:type="dxa"/>
            <w:tcBorders>
              <w:top w:val="single" w:sz="6" w:space="0" w:color="FFFFFF" w:themeColor="background1"/>
              <w:bottom w:val="single" w:sz="6" w:space="0" w:color="FFFFFF" w:themeColor="background1"/>
            </w:tcBorders>
            <w:shd w:val="clear" w:color="auto" w:fill="A5A5A5" w:themeFill="accent3"/>
          </w:tcPr>
          <w:p w:rsidR="00315B87" w:rsidRDefault="00C32692">
            <w:pPr>
              <w:suppressAutoHyphens/>
              <w:rPr>
                <w:noProof/>
                <w:color w:val="F26A47"/>
              </w:rPr>
            </w:pPr>
            <w:r>
              <w:rPr>
                <w:noProof/>
                <w:color w:val="F26A47"/>
                <w:lang w:eastAsia="fr-BE"/>
              </w:rPr>
              <mc:AlternateContent>
                <mc:Choice Requires="wpg">
                  <w:drawing>
                    <wp:anchor distT="0" distB="0" distL="114300" distR="114300" simplePos="0" relativeHeight="251662336" behindDoc="0" locked="0" layoutInCell="1" allowOverlap="1">
                      <wp:simplePos x="0" y="0"/>
                      <wp:positionH relativeFrom="column">
                        <wp:posOffset>379774</wp:posOffset>
                      </wp:positionH>
                      <wp:positionV relativeFrom="paragraph">
                        <wp:posOffset>33020</wp:posOffset>
                      </wp:positionV>
                      <wp:extent cx="219710" cy="274955"/>
                      <wp:effectExtent l="38100" t="0" r="8890" b="0"/>
                      <wp:wrapNone/>
                      <wp:docPr id="23" name="Group 2077"/>
                      <wp:cNvGraphicFramePr/>
                      <a:graphic xmlns:a="http://schemas.openxmlformats.org/drawingml/2006/main">
                        <a:graphicData uri="http://schemas.microsoft.com/office/word/2010/wordprocessingGroup">
                          <wpg:wgp>
                            <wpg:cNvGrpSpPr/>
                            <wpg:grpSpPr>
                              <a:xfrm>
                                <a:off x="0" y="0"/>
                                <a:ext cx="219710" cy="274955"/>
                                <a:chOff x="0" y="0"/>
                                <a:chExt cx="252413" cy="315913"/>
                              </a:xfrm>
                              <a:solidFill>
                                <a:sysClr val="window" lastClr="FFFFFF"/>
                              </a:solidFill>
                            </wpg:grpSpPr>
                            <wps:wsp>
                              <wps:cNvPr id="24" name="Freeform 24"/>
                              <wps:cNvSpPr>
                                <a:spLocks noEditPoints="1"/>
                              </wps:cNvSpPr>
                              <wps:spPr bwMode="auto">
                                <a:xfrm>
                                  <a:off x="0" y="0"/>
                                  <a:ext cx="252413" cy="315913"/>
                                </a:xfrm>
                                <a:custGeom>
                                  <a:avLst/>
                                  <a:gdLst>
                                    <a:gd name="T0" fmla="*/ 173 w 192"/>
                                    <a:gd name="T1" fmla="*/ 145 h 237"/>
                                    <a:gd name="T2" fmla="*/ 149 w 192"/>
                                    <a:gd name="T3" fmla="*/ 183 h 237"/>
                                    <a:gd name="T4" fmla="*/ 119 w 192"/>
                                    <a:gd name="T5" fmla="*/ 192 h 237"/>
                                    <a:gd name="T6" fmla="*/ 179 w 192"/>
                                    <a:gd name="T7" fmla="*/ 113 h 237"/>
                                    <a:gd name="T8" fmla="*/ 105 w 192"/>
                                    <a:gd name="T9" fmla="*/ 158 h 237"/>
                                    <a:gd name="T10" fmla="*/ 56 w 192"/>
                                    <a:gd name="T11" fmla="*/ 121 h 237"/>
                                    <a:gd name="T12" fmla="*/ 80 w 192"/>
                                    <a:gd name="T13" fmla="*/ 114 h 237"/>
                                    <a:gd name="T14" fmla="*/ 80 w 192"/>
                                    <a:gd name="T15" fmla="*/ 114 h 237"/>
                                    <a:gd name="T16" fmla="*/ 80 w 192"/>
                                    <a:gd name="T17" fmla="*/ 114 h 237"/>
                                    <a:gd name="T18" fmla="*/ 81 w 192"/>
                                    <a:gd name="T19" fmla="*/ 115 h 237"/>
                                    <a:gd name="T20" fmla="*/ 107 w 192"/>
                                    <a:gd name="T21" fmla="*/ 129 h 237"/>
                                    <a:gd name="T22" fmla="*/ 129 w 192"/>
                                    <a:gd name="T23" fmla="*/ 118 h 237"/>
                                    <a:gd name="T24" fmla="*/ 115 w 192"/>
                                    <a:gd name="T25" fmla="*/ 81 h 237"/>
                                    <a:gd name="T26" fmla="*/ 115 w 192"/>
                                    <a:gd name="T27" fmla="*/ 80 h 237"/>
                                    <a:gd name="T28" fmla="*/ 114 w 192"/>
                                    <a:gd name="T29" fmla="*/ 80 h 237"/>
                                    <a:gd name="T30" fmla="*/ 114 w 192"/>
                                    <a:gd name="T31" fmla="*/ 80 h 237"/>
                                    <a:gd name="T32" fmla="*/ 66 w 192"/>
                                    <a:gd name="T33" fmla="*/ 32 h 237"/>
                                    <a:gd name="T34" fmla="*/ 34 w 192"/>
                                    <a:gd name="T35" fmla="*/ 16 h 237"/>
                                    <a:gd name="T36" fmla="*/ 23 w 192"/>
                                    <a:gd name="T37" fmla="*/ 0 h 237"/>
                                    <a:gd name="T38" fmla="*/ 0 w 192"/>
                                    <a:gd name="T39" fmla="*/ 23 h 237"/>
                                    <a:gd name="T40" fmla="*/ 16 w 192"/>
                                    <a:gd name="T41" fmla="*/ 34 h 237"/>
                                    <a:gd name="T42" fmla="*/ 33 w 192"/>
                                    <a:gd name="T43" fmla="*/ 68 h 237"/>
                                    <a:gd name="T44" fmla="*/ 31 w 192"/>
                                    <a:gd name="T45" fmla="*/ 89 h 237"/>
                                    <a:gd name="T46" fmla="*/ 79 w 192"/>
                                    <a:gd name="T47" fmla="*/ 193 h 237"/>
                                    <a:gd name="T48" fmla="*/ 46 w 192"/>
                                    <a:gd name="T49" fmla="*/ 229 h 237"/>
                                    <a:gd name="T50" fmla="*/ 148 w 192"/>
                                    <a:gd name="T51" fmla="*/ 237 h 237"/>
                                    <a:gd name="T52" fmla="*/ 136 w 192"/>
                                    <a:gd name="T53" fmla="*/ 213 h 237"/>
                                    <a:gd name="T54" fmla="*/ 136 w 192"/>
                                    <a:gd name="T55" fmla="*/ 200 h 237"/>
                                    <a:gd name="T56" fmla="*/ 155 w 192"/>
                                    <a:gd name="T57" fmla="*/ 188 h 237"/>
                                    <a:gd name="T58" fmla="*/ 162 w 192"/>
                                    <a:gd name="T59" fmla="*/ 190 h 237"/>
                                    <a:gd name="T60" fmla="*/ 164 w 192"/>
                                    <a:gd name="T61" fmla="*/ 109 h 237"/>
                                    <a:gd name="T62" fmla="*/ 112 w 192"/>
                                    <a:gd name="T63" fmla="*/ 161 h 237"/>
                                    <a:gd name="T64" fmla="*/ 54 w 192"/>
                                    <a:gd name="T65" fmla="*/ 65 h 237"/>
                                    <a:gd name="T66" fmla="*/ 37 w 192"/>
                                    <a:gd name="T67" fmla="*/ 82 h 237"/>
                                    <a:gd name="T68" fmla="*/ 100 w 192"/>
                                    <a:gd name="T69" fmla="*/ 113 h 237"/>
                                    <a:gd name="T70" fmla="*/ 123 w 192"/>
                                    <a:gd name="T71" fmla="*/ 113 h 237"/>
                                    <a:gd name="T72" fmla="*/ 106 w 192"/>
                                    <a:gd name="T73" fmla="*/ 117 h 237"/>
                                    <a:gd name="T74" fmla="*/ 123 w 192"/>
                                    <a:gd name="T75" fmla="*/ 113 h 237"/>
                                    <a:gd name="T76" fmla="*/ 106 w 192"/>
                                    <a:gd name="T77" fmla="*/ 82 h 237"/>
                                    <a:gd name="T78" fmla="*/ 78 w 192"/>
                                    <a:gd name="T79" fmla="*/ 82 h 237"/>
                                    <a:gd name="T80" fmla="*/ 39 w 192"/>
                                    <a:gd name="T81" fmla="*/ 62 h 237"/>
                                    <a:gd name="T82" fmla="*/ 55 w 192"/>
                                    <a:gd name="T83" fmla="*/ 38 h 237"/>
                                    <a:gd name="T84" fmla="*/ 44 w 192"/>
                                    <a:gd name="T85" fmla="*/ 37 h 237"/>
                                    <a:gd name="T86" fmla="*/ 29 w 192"/>
                                    <a:gd name="T87" fmla="*/ 22 h 237"/>
                                    <a:gd name="T88" fmla="*/ 9 w 192"/>
                                    <a:gd name="T89" fmla="*/ 20 h 237"/>
                                    <a:gd name="T90" fmla="*/ 26 w 192"/>
                                    <a:gd name="T91" fmla="*/ 9 h 237"/>
                                    <a:gd name="T92" fmla="*/ 15 w 192"/>
                                    <a:gd name="T93" fmla="*/ 26 h 237"/>
                                    <a:gd name="T94" fmla="*/ 31 w 192"/>
                                    <a:gd name="T95" fmla="*/ 121 h 237"/>
                                    <a:gd name="T96" fmla="*/ 48 w 192"/>
                                    <a:gd name="T97" fmla="*/ 121 h 237"/>
                                    <a:gd name="T98" fmla="*/ 79 w 192"/>
                                    <a:gd name="T99" fmla="*/ 185 h 237"/>
                                    <a:gd name="T100" fmla="*/ 144 w 192"/>
                                    <a:gd name="T101" fmla="*/ 229 h 237"/>
                                    <a:gd name="T102" fmla="*/ 62 w 192"/>
                                    <a:gd name="T103" fmla="*/ 221 h 237"/>
                                    <a:gd name="T104" fmla="*/ 86 w 192"/>
                                    <a:gd name="T105" fmla="*/ 213 h 237"/>
                                    <a:gd name="T106" fmla="*/ 112 w 192"/>
                                    <a:gd name="T107" fmla="*/ 177 h 237"/>
                                    <a:gd name="T108" fmla="*/ 159 w 192"/>
                                    <a:gd name="T109" fmla="*/ 182 h 237"/>
                                    <a:gd name="T110" fmla="*/ 182 w 192"/>
                                    <a:gd name="T111" fmla="*/ 159 h 237"/>
                                    <a:gd name="T112" fmla="*/ 159 w 192"/>
                                    <a:gd name="T113" fmla="*/ 18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2" h="237">
                                      <a:moveTo>
                                        <a:pt x="190" y="157"/>
                                      </a:moveTo>
                                      <a:cubicBezTo>
                                        <a:pt x="178" y="145"/>
                                        <a:pt x="178" y="145"/>
                                        <a:pt x="178" y="145"/>
                                      </a:cubicBezTo>
                                      <a:cubicBezTo>
                                        <a:pt x="177" y="144"/>
                                        <a:pt x="175" y="144"/>
                                        <a:pt x="173" y="145"/>
                                      </a:cubicBezTo>
                                      <a:cubicBezTo>
                                        <a:pt x="145" y="173"/>
                                        <a:pt x="145" y="173"/>
                                        <a:pt x="145" y="173"/>
                                      </a:cubicBezTo>
                                      <a:cubicBezTo>
                                        <a:pt x="144" y="175"/>
                                        <a:pt x="144" y="177"/>
                                        <a:pt x="145" y="179"/>
                                      </a:cubicBezTo>
                                      <a:cubicBezTo>
                                        <a:pt x="149" y="183"/>
                                        <a:pt x="149" y="183"/>
                                        <a:pt x="149" y="183"/>
                                      </a:cubicBezTo>
                                      <a:cubicBezTo>
                                        <a:pt x="142" y="190"/>
                                        <a:pt x="142" y="190"/>
                                        <a:pt x="142" y="190"/>
                                      </a:cubicBezTo>
                                      <a:cubicBezTo>
                                        <a:pt x="141" y="192"/>
                                        <a:pt x="139" y="192"/>
                                        <a:pt x="136" y="192"/>
                                      </a:cubicBezTo>
                                      <a:cubicBezTo>
                                        <a:pt x="119" y="192"/>
                                        <a:pt x="119" y="192"/>
                                        <a:pt x="119" y="192"/>
                                      </a:cubicBezTo>
                                      <a:cubicBezTo>
                                        <a:pt x="119" y="178"/>
                                        <a:pt x="119" y="178"/>
                                        <a:pt x="119" y="178"/>
                                      </a:cubicBezTo>
                                      <a:cubicBezTo>
                                        <a:pt x="179" y="118"/>
                                        <a:pt x="179" y="118"/>
                                        <a:pt x="179" y="118"/>
                                      </a:cubicBezTo>
                                      <a:cubicBezTo>
                                        <a:pt x="180" y="117"/>
                                        <a:pt x="180" y="114"/>
                                        <a:pt x="179" y="113"/>
                                      </a:cubicBezTo>
                                      <a:cubicBezTo>
                                        <a:pt x="167" y="101"/>
                                        <a:pt x="167" y="101"/>
                                        <a:pt x="167" y="101"/>
                                      </a:cubicBezTo>
                                      <a:cubicBezTo>
                                        <a:pt x="166" y="100"/>
                                        <a:pt x="163" y="100"/>
                                        <a:pt x="162" y="101"/>
                                      </a:cubicBezTo>
                                      <a:cubicBezTo>
                                        <a:pt x="105" y="158"/>
                                        <a:pt x="105" y="158"/>
                                        <a:pt x="105" y="158"/>
                                      </a:cubicBezTo>
                                      <a:cubicBezTo>
                                        <a:pt x="103" y="157"/>
                                        <a:pt x="101" y="157"/>
                                        <a:pt x="99" y="157"/>
                                      </a:cubicBezTo>
                                      <a:cubicBezTo>
                                        <a:pt x="94" y="157"/>
                                        <a:pt x="89" y="158"/>
                                        <a:pt x="86" y="162"/>
                                      </a:cubicBezTo>
                                      <a:cubicBezTo>
                                        <a:pt x="68" y="156"/>
                                        <a:pt x="56" y="139"/>
                                        <a:pt x="56" y="121"/>
                                      </a:cubicBezTo>
                                      <a:cubicBezTo>
                                        <a:pt x="56" y="115"/>
                                        <a:pt x="57" y="110"/>
                                        <a:pt x="58" y="106"/>
                                      </a:cubicBezTo>
                                      <a:cubicBezTo>
                                        <a:pt x="62" y="105"/>
                                        <a:pt x="65" y="104"/>
                                        <a:pt x="68" y="102"/>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0" y="114"/>
                                        <a:pt x="80" y="114"/>
                                        <a:pt x="80" y="114"/>
                                      </a:cubicBezTo>
                                      <a:cubicBezTo>
                                        <a:pt x="81" y="115"/>
                                        <a:pt x="81" y="115"/>
                                        <a:pt x="81" y="115"/>
                                      </a:cubicBezTo>
                                      <a:cubicBezTo>
                                        <a:pt x="81" y="115"/>
                                        <a:pt x="81" y="115"/>
                                        <a:pt x="81" y="115"/>
                                      </a:cubicBezTo>
                                      <a:cubicBezTo>
                                        <a:pt x="81" y="115"/>
                                        <a:pt x="81" y="115"/>
                                        <a:pt x="81" y="115"/>
                                      </a:cubicBezTo>
                                      <a:cubicBezTo>
                                        <a:pt x="81" y="115"/>
                                        <a:pt x="81" y="115"/>
                                        <a:pt x="81" y="115"/>
                                      </a:cubicBezTo>
                                      <a:cubicBezTo>
                                        <a:pt x="99" y="121"/>
                                        <a:pt x="99" y="121"/>
                                        <a:pt x="99" y="121"/>
                                      </a:cubicBezTo>
                                      <a:cubicBezTo>
                                        <a:pt x="107" y="129"/>
                                        <a:pt x="107" y="129"/>
                                        <a:pt x="107" y="129"/>
                                      </a:cubicBezTo>
                                      <a:cubicBezTo>
                                        <a:pt x="108" y="130"/>
                                        <a:pt x="110" y="131"/>
                                        <a:pt x="112" y="131"/>
                                      </a:cubicBezTo>
                                      <a:cubicBezTo>
                                        <a:pt x="114" y="131"/>
                                        <a:pt x="116" y="130"/>
                                        <a:pt x="118" y="129"/>
                                      </a:cubicBezTo>
                                      <a:cubicBezTo>
                                        <a:pt x="129" y="118"/>
                                        <a:pt x="129" y="118"/>
                                        <a:pt x="129" y="118"/>
                                      </a:cubicBezTo>
                                      <a:cubicBezTo>
                                        <a:pt x="132" y="115"/>
                                        <a:pt x="132" y="110"/>
                                        <a:pt x="129" y="107"/>
                                      </a:cubicBezTo>
                                      <a:cubicBezTo>
                                        <a:pt x="121" y="99"/>
                                        <a:pt x="121" y="99"/>
                                        <a:pt x="121" y="99"/>
                                      </a:cubicBezTo>
                                      <a:cubicBezTo>
                                        <a:pt x="115" y="81"/>
                                        <a:pt x="115" y="81"/>
                                        <a:pt x="115" y="81"/>
                                      </a:cubicBezTo>
                                      <a:cubicBezTo>
                                        <a:pt x="115" y="81"/>
                                        <a:pt x="115" y="81"/>
                                        <a:pt x="115" y="81"/>
                                      </a:cubicBezTo>
                                      <a:cubicBezTo>
                                        <a:pt x="115" y="81"/>
                                        <a:pt x="115" y="81"/>
                                        <a:pt x="115" y="81"/>
                                      </a:cubicBezTo>
                                      <a:cubicBezTo>
                                        <a:pt x="115" y="81"/>
                                        <a:pt x="115" y="81"/>
                                        <a:pt x="115" y="80"/>
                                      </a:cubicBezTo>
                                      <a:cubicBezTo>
                                        <a:pt x="115" y="80"/>
                                        <a:pt x="115" y="80"/>
                                        <a:pt x="115" y="80"/>
                                      </a:cubicBezTo>
                                      <a:cubicBezTo>
                                        <a:pt x="115" y="80"/>
                                        <a:pt x="115" y="80"/>
                                        <a:pt x="115" y="80"/>
                                      </a:cubicBezTo>
                                      <a:cubicBezTo>
                                        <a:pt x="114" y="80"/>
                                        <a:pt x="114" y="80"/>
                                        <a:pt x="114" y="80"/>
                                      </a:cubicBezTo>
                                      <a:cubicBezTo>
                                        <a:pt x="114" y="80"/>
                                        <a:pt x="114" y="80"/>
                                        <a:pt x="114" y="80"/>
                                      </a:cubicBezTo>
                                      <a:cubicBezTo>
                                        <a:pt x="114" y="80"/>
                                        <a:pt x="114" y="80"/>
                                        <a:pt x="114" y="80"/>
                                      </a:cubicBezTo>
                                      <a:cubicBezTo>
                                        <a:pt x="114" y="80"/>
                                        <a:pt x="114" y="80"/>
                                        <a:pt x="114" y="80"/>
                                      </a:cubicBezTo>
                                      <a:cubicBezTo>
                                        <a:pt x="114" y="79"/>
                                        <a:pt x="114" y="79"/>
                                        <a:pt x="114" y="79"/>
                                      </a:cubicBezTo>
                                      <a:cubicBezTo>
                                        <a:pt x="114" y="79"/>
                                        <a:pt x="114" y="79"/>
                                        <a:pt x="114" y="79"/>
                                      </a:cubicBezTo>
                                      <a:cubicBezTo>
                                        <a:pt x="66" y="32"/>
                                        <a:pt x="66" y="32"/>
                                        <a:pt x="66" y="32"/>
                                      </a:cubicBezTo>
                                      <a:cubicBezTo>
                                        <a:pt x="64" y="30"/>
                                        <a:pt x="61" y="29"/>
                                        <a:pt x="58" y="29"/>
                                      </a:cubicBezTo>
                                      <a:cubicBezTo>
                                        <a:pt x="55" y="29"/>
                                        <a:pt x="52" y="30"/>
                                        <a:pt x="50" y="32"/>
                                      </a:cubicBezTo>
                                      <a:cubicBezTo>
                                        <a:pt x="34" y="16"/>
                                        <a:pt x="34" y="16"/>
                                        <a:pt x="34" y="16"/>
                                      </a:cubicBezTo>
                                      <a:cubicBezTo>
                                        <a:pt x="34" y="15"/>
                                        <a:pt x="35" y="13"/>
                                        <a:pt x="35" y="12"/>
                                      </a:cubicBezTo>
                                      <a:cubicBezTo>
                                        <a:pt x="35" y="9"/>
                                        <a:pt x="33" y="6"/>
                                        <a:pt x="31" y="3"/>
                                      </a:cubicBezTo>
                                      <a:cubicBezTo>
                                        <a:pt x="29" y="1"/>
                                        <a:pt x="26" y="0"/>
                                        <a:pt x="23" y="0"/>
                                      </a:cubicBezTo>
                                      <a:cubicBezTo>
                                        <a:pt x="20" y="0"/>
                                        <a:pt x="17" y="1"/>
                                        <a:pt x="14" y="3"/>
                                      </a:cubicBezTo>
                                      <a:cubicBezTo>
                                        <a:pt x="3" y="14"/>
                                        <a:pt x="3" y="14"/>
                                        <a:pt x="3" y="14"/>
                                      </a:cubicBezTo>
                                      <a:cubicBezTo>
                                        <a:pt x="1" y="17"/>
                                        <a:pt x="0" y="20"/>
                                        <a:pt x="0" y="23"/>
                                      </a:cubicBezTo>
                                      <a:cubicBezTo>
                                        <a:pt x="0" y="26"/>
                                        <a:pt x="1" y="29"/>
                                        <a:pt x="3" y="31"/>
                                      </a:cubicBezTo>
                                      <a:cubicBezTo>
                                        <a:pt x="6" y="34"/>
                                        <a:pt x="9" y="35"/>
                                        <a:pt x="12" y="35"/>
                                      </a:cubicBezTo>
                                      <a:cubicBezTo>
                                        <a:pt x="13" y="35"/>
                                        <a:pt x="15" y="34"/>
                                        <a:pt x="16" y="34"/>
                                      </a:cubicBezTo>
                                      <a:cubicBezTo>
                                        <a:pt x="32" y="50"/>
                                        <a:pt x="32" y="50"/>
                                        <a:pt x="32" y="50"/>
                                      </a:cubicBezTo>
                                      <a:cubicBezTo>
                                        <a:pt x="27" y="54"/>
                                        <a:pt x="28" y="62"/>
                                        <a:pt x="32" y="67"/>
                                      </a:cubicBezTo>
                                      <a:cubicBezTo>
                                        <a:pt x="33" y="68"/>
                                        <a:pt x="33" y="68"/>
                                        <a:pt x="33" y="68"/>
                                      </a:cubicBezTo>
                                      <a:cubicBezTo>
                                        <a:pt x="34" y="68"/>
                                        <a:pt x="34" y="68"/>
                                        <a:pt x="34" y="68"/>
                                      </a:cubicBezTo>
                                      <a:cubicBezTo>
                                        <a:pt x="31" y="72"/>
                                        <a:pt x="30" y="77"/>
                                        <a:pt x="30" y="82"/>
                                      </a:cubicBezTo>
                                      <a:cubicBezTo>
                                        <a:pt x="30" y="84"/>
                                        <a:pt x="30" y="87"/>
                                        <a:pt x="31" y="89"/>
                                      </a:cubicBezTo>
                                      <a:cubicBezTo>
                                        <a:pt x="26" y="99"/>
                                        <a:pt x="24" y="110"/>
                                        <a:pt x="24" y="121"/>
                                      </a:cubicBezTo>
                                      <a:cubicBezTo>
                                        <a:pt x="24" y="138"/>
                                        <a:pt x="29" y="154"/>
                                        <a:pt x="40" y="167"/>
                                      </a:cubicBezTo>
                                      <a:cubicBezTo>
                                        <a:pt x="50" y="180"/>
                                        <a:pt x="64" y="189"/>
                                        <a:pt x="79" y="193"/>
                                      </a:cubicBezTo>
                                      <a:cubicBezTo>
                                        <a:pt x="79" y="213"/>
                                        <a:pt x="79" y="213"/>
                                        <a:pt x="79" y="213"/>
                                      </a:cubicBezTo>
                                      <a:cubicBezTo>
                                        <a:pt x="62" y="213"/>
                                        <a:pt x="62" y="213"/>
                                        <a:pt x="62" y="213"/>
                                      </a:cubicBezTo>
                                      <a:cubicBezTo>
                                        <a:pt x="53" y="213"/>
                                        <a:pt x="46" y="220"/>
                                        <a:pt x="46" y="229"/>
                                      </a:cubicBezTo>
                                      <a:cubicBezTo>
                                        <a:pt x="46" y="233"/>
                                        <a:pt x="46" y="233"/>
                                        <a:pt x="46" y="233"/>
                                      </a:cubicBezTo>
                                      <a:cubicBezTo>
                                        <a:pt x="46" y="235"/>
                                        <a:pt x="48" y="237"/>
                                        <a:pt x="50" y="237"/>
                                      </a:cubicBezTo>
                                      <a:cubicBezTo>
                                        <a:pt x="148" y="237"/>
                                        <a:pt x="148" y="237"/>
                                        <a:pt x="148" y="237"/>
                                      </a:cubicBezTo>
                                      <a:cubicBezTo>
                                        <a:pt x="150" y="237"/>
                                        <a:pt x="152" y="235"/>
                                        <a:pt x="152" y="233"/>
                                      </a:cubicBezTo>
                                      <a:cubicBezTo>
                                        <a:pt x="152" y="229"/>
                                        <a:pt x="152" y="229"/>
                                        <a:pt x="152" y="229"/>
                                      </a:cubicBezTo>
                                      <a:cubicBezTo>
                                        <a:pt x="152" y="220"/>
                                        <a:pt x="145" y="213"/>
                                        <a:pt x="136" y="213"/>
                                      </a:cubicBezTo>
                                      <a:cubicBezTo>
                                        <a:pt x="119" y="213"/>
                                        <a:pt x="119" y="213"/>
                                        <a:pt x="119" y="213"/>
                                      </a:cubicBezTo>
                                      <a:cubicBezTo>
                                        <a:pt x="119" y="200"/>
                                        <a:pt x="119" y="200"/>
                                        <a:pt x="119" y="200"/>
                                      </a:cubicBezTo>
                                      <a:cubicBezTo>
                                        <a:pt x="136" y="200"/>
                                        <a:pt x="136" y="200"/>
                                        <a:pt x="136" y="200"/>
                                      </a:cubicBezTo>
                                      <a:cubicBezTo>
                                        <a:pt x="136" y="200"/>
                                        <a:pt x="136" y="200"/>
                                        <a:pt x="136" y="200"/>
                                      </a:cubicBezTo>
                                      <a:cubicBezTo>
                                        <a:pt x="141" y="200"/>
                                        <a:pt x="145" y="198"/>
                                        <a:pt x="148" y="195"/>
                                      </a:cubicBezTo>
                                      <a:cubicBezTo>
                                        <a:pt x="155" y="188"/>
                                        <a:pt x="155" y="188"/>
                                        <a:pt x="155" y="188"/>
                                      </a:cubicBezTo>
                                      <a:cubicBezTo>
                                        <a:pt x="157" y="190"/>
                                        <a:pt x="157" y="190"/>
                                        <a:pt x="157" y="190"/>
                                      </a:cubicBezTo>
                                      <a:cubicBezTo>
                                        <a:pt x="157" y="191"/>
                                        <a:pt x="158" y="191"/>
                                        <a:pt x="159" y="191"/>
                                      </a:cubicBezTo>
                                      <a:cubicBezTo>
                                        <a:pt x="160" y="191"/>
                                        <a:pt x="161" y="191"/>
                                        <a:pt x="162" y="190"/>
                                      </a:cubicBezTo>
                                      <a:cubicBezTo>
                                        <a:pt x="190" y="162"/>
                                        <a:pt x="190" y="162"/>
                                        <a:pt x="190" y="162"/>
                                      </a:cubicBezTo>
                                      <a:cubicBezTo>
                                        <a:pt x="192" y="161"/>
                                        <a:pt x="192" y="158"/>
                                        <a:pt x="190" y="157"/>
                                      </a:cubicBezTo>
                                      <a:close/>
                                      <a:moveTo>
                                        <a:pt x="164" y="109"/>
                                      </a:moveTo>
                                      <a:cubicBezTo>
                                        <a:pt x="171" y="115"/>
                                        <a:pt x="171" y="115"/>
                                        <a:pt x="171" y="115"/>
                                      </a:cubicBezTo>
                                      <a:cubicBezTo>
                                        <a:pt x="117" y="169"/>
                                        <a:pt x="117" y="169"/>
                                        <a:pt x="117" y="169"/>
                                      </a:cubicBezTo>
                                      <a:cubicBezTo>
                                        <a:pt x="116" y="166"/>
                                        <a:pt x="114" y="163"/>
                                        <a:pt x="112" y="161"/>
                                      </a:cubicBezTo>
                                      <a:lnTo>
                                        <a:pt x="164" y="109"/>
                                      </a:lnTo>
                                      <a:close/>
                                      <a:moveTo>
                                        <a:pt x="37" y="82"/>
                                      </a:moveTo>
                                      <a:cubicBezTo>
                                        <a:pt x="37" y="73"/>
                                        <a:pt x="45" y="65"/>
                                        <a:pt x="54" y="65"/>
                                      </a:cubicBezTo>
                                      <a:cubicBezTo>
                                        <a:pt x="63" y="65"/>
                                        <a:pt x="71" y="73"/>
                                        <a:pt x="71" y="82"/>
                                      </a:cubicBezTo>
                                      <a:cubicBezTo>
                                        <a:pt x="71" y="91"/>
                                        <a:pt x="63" y="98"/>
                                        <a:pt x="54" y="98"/>
                                      </a:cubicBezTo>
                                      <a:cubicBezTo>
                                        <a:pt x="45" y="98"/>
                                        <a:pt x="37" y="91"/>
                                        <a:pt x="37" y="82"/>
                                      </a:cubicBezTo>
                                      <a:close/>
                                      <a:moveTo>
                                        <a:pt x="110" y="89"/>
                                      </a:moveTo>
                                      <a:cubicBezTo>
                                        <a:pt x="113" y="100"/>
                                        <a:pt x="113" y="100"/>
                                        <a:pt x="113" y="100"/>
                                      </a:cubicBezTo>
                                      <a:cubicBezTo>
                                        <a:pt x="100" y="113"/>
                                        <a:pt x="100" y="113"/>
                                        <a:pt x="100" y="113"/>
                                      </a:cubicBezTo>
                                      <a:cubicBezTo>
                                        <a:pt x="89" y="109"/>
                                        <a:pt x="89" y="109"/>
                                        <a:pt x="89" y="109"/>
                                      </a:cubicBezTo>
                                      <a:lnTo>
                                        <a:pt x="110" y="89"/>
                                      </a:lnTo>
                                      <a:close/>
                                      <a:moveTo>
                                        <a:pt x="123" y="113"/>
                                      </a:moveTo>
                                      <a:cubicBezTo>
                                        <a:pt x="113" y="123"/>
                                        <a:pt x="113" y="123"/>
                                        <a:pt x="113" y="123"/>
                                      </a:cubicBezTo>
                                      <a:cubicBezTo>
                                        <a:pt x="112" y="123"/>
                                        <a:pt x="112" y="123"/>
                                        <a:pt x="112" y="123"/>
                                      </a:cubicBezTo>
                                      <a:cubicBezTo>
                                        <a:pt x="106" y="117"/>
                                        <a:pt x="106" y="117"/>
                                        <a:pt x="106" y="117"/>
                                      </a:cubicBezTo>
                                      <a:cubicBezTo>
                                        <a:pt x="117" y="106"/>
                                        <a:pt x="117" y="106"/>
                                        <a:pt x="117" y="106"/>
                                      </a:cubicBezTo>
                                      <a:cubicBezTo>
                                        <a:pt x="123" y="112"/>
                                        <a:pt x="123" y="112"/>
                                        <a:pt x="123" y="112"/>
                                      </a:cubicBezTo>
                                      <a:cubicBezTo>
                                        <a:pt x="123" y="112"/>
                                        <a:pt x="123" y="112"/>
                                        <a:pt x="123" y="113"/>
                                      </a:cubicBezTo>
                                      <a:close/>
                                      <a:moveTo>
                                        <a:pt x="58" y="36"/>
                                      </a:moveTo>
                                      <a:cubicBezTo>
                                        <a:pt x="59" y="36"/>
                                        <a:pt x="60" y="37"/>
                                        <a:pt x="61" y="38"/>
                                      </a:cubicBezTo>
                                      <a:cubicBezTo>
                                        <a:pt x="106" y="82"/>
                                        <a:pt x="106" y="82"/>
                                        <a:pt x="106" y="82"/>
                                      </a:cubicBezTo>
                                      <a:cubicBezTo>
                                        <a:pt x="82" y="106"/>
                                        <a:pt x="82" y="106"/>
                                        <a:pt x="82" y="106"/>
                                      </a:cubicBezTo>
                                      <a:cubicBezTo>
                                        <a:pt x="73" y="97"/>
                                        <a:pt x="73" y="97"/>
                                        <a:pt x="73" y="97"/>
                                      </a:cubicBezTo>
                                      <a:cubicBezTo>
                                        <a:pt x="76" y="93"/>
                                        <a:pt x="78" y="87"/>
                                        <a:pt x="78" y="82"/>
                                      </a:cubicBezTo>
                                      <a:cubicBezTo>
                                        <a:pt x="78" y="68"/>
                                        <a:pt x="67" y="57"/>
                                        <a:pt x="54" y="57"/>
                                      </a:cubicBezTo>
                                      <a:cubicBezTo>
                                        <a:pt x="48" y="57"/>
                                        <a:pt x="43" y="59"/>
                                        <a:pt x="39" y="63"/>
                                      </a:cubicBezTo>
                                      <a:cubicBezTo>
                                        <a:pt x="39" y="63"/>
                                        <a:pt x="39" y="63"/>
                                        <a:pt x="39" y="62"/>
                                      </a:cubicBezTo>
                                      <a:cubicBezTo>
                                        <a:pt x="38" y="61"/>
                                        <a:pt x="38" y="61"/>
                                        <a:pt x="38" y="61"/>
                                      </a:cubicBezTo>
                                      <a:cubicBezTo>
                                        <a:pt x="36" y="59"/>
                                        <a:pt x="36" y="57"/>
                                        <a:pt x="38" y="55"/>
                                      </a:cubicBezTo>
                                      <a:cubicBezTo>
                                        <a:pt x="55" y="38"/>
                                        <a:pt x="55" y="38"/>
                                        <a:pt x="55" y="38"/>
                                      </a:cubicBezTo>
                                      <a:cubicBezTo>
                                        <a:pt x="56" y="37"/>
                                        <a:pt x="57" y="36"/>
                                        <a:pt x="58" y="36"/>
                                      </a:cubicBezTo>
                                      <a:close/>
                                      <a:moveTo>
                                        <a:pt x="29" y="22"/>
                                      </a:moveTo>
                                      <a:cubicBezTo>
                                        <a:pt x="44" y="37"/>
                                        <a:pt x="44" y="37"/>
                                        <a:pt x="44" y="37"/>
                                      </a:cubicBezTo>
                                      <a:cubicBezTo>
                                        <a:pt x="37" y="44"/>
                                        <a:pt x="37" y="44"/>
                                        <a:pt x="37" y="44"/>
                                      </a:cubicBezTo>
                                      <a:cubicBezTo>
                                        <a:pt x="22" y="29"/>
                                        <a:pt x="22" y="29"/>
                                        <a:pt x="22" y="29"/>
                                      </a:cubicBezTo>
                                      <a:lnTo>
                                        <a:pt x="29" y="22"/>
                                      </a:lnTo>
                                      <a:close/>
                                      <a:moveTo>
                                        <a:pt x="9" y="26"/>
                                      </a:moveTo>
                                      <a:cubicBezTo>
                                        <a:pt x="8" y="25"/>
                                        <a:pt x="7" y="24"/>
                                        <a:pt x="7" y="23"/>
                                      </a:cubicBezTo>
                                      <a:cubicBezTo>
                                        <a:pt x="7" y="22"/>
                                        <a:pt x="8" y="21"/>
                                        <a:pt x="9" y="20"/>
                                      </a:cubicBezTo>
                                      <a:cubicBezTo>
                                        <a:pt x="20" y="9"/>
                                        <a:pt x="20" y="9"/>
                                        <a:pt x="20" y="9"/>
                                      </a:cubicBezTo>
                                      <a:cubicBezTo>
                                        <a:pt x="21" y="8"/>
                                        <a:pt x="22" y="7"/>
                                        <a:pt x="23" y="7"/>
                                      </a:cubicBezTo>
                                      <a:cubicBezTo>
                                        <a:pt x="24" y="7"/>
                                        <a:pt x="25" y="8"/>
                                        <a:pt x="26" y="9"/>
                                      </a:cubicBezTo>
                                      <a:cubicBezTo>
                                        <a:pt x="27" y="10"/>
                                        <a:pt x="27" y="11"/>
                                        <a:pt x="27" y="12"/>
                                      </a:cubicBezTo>
                                      <a:cubicBezTo>
                                        <a:pt x="27" y="13"/>
                                        <a:pt x="27" y="14"/>
                                        <a:pt x="26" y="15"/>
                                      </a:cubicBezTo>
                                      <a:cubicBezTo>
                                        <a:pt x="15" y="26"/>
                                        <a:pt x="15" y="26"/>
                                        <a:pt x="15" y="26"/>
                                      </a:cubicBezTo>
                                      <a:cubicBezTo>
                                        <a:pt x="13" y="27"/>
                                        <a:pt x="10" y="27"/>
                                        <a:pt x="9" y="26"/>
                                      </a:cubicBezTo>
                                      <a:close/>
                                      <a:moveTo>
                                        <a:pt x="46" y="163"/>
                                      </a:moveTo>
                                      <a:cubicBezTo>
                                        <a:pt x="36" y="151"/>
                                        <a:pt x="31" y="136"/>
                                        <a:pt x="31" y="121"/>
                                      </a:cubicBezTo>
                                      <a:cubicBezTo>
                                        <a:pt x="31" y="113"/>
                                        <a:pt x="33" y="105"/>
                                        <a:pt x="35" y="97"/>
                                      </a:cubicBezTo>
                                      <a:cubicBezTo>
                                        <a:pt x="39" y="102"/>
                                        <a:pt x="44" y="105"/>
                                        <a:pt x="50" y="106"/>
                                      </a:cubicBezTo>
                                      <a:cubicBezTo>
                                        <a:pt x="49" y="111"/>
                                        <a:pt x="48" y="116"/>
                                        <a:pt x="48" y="121"/>
                                      </a:cubicBezTo>
                                      <a:cubicBezTo>
                                        <a:pt x="48" y="142"/>
                                        <a:pt x="61" y="161"/>
                                        <a:pt x="81" y="168"/>
                                      </a:cubicBezTo>
                                      <a:cubicBezTo>
                                        <a:pt x="80" y="171"/>
                                        <a:pt x="79" y="174"/>
                                        <a:pt x="79" y="177"/>
                                      </a:cubicBezTo>
                                      <a:cubicBezTo>
                                        <a:pt x="79" y="185"/>
                                        <a:pt x="79" y="185"/>
                                        <a:pt x="79" y="185"/>
                                      </a:cubicBezTo>
                                      <a:cubicBezTo>
                                        <a:pt x="66" y="181"/>
                                        <a:pt x="54" y="173"/>
                                        <a:pt x="46" y="163"/>
                                      </a:cubicBezTo>
                                      <a:close/>
                                      <a:moveTo>
                                        <a:pt x="144" y="229"/>
                                      </a:moveTo>
                                      <a:cubicBezTo>
                                        <a:pt x="144" y="229"/>
                                        <a:pt x="144" y="229"/>
                                        <a:pt x="144" y="229"/>
                                      </a:cubicBezTo>
                                      <a:cubicBezTo>
                                        <a:pt x="54" y="229"/>
                                        <a:pt x="54" y="229"/>
                                        <a:pt x="54" y="229"/>
                                      </a:cubicBezTo>
                                      <a:cubicBezTo>
                                        <a:pt x="54" y="229"/>
                                        <a:pt x="54" y="229"/>
                                        <a:pt x="54" y="229"/>
                                      </a:cubicBezTo>
                                      <a:cubicBezTo>
                                        <a:pt x="54" y="224"/>
                                        <a:pt x="58" y="221"/>
                                        <a:pt x="62" y="221"/>
                                      </a:cubicBezTo>
                                      <a:cubicBezTo>
                                        <a:pt x="136" y="221"/>
                                        <a:pt x="136" y="221"/>
                                        <a:pt x="136" y="221"/>
                                      </a:cubicBezTo>
                                      <a:cubicBezTo>
                                        <a:pt x="140" y="221"/>
                                        <a:pt x="144" y="224"/>
                                        <a:pt x="144" y="229"/>
                                      </a:cubicBezTo>
                                      <a:close/>
                                      <a:moveTo>
                                        <a:pt x="86" y="213"/>
                                      </a:moveTo>
                                      <a:cubicBezTo>
                                        <a:pt x="86" y="177"/>
                                        <a:pt x="86" y="177"/>
                                        <a:pt x="86" y="177"/>
                                      </a:cubicBezTo>
                                      <a:cubicBezTo>
                                        <a:pt x="86" y="170"/>
                                        <a:pt x="92" y="164"/>
                                        <a:pt x="99" y="164"/>
                                      </a:cubicBezTo>
                                      <a:cubicBezTo>
                                        <a:pt x="106" y="164"/>
                                        <a:pt x="112" y="170"/>
                                        <a:pt x="112" y="177"/>
                                      </a:cubicBezTo>
                                      <a:cubicBezTo>
                                        <a:pt x="112" y="213"/>
                                        <a:pt x="112" y="213"/>
                                        <a:pt x="112" y="213"/>
                                      </a:cubicBezTo>
                                      <a:lnTo>
                                        <a:pt x="86" y="213"/>
                                      </a:lnTo>
                                      <a:close/>
                                      <a:moveTo>
                                        <a:pt x="159" y="182"/>
                                      </a:moveTo>
                                      <a:cubicBezTo>
                                        <a:pt x="153" y="176"/>
                                        <a:pt x="153" y="176"/>
                                        <a:pt x="153" y="176"/>
                                      </a:cubicBezTo>
                                      <a:cubicBezTo>
                                        <a:pt x="176" y="153"/>
                                        <a:pt x="176" y="153"/>
                                        <a:pt x="176" y="153"/>
                                      </a:cubicBezTo>
                                      <a:cubicBezTo>
                                        <a:pt x="182" y="159"/>
                                        <a:pt x="182" y="159"/>
                                        <a:pt x="182" y="159"/>
                                      </a:cubicBezTo>
                                      <a:lnTo>
                                        <a:pt x="159" y="182"/>
                                      </a:lnTo>
                                      <a:close/>
                                      <a:moveTo>
                                        <a:pt x="159" y="182"/>
                                      </a:moveTo>
                                      <a:cubicBezTo>
                                        <a:pt x="159" y="182"/>
                                        <a:pt x="159" y="182"/>
                                        <a:pt x="159" y="18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wps:cNvSpPr>
                                <a:spLocks noEditPoints="1"/>
                              </wps:cNvSpPr>
                              <wps:spPr bwMode="auto">
                                <a:xfrm>
                                  <a:off x="65087" y="104775"/>
                                  <a:ext cx="11113" cy="9525"/>
                                </a:xfrm>
                                <a:custGeom>
                                  <a:avLst/>
                                  <a:gdLst>
                                    <a:gd name="T0" fmla="*/ 4 w 8"/>
                                    <a:gd name="T1" fmla="*/ 8 h 8"/>
                                    <a:gd name="T2" fmla="*/ 8 w 8"/>
                                    <a:gd name="T3" fmla="*/ 4 h 8"/>
                                    <a:gd name="T4" fmla="*/ 4 w 8"/>
                                    <a:gd name="T5" fmla="*/ 0 h 8"/>
                                    <a:gd name="T6" fmla="*/ 4 w 8"/>
                                    <a:gd name="T7" fmla="*/ 0 h 8"/>
                                    <a:gd name="T8" fmla="*/ 0 w 8"/>
                                    <a:gd name="T9" fmla="*/ 4 h 8"/>
                                    <a:gd name="T10" fmla="*/ 4 w 8"/>
                                    <a:gd name="T11" fmla="*/ 8 h 8"/>
                                    <a:gd name="T12" fmla="*/ 4 w 8"/>
                                    <a:gd name="T13" fmla="*/ 8 h 8"/>
                                    <a:gd name="T14" fmla="*/ 4 w 8"/>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8">
                                      <a:moveTo>
                                        <a:pt x="4" y="8"/>
                                      </a:moveTo>
                                      <a:cubicBezTo>
                                        <a:pt x="6" y="8"/>
                                        <a:pt x="8" y="6"/>
                                        <a:pt x="8" y="4"/>
                                      </a:cubicBezTo>
                                      <a:cubicBezTo>
                                        <a:pt x="8" y="2"/>
                                        <a:pt x="6" y="0"/>
                                        <a:pt x="4" y="0"/>
                                      </a:cubicBezTo>
                                      <a:cubicBezTo>
                                        <a:pt x="4" y="0"/>
                                        <a:pt x="4" y="0"/>
                                        <a:pt x="4" y="0"/>
                                      </a:cubicBezTo>
                                      <a:cubicBezTo>
                                        <a:pt x="2" y="0"/>
                                        <a:pt x="0" y="2"/>
                                        <a:pt x="0" y="4"/>
                                      </a:cubicBezTo>
                                      <a:cubicBezTo>
                                        <a:pt x="0" y="6"/>
                                        <a:pt x="2" y="8"/>
                                        <a:pt x="4" y="8"/>
                                      </a:cubicBezTo>
                                      <a:close/>
                                      <a:moveTo>
                                        <a:pt x="4" y="8"/>
                                      </a:moveTo>
                                      <a:cubicBezTo>
                                        <a:pt x="4" y="8"/>
                                        <a:pt x="4" y="8"/>
                                        <a:pt x="4"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123825" y="234950"/>
                                  <a:ext cx="11113" cy="9525"/>
                                </a:xfrm>
                                <a:custGeom>
                                  <a:avLst/>
                                  <a:gdLst>
                                    <a:gd name="T0" fmla="*/ 4 w 8"/>
                                    <a:gd name="T1" fmla="*/ 0 h 8"/>
                                    <a:gd name="T2" fmla="*/ 1 w 8"/>
                                    <a:gd name="T3" fmla="*/ 1 h 8"/>
                                    <a:gd name="T4" fmla="*/ 0 w 8"/>
                                    <a:gd name="T5" fmla="*/ 4 h 8"/>
                                    <a:gd name="T6" fmla="*/ 1 w 8"/>
                                    <a:gd name="T7" fmla="*/ 7 h 8"/>
                                    <a:gd name="T8" fmla="*/ 4 w 8"/>
                                    <a:gd name="T9" fmla="*/ 8 h 8"/>
                                    <a:gd name="T10" fmla="*/ 7 w 8"/>
                                    <a:gd name="T11" fmla="*/ 7 h 8"/>
                                    <a:gd name="T12" fmla="*/ 8 w 8"/>
                                    <a:gd name="T13" fmla="*/ 4 h 8"/>
                                    <a:gd name="T14" fmla="*/ 7 w 8"/>
                                    <a:gd name="T15" fmla="*/ 1 h 8"/>
                                    <a:gd name="T16" fmla="*/ 4 w 8"/>
                                    <a:gd name="T17" fmla="*/ 0 h 8"/>
                                    <a:gd name="T18" fmla="*/ 4 w 8"/>
                                    <a:gd name="T19" fmla="*/ 0 h 8"/>
                                    <a:gd name="T20" fmla="*/ 4 w 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8">
                                      <a:moveTo>
                                        <a:pt x="4" y="0"/>
                                      </a:moveTo>
                                      <a:cubicBezTo>
                                        <a:pt x="3" y="0"/>
                                        <a:pt x="2" y="1"/>
                                        <a:pt x="1" y="1"/>
                                      </a:cubicBezTo>
                                      <a:cubicBezTo>
                                        <a:pt x="1" y="2"/>
                                        <a:pt x="0" y="3"/>
                                        <a:pt x="0" y="4"/>
                                      </a:cubicBezTo>
                                      <a:cubicBezTo>
                                        <a:pt x="0" y="5"/>
                                        <a:pt x="1" y="6"/>
                                        <a:pt x="1" y="7"/>
                                      </a:cubicBezTo>
                                      <a:cubicBezTo>
                                        <a:pt x="2" y="7"/>
                                        <a:pt x="3" y="8"/>
                                        <a:pt x="4" y="8"/>
                                      </a:cubicBezTo>
                                      <a:cubicBezTo>
                                        <a:pt x="5" y="8"/>
                                        <a:pt x="6" y="7"/>
                                        <a:pt x="7" y="7"/>
                                      </a:cubicBezTo>
                                      <a:cubicBezTo>
                                        <a:pt x="7" y="6"/>
                                        <a:pt x="8" y="5"/>
                                        <a:pt x="8" y="4"/>
                                      </a:cubicBezTo>
                                      <a:cubicBezTo>
                                        <a:pt x="8" y="3"/>
                                        <a:pt x="7" y="2"/>
                                        <a:pt x="7" y="1"/>
                                      </a:cubicBezTo>
                                      <a:cubicBezTo>
                                        <a:pt x="6" y="1"/>
                                        <a:pt x="5" y="0"/>
                                        <a:pt x="4" y="0"/>
                                      </a:cubicBezTo>
                                      <a:close/>
                                      <a:moveTo>
                                        <a:pt x="4" y="0"/>
                                      </a:moveTo>
                                      <a:cubicBezTo>
                                        <a:pt x="4" y="0"/>
                                        <a:pt x="4" y="0"/>
                                        <a:pt x="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0C9373" id="Group 2077" o:spid="_x0000_s1026" style="position:absolute;margin-left:29.9pt;margin-top:2.6pt;width:17.3pt;height:21.65pt;z-index:251662336;mso-width-relative:margin;mso-height-relative:margin" coordsize="252413,3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">
                      <v:shape id="Freeform 24" o:spid="_x0000_s1027" style="position:absolute;width:252413;height:315913;visibility:visible;mso-wrap-style:square;v-text-anchor:top" coordsize="1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" path="m190,157c178,145,178,145,178,145v-1,-1,-3,-1,-5,c145,173,145,173,145,173v-1,2,-1,4,,6c149,183,149,183,149,183v-7,7,-7,7,-7,7c141,192,139,192,136,192v-17,,-17,,-17,c119,178,119,178,119,178v60,-60,60,-60,60,-60c180,117,180,114,179,113,167,101,167,101,167,101v-1,-1,-4,-1,-5,c105,158,105,158,105,158v-2,-1,-4,-1,-6,-1c94,157,89,158,86,162,68,156,56,139,56,121v,-6,1,-11,2,-15c62,105,65,104,68,102v12,12,12,12,12,12c80,114,80,114,80,114v,,,,,c80,114,80,114,80,114v,,,,,c80,114,80,114,80,114v,,,,,c81,115,81,115,81,115v,,,,,c81,115,81,115,81,115v,,,,,c99,121,99,121,99,121v8,8,8,8,8,8c108,130,110,131,112,131v2,,4,-1,6,-2c129,118,129,118,129,118v3,-3,3,-8,,-11c121,99,121,99,121,99,115,81,115,81,115,81v,,,,,c115,81,115,81,115,81v,,,,,-1c115,80,115,80,115,80v,,,,,c114,80,114,80,114,80v,,,,,c114,80,114,80,114,80v,,,,,c114,79,114,79,114,79v,,,,,c66,32,66,32,66,32,64,30,61,29,58,29v-3,,-6,1,-8,3c34,16,34,16,34,16v,-1,1,-3,1,-4c35,9,33,6,31,3,29,1,26,,23,,20,,17,1,14,3,3,14,3,14,3,14,1,17,,20,,23v,3,1,6,3,8c6,34,9,35,12,35v1,,3,-1,4,-1c32,50,32,50,32,50v-5,4,-4,12,,17c33,68,33,68,33,68v1,,1,,1,c31,72,30,77,30,82v,2,,5,1,7c26,99,24,110,24,121v,17,5,33,16,46c50,180,64,189,79,193v,20,,20,,20c62,213,62,213,62,213v-9,,-16,7,-16,16c46,233,46,233,46,233v,2,2,4,4,4c148,237,148,237,148,237v2,,4,-2,4,-4c152,229,152,229,152,229v,-9,-7,-16,-16,-16c119,213,119,213,119,213v,-13,,-13,,-13c136,200,136,200,136,200v,,,,,c141,200,145,198,148,195v7,-7,7,-7,7,-7c157,190,157,190,157,190v,1,1,1,2,1c160,191,161,191,162,190v28,-28,28,-28,28,-28c192,161,192,158,190,157xm164,109v7,6,7,6,7,6c117,169,117,169,117,169v-1,-3,-3,-6,-5,-8l164,109xm37,82v,-9,8,-17,17,-17c63,65,71,73,71,82v,9,-8,16,-17,16c45,98,37,91,37,82xm110,89v3,11,3,11,3,11c100,113,100,113,100,113,89,109,89,109,89,109l110,89xm123,113v-10,10,-10,10,-10,10c112,123,112,123,112,123v-6,-6,-6,-6,-6,-6c117,106,117,106,117,106v6,6,6,6,6,6c123,112,123,112,123,113xm58,36v1,,2,1,3,2c106,82,106,82,106,82,82,106,82,106,82,106,73,97,73,97,73,97v3,-4,5,-10,5,-15c78,68,67,57,54,57v-6,,-11,2,-15,6c39,63,39,63,39,62,38,61,38,61,38,61v-2,-2,-2,-4,,-6c55,38,55,38,55,38v1,-1,2,-2,3,-2xm29,22c44,37,44,37,44,37v-7,7,-7,7,-7,7c22,29,22,29,22,29r7,-7xm9,26c8,25,7,24,7,23v,-1,1,-2,2,-3c20,9,20,9,20,9,21,8,22,7,23,7v1,,2,1,3,2c27,10,27,11,27,12v,1,,2,-1,3c15,26,15,26,15,26v-2,1,-5,1,-6,xm46,163c36,151,31,136,31,121v,-8,2,-16,4,-24c39,102,44,105,50,106v-1,5,-2,10,-2,15c48,142,61,161,81,168v-1,3,-2,6,-2,9c79,185,79,185,79,185,66,181,54,173,46,163xm144,229v,,,,,c54,229,54,229,54,229v,,,,,c54,224,58,221,62,221v74,,74,,74,c140,221,144,224,144,229xm86,213v,-36,,-36,,-36c86,170,92,164,99,164v7,,13,6,13,13c112,213,112,213,112,213r-26,xm159,182v-6,-6,-6,-6,-6,-6c176,153,176,153,176,153v6,6,6,6,6,6l159,182xm159,182v,,,,,e" filled="f" stroked="f">
                        <v:path arrowok="t" o:connecttype="custom" o:connectlocs="227435,193280;195883,243933;156443,255930;235323,150625;138038,210609;73620,161289;105172,151958;105172,151958;105172,151958;106487,153291;140668,171953;169590,157290;151185,107970;151185,106637;149870,106637;149870,106637;86767,42655;44698,21327;30237,0;0,30658;21034,45321;43383,90642;40754,118634;103857,257262;60474,305249;194568,315913;178793,283922;178793,266593;203771,250598;212973,253264;215603,145293;147241,214608;70991,86643;48642,109303;131465,150625;161702,150625;139353,155957;161702,150625;139353,109303;102543,109303;51271,82644;72306,50653;57845,49320;38125,29325;11832,26659;34181,11997;19720,34657;40754,161289;63103,161289;103857,246599;189310,305249;81508,294586;113060,283922;147241,235935;209030,242600;239266,211942;209030,242600" o:connectangles="0,0,0,0,0,0,0,0,0,0,0,0,0,0,0,0,0,0,0,0,0,0,0,0,0,0,0,0,0,0,0,0,0,0,0,0,0,0,0,0,0,0,0,0,0,0,0,0,0,0,0,0,0,0,0,0,0"/>
                        <o:lock v:ext="edit" verticies="t"/>
                      </v:shape>
                      <v:shape id="Freeform 25" o:spid="_x0000_s1028" style="position:absolute;left:65087;top:104775;width:11113;height:9525;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" path="m4,8c6,8,8,6,8,4,8,2,6,,4,v,,,,,c2,,,2,,4,,6,2,8,4,8xm4,8v,,,,,e" filled="f" stroked="f">
                        <v:path arrowok="t" o:connecttype="custom" o:connectlocs="5557,9525;11113,4763;5557,0;5557,0;0,4763;5557,9525;5557,9525;5557,9525" o:connectangles="0,0,0,0,0,0,0,0"/>
                        <o:lock v:ext="edit" verticies="t"/>
                      </v:shape>
                      <v:shape id="Freeform 26" o:spid="_x0000_s1029" style="position:absolute;left:123825;top:234950;width:11113;height:9525;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" path="m4,c3,,2,1,1,1,1,2,,3,,4,,5,1,6,1,7v1,,2,1,3,1c5,8,6,7,7,7,7,6,8,5,8,4,8,3,7,2,7,1,6,1,5,,4,xm4,v,,,,,e" filled="f" stroked="f">
                        <v:path arrowok="t" o:connecttype="custom" o:connectlocs="5557,0;1389,1191;0,4763;1389,8334;5557,9525;9724,8334;11113,4763;9724,1191;5557,0;5557,0;5557,0" o:connectangles="0,0,0,0,0,0,0,0,0,0,0"/>
                        <o:lock v:ext="edit" verticies="t"/>
                      </v:shape>
                    </v:group>
                  </w:pict>
                </mc:Fallback>
              </mc:AlternateContent>
            </w:r>
          </w:p>
        </w:tc>
        <w:tc>
          <w:tcPr>
            <w:tcW w:w="1701" w:type="dxa"/>
            <w:tcBorders>
              <w:top w:val="single" w:sz="6" w:space="0" w:color="FFFFFF" w:themeColor="background1"/>
              <w:bottom w:val="single" w:sz="6" w:space="0" w:color="FFFFFF" w:themeColor="background1"/>
            </w:tcBorders>
            <w:shd w:val="clear" w:color="auto" w:fill="FFC000" w:themeFill="accent4"/>
          </w:tcPr>
          <w:p w:rsidR="00315B87" w:rsidRDefault="00C32692">
            <w:pPr>
              <w:suppressAutoHyphens/>
              <w:rPr>
                <w:noProof/>
                <w:color w:val="F26A47"/>
              </w:rPr>
            </w:pPr>
            <w:r>
              <w:rPr>
                <w:noProof/>
                <w:color w:val="A5A5A5" w:themeColor="accent3"/>
                <w:sz w:val="16"/>
                <w:lang w:eastAsia="fr-BE"/>
              </w:rPr>
              <mc:AlternateContent>
                <mc:Choice Requires="wpg">
                  <w:drawing>
                    <wp:anchor distT="0" distB="0" distL="114300" distR="114300" simplePos="0" relativeHeight="251665408" behindDoc="0" locked="0" layoutInCell="1" allowOverlap="1">
                      <wp:simplePos x="0" y="0"/>
                      <wp:positionH relativeFrom="column">
                        <wp:posOffset>229914</wp:posOffset>
                      </wp:positionH>
                      <wp:positionV relativeFrom="paragraph">
                        <wp:posOffset>73025</wp:posOffset>
                      </wp:positionV>
                      <wp:extent cx="361819" cy="222140"/>
                      <wp:effectExtent l="0" t="0" r="38735" b="6985"/>
                      <wp:wrapNone/>
                      <wp:docPr id="27" name="Group 3149"/>
                      <wp:cNvGraphicFramePr/>
                      <a:graphic xmlns:a="http://schemas.openxmlformats.org/drawingml/2006/main">
                        <a:graphicData uri="http://schemas.microsoft.com/office/word/2010/wordprocessingGroup">
                          <wpg:wgp>
                            <wpg:cNvGrpSpPr/>
                            <wpg:grpSpPr>
                              <a:xfrm>
                                <a:off x="0" y="0"/>
                                <a:ext cx="361819" cy="222140"/>
                                <a:chOff x="0" y="0"/>
                                <a:chExt cx="368301" cy="225425"/>
                              </a:xfrm>
                              <a:solidFill>
                                <a:sysClr val="window" lastClr="FFFFFF"/>
                              </a:solidFill>
                            </wpg:grpSpPr>
                            <wps:wsp>
                              <wps:cNvPr id="28" name="Freeform 28"/>
                              <wps:cNvSpPr>
                                <a:spLocks/>
                              </wps:cNvSpPr>
                              <wps:spPr bwMode="auto">
                                <a:xfrm>
                                  <a:off x="204788" y="9525"/>
                                  <a:ext cx="163513" cy="215900"/>
                                </a:xfrm>
                                <a:custGeom>
                                  <a:avLst/>
                                  <a:gdLst>
                                    <a:gd name="T0" fmla="*/ 42 w 121"/>
                                    <a:gd name="T1" fmla="*/ 158 h 158"/>
                                    <a:gd name="T2" fmla="*/ 0 w 121"/>
                                    <a:gd name="T3" fmla="*/ 146 h 158"/>
                                    <a:gd name="T4" fmla="*/ 4 w 121"/>
                                    <a:gd name="T5" fmla="*/ 140 h 158"/>
                                    <a:gd name="T6" fmla="*/ 42 w 121"/>
                                    <a:gd name="T7" fmla="*/ 151 h 158"/>
                                    <a:gd name="T8" fmla="*/ 114 w 121"/>
                                    <a:gd name="T9" fmla="*/ 79 h 158"/>
                                    <a:gd name="T10" fmla="*/ 42 w 121"/>
                                    <a:gd name="T11" fmla="*/ 8 h 158"/>
                                    <a:gd name="T12" fmla="*/ 10 w 121"/>
                                    <a:gd name="T13" fmla="*/ 15 h 158"/>
                                    <a:gd name="T14" fmla="*/ 7 w 121"/>
                                    <a:gd name="T15" fmla="*/ 9 h 158"/>
                                    <a:gd name="T16" fmla="*/ 42 w 121"/>
                                    <a:gd name="T17" fmla="*/ 0 h 158"/>
                                    <a:gd name="T18" fmla="*/ 121 w 121"/>
                                    <a:gd name="T19" fmla="*/ 79 h 158"/>
                                    <a:gd name="T20" fmla="*/ 42 w 121"/>
                                    <a:gd name="T2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158">
                                      <a:moveTo>
                                        <a:pt x="42" y="158"/>
                                      </a:moveTo>
                                      <a:cubicBezTo>
                                        <a:pt x="27" y="158"/>
                                        <a:pt x="12" y="154"/>
                                        <a:pt x="0" y="146"/>
                                      </a:cubicBezTo>
                                      <a:cubicBezTo>
                                        <a:pt x="4" y="140"/>
                                        <a:pt x="4" y="140"/>
                                        <a:pt x="4" y="140"/>
                                      </a:cubicBezTo>
                                      <a:cubicBezTo>
                                        <a:pt x="15" y="147"/>
                                        <a:pt x="29" y="151"/>
                                        <a:pt x="42" y="151"/>
                                      </a:cubicBezTo>
                                      <a:cubicBezTo>
                                        <a:pt x="82" y="151"/>
                                        <a:pt x="114" y="119"/>
                                        <a:pt x="114" y="79"/>
                                      </a:cubicBezTo>
                                      <a:cubicBezTo>
                                        <a:pt x="114" y="40"/>
                                        <a:pt x="82" y="8"/>
                                        <a:pt x="42" y="8"/>
                                      </a:cubicBezTo>
                                      <a:cubicBezTo>
                                        <a:pt x="31" y="8"/>
                                        <a:pt x="20" y="10"/>
                                        <a:pt x="10" y="15"/>
                                      </a:cubicBezTo>
                                      <a:cubicBezTo>
                                        <a:pt x="7" y="9"/>
                                        <a:pt x="7" y="9"/>
                                        <a:pt x="7" y="9"/>
                                      </a:cubicBezTo>
                                      <a:cubicBezTo>
                                        <a:pt x="18" y="3"/>
                                        <a:pt x="30" y="0"/>
                                        <a:pt x="42" y="0"/>
                                      </a:cubicBezTo>
                                      <a:cubicBezTo>
                                        <a:pt x="86" y="0"/>
                                        <a:pt x="121" y="36"/>
                                        <a:pt x="121" y="79"/>
                                      </a:cubicBezTo>
                                      <a:cubicBezTo>
                                        <a:pt x="121" y="123"/>
                                        <a:pt x="86" y="158"/>
                                        <a:pt x="42" y="15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252413" y="49212"/>
                                  <a:ext cx="20638" cy="20638"/>
                                </a:xfrm>
                                <a:custGeom>
                                  <a:avLst/>
                                  <a:gdLst>
                                    <a:gd name="T0" fmla="*/ 6 w 13"/>
                                    <a:gd name="T1" fmla="*/ 0 h 13"/>
                                    <a:gd name="T2" fmla="*/ 8 w 13"/>
                                    <a:gd name="T3" fmla="*/ 5 h 13"/>
                                    <a:gd name="T4" fmla="*/ 13 w 13"/>
                                    <a:gd name="T5" fmla="*/ 5 h 13"/>
                                    <a:gd name="T6" fmla="*/ 8 w 13"/>
                                    <a:gd name="T7" fmla="*/ 8 h 13"/>
                                    <a:gd name="T8" fmla="*/ 10 w 13"/>
                                    <a:gd name="T9" fmla="*/ 13 h 13"/>
                                    <a:gd name="T10" fmla="*/ 6 w 13"/>
                                    <a:gd name="T11" fmla="*/ 10 h 13"/>
                                    <a:gd name="T12" fmla="*/ 3 w 13"/>
                                    <a:gd name="T13" fmla="*/ 13 h 13"/>
                                    <a:gd name="T14" fmla="*/ 4 w 13"/>
                                    <a:gd name="T15" fmla="*/ 8 h 13"/>
                                    <a:gd name="T16" fmla="*/ 0 w 13"/>
                                    <a:gd name="T17" fmla="*/ 5 h 13"/>
                                    <a:gd name="T18" fmla="*/ 5 w 13"/>
                                    <a:gd name="T19" fmla="*/ 5 h 13"/>
                                    <a:gd name="T20" fmla="*/ 6 w 13"/>
                                    <a:gd name="T21" fmla="*/ 0 h 13"/>
                                    <a:gd name="T22" fmla="*/ 6 w 13"/>
                                    <a:gd name="T23" fmla="*/ 0 h 13"/>
                                    <a:gd name="T24" fmla="*/ 6 w 13"/>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6" y="0"/>
                                      </a:moveTo>
                                      <a:lnTo>
                                        <a:pt x="8" y="5"/>
                                      </a:lnTo>
                                      <a:lnTo>
                                        <a:pt x="13" y="5"/>
                                      </a:lnTo>
                                      <a:lnTo>
                                        <a:pt x="8" y="8"/>
                                      </a:lnTo>
                                      <a:lnTo>
                                        <a:pt x="10" y="13"/>
                                      </a:lnTo>
                                      <a:lnTo>
                                        <a:pt x="6" y="10"/>
                                      </a:lnTo>
                                      <a:lnTo>
                                        <a:pt x="3" y="13"/>
                                      </a:lnTo>
                                      <a:lnTo>
                                        <a:pt x="4" y="8"/>
                                      </a:lnTo>
                                      <a:lnTo>
                                        <a:pt x="0" y="5"/>
                                      </a:lnTo>
                                      <a:lnTo>
                                        <a:pt x="5" y="5"/>
                                      </a:lnTo>
                                      <a:lnTo>
                                        <a:pt x="6" y="0"/>
                                      </a:lnTo>
                                      <a:close/>
                                      <a:moveTo>
                                        <a:pt x="6" y="0"/>
                                      </a:moveTo>
                                      <a:lnTo>
                                        <a:pt x="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52413" y="49212"/>
                                  <a:ext cx="20638" cy="20638"/>
                                </a:xfrm>
                                <a:custGeom>
                                  <a:avLst/>
                                  <a:gdLst>
                                    <a:gd name="T0" fmla="*/ 6 w 13"/>
                                    <a:gd name="T1" fmla="*/ 0 h 13"/>
                                    <a:gd name="T2" fmla="*/ 8 w 13"/>
                                    <a:gd name="T3" fmla="*/ 5 h 13"/>
                                    <a:gd name="T4" fmla="*/ 13 w 13"/>
                                    <a:gd name="T5" fmla="*/ 5 h 13"/>
                                    <a:gd name="T6" fmla="*/ 8 w 13"/>
                                    <a:gd name="T7" fmla="*/ 8 h 13"/>
                                    <a:gd name="T8" fmla="*/ 10 w 13"/>
                                    <a:gd name="T9" fmla="*/ 13 h 13"/>
                                    <a:gd name="T10" fmla="*/ 6 w 13"/>
                                    <a:gd name="T11" fmla="*/ 10 h 13"/>
                                    <a:gd name="T12" fmla="*/ 3 w 13"/>
                                    <a:gd name="T13" fmla="*/ 13 h 13"/>
                                    <a:gd name="T14" fmla="*/ 4 w 13"/>
                                    <a:gd name="T15" fmla="*/ 8 h 13"/>
                                    <a:gd name="T16" fmla="*/ 0 w 13"/>
                                    <a:gd name="T17" fmla="*/ 5 h 13"/>
                                    <a:gd name="T18" fmla="*/ 5 w 13"/>
                                    <a:gd name="T19" fmla="*/ 5 h 13"/>
                                    <a:gd name="T20" fmla="*/ 6 w 13"/>
                                    <a:gd name="T21" fmla="*/ 0 h 13"/>
                                    <a:gd name="T22" fmla="*/ 6 w 13"/>
                                    <a:gd name="T23" fmla="*/ 0 h 13"/>
                                    <a:gd name="T24" fmla="*/ 6 w 13"/>
                                    <a:gd name="T2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3">
                                      <a:moveTo>
                                        <a:pt x="6" y="0"/>
                                      </a:moveTo>
                                      <a:lnTo>
                                        <a:pt x="8" y="5"/>
                                      </a:lnTo>
                                      <a:lnTo>
                                        <a:pt x="13" y="5"/>
                                      </a:lnTo>
                                      <a:lnTo>
                                        <a:pt x="8" y="8"/>
                                      </a:lnTo>
                                      <a:lnTo>
                                        <a:pt x="10" y="13"/>
                                      </a:lnTo>
                                      <a:lnTo>
                                        <a:pt x="6" y="10"/>
                                      </a:lnTo>
                                      <a:lnTo>
                                        <a:pt x="3" y="13"/>
                                      </a:lnTo>
                                      <a:lnTo>
                                        <a:pt x="4" y="8"/>
                                      </a:lnTo>
                                      <a:lnTo>
                                        <a:pt x="0" y="5"/>
                                      </a:lnTo>
                                      <a:lnTo>
                                        <a:pt x="5" y="5"/>
                                      </a:lnTo>
                                      <a:lnTo>
                                        <a:pt x="6" y="0"/>
                                      </a:lnTo>
                                      <a:moveTo>
                                        <a:pt x="6" y="0"/>
                                      </a:moveTo>
                                      <a:lnTo>
                                        <a:pt x="6"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8"/>
                              <wps:cNvSpPr>
                                <a:spLocks noEditPoints="1"/>
                              </wps:cNvSpPr>
                              <wps:spPr bwMode="auto">
                                <a:xfrm>
                                  <a:off x="214313" y="69850"/>
                                  <a:ext cx="20638" cy="19050"/>
                                </a:xfrm>
                                <a:custGeom>
                                  <a:avLst/>
                                  <a:gdLst>
                                    <a:gd name="T0" fmla="*/ 2 w 13"/>
                                    <a:gd name="T1" fmla="*/ 0 h 12"/>
                                    <a:gd name="T2" fmla="*/ 6 w 13"/>
                                    <a:gd name="T3" fmla="*/ 3 h 12"/>
                                    <a:gd name="T4" fmla="*/ 9 w 13"/>
                                    <a:gd name="T5" fmla="*/ 0 h 12"/>
                                    <a:gd name="T6" fmla="*/ 9 w 13"/>
                                    <a:gd name="T7" fmla="*/ 4 h 12"/>
                                    <a:gd name="T8" fmla="*/ 13 w 13"/>
                                    <a:gd name="T9" fmla="*/ 6 h 12"/>
                                    <a:gd name="T10" fmla="*/ 8 w 13"/>
                                    <a:gd name="T11" fmla="*/ 7 h 12"/>
                                    <a:gd name="T12" fmla="*/ 7 w 13"/>
                                    <a:gd name="T13" fmla="*/ 12 h 12"/>
                                    <a:gd name="T14" fmla="*/ 5 w 13"/>
                                    <a:gd name="T15" fmla="*/ 7 h 12"/>
                                    <a:gd name="T16" fmla="*/ 0 w 13"/>
                                    <a:gd name="T17" fmla="*/ 8 h 12"/>
                                    <a:gd name="T18" fmla="*/ 4 w 13"/>
                                    <a:gd name="T19" fmla="*/ 5 h 12"/>
                                    <a:gd name="T20" fmla="*/ 2 w 13"/>
                                    <a:gd name="T21" fmla="*/ 0 h 12"/>
                                    <a:gd name="T22" fmla="*/ 2 w 13"/>
                                    <a:gd name="T23" fmla="*/ 0 h 12"/>
                                    <a:gd name="T24" fmla="*/ 2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0"/>
                                      </a:moveTo>
                                      <a:lnTo>
                                        <a:pt x="6" y="3"/>
                                      </a:lnTo>
                                      <a:lnTo>
                                        <a:pt x="9" y="0"/>
                                      </a:lnTo>
                                      <a:lnTo>
                                        <a:pt x="9" y="4"/>
                                      </a:lnTo>
                                      <a:lnTo>
                                        <a:pt x="13" y="6"/>
                                      </a:lnTo>
                                      <a:lnTo>
                                        <a:pt x="8" y="7"/>
                                      </a:lnTo>
                                      <a:lnTo>
                                        <a:pt x="7" y="12"/>
                                      </a:lnTo>
                                      <a:lnTo>
                                        <a:pt x="5" y="7"/>
                                      </a:lnTo>
                                      <a:lnTo>
                                        <a:pt x="0" y="8"/>
                                      </a:lnTo>
                                      <a:lnTo>
                                        <a:pt x="4" y="5"/>
                                      </a:lnTo>
                                      <a:lnTo>
                                        <a:pt x="2" y="0"/>
                                      </a:lnTo>
                                      <a:close/>
                                      <a:moveTo>
                                        <a:pt x="2" y="0"/>
                                      </a:moveTo>
                                      <a:lnTo>
                                        <a:pt x="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89"/>
                              <wps:cNvSpPr>
                                <a:spLocks noEditPoints="1"/>
                              </wps:cNvSpPr>
                              <wps:spPr bwMode="auto">
                                <a:xfrm>
                                  <a:off x="214313" y="69850"/>
                                  <a:ext cx="20638" cy="19050"/>
                                </a:xfrm>
                                <a:custGeom>
                                  <a:avLst/>
                                  <a:gdLst>
                                    <a:gd name="T0" fmla="*/ 2 w 13"/>
                                    <a:gd name="T1" fmla="*/ 0 h 12"/>
                                    <a:gd name="T2" fmla="*/ 6 w 13"/>
                                    <a:gd name="T3" fmla="*/ 3 h 12"/>
                                    <a:gd name="T4" fmla="*/ 9 w 13"/>
                                    <a:gd name="T5" fmla="*/ 0 h 12"/>
                                    <a:gd name="T6" fmla="*/ 9 w 13"/>
                                    <a:gd name="T7" fmla="*/ 4 h 12"/>
                                    <a:gd name="T8" fmla="*/ 13 w 13"/>
                                    <a:gd name="T9" fmla="*/ 6 h 12"/>
                                    <a:gd name="T10" fmla="*/ 8 w 13"/>
                                    <a:gd name="T11" fmla="*/ 7 h 12"/>
                                    <a:gd name="T12" fmla="*/ 7 w 13"/>
                                    <a:gd name="T13" fmla="*/ 12 h 12"/>
                                    <a:gd name="T14" fmla="*/ 5 w 13"/>
                                    <a:gd name="T15" fmla="*/ 7 h 12"/>
                                    <a:gd name="T16" fmla="*/ 0 w 13"/>
                                    <a:gd name="T17" fmla="*/ 8 h 12"/>
                                    <a:gd name="T18" fmla="*/ 4 w 13"/>
                                    <a:gd name="T19" fmla="*/ 5 h 12"/>
                                    <a:gd name="T20" fmla="*/ 2 w 13"/>
                                    <a:gd name="T21" fmla="*/ 0 h 12"/>
                                    <a:gd name="T22" fmla="*/ 2 w 13"/>
                                    <a:gd name="T23" fmla="*/ 0 h 12"/>
                                    <a:gd name="T24" fmla="*/ 2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0"/>
                                      </a:moveTo>
                                      <a:lnTo>
                                        <a:pt x="6" y="3"/>
                                      </a:lnTo>
                                      <a:lnTo>
                                        <a:pt x="9" y="0"/>
                                      </a:lnTo>
                                      <a:lnTo>
                                        <a:pt x="9" y="4"/>
                                      </a:lnTo>
                                      <a:lnTo>
                                        <a:pt x="13" y="6"/>
                                      </a:lnTo>
                                      <a:lnTo>
                                        <a:pt x="8" y="7"/>
                                      </a:lnTo>
                                      <a:lnTo>
                                        <a:pt x="7" y="12"/>
                                      </a:lnTo>
                                      <a:lnTo>
                                        <a:pt x="5" y="7"/>
                                      </a:lnTo>
                                      <a:lnTo>
                                        <a:pt x="0" y="8"/>
                                      </a:lnTo>
                                      <a:lnTo>
                                        <a:pt x="4" y="5"/>
                                      </a:lnTo>
                                      <a:lnTo>
                                        <a:pt x="2" y="0"/>
                                      </a:lnTo>
                                      <a:moveTo>
                                        <a:pt x="2" y="0"/>
                                      </a:moveTo>
                                      <a:lnTo>
                                        <a:pt x="2"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noEditPoints="1"/>
                              </wps:cNvSpPr>
                              <wps:spPr bwMode="auto">
                                <a:xfrm>
                                  <a:off x="198438" y="107950"/>
                                  <a:ext cx="19050" cy="19050"/>
                                </a:xfrm>
                                <a:custGeom>
                                  <a:avLst/>
                                  <a:gdLst>
                                    <a:gd name="T0" fmla="*/ 0 w 12"/>
                                    <a:gd name="T1" fmla="*/ 6 h 12"/>
                                    <a:gd name="T2" fmla="*/ 4 w 12"/>
                                    <a:gd name="T3" fmla="*/ 4 h 12"/>
                                    <a:gd name="T4" fmla="*/ 4 w 12"/>
                                    <a:gd name="T5" fmla="*/ 0 h 12"/>
                                    <a:gd name="T6" fmla="*/ 7 w 12"/>
                                    <a:gd name="T7" fmla="*/ 3 h 12"/>
                                    <a:gd name="T8" fmla="*/ 12 w 12"/>
                                    <a:gd name="T9" fmla="*/ 2 h 12"/>
                                    <a:gd name="T10" fmla="*/ 8 w 12"/>
                                    <a:gd name="T11" fmla="*/ 6 h 12"/>
                                    <a:gd name="T12" fmla="*/ 12 w 12"/>
                                    <a:gd name="T13" fmla="*/ 10 h 12"/>
                                    <a:gd name="T14" fmla="*/ 7 w 12"/>
                                    <a:gd name="T15" fmla="*/ 8 h 12"/>
                                    <a:gd name="T16" fmla="*/ 4 w 12"/>
                                    <a:gd name="T17" fmla="*/ 12 h 12"/>
                                    <a:gd name="T18" fmla="*/ 4 w 12"/>
                                    <a:gd name="T19" fmla="*/ 7 h 12"/>
                                    <a:gd name="T20" fmla="*/ 0 w 12"/>
                                    <a:gd name="T21" fmla="*/ 6 h 12"/>
                                    <a:gd name="T22" fmla="*/ 0 w 12"/>
                                    <a:gd name="T23" fmla="*/ 6 h 12"/>
                                    <a:gd name="T24" fmla="*/ 0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0" y="6"/>
                                      </a:moveTo>
                                      <a:lnTo>
                                        <a:pt x="4" y="4"/>
                                      </a:lnTo>
                                      <a:lnTo>
                                        <a:pt x="4" y="0"/>
                                      </a:lnTo>
                                      <a:lnTo>
                                        <a:pt x="7" y="3"/>
                                      </a:lnTo>
                                      <a:lnTo>
                                        <a:pt x="12" y="2"/>
                                      </a:lnTo>
                                      <a:lnTo>
                                        <a:pt x="8" y="6"/>
                                      </a:lnTo>
                                      <a:lnTo>
                                        <a:pt x="12" y="10"/>
                                      </a:lnTo>
                                      <a:lnTo>
                                        <a:pt x="7" y="8"/>
                                      </a:lnTo>
                                      <a:lnTo>
                                        <a:pt x="4" y="12"/>
                                      </a:lnTo>
                                      <a:lnTo>
                                        <a:pt x="4" y="7"/>
                                      </a:lnTo>
                                      <a:lnTo>
                                        <a:pt x="0" y="6"/>
                                      </a:lnTo>
                                      <a:close/>
                                      <a:moveTo>
                                        <a:pt x="0" y="6"/>
                                      </a:moveTo>
                                      <a:lnTo>
                                        <a:pt x="0"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noEditPoints="1"/>
                              </wps:cNvSpPr>
                              <wps:spPr bwMode="auto">
                                <a:xfrm>
                                  <a:off x="198438" y="107950"/>
                                  <a:ext cx="19050" cy="19050"/>
                                </a:xfrm>
                                <a:custGeom>
                                  <a:avLst/>
                                  <a:gdLst>
                                    <a:gd name="T0" fmla="*/ 0 w 12"/>
                                    <a:gd name="T1" fmla="*/ 6 h 12"/>
                                    <a:gd name="T2" fmla="*/ 4 w 12"/>
                                    <a:gd name="T3" fmla="*/ 4 h 12"/>
                                    <a:gd name="T4" fmla="*/ 4 w 12"/>
                                    <a:gd name="T5" fmla="*/ 0 h 12"/>
                                    <a:gd name="T6" fmla="*/ 7 w 12"/>
                                    <a:gd name="T7" fmla="*/ 3 h 12"/>
                                    <a:gd name="T8" fmla="*/ 12 w 12"/>
                                    <a:gd name="T9" fmla="*/ 2 h 12"/>
                                    <a:gd name="T10" fmla="*/ 8 w 12"/>
                                    <a:gd name="T11" fmla="*/ 6 h 12"/>
                                    <a:gd name="T12" fmla="*/ 12 w 12"/>
                                    <a:gd name="T13" fmla="*/ 10 h 12"/>
                                    <a:gd name="T14" fmla="*/ 7 w 12"/>
                                    <a:gd name="T15" fmla="*/ 8 h 12"/>
                                    <a:gd name="T16" fmla="*/ 4 w 12"/>
                                    <a:gd name="T17" fmla="*/ 12 h 12"/>
                                    <a:gd name="T18" fmla="*/ 4 w 12"/>
                                    <a:gd name="T19" fmla="*/ 7 h 12"/>
                                    <a:gd name="T20" fmla="*/ 0 w 12"/>
                                    <a:gd name="T21" fmla="*/ 6 h 12"/>
                                    <a:gd name="T22" fmla="*/ 0 w 12"/>
                                    <a:gd name="T23" fmla="*/ 6 h 12"/>
                                    <a:gd name="T24" fmla="*/ 0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0" y="6"/>
                                      </a:moveTo>
                                      <a:lnTo>
                                        <a:pt x="4" y="4"/>
                                      </a:lnTo>
                                      <a:lnTo>
                                        <a:pt x="4" y="0"/>
                                      </a:lnTo>
                                      <a:lnTo>
                                        <a:pt x="7" y="3"/>
                                      </a:lnTo>
                                      <a:lnTo>
                                        <a:pt x="12" y="2"/>
                                      </a:lnTo>
                                      <a:lnTo>
                                        <a:pt x="8" y="6"/>
                                      </a:lnTo>
                                      <a:lnTo>
                                        <a:pt x="12" y="10"/>
                                      </a:lnTo>
                                      <a:lnTo>
                                        <a:pt x="7" y="8"/>
                                      </a:lnTo>
                                      <a:lnTo>
                                        <a:pt x="4" y="12"/>
                                      </a:lnTo>
                                      <a:lnTo>
                                        <a:pt x="4" y="7"/>
                                      </a:lnTo>
                                      <a:lnTo>
                                        <a:pt x="0" y="6"/>
                                      </a:lnTo>
                                      <a:moveTo>
                                        <a:pt x="0" y="6"/>
                                      </a:moveTo>
                                      <a:lnTo>
                                        <a:pt x="0" y="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noEditPoints="1"/>
                              </wps:cNvSpPr>
                              <wps:spPr bwMode="auto">
                                <a:xfrm>
                                  <a:off x="214313" y="146050"/>
                                  <a:ext cx="20638" cy="19050"/>
                                </a:xfrm>
                                <a:custGeom>
                                  <a:avLst/>
                                  <a:gdLst>
                                    <a:gd name="T0" fmla="*/ 2 w 13"/>
                                    <a:gd name="T1" fmla="*/ 11 h 12"/>
                                    <a:gd name="T2" fmla="*/ 4 w 13"/>
                                    <a:gd name="T3" fmla="*/ 7 h 12"/>
                                    <a:gd name="T4" fmla="*/ 0 w 13"/>
                                    <a:gd name="T5" fmla="*/ 3 h 12"/>
                                    <a:gd name="T6" fmla="*/ 5 w 13"/>
                                    <a:gd name="T7" fmla="*/ 4 h 12"/>
                                    <a:gd name="T8" fmla="*/ 7 w 13"/>
                                    <a:gd name="T9" fmla="*/ 0 h 12"/>
                                    <a:gd name="T10" fmla="*/ 8 w 13"/>
                                    <a:gd name="T11" fmla="*/ 4 h 12"/>
                                    <a:gd name="T12" fmla="*/ 13 w 13"/>
                                    <a:gd name="T13" fmla="*/ 5 h 12"/>
                                    <a:gd name="T14" fmla="*/ 9 w 13"/>
                                    <a:gd name="T15" fmla="*/ 8 h 12"/>
                                    <a:gd name="T16" fmla="*/ 9 w 13"/>
                                    <a:gd name="T17" fmla="*/ 12 h 12"/>
                                    <a:gd name="T18" fmla="*/ 6 w 13"/>
                                    <a:gd name="T19" fmla="*/ 8 h 12"/>
                                    <a:gd name="T20" fmla="*/ 2 w 13"/>
                                    <a:gd name="T21" fmla="*/ 11 h 12"/>
                                    <a:gd name="T22" fmla="*/ 2 w 13"/>
                                    <a:gd name="T23" fmla="*/ 11 h 12"/>
                                    <a:gd name="T24" fmla="*/ 2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11"/>
                                      </a:moveTo>
                                      <a:lnTo>
                                        <a:pt x="4" y="7"/>
                                      </a:lnTo>
                                      <a:lnTo>
                                        <a:pt x="0" y="3"/>
                                      </a:lnTo>
                                      <a:lnTo>
                                        <a:pt x="5" y="4"/>
                                      </a:lnTo>
                                      <a:lnTo>
                                        <a:pt x="7" y="0"/>
                                      </a:lnTo>
                                      <a:lnTo>
                                        <a:pt x="8" y="4"/>
                                      </a:lnTo>
                                      <a:lnTo>
                                        <a:pt x="13" y="5"/>
                                      </a:lnTo>
                                      <a:lnTo>
                                        <a:pt x="9" y="8"/>
                                      </a:lnTo>
                                      <a:lnTo>
                                        <a:pt x="9" y="12"/>
                                      </a:lnTo>
                                      <a:lnTo>
                                        <a:pt x="6" y="8"/>
                                      </a:lnTo>
                                      <a:lnTo>
                                        <a:pt x="2" y="11"/>
                                      </a:lnTo>
                                      <a:close/>
                                      <a:moveTo>
                                        <a:pt x="2" y="11"/>
                                      </a:moveTo>
                                      <a:lnTo>
                                        <a:pt x="2"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1" name="Freeform 3211"/>
                              <wps:cNvSpPr>
                                <a:spLocks noEditPoints="1"/>
                              </wps:cNvSpPr>
                              <wps:spPr bwMode="auto">
                                <a:xfrm>
                                  <a:off x="214313" y="146050"/>
                                  <a:ext cx="20638" cy="19050"/>
                                </a:xfrm>
                                <a:custGeom>
                                  <a:avLst/>
                                  <a:gdLst>
                                    <a:gd name="T0" fmla="*/ 2 w 13"/>
                                    <a:gd name="T1" fmla="*/ 11 h 12"/>
                                    <a:gd name="T2" fmla="*/ 4 w 13"/>
                                    <a:gd name="T3" fmla="*/ 7 h 12"/>
                                    <a:gd name="T4" fmla="*/ 0 w 13"/>
                                    <a:gd name="T5" fmla="*/ 3 h 12"/>
                                    <a:gd name="T6" fmla="*/ 5 w 13"/>
                                    <a:gd name="T7" fmla="*/ 4 h 12"/>
                                    <a:gd name="T8" fmla="*/ 7 w 13"/>
                                    <a:gd name="T9" fmla="*/ 0 h 12"/>
                                    <a:gd name="T10" fmla="*/ 8 w 13"/>
                                    <a:gd name="T11" fmla="*/ 4 h 12"/>
                                    <a:gd name="T12" fmla="*/ 13 w 13"/>
                                    <a:gd name="T13" fmla="*/ 5 h 12"/>
                                    <a:gd name="T14" fmla="*/ 9 w 13"/>
                                    <a:gd name="T15" fmla="*/ 8 h 12"/>
                                    <a:gd name="T16" fmla="*/ 9 w 13"/>
                                    <a:gd name="T17" fmla="*/ 12 h 12"/>
                                    <a:gd name="T18" fmla="*/ 6 w 13"/>
                                    <a:gd name="T19" fmla="*/ 8 h 12"/>
                                    <a:gd name="T20" fmla="*/ 2 w 13"/>
                                    <a:gd name="T21" fmla="*/ 11 h 12"/>
                                    <a:gd name="T22" fmla="*/ 2 w 13"/>
                                    <a:gd name="T23" fmla="*/ 11 h 12"/>
                                    <a:gd name="T24" fmla="*/ 2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2" y="11"/>
                                      </a:moveTo>
                                      <a:lnTo>
                                        <a:pt x="4" y="7"/>
                                      </a:lnTo>
                                      <a:lnTo>
                                        <a:pt x="0" y="3"/>
                                      </a:lnTo>
                                      <a:lnTo>
                                        <a:pt x="5" y="4"/>
                                      </a:lnTo>
                                      <a:lnTo>
                                        <a:pt x="7" y="0"/>
                                      </a:lnTo>
                                      <a:lnTo>
                                        <a:pt x="8" y="4"/>
                                      </a:lnTo>
                                      <a:lnTo>
                                        <a:pt x="13" y="5"/>
                                      </a:lnTo>
                                      <a:lnTo>
                                        <a:pt x="9" y="8"/>
                                      </a:lnTo>
                                      <a:lnTo>
                                        <a:pt x="9" y="12"/>
                                      </a:lnTo>
                                      <a:lnTo>
                                        <a:pt x="6" y="8"/>
                                      </a:lnTo>
                                      <a:lnTo>
                                        <a:pt x="2" y="11"/>
                                      </a:lnTo>
                                      <a:moveTo>
                                        <a:pt x="2" y="11"/>
                                      </a:moveTo>
                                      <a:lnTo>
                                        <a:pt x="2" y="1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2" name="Freeform 3212"/>
                              <wps:cNvSpPr>
                                <a:spLocks noEditPoints="1"/>
                              </wps:cNvSpPr>
                              <wps:spPr bwMode="auto">
                                <a:xfrm>
                                  <a:off x="252413" y="163512"/>
                                  <a:ext cx="20638" cy="19050"/>
                                </a:xfrm>
                                <a:custGeom>
                                  <a:avLst/>
                                  <a:gdLst>
                                    <a:gd name="T0" fmla="*/ 6 w 13"/>
                                    <a:gd name="T1" fmla="*/ 12 h 12"/>
                                    <a:gd name="T2" fmla="*/ 5 w 13"/>
                                    <a:gd name="T3" fmla="*/ 7 h 12"/>
                                    <a:gd name="T4" fmla="*/ 0 w 13"/>
                                    <a:gd name="T5" fmla="*/ 7 h 12"/>
                                    <a:gd name="T6" fmla="*/ 4 w 13"/>
                                    <a:gd name="T7" fmla="*/ 4 h 12"/>
                                    <a:gd name="T8" fmla="*/ 3 w 13"/>
                                    <a:gd name="T9" fmla="*/ 0 h 12"/>
                                    <a:gd name="T10" fmla="*/ 6 w 13"/>
                                    <a:gd name="T11" fmla="*/ 3 h 12"/>
                                    <a:gd name="T12" fmla="*/ 10 w 13"/>
                                    <a:gd name="T13" fmla="*/ 0 h 12"/>
                                    <a:gd name="T14" fmla="*/ 8 w 13"/>
                                    <a:gd name="T15" fmla="*/ 4 h 12"/>
                                    <a:gd name="T16" fmla="*/ 13 w 13"/>
                                    <a:gd name="T17" fmla="*/ 7 h 12"/>
                                    <a:gd name="T18" fmla="*/ 8 w 13"/>
                                    <a:gd name="T19" fmla="*/ 7 h 12"/>
                                    <a:gd name="T20" fmla="*/ 6 w 13"/>
                                    <a:gd name="T21" fmla="*/ 12 h 12"/>
                                    <a:gd name="T22" fmla="*/ 6 w 13"/>
                                    <a:gd name="T23" fmla="*/ 12 h 12"/>
                                    <a:gd name="T24" fmla="*/ 6 w 13"/>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6" y="12"/>
                                      </a:moveTo>
                                      <a:lnTo>
                                        <a:pt x="5" y="7"/>
                                      </a:lnTo>
                                      <a:lnTo>
                                        <a:pt x="0" y="7"/>
                                      </a:lnTo>
                                      <a:lnTo>
                                        <a:pt x="4" y="4"/>
                                      </a:lnTo>
                                      <a:lnTo>
                                        <a:pt x="3" y="0"/>
                                      </a:lnTo>
                                      <a:lnTo>
                                        <a:pt x="6" y="3"/>
                                      </a:lnTo>
                                      <a:lnTo>
                                        <a:pt x="10" y="0"/>
                                      </a:lnTo>
                                      <a:lnTo>
                                        <a:pt x="8" y="4"/>
                                      </a:lnTo>
                                      <a:lnTo>
                                        <a:pt x="13" y="7"/>
                                      </a:lnTo>
                                      <a:lnTo>
                                        <a:pt x="8" y="7"/>
                                      </a:lnTo>
                                      <a:lnTo>
                                        <a:pt x="6" y="12"/>
                                      </a:lnTo>
                                      <a:close/>
                                      <a:moveTo>
                                        <a:pt x="6" y="12"/>
                                      </a:moveTo>
                                      <a:lnTo>
                                        <a:pt x="6" y="1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3" name="Freeform 3213"/>
                              <wps:cNvSpPr>
                                <a:spLocks noEditPoints="1"/>
                              </wps:cNvSpPr>
                              <wps:spPr bwMode="auto">
                                <a:xfrm>
                                  <a:off x="252413" y="163512"/>
                                  <a:ext cx="20638" cy="19050"/>
                                </a:xfrm>
                                <a:custGeom>
                                  <a:avLst/>
                                  <a:gdLst>
                                    <a:gd name="T0" fmla="*/ 6 w 13"/>
                                    <a:gd name="T1" fmla="*/ 12 h 12"/>
                                    <a:gd name="T2" fmla="*/ 5 w 13"/>
                                    <a:gd name="T3" fmla="*/ 7 h 12"/>
                                    <a:gd name="T4" fmla="*/ 0 w 13"/>
                                    <a:gd name="T5" fmla="*/ 7 h 12"/>
                                    <a:gd name="T6" fmla="*/ 4 w 13"/>
                                    <a:gd name="T7" fmla="*/ 4 h 12"/>
                                    <a:gd name="T8" fmla="*/ 3 w 13"/>
                                    <a:gd name="T9" fmla="*/ 0 h 12"/>
                                    <a:gd name="T10" fmla="*/ 6 w 13"/>
                                    <a:gd name="T11" fmla="*/ 3 h 12"/>
                                    <a:gd name="T12" fmla="*/ 10 w 13"/>
                                    <a:gd name="T13" fmla="*/ 0 h 12"/>
                                    <a:gd name="T14" fmla="*/ 8 w 13"/>
                                    <a:gd name="T15" fmla="*/ 4 h 12"/>
                                    <a:gd name="T16" fmla="*/ 13 w 13"/>
                                    <a:gd name="T17" fmla="*/ 7 h 12"/>
                                    <a:gd name="T18" fmla="*/ 8 w 13"/>
                                    <a:gd name="T19" fmla="*/ 7 h 12"/>
                                    <a:gd name="T20" fmla="*/ 6 w 13"/>
                                    <a:gd name="T21" fmla="*/ 12 h 12"/>
                                    <a:gd name="T22" fmla="*/ 6 w 13"/>
                                    <a:gd name="T23" fmla="*/ 12 h 12"/>
                                    <a:gd name="T24" fmla="*/ 6 w 13"/>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6" y="12"/>
                                      </a:moveTo>
                                      <a:lnTo>
                                        <a:pt x="5" y="7"/>
                                      </a:lnTo>
                                      <a:lnTo>
                                        <a:pt x="0" y="7"/>
                                      </a:lnTo>
                                      <a:lnTo>
                                        <a:pt x="4" y="4"/>
                                      </a:lnTo>
                                      <a:lnTo>
                                        <a:pt x="3" y="0"/>
                                      </a:lnTo>
                                      <a:lnTo>
                                        <a:pt x="6" y="3"/>
                                      </a:lnTo>
                                      <a:lnTo>
                                        <a:pt x="10" y="0"/>
                                      </a:lnTo>
                                      <a:lnTo>
                                        <a:pt x="8" y="4"/>
                                      </a:lnTo>
                                      <a:lnTo>
                                        <a:pt x="13" y="7"/>
                                      </a:lnTo>
                                      <a:lnTo>
                                        <a:pt x="8" y="7"/>
                                      </a:lnTo>
                                      <a:lnTo>
                                        <a:pt x="6" y="12"/>
                                      </a:lnTo>
                                      <a:moveTo>
                                        <a:pt x="6" y="12"/>
                                      </a:moveTo>
                                      <a:lnTo>
                                        <a:pt x="6" y="12"/>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4" name="Freeform 3214"/>
                              <wps:cNvSpPr>
                                <a:spLocks noEditPoints="1"/>
                              </wps:cNvSpPr>
                              <wps:spPr bwMode="auto">
                                <a:xfrm>
                                  <a:off x="290513" y="146050"/>
                                  <a:ext cx="20638" cy="19050"/>
                                </a:xfrm>
                                <a:custGeom>
                                  <a:avLst/>
                                  <a:gdLst>
                                    <a:gd name="T0" fmla="*/ 11 w 13"/>
                                    <a:gd name="T1" fmla="*/ 11 h 12"/>
                                    <a:gd name="T2" fmla="*/ 7 w 13"/>
                                    <a:gd name="T3" fmla="*/ 8 h 12"/>
                                    <a:gd name="T4" fmla="*/ 3 w 13"/>
                                    <a:gd name="T5" fmla="*/ 12 h 12"/>
                                    <a:gd name="T6" fmla="*/ 4 w 13"/>
                                    <a:gd name="T7" fmla="*/ 8 h 12"/>
                                    <a:gd name="T8" fmla="*/ 0 w 13"/>
                                    <a:gd name="T9" fmla="*/ 5 h 12"/>
                                    <a:gd name="T10" fmla="*/ 4 w 13"/>
                                    <a:gd name="T11" fmla="*/ 4 h 12"/>
                                    <a:gd name="T12" fmla="*/ 5 w 13"/>
                                    <a:gd name="T13" fmla="*/ 0 h 12"/>
                                    <a:gd name="T14" fmla="*/ 8 w 13"/>
                                    <a:gd name="T15" fmla="*/ 4 h 12"/>
                                    <a:gd name="T16" fmla="*/ 13 w 13"/>
                                    <a:gd name="T17" fmla="*/ 3 h 12"/>
                                    <a:gd name="T18" fmla="*/ 9 w 13"/>
                                    <a:gd name="T19" fmla="*/ 7 h 12"/>
                                    <a:gd name="T20" fmla="*/ 11 w 13"/>
                                    <a:gd name="T21" fmla="*/ 11 h 12"/>
                                    <a:gd name="T22" fmla="*/ 11 w 13"/>
                                    <a:gd name="T23" fmla="*/ 11 h 12"/>
                                    <a:gd name="T24" fmla="*/ 11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11"/>
                                      </a:moveTo>
                                      <a:lnTo>
                                        <a:pt x="7" y="8"/>
                                      </a:lnTo>
                                      <a:lnTo>
                                        <a:pt x="3" y="12"/>
                                      </a:lnTo>
                                      <a:lnTo>
                                        <a:pt x="4" y="8"/>
                                      </a:lnTo>
                                      <a:lnTo>
                                        <a:pt x="0" y="5"/>
                                      </a:lnTo>
                                      <a:lnTo>
                                        <a:pt x="4" y="4"/>
                                      </a:lnTo>
                                      <a:lnTo>
                                        <a:pt x="5" y="0"/>
                                      </a:lnTo>
                                      <a:lnTo>
                                        <a:pt x="8" y="4"/>
                                      </a:lnTo>
                                      <a:lnTo>
                                        <a:pt x="13" y="3"/>
                                      </a:lnTo>
                                      <a:lnTo>
                                        <a:pt x="9" y="7"/>
                                      </a:lnTo>
                                      <a:lnTo>
                                        <a:pt x="11" y="11"/>
                                      </a:lnTo>
                                      <a:close/>
                                      <a:moveTo>
                                        <a:pt x="11" y="11"/>
                                      </a:moveTo>
                                      <a:lnTo>
                                        <a:pt x="11"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5" name="Freeform 3215"/>
                              <wps:cNvSpPr>
                                <a:spLocks noEditPoints="1"/>
                              </wps:cNvSpPr>
                              <wps:spPr bwMode="auto">
                                <a:xfrm>
                                  <a:off x="290513" y="146050"/>
                                  <a:ext cx="20638" cy="19050"/>
                                </a:xfrm>
                                <a:custGeom>
                                  <a:avLst/>
                                  <a:gdLst>
                                    <a:gd name="T0" fmla="*/ 11 w 13"/>
                                    <a:gd name="T1" fmla="*/ 11 h 12"/>
                                    <a:gd name="T2" fmla="*/ 7 w 13"/>
                                    <a:gd name="T3" fmla="*/ 8 h 12"/>
                                    <a:gd name="T4" fmla="*/ 3 w 13"/>
                                    <a:gd name="T5" fmla="*/ 12 h 12"/>
                                    <a:gd name="T6" fmla="*/ 4 w 13"/>
                                    <a:gd name="T7" fmla="*/ 8 h 12"/>
                                    <a:gd name="T8" fmla="*/ 0 w 13"/>
                                    <a:gd name="T9" fmla="*/ 5 h 12"/>
                                    <a:gd name="T10" fmla="*/ 4 w 13"/>
                                    <a:gd name="T11" fmla="*/ 4 h 12"/>
                                    <a:gd name="T12" fmla="*/ 5 w 13"/>
                                    <a:gd name="T13" fmla="*/ 0 h 12"/>
                                    <a:gd name="T14" fmla="*/ 8 w 13"/>
                                    <a:gd name="T15" fmla="*/ 4 h 12"/>
                                    <a:gd name="T16" fmla="*/ 13 w 13"/>
                                    <a:gd name="T17" fmla="*/ 3 h 12"/>
                                    <a:gd name="T18" fmla="*/ 9 w 13"/>
                                    <a:gd name="T19" fmla="*/ 7 h 12"/>
                                    <a:gd name="T20" fmla="*/ 11 w 13"/>
                                    <a:gd name="T21" fmla="*/ 11 h 12"/>
                                    <a:gd name="T22" fmla="*/ 11 w 13"/>
                                    <a:gd name="T23" fmla="*/ 11 h 12"/>
                                    <a:gd name="T24" fmla="*/ 11 w 13"/>
                                    <a:gd name="T25" fmla="*/ 1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11"/>
                                      </a:moveTo>
                                      <a:lnTo>
                                        <a:pt x="7" y="8"/>
                                      </a:lnTo>
                                      <a:lnTo>
                                        <a:pt x="3" y="12"/>
                                      </a:lnTo>
                                      <a:lnTo>
                                        <a:pt x="4" y="8"/>
                                      </a:lnTo>
                                      <a:lnTo>
                                        <a:pt x="0" y="5"/>
                                      </a:lnTo>
                                      <a:lnTo>
                                        <a:pt x="4" y="4"/>
                                      </a:lnTo>
                                      <a:lnTo>
                                        <a:pt x="5" y="0"/>
                                      </a:lnTo>
                                      <a:lnTo>
                                        <a:pt x="8" y="4"/>
                                      </a:lnTo>
                                      <a:lnTo>
                                        <a:pt x="13" y="3"/>
                                      </a:lnTo>
                                      <a:lnTo>
                                        <a:pt x="9" y="7"/>
                                      </a:lnTo>
                                      <a:lnTo>
                                        <a:pt x="11" y="11"/>
                                      </a:lnTo>
                                      <a:moveTo>
                                        <a:pt x="11" y="11"/>
                                      </a:moveTo>
                                      <a:lnTo>
                                        <a:pt x="11" y="1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6" name="Freeform 3216"/>
                              <wps:cNvSpPr>
                                <a:spLocks noEditPoints="1"/>
                              </wps:cNvSpPr>
                              <wps:spPr bwMode="auto">
                                <a:xfrm>
                                  <a:off x="307975" y="107950"/>
                                  <a:ext cx="19050" cy="19050"/>
                                </a:xfrm>
                                <a:custGeom>
                                  <a:avLst/>
                                  <a:gdLst>
                                    <a:gd name="T0" fmla="*/ 12 w 12"/>
                                    <a:gd name="T1" fmla="*/ 6 h 12"/>
                                    <a:gd name="T2" fmla="*/ 7 w 12"/>
                                    <a:gd name="T3" fmla="*/ 7 h 12"/>
                                    <a:gd name="T4" fmla="*/ 7 w 12"/>
                                    <a:gd name="T5" fmla="*/ 12 h 12"/>
                                    <a:gd name="T6" fmla="*/ 4 w 12"/>
                                    <a:gd name="T7" fmla="*/ 8 h 12"/>
                                    <a:gd name="T8" fmla="*/ 0 w 12"/>
                                    <a:gd name="T9" fmla="*/ 10 h 12"/>
                                    <a:gd name="T10" fmla="*/ 2 w 12"/>
                                    <a:gd name="T11" fmla="*/ 6 h 12"/>
                                    <a:gd name="T12" fmla="*/ 0 w 12"/>
                                    <a:gd name="T13" fmla="*/ 2 h 12"/>
                                    <a:gd name="T14" fmla="*/ 4 w 12"/>
                                    <a:gd name="T15" fmla="*/ 3 h 12"/>
                                    <a:gd name="T16" fmla="*/ 7 w 12"/>
                                    <a:gd name="T17" fmla="*/ 0 h 12"/>
                                    <a:gd name="T18" fmla="*/ 7 w 12"/>
                                    <a:gd name="T19" fmla="*/ 4 h 12"/>
                                    <a:gd name="T20" fmla="*/ 12 w 12"/>
                                    <a:gd name="T21" fmla="*/ 6 h 12"/>
                                    <a:gd name="T22" fmla="*/ 12 w 12"/>
                                    <a:gd name="T23" fmla="*/ 6 h 12"/>
                                    <a:gd name="T24" fmla="*/ 12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12" y="6"/>
                                      </a:moveTo>
                                      <a:lnTo>
                                        <a:pt x="7" y="7"/>
                                      </a:lnTo>
                                      <a:lnTo>
                                        <a:pt x="7" y="12"/>
                                      </a:lnTo>
                                      <a:lnTo>
                                        <a:pt x="4" y="8"/>
                                      </a:lnTo>
                                      <a:lnTo>
                                        <a:pt x="0" y="10"/>
                                      </a:lnTo>
                                      <a:lnTo>
                                        <a:pt x="2" y="6"/>
                                      </a:lnTo>
                                      <a:lnTo>
                                        <a:pt x="0" y="2"/>
                                      </a:lnTo>
                                      <a:lnTo>
                                        <a:pt x="4" y="3"/>
                                      </a:lnTo>
                                      <a:lnTo>
                                        <a:pt x="7" y="0"/>
                                      </a:lnTo>
                                      <a:lnTo>
                                        <a:pt x="7" y="4"/>
                                      </a:lnTo>
                                      <a:lnTo>
                                        <a:pt x="12" y="6"/>
                                      </a:lnTo>
                                      <a:close/>
                                      <a:moveTo>
                                        <a:pt x="12" y="6"/>
                                      </a:moveTo>
                                      <a:lnTo>
                                        <a:pt x="12" y="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7" name="Freeform 3217"/>
                              <wps:cNvSpPr>
                                <a:spLocks noEditPoints="1"/>
                              </wps:cNvSpPr>
                              <wps:spPr bwMode="auto">
                                <a:xfrm>
                                  <a:off x="307975" y="107950"/>
                                  <a:ext cx="19050" cy="19050"/>
                                </a:xfrm>
                                <a:custGeom>
                                  <a:avLst/>
                                  <a:gdLst>
                                    <a:gd name="T0" fmla="*/ 12 w 12"/>
                                    <a:gd name="T1" fmla="*/ 6 h 12"/>
                                    <a:gd name="T2" fmla="*/ 7 w 12"/>
                                    <a:gd name="T3" fmla="*/ 7 h 12"/>
                                    <a:gd name="T4" fmla="*/ 7 w 12"/>
                                    <a:gd name="T5" fmla="*/ 12 h 12"/>
                                    <a:gd name="T6" fmla="*/ 4 w 12"/>
                                    <a:gd name="T7" fmla="*/ 8 h 12"/>
                                    <a:gd name="T8" fmla="*/ 0 w 12"/>
                                    <a:gd name="T9" fmla="*/ 10 h 12"/>
                                    <a:gd name="T10" fmla="*/ 2 w 12"/>
                                    <a:gd name="T11" fmla="*/ 6 h 12"/>
                                    <a:gd name="T12" fmla="*/ 0 w 12"/>
                                    <a:gd name="T13" fmla="*/ 2 h 12"/>
                                    <a:gd name="T14" fmla="*/ 4 w 12"/>
                                    <a:gd name="T15" fmla="*/ 3 h 12"/>
                                    <a:gd name="T16" fmla="*/ 7 w 12"/>
                                    <a:gd name="T17" fmla="*/ 0 h 12"/>
                                    <a:gd name="T18" fmla="*/ 7 w 12"/>
                                    <a:gd name="T19" fmla="*/ 4 h 12"/>
                                    <a:gd name="T20" fmla="*/ 12 w 12"/>
                                    <a:gd name="T21" fmla="*/ 6 h 12"/>
                                    <a:gd name="T22" fmla="*/ 12 w 12"/>
                                    <a:gd name="T23" fmla="*/ 6 h 12"/>
                                    <a:gd name="T24" fmla="*/ 12 w 12"/>
                                    <a:gd name="T25"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12">
                                      <a:moveTo>
                                        <a:pt x="12" y="6"/>
                                      </a:moveTo>
                                      <a:lnTo>
                                        <a:pt x="7" y="7"/>
                                      </a:lnTo>
                                      <a:lnTo>
                                        <a:pt x="7" y="12"/>
                                      </a:lnTo>
                                      <a:lnTo>
                                        <a:pt x="4" y="8"/>
                                      </a:lnTo>
                                      <a:lnTo>
                                        <a:pt x="0" y="10"/>
                                      </a:lnTo>
                                      <a:lnTo>
                                        <a:pt x="2" y="6"/>
                                      </a:lnTo>
                                      <a:lnTo>
                                        <a:pt x="0" y="2"/>
                                      </a:lnTo>
                                      <a:lnTo>
                                        <a:pt x="4" y="3"/>
                                      </a:lnTo>
                                      <a:lnTo>
                                        <a:pt x="7" y="0"/>
                                      </a:lnTo>
                                      <a:lnTo>
                                        <a:pt x="7" y="4"/>
                                      </a:lnTo>
                                      <a:lnTo>
                                        <a:pt x="12" y="6"/>
                                      </a:lnTo>
                                      <a:moveTo>
                                        <a:pt x="12" y="6"/>
                                      </a:moveTo>
                                      <a:lnTo>
                                        <a:pt x="12" y="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8" name="Freeform 3218"/>
                              <wps:cNvSpPr>
                                <a:spLocks noEditPoints="1"/>
                              </wps:cNvSpPr>
                              <wps:spPr bwMode="auto">
                                <a:xfrm>
                                  <a:off x="290513" y="69850"/>
                                  <a:ext cx="20638" cy="19050"/>
                                </a:xfrm>
                                <a:custGeom>
                                  <a:avLst/>
                                  <a:gdLst>
                                    <a:gd name="T0" fmla="*/ 11 w 13"/>
                                    <a:gd name="T1" fmla="*/ 0 h 12"/>
                                    <a:gd name="T2" fmla="*/ 9 w 13"/>
                                    <a:gd name="T3" fmla="*/ 5 h 12"/>
                                    <a:gd name="T4" fmla="*/ 13 w 13"/>
                                    <a:gd name="T5" fmla="*/ 8 h 12"/>
                                    <a:gd name="T6" fmla="*/ 8 w 13"/>
                                    <a:gd name="T7" fmla="*/ 7 h 12"/>
                                    <a:gd name="T8" fmla="*/ 5 w 13"/>
                                    <a:gd name="T9" fmla="*/ 12 h 12"/>
                                    <a:gd name="T10" fmla="*/ 5 w 13"/>
                                    <a:gd name="T11" fmla="*/ 7 h 12"/>
                                    <a:gd name="T12" fmla="*/ 0 w 13"/>
                                    <a:gd name="T13" fmla="*/ 6 h 12"/>
                                    <a:gd name="T14" fmla="*/ 4 w 13"/>
                                    <a:gd name="T15" fmla="*/ 4 h 12"/>
                                    <a:gd name="T16" fmla="*/ 3 w 13"/>
                                    <a:gd name="T17" fmla="*/ 0 h 12"/>
                                    <a:gd name="T18" fmla="*/ 7 w 13"/>
                                    <a:gd name="T19" fmla="*/ 3 h 12"/>
                                    <a:gd name="T20" fmla="*/ 11 w 13"/>
                                    <a:gd name="T21" fmla="*/ 0 h 12"/>
                                    <a:gd name="T22" fmla="*/ 11 w 13"/>
                                    <a:gd name="T23" fmla="*/ 0 h 12"/>
                                    <a:gd name="T24" fmla="*/ 11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0"/>
                                      </a:moveTo>
                                      <a:lnTo>
                                        <a:pt x="9" y="5"/>
                                      </a:lnTo>
                                      <a:lnTo>
                                        <a:pt x="13" y="8"/>
                                      </a:lnTo>
                                      <a:lnTo>
                                        <a:pt x="8" y="7"/>
                                      </a:lnTo>
                                      <a:lnTo>
                                        <a:pt x="5" y="12"/>
                                      </a:lnTo>
                                      <a:lnTo>
                                        <a:pt x="5" y="7"/>
                                      </a:lnTo>
                                      <a:lnTo>
                                        <a:pt x="0" y="6"/>
                                      </a:lnTo>
                                      <a:lnTo>
                                        <a:pt x="4" y="4"/>
                                      </a:lnTo>
                                      <a:lnTo>
                                        <a:pt x="3" y="0"/>
                                      </a:lnTo>
                                      <a:lnTo>
                                        <a:pt x="7" y="3"/>
                                      </a:lnTo>
                                      <a:lnTo>
                                        <a:pt x="11" y="0"/>
                                      </a:lnTo>
                                      <a:close/>
                                      <a:moveTo>
                                        <a:pt x="11" y="0"/>
                                      </a:moveTo>
                                      <a:lnTo>
                                        <a:pt x="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19" name="Freeform 3219"/>
                              <wps:cNvSpPr>
                                <a:spLocks noEditPoints="1"/>
                              </wps:cNvSpPr>
                              <wps:spPr bwMode="auto">
                                <a:xfrm>
                                  <a:off x="290513" y="69850"/>
                                  <a:ext cx="20638" cy="19050"/>
                                </a:xfrm>
                                <a:custGeom>
                                  <a:avLst/>
                                  <a:gdLst>
                                    <a:gd name="T0" fmla="*/ 11 w 13"/>
                                    <a:gd name="T1" fmla="*/ 0 h 12"/>
                                    <a:gd name="T2" fmla="*/ 9 w 13"/>
                                    <a:gd name="T3" fmla="*/ 5 h 12"/>
                                    <a:gd name="T4" fmla="*/ 13 w 13"/>
                                    <a:gd name="T5" fmla="*/ 8 h 12"/>
                                    <a:gd name="T6" fmla="*/ 8 w 13"/>
                                    <a:gd name="T7" fmla="*/ 7 h 12"/>
                                    <a:gd name="T8" fmla="*/ 5 w 13"/>
                                    <a:gd name="T9" fmla="*/ 12 h 12"/>
                                    <a:gd name="T10" fmla="*/ 5 w 13"/>
                                    <a:gd name="T11" fmla="*/ 7 h 12"/>
                                    <a:gd name="T12" fmla="*/ 0 w 13"/>
                                    <a:gd name="T13" fmla="*/ 6 h 12"/>
                                    <a:gd name="T14" fmla="*/ 4 w 13"/>
                                    <a:gd name="T15" fmla="*/ 4 h 12"/>
                                    <a:gd name="T16" fmla="*/ 3 w 13"/>
                                    <a:gd name="T17" fmla="*/ 0 h 12"/>
                                    <a:gd name="T18" fmla="*/ 7 w 13"/>
                                    <a:gd name="T19" fmla="*/ 3 h 12"/>
                                    <a:gd name="T20" fmla="*/ 11 w 13"/>
                                    <a:gd name="T21" fmla="*/ 0 h 12"/>
                                    <a:gd name="T22" fmla="*/ 11 w 13"/>
                                    <a:gd name="T23" fmla="*/ 0 h 12"/>
                                    <a:gd name="T24" fmla="*/ 11 w 13"/>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2">
                                      <a:moveTo>
                                        <a:pt x="11" y="0"/>
                                      </a:moveTo>
                                      <a:lnTo>
                                        <a:pt x="9" y="5"/>
                                      </a:lnTo>
                                      <a:lnTo>
                                        <a:pt x="13" y="8"/>
                                      </a:lnTo>
                                      <a:lnTo>
                                        <a:pt x="8" y="7"/>
                                      </a:lnTo>
                                      <a:lnTo>
                                        <a:pt x="5" y="12"/>
                                      </a:lnTo>
                                      <a:lnTo>
                                        <a:pt x="5" y="7"/>
                                      </a:lnTo>
                                      <a:lnTo>
                                        <a:pt x="0" y="6"/>
                                      </a:lnTo>
                                      <a:lnTo>
                                        <a:pt x="4" y="4"/>
                                      </a:lnTo>
                                      <a:lnTo>
                                        <a:pt x="3" y="0"/>
                                      </a:lnTo>
                                      <a:lnTo>
                                        <a:pt x="7" y="3"/>
                                      </a:lnTo>
                                      <a:lnTo>
                                        <a:pt x="11" y="0"/>
                                      </a:lnTo>
                                      <a:moveTo>
                                        <a:pt x="11" y="0"/>
                                      </a:moveTo>
                                      <a:lnTo>
                                        <a:pt x="11"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0" name="Freeform 3220"/>
                              <wps:cNvSpPr>
                                <a:spLocks noEditPoints="1"/>
                              </wps:cNvSpPr>
                              <wps:spPr bwMode="auto">
                                <a:xfrm>
                                  <a:off x="0" y="0"/>
                                  <a:ext cx="192088" cy="223838"/>
                                </a:xfrm>
                                <a:custGeom>
                                  <a:avLst/>
                                  <a:gdLst>
                                    <a:gd name="T0" fmla="*/ 94 w 143"/>
                                    <a:gd name="T1" fmla="*/ 125 h 164"/>
                                    <a:gd name="T2" fmla="*/ 120 w 143"/>
                                    <a:gd name="T3" fmla="*/ 107 h 164"/>
                                    <a:gd name="T4" fmla="*/ 117 w 143"/>
                                    <a:gd name="T5" fmla="*/ 91 h 164"/>
                                    <a:gd name="T6" fmla="*/ 89 w 143"/>
                                    <a:gd name="T7" fmla="*/ 120 h 164"/>
                                    <a:gd name="T8" fmla="*/ 82 w 143"/>
                                    <a:gd name="T9" fmla="*/ 157 h 164"/>
                                    <a:gd name="T10" fmla="*/ 57 w 143"/>
                                    <a:gd name="T11" fmla="*/ 121 h 164"/>
                                    <a:gd name="T12" fmla="*/ 71 w 143"/>
                                    <a:gd name="T13" fmla="*/ 90 h 164"/>
                                    <a:gd name="T14" fmla="*/ 59 w 143"/>
                                    <a:gd name="T15" fmla="*/ 75 h 164"/>
                                    <a:gd name="T16" fmla="*/ 62 w 143"/>
                                    <a:gd name="T17" fmla="*/ 50 h 164"/>
                                    <a:gd name="T18" fmla="*/ 37 w 143"/>
                                    <a:gd name="T19" fmla="*/ 22 h 164"/>
                                    <a:gd name="T20" fmla="*/ 80 w 143"/>
                                    <a:gd name="T21" fmla="*/ 40 h 164"/>
                                    <a:gd name="T22" fmla="*/ 86 w 143"/>
                                    <a:gd name="T23" fmla="*/ 61 h 164"/>
                                    <a:gd name="T24" fmla="*/ 86 w 143"/>
                                    <a:gd name="T25" fmla="*/ 63 h 164"/>
                                    <a:gd name="T26" fmla="*/ 98 w 143"/>
                                    <a:gd name="T27" fmla="*/ 76 h 164"/>
                                    <a:gd name="T28" fmla="*/ 123 w 143"/>
                                    <a:gd name="T29" fmla="*/ 44 h 164"/>
                                    <a:gd name="T30" fmla="*/ 138 w 143"/>
                                    <a:gd name="T31" fmla="*/ 31 h 164"/>
                                    <a:gd name="T32" fmla="*/ 125 w 143"/>
                                    <a:gd name="T33" fmla="*/ 11 h 164"/>
                                    <a:gd name="T34" fmla="*/ 79 w 143"/>
                                    <a:gd name="T35" fmla="*/ 0 h 164"/>
                                    <a:gd name="T36" fmla="*/ 57 w 143"/>
                                    <a:gd name="T37" fmla="*/ 4 h 164"/>
                                    <a:gd name="T38" fmla="*/ 28 w 143"/>
                                    <a:gd name="T39" fmla="*/ 20 h 164"/>
                                    <a:gd name="T40" fmla="*/ 34 w 143"/>
                                    <a:gd name="T41" fmla="*/ 149 h 164"/>
                                    <a:gd name="T42" fmla="*/ 96 w 143"/>
                                    <a:gd name="T43" fmla="*/ 163 h 164"/>
                                    <a:gd name="T44" fmla="*/ 135 w 143"/>
                                    <a:gd name="T45" fmla="*/ 136 h 164"/>
                                    <a:gd name="T46" fmla="*/ 82 w 143"/>
                                    <a:gd name="T47" fmla="*/ 7 h 164"/>
                                    <a:gd name="T48" fmla="*/ 105 w 143"/>
                                    <a:gd name="T49" fmla="*/ 67 h 164"/>
                                    <a:gd name="T50" fmla="*/ 93 w 143"/>
                                    <a:gd name="T51" fmla="*/ 64 h 164"/>
                                    <a:gd name="T52" fmla="*/ 65 w 143"/>
                                    <a:gd name="T53" fmla="*/ 9 h 164"/>
                                    <a:gd name="T54" fmla="*/ 37 w 143"/>
                                    <a:gd name="T55" fmla="*/ 142 h 164"/>
                                    <a:gd name="T56" fmla="*/ 31 w 143"/>
                                    <a:gd name="T57" fmla="*/ 27 h 164"/>
                                    <a:gd name="T58" fmla="*/ 55 w 143"/>
                                    <a:gd name="T59" fmla="*/ 48 h 164"/>
                                    <a:gd name="T60" fmla="*/ 53 w 143"/>
                                    <a:gd name="T61" fmla="*/ 79 h 164"/>
                                    <a:gd name="T62" fmla="*/ 64 w 143"/>
                                    <a:gd name="T63" fmla="*/ 90 h 164"/>
                                    <a:gd name="T64" fmla="*/ 50 w 143"/>
                                    <a:gd name="T65" fmla="*/ 11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164">
                                      <a:moveTo>
                                        <a:pt x="98" y="156"/>
                                      </a:moveTo>
                                      <a:cubicBezTo>
                                        <a:pt x="92" y="145"/>
                                        <a:pt x="88" y="131"/>
                                        <a:pt x="94" y="125"/>
                                      </a:cubicBezTo>
                                      <a:cubicBezTo>
                                        <a:pt x="98" y="122"/>
                                        <a:pt x="101" y="121"/>
                                        <a:pt x="104" y="121"/>
                                      </a:cubicBezTo>
                                      <a:cubicBezTo>
                                        <a:pt x="111" y="119"/>
                                        <a:pt x="116" y="118"/>
                                        <a:pt x="120" y="107"/>
                                      </a:cubicBezTo>
                                      <a:cubicBezTo>
                                        <a:pt x="118" y="102"/>
                                        <a:pt x="117" y="96"/>
                                        <a:pt x="117" y="91"/>
                                      </a:cubicBezTo>
                                      <a:cubicBezTo>
                                        <a:pt x="117" y="91"/>
                                        <a:pt x="117" y="91"/>
                                        <a:pt x="117" y="91"/>
                                      </a:cubicBezTo>
                                      <a:cubicBezTo>
                                        <a:pt x="113" y="112"/>
                                        <a:pt x="109" y="113"/>
                                        <a:pt x="103" y="114"/>
                                      </a:cubicBezTo>
                                      <a:cubicBezTo>
                                        <a:pt x="99" y="114"/>
                                        <a:pt x="94" y="115"/>
                                        <a:pt x="89" y="120"/>
                                      </a:cubicBezTo>
                                      <a:cubicBezTo>
                                        <a:pt x="79" y="130"/>
                                        <a:pt x="86" y="147"/>
                                        <a:pt x="90" y="157"/>
                                      </a:cubicBezTo>
                                      <a:cubicBezTo>
                                        <a:pt x="88" y="157"/>
                                        <a:pt x="85" y="157"/>
                                        <a:pt x="82" y="157"/>
                                      </a:cubicBezTo>
                                      <a:cubicBezTo>
                                        <a:pt x="68" y="157"/>
                                        <a:pt x="55" y="153"/>
                                        <a:pt x="43" y="146"/>
                                      </a:cubicBezTo>
                                      <a:cubicBezTo>
                                        <a:pt x="51" y="140"/>
                                        <a:pt x="54" y="130"/>
                                        <a:pt x="57" y="121"/>
                                      </a:cubicBezTo>
                                      <a:cubicBezTo>
                                        <a:pt x="59" y="113"/>
                                        <a:pt x="61" y="105"/>
                                        <a:pt x="66" y="101"/>
                                      </a:cubicBezTo>
                                      <a:cubicBezTo>
                                        <a:pt x="70" y="97"/>
                                        <a:pt x="72" y="94"/>
                                        <a:pt x="71" y="90"/>
                                      </a:cubicBezTo>
                                      <a:cubicBezTo>
                                        <a:pt x="71" y="85"/>
                                        <a:pt x="67" y="82"/>
                                        <a:pt x="64" y="80"/>
                                      </a:cubicBezTo>
                                      <a:cubicBezTo>
                                        <a:pt x="62" y="78"/>
                                        <a:pt x="60" y="77"/>
                                        <a:pt x="59" y="75"/>
                                      </a:cubicBezTo>
                                      <a:cubicBezTo>
                                        <a:pt x="56" y="71"/>
                                        <a:pt x="58" y="62"/>
                                        <a:pt x="60" y="55"/>
                                      </a:cubicBezTo>
                                      <a:cubicBezTo>
                                        <a:pt x="61" y="53"/>
                                        <a:pt x="61" y="51"/>
                                        <a:pt x="62" y="50"/>
                                      </a:cubicBezTo>
                                      <a:cubicBezTo>
                                        <a:pt x="63" y="44"/>
                                        <a:pt x="59" y="38"/>
                                        <a:pt x="49" y="31"/>
                                      </a:cubicBezTo>
                                      <a:cubicBezTo>
                                        <a:pt x="45" y="27"/>
                                        <a:pt x="40" y="24"/>
                                        <a:pt x="37" y="22"/>
                                      </a:cubicBezTo>
                                      <a:cubicBezTo>
                                        <a:pt x="43" y="17"/>
                                        <a:pt x="51" y="13"/>
                                        <a:pt x="59" y="11"/>
                                      </a:cubicBezTo>
                                      <a:cubicBezTo>
                                        <a:pt x="61" y="18"/>
                                        <a:pt x="67" y="32"/>
                                        <a:pt x="80" y="40"/>
                                      </a:cubicBezTo>
                                      <a:cubicBezTo>
                                        <a:pt x="86" y="43"/>
                                        <a:pt x="89" y="47"/>
                                        <a:pt x="89" y="53"/>
                                      </a:cubicBezTo>
                                      <a:cubicBezTo>
                                        <a:pt x="88" y="58"/>
                                        <a:pt x="86" y="61"/>
                                        <a:pt x="86" y="61"/>
                                      </a:cubicBezTo>
                                      <a:cubicBezTo>
                                        <a:pt x="86" y="62"/>
                                        <a:pt x="86" y="62"/>
                                        <a:pt x="86" y="62"/>
                                      </a:cubicBezTo>
                                      <a:cubicBezTo>
                                        <a:pt x="86" y="63"/>
                                        <a:pt x="86" y="63"/>
                                        <a:pt x="86" y="63"/>
                                      </a:cubicBezTo>
                                      <a:cubicBezTo>
                                        <a:pt x="86" y="64"/>
                                        <a:pt x="86" y="70"/>
                                        <a:pt x="91" y="74"/>
                                      </a:cubicBezTo>
                                      <a:cubicBezTo>
                                        <a:pt x="93" y="75"/>
                                        <a:pt x="95" y="76"/>
                                        <a:pt x="98" y="76"/>
                                      </a:cubicBezTo>
                                      <a:cubicBezTo>
                                        <a:pt x="101" y="76"/>
                                        <a:pt x="104" y="75"/>
                                        <a:pt x="108" y="73"/>
                                      </a:cubicBezTo>
                                      <a:cubicBezTo>
                                        <a:pt x="115" y="70"/>
                                        <a:pt x="120" y="60"/>
                                        <a:pt x="123" y="44"/>
                                      </a:cubicBezTo>
                                      <a:cubicBezTo>
                                        <a:pt x="125" y="36"/>
                                        <a:pt x="126" y="27"/>
                                        <a:pt x="126" y="21"/>
                                      </a:cubicBezTo>
                                      <a:cubicBezTo>
                                        <a:pt x="130" y="24"/>
                                        <a:pt x="134" y="28"/>
                                        <a:pt x="138" y="31"/>
                                      </a:cubicBezTo>
                                      <a:cubicBezTo>
                                        <a:pt x="139" y="30"/>
                                        <a:pt x="141" y="28"/>
                                        <a:pt x="143" y="26"/>
                                      </a:cubicBezTo>
                                      <a:cubicBezTo>
                                        <a:pt x="137" y="21"/>
                                        <a:pt x="131" y="16"/>
                                        <a:pt x="125" y="11"/>
                                      </a:cubicBezTo>
                                      <a:cubicBezTo>
                                        <a:pt x="113" y="4"/>
                                        <a:pt x="100" y="0"/>
                                        <a:pt x="86" y="0"/>
                                      </a:cubicBezTo>
                                      <a:cubicBezTo>
                                        <a:pt x="79" y="0"/>
                                        <a:pt x="79" y="0"/>
                                        <a:pt x="79" y="0"/>
                                      </a:cubicBezTo>
                                      <a:cubicBezTo>
                                        <a:pt x="72" y="0"/>
                                        <a:pt x="66" y="1"/>
                                        <a:pt x="60" y="3"/>
                                      </a:cubicBezTo>
                                      <a:cubicBezTo>
                                        <a:pt x="57" y="4"/>
                                        <a:pt x="57" y="4"/>
                                        <a:pt x="57" y="4"/>
                                      </a:cubicBezTo>
                                      <a:cubicBezTo>
                                        <a:pt x="57" y="4"/>
                                        <a:pt x="57" y="4"/>
                                        <a:pt x="57" y="4"/>
                                      </a:cubicBezTo>
                                      <a:cubicBezTo>
                                        <a:pt x="47" y="7"/>
                                        <a:pt x="37" y="13"/>
                                        <a:pt x="28" y="20"/>
                                      </a:cubicBezTo>
                                      <a:cubicBezTo>
                                        <a:pt x="10" y="36"/>
                                        <a:pt x="0" y="58"/>
                                        <a:pt x="0" y="82"/>
                                      </a:cubicBezTo>
                                      <a:cubicBezTo>
                                        <a:pt x="0" y="108"/>
                                        <a:pt x="13" y="133"/>
                                        <a:pt x="34" y="149"/>
                                      </a:cubicBezTo>
                                      <a:cubicBezTo>
                                        <a:pt x="48" y="159"/>
                                        <a:pt x="65" y="164"/>
                                        <a:pt x="82" y="164"/>
                                      </a:cubicBezTo>
                                      <a:cubicBezTo>
                                        <a:pt x="87" y="164"/>
                                        <a:pt x="92" y="164"/>
                                        <a:pt x="96" y="163"/>
                                      </a:cubicBezTo>
                                      <a:cubicBezTo>
                                        <a:pt x="113" y="160"/>
                                        <a:pt x="128" y="152"/>
                                        <a:pt x="140" y="141"/>
                                      </a:cubicBezTo>
                                      <a:cubicBezTo>
                                        <a:pt x="138" y="139"/>
                                        <a:pt x="136" y="137"/>
                                        <a:pt x="135" y="136"/>
                                      </a:cubicBezTo>
                                      <a:cubicBezTo>
                                        <a:pt x="125" y="146"/>
                                        <a:pt x="112" y="153"/>
                                        <a:pt x="98" y="156"/>
                                      </a:cubicBezTo>
                                      <a:close/>
                                      <a:moveTo>
                                        <a:pt x="82" y="7"/>
                                      </a:moveTo>
                                      <a:cubicBezTo>
                                        <a:pt x="95" y="7"/>
                                        <a:pt x="108" y="10"/>
                                        <a:pt x="119" y="17"/>
                                      </a:cubicBezTo>
                                      <a:cubicBezTo>
                                        <a:pt x="118" y="39"/>
                                        <a:pt x="114" y="63"/>
                                        <a:pt x="105" y="67"/>
                                      </a:cubicBezTo>
                                      <a:cubicBezTo>
                                        <a:pt x="100" y="69"/>
                                        <a:pt x="97" y="69"/>
                                        <a:pt x="95" y="68"/>
                                      </a:cubicBezTo>
                                      <a:cubicBezTo>
                                        <a:pt x="94" y="67"/>
                                        <a:pt x="93" y="65"/>
                                        <a:pt x="93" y="64"/>
                                      </a:cubicBezTo>
                                      <a:cubicBezTo>
                                        <a:pt x="95" y="59"/>
                                        <a:pt x="101" y="43"/>
                                        <a:pt x="84" y="34"/>
                                      </a:cubicBezTo>
                                      <a:cubicBezTo>
                                        <a:pt x="73" y="27"/>
                                        <a:pt x="68" y="15"/>
                                        <a:pt x="65" y="9"/>
                                      </a:cubicBezTo>
                                      <a:cubicBezTo>
                                        <a:pt x="71" y="8"/>
                                        <a:pt x="77" y="7"/>
                                        <a:pt x="82" y="7"/>
                                      </a:cubicBezTo>
                                      <a:close/>
                                      <a:moveTo>
                                        <a:pt x="37" y="142"/>
                                      </a:moveTo>
                                      <a:cubicBezTo>
                                        <a:pt x="18" y="128"/>
                                        <a:pt x="7" y="105"/>
                                        <a:pt x="7" y="82"/>
                                      </a:cubicBezTo>
                                      <a:cubicBezTo>
                                        <a:pt x="7" y="61"/>
                                        <a:pt x="16" y="41"/>
                                        <a:pt x="31" y="27"/>
                                      </a:cubicBezTo>
                                      <a:cubicBezTo>
                                        <a:pt x="34" y="29"/>
                                        <a:pt x="40" y="32"/>
                                        <a:pt x="45" y="36"/>
                                      </a:cubicBezTo>
                                      <a:cubicBezTo>
                                        <a:pt x="53" y="43"/>
                                        <a:pt x="55" y="47"/>
                                        <a:pt x="55" y="48"/>
                                      </a:cubicBezTo>
                                      <a:cubicBezTo>
                                        <a:pt x="55" y="49"/>
                                        <a:pt x="54" y="51"/>
                                        <a:pt x="54" y="53"/>
                                      </a:cubicBezTo>
                                      <a:cubicBezTo>
                                        <a:pt x="51" y="62"/>
                                        <a:pt x="48" y="72"/>
                                        <a:pt x="53" y="79"/>
                                      </a:cubicBezTo>
                                      <a:cubicBezTo>
                                        <a:pt x="55" y="82"/>
                                        <a:pt x="57" y="84"/>
                                        <a:pt x="60" y="85"/>
                                      </a:cubicBezTo>
                                      <a:cubicBezTo>
                                        <a:pt x="62" y="87"/>
                                        <a:pt x="64" y="89"/>
                                        <a:pt x="64" y="90"/>
                                      </a:cubicBezTo>
                                      <a:cubicBezTo>
                                        <a:pt x="64" y="91"/>
                                        <a:pt x="64" y="93"/>
                                        <a:pt x="61" y="96"/>
                                      </a:cubicBezTo>
                                      <a:cubicBezTo>
                                        <a:pt x="55" y="102"/>
                                        <a:pt x="53" y="110"/>
                                        <a:pt x="50" y="119"/>
                                      </a:cubicBezTo>
                                      <a:cubicBezTo>
                                        <a:pt x="47" y="129"/>
                                        <a:pt x="44" y="138"/>
                                        <a:pt x="37" y="1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C8E6A6" id="Group 3149" o:spid="_x0000_s1026" style="position:absolute;margin-left:18.1pt;margin-top:5.75pt;width:28.5pt;height:17.5pt;z-index:251665408;mso-width-relative:margin;mso-height-relative:margin" coordsize="368301,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">
                      <v:shape id="Freeform 28" o:spid="_x0000_s1027" style="position:absolute;left:204788;top:9525;width:163513;height:215900;visibility:visible;mso-wrap-style:square;v-text-anchor:top" coordsize="1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" path="m42,158c27,158,12,154,,146v4,-6,4,-6,4,-6c15,147,29,151,42,151v40,,72,-32,72,-72c114,40,82,8,42,8,31,8,20,10,10,15,7,9,7,9,7,9,18,3,30,,42,v44,,79,36,79,79c121,123,86,158,42,158xe" filled="f" stroked="f">
                        <v:path arrowok="t" o:connecttype="custom" o:connectlocs="56757,215900;0,199503;5405,191304;56757,206335;154054,107950;56757,10932;13513,20497;9459,12298;56757,0;163513,107950;56757,215900" o:connectangles="0,0,0,0,0,0,0,0,0,0,0"/>
                      </v:shape>
                      <v:shape id="Freeform 29" o:spid="_x0000_s1028" style="position:absolute;left:252413;top:49212;width:20638;height:206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" path="m6,l8,5r5,l8,8r2,5l6,10,3,13,4,8,,5r5,l6,xm6,r,xe" filled="f" stroked="f">
                        <v:path arrowok="t" o:connecttype="custom" o:connectlocs="9525,0;12700,7938;20638,7938;12700,12700;15875,20638;9525,15875;4763,20638;6350,12700;0,7938;7938,7938;9525,0;9525,0;9525,0" o:connectangles="0,0,0,0,0,0,0,0,0,0,0,0,0"/>
                        <o:lock v:ext="edit" verticies="t"/>
                      </v:shape>
                      <v:shape id="Freeform 30" o:spid="_x0000_s1029" style="position:absolute;left:252413;top:49212;width:20638;height:20638;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" path="m6,l8,5r5,l8,8r2,5l6,10,3,13,4,8,,5r5,l6,t,l6,e" filled="f" stroked="f">
                        <v:path arrowok="t" o:connecttype="custom" o:connectlocs="9525,0;12700,7938;20638,7938;12700,12700;15875,20638;9525,15875;4763,20638;6350,12700;0,7938;7938,7938;9525,0;9525,0;9525,0" o:connectangles="0,0,0,0,0,0,0,0,0,0,0,0,0"/>
                        <o:lock v:ext="edit" verticies="t"/>
                      </v:shape>
                      <v:shape id="Freeform 38" o:spid="_x0000_s1030" style="position:absolute;left:2143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" path="m2,l6,3,9,r,4l13,6,8,7,7,12,5,7,,8,4,5,2,xm2,r,xe" filled="f" stroked="f">
                        <v:path arrowok="t" o:connecttype="custom" o:connectlocs="3175,0;9525,4763;14288,0;14288,6350;20638,9525;12700,11113;11113,19050;7938,11113;0,12700;6350,7938;3175,0;3175,0;3175,0" o:connectangles="0,0,0,0,0,0,0,0,0,0,0,0,0"/>
                        <o:lock v:ext="edit" verticies="t"/>
                      </v:shape>
                      <v:shape id="Freeform 89" o:spid="_x0000_s1031" style="position:absolute;left:2143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" path="m2,l6,3,9,r,4l13,6,8,7,7,12,5,7,,8,4,5,2,t,l2,e" filled="f" stroked="f">
                        <v:path arrowok="t" o:connecttype="custom" o:connectlocs="3175,0;9525,4763;14288,0;14288,6350;20638,9525;12700,11113;11113,19050;7938,11113;0,12700;6350,7938;3175,0;3175,0;3175,0" o:connectangles="0,0,0,0,0,0,0,0,0,0,0,0,0"/>
                        <o:lock v:ext="edit" verticies="t"/>
                      </v:shape>
                      <v:shape id="Freeform 91" o:spid="_x0000_s1032" style="position:absolute;left:198438;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" path="m,6l4,4,4,,7,3,12,2,8,6r4,4l7,8,4,12,4,7,,6xm,6r,xe" filled="f" stroked="f">
                        <v:path arrowok="t" o:connecttype="custom" o:connectlocs="0,9525;6350,6350;6350,0;11113,4763;19050,3175;12700,9525;19050,15875;11113,12700;6350,19050;6350,11113;0,9525;0,9525;0,9525" o:connectangles="0,0,0,0,0,0,0,0,0,0,0,0,0"/>
                        <o:lock v:ext="edit" verticies="t"/>
                      </v:shape>
                      <v:shape id="Freeform 93" o:spid="_x0000_s1033" style="position:absolute;left:198438;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" path="m,6l4,4,4,,7,3,12,2,8,6r4,4l7,8,4,12,4,7,,6t,l,6e" filled="f" stroked="f">
                        <v:path arrowok="t" o:connecttype="custom" o:connectlocs="0,9525;6350,6350;6350,0;11113,4763;19050,3175;12700,9525;19050,15875;11113,12700;6350,19050;6350,11113;0,9525;0,9525;0,9525" o:connectangles="0,0,0,0,0,0,0,0,0,0,0,0,0"/>
                        <o:lock v:ext="edit" verticies="t"/>
                      </v:shape>
                      <v:shape id="Freeform 94" o:spid="_x0000_s1034" style="position:absolute;left:2143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" path="m2,11l4,7,,3,5,4,7,,8,4r5,1l9,8r,4l6,8,2,11xm2,11r,xe" filled="f" stroked="f">
                        <v:path arrowok="t" o:connecttype="custom" o:connectlocs="3175,17463;6350,11113;0,4763;7938,6350;11113,0;12700,6350;20638,7938;14288,12700;14288,19050;9525,12700;3175,17463;3175,17463;3175,17463" o:connectangles="0,0,0,0,0,0,0,0,0,0,0,0,0"/>
                        <o:lock v:ext="edit" verticies="t"/>
                      </v:shape>
                      <v:shape id="Freeform 3211" o:spid="_x0000_s1035" style="position:absolute;left:2143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" path="m2,11l4,7,,3,5,4,7,,8,4r5,1l9,8r,4l6,8,2,11t,l2,11e" filled="f" stroked="f">
                        <v:path arrowok="t" o:connecttype="custom" o:connectlocs="3175,17463;6350,11113;0,4763;7938,6350;11113,0;12700,6350;20638,7938;14288,12700;14288,19050;9525,12700;3175,17463;3175,17463;3175,17463" o:connectangles="0,0,0,0,0,0,0,0,0,0,0,0,0"/>
                        <o:lock v:ext="edit" verticies="t"/>
                      </v:shape>
                      <v:shape id="Freeform 3212" o:spid="_x0000_s1036" style="position:absolute;left:252413;top:163512;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" path="m6,12l5,7,,7,4,4,3,,6,3,10,,8,4r5,3l8,7,6,12xm6,12r,xe" filled="f" stroked="f">
                        <v:path arrowok="t" o:connecttype="custom" o:connectlocs="9525,19050;7938,11113;0,11113;6350,6350;4763,0;9525,4763;15875,0;12700,6350;20638,11113;12700,11113;9525,19050;9525,19050;9525,19050" o:connectangles="0,0,0,0,0,0,0,0,0,0,0,0,0"/>
                        <o:lock v:ext="edit" verticies="t"/>
                      </v:shape>
                      <v:shape id="Freeform 3213" o:spid="_x0000_s1037" style="position:absolute;left:252413;top:163512;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" path="m6,12l5,7,,7,4,4,3,,6,3,10,,8,4r5,3l8,7,6,12t,l6,12e" filled="f" stroked="f">
                        <v:path arrowok="t" o:connecttype="custom" o:connectlocs="9525,19050;7938,11113;0,11113;6350,6350;4763,0;9525,4763;15875,0;12700,6350;20638,11113;12700,11113;9525,19050;9525,19050;9525,19050" o:connectangles="0,0,0,0,0,0,0,0,0,0,0,0,0"/>
                        <o:lock v:ext="edit" verticies="t"/>
                      </v:shape>
                      <v:shape id="Freeform 3214" o:spid="_x0000_s1038" style="position:absolute;left:2905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" path="m11,11l7,8,3,12,4,8,,5,4,4,5,,8,4,13,3,9,7r2,4xm11,11r,xe" filled="f" stroked="f">
                        <v:path arrowok="t" o:connecttype="custom" o:connectlocs="17463,17463;11113,12700;4763,19050;6350,12700;0,7938;6350,6350;7938,0;12700,6350;20638,4763;14288,11113;17463,17463;17463,17463;17463,17463" o:connectangles="0,0,0,0,0,0,0,0,0,0,0,0,0"/>
                        <o:lock v:ext="edit" verticies="t"/>
                      </v:shape>
                      <v:shape id="Freeform 3215" o:spid="_x0000_s1039" style="position:absolute;left:290513;top:1460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" path="m11,11l7,8,3,12,4,8,,5,4,4,5,,8,4,13,3,9,7r2,4m11,11r,e" filled="f" stroked="f">
                        <v:path arrowok="t" o:connecttype="custom" o:connectlocs="17463,17463;11113,12700;4763,19050;6350,12700;0,7938;6350,6350;7938,0;12700,6350;20638,4763;14288,11113;17463,17463;17463,17463;17463,17463" o:connectangles="0,0,0,0,0,0,0,0,0,0,0,0,0"/>
                        <o:lock v:ext="edit" verticies="t"/>
                      </v:shape>
                      <v:shape id="Freeform 3216" o:spid="_x0000_s1040" style="position:absolute;left:307975;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" path="m12,6l7,7r,5l4,8,,10,2,6,,2,4,3,7,r,4l12,6xm12,6r,xe" filled="f" stroked="f">
                        <v:path arrowok="t" o:connecttype="custom" o:connectlocs="19050,9525;11113,11113;11113,19050;6350,12700;0,15875;3175,9525;0,3175;6350,4763;11113,0;11113,6350;19050,9525;19050,9525;19050,9525" o:connectangles="0,0,0,0,0,0,0,0,0,0,0,0,0"/>
                        <o:lock v:ext="edit" verticies="t"/>
                      </v:shape>
                      <v:shape id="Freeform 3217" o:spid="_x0000_s1041" style="position:absolute;left:307975;top:107950;width:19050;height:1905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" path="m12,6l7,7r,5l4,8,,10,2,6,,2,4,3,7,r,4l12,6t,l12,6e" filled="f" stroked="f">
                        <v:path arrowok="t" o:connecttype="custom" o:connectlocs="19050,9525;11113,11113;11113,19050;6350,12700;0,15875;3175,9525;0,3175;6350,4763;11113,0;11113,6350;19050,9525;19050,9525;19050,9525" o:connectangles="0,0,0,0,0,0,0,0,0,0,0,0,0"/>
                        <o:lock v:ext="edit" verticies="t"/>
                      </v:shape>
                      <v:shape id="Freeform 3218" o:spid="_x0000_s1042" style="position:absolute;left:2905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" path="m11,l9,5r4,3l8,7,5,12,5,7,,6,4,4,3,,7,3,11,xm11,r,xe" filled="f" stroked="f">
                        <v:path arrowok="t" o:connecttype="custom" o:connectlocs="17463,0;14288,7938;20638,12700;12700,11113;7938,19050;7938,11113;0,9525;6350,6350;4763,0;11113,4763;17463,0;17463,0;17463,0" o:connectangles="0,0,0,0,0,0,0,0,0,0,0,0,0"/>
                        <o:lock v:ext="edit" verticies="t"/>
                      </v:shape>
                      <v:shape id="Freeform 3219" o:spid="_x0000_s1043" style="position:absolute;left:290513;top:69850;width:20638;height:1905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" path="m11,l9,5r4,3l8,7,5,12,5,7,,6,4,4,3,,7,3,11,t,l11,e" filled="f" stroked="f">
                        <v:path arrowok="t" o:connecttype="custom" o:connectlocs="17463,0;14288,7938;20638,12700;12700,11113;7938,19050;7938,11113;0,9525;6350,6350;4763,0;11113,4763;17463,0;17463,0;17463,0" o:connectangles="0,0,0,0,0,0,0,0,0,0,0,0,0"/>
                        <o:lock v:ext="edit" verticies="t"/>
                      </v:shape>
                      <v:shape id="Freeform 3220" o:spid="_x0000_s1044" style="position:absolute;width:192088;height:223838;visibility:visible;mso-wrap-style:square;v-text-anchor:top" coordsize="14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" path="m98,156c92,145,88,131,94,125v4,-3,7,-4,10,-4c111,119,116,118,120,107v-2,-5,-3,-11,-3,-16c117,91,117,91,117,91v-4,21,-8,22,-14,23c99,114,94,115,89,120v-10,10,-3,27,1,37c88,157,85,157,82,157v-14,,-27,-4,-39,-11c51,140,54,130,57,121v2,-8,4,-16,9,-20c70,97,72,94,71,90v,-5,-4,-8,-7,-10c62,78,60,77,59,75,56,71,58,62,60,55v1,-2,1,-4,2,-5c63,44,59,38,49,31,45,27,40,24,37,22,43,17,51,13,59,11v2,7,8,21,21,29c86,43,89,47,89,53v-1,5,-3,8,-3,8c86,62,86,62,86,62v,1,,1,,1c86,64,86,70,91,74v2,1,4,2,7,2c101,76,104,75,108,73v7,-3,12,-13,15,-29c125,36,126,27,126,21v4,3,8,7,12,10c139,30,141,28,143,26,137,21,131,16,125,11,113,4,100,,86,,79,,79,,79,,72,,66,1,60,3,57,4,57,4,57,4v,,,,,c47,7,37,13,28,20,10,36,,58,,82v,26,13,51,34,67c48,159,65,164,82,164v5,,10,,14,-1c113,160,128,152,140,141v-2,-2,-4,-4,-5,-5c125,146,112,153,98,156xm82,7v13,,26,3,37,10c118,39,114,63,105,67v-5,2,-8,2,-10,1c94,67,93,65,93,64v2,-5,8,-21,-9,-30c73,27,68,15,65,9,71,8,77,7,82,7xm37,142c18,128,7,105,7,82,7,61,16,41,31,27v3,2,9,5,14,9c53,43,55,47,55,48v,1,-1,3,-1,5c51,62,48,72,53,79v2,3,4,5,7,6c62,87,64,89,64,90v,1,,3,-3,6c55,102,53,110,50,119v-3,10,-6,19,-13,23xe" filled="f" stroked="f">
                        <v:path arrowok="t" o:connecttype="custom" o:connectlocs="126268,170608;161193,146041;157163,124203;119551,163784;110148,214284;76567,165149;95372,122838;79253,102365;83283,68243;49701,30027;107462,54595;115521,83257;115521,85987;131641,103730;165223,60054;185372,42311;167909,15014;106119,0;76567,5459;37612,27297;45671,203365;128954,222473;181342,185622;110148,9554;141044,91446;124924,87351;87313,12284;49701,193811;41641,36851;73880,65514;71193,107824;85969,122838;67164,162419" o:connectangles="0,0,0,0,0,0,0,0,0,0,0,0,0,0,0,0,0,0,0,0,0,0,0,0,0,0,0,0,0,0,0,0,0"/>
                        <o:lock v:ext="edit" verticies="t"/>
                      </v:shape>
                    </v:group>
                  </w:pict>
                </mc:Fallback>
              </mc:AlternateContent>
            </w:r>
          </w:p>
        </w:tc>
        <w:tc>
          <w:tcPr>
            <w:tcW w:w="1699" w:type="dxa"/>
            <w:tcBorders>
              <w:top w:val="single" w:sz="6" w:space="0" w:color="FFFFFF" w:themeColor="background1"/>
              <w:bottom w:val="single" w:sz="6" w:space="0" w:color="FFFFFF" w:themeColor="background1"/>
            </w:tcBorders>
            <w:shd w:val="clear" w:color="auto" w:fill="70AD47" w:themeFill="accent6"/>
          </w:tcPr>
          <w:p w:rsidR="00315B87" w:rsidRDefault="00C32692">
            <w:pPr>
              <w:suppressAutoHyphens/>
              <w:rPr>
                <w:noProof/>
                <w:color w:val="F26A47"/>
              </w:rPr>
            </w:pPr>
            <w:r>
              <w:rPr>
                <w:noProof/>
                <w:color w:val="F26A47"/>
                <w:lang w:eastAsia="fr-BE"/>
              </w:rPr>
              <mc:AlternateContent>
                <mc:Choice Requires="wpg">
                  <w:drawing>
                    <wp:anchor distT="0" distB="0" distL="114300" distR="114300" simplePos="0" relativeHeight="251651072" behindDoc="0" locked="0" layoutInCell="1" allowOverlap="1">
                      <wp:simplePos x="0" y="0"/>
                      <wp:positionH relativeFrom="column">
                        <wp:posOffset>522685</wp:posOffset>
                      </wp:positionH>
                      <wp:positionV relativeFrom="paragraph">
                        <wp:posOffset>31779</wp:posOffset>
                      </wp:positionV>
                      <wp:extent cx="249425" cy="263092"/>
                      <wp:effectExtent l="0" t="0" r="0" b="3810"/>
                      <wp:wrapNone/>
                      <wp:docPr id="3224" name="Group 67"/>
                      <wp:cNvGraphicFramePr/>
                      <a:graphic xmlns:a="http://schemas.openxmlformats.org/drawingml/2006/main">
                        <a:graphicData uri="http://schemas.microsoft.com/office/word/2010/wordprocessingGroup">
                          <wpg:wgp>
                            <wpg:cNvGrpSpPr/>
                            <wpg:grpSpPr>
                              <a:xfrm>
                                <a:off x="0" y="0"/>
                                <a:ext cx="249425" cy="263092"/>
                                <a:chOff x="0" y="0"/>
                                <a:chExt cx="236538" cy="249237"/>
                              </a:xfrm>
                              <a:solidFill>
                                <a:sysClr val="window" lastClr="FFFFFF"/>
                              </a:solidFill>
                            </wpg:grpSpPr>
                            <wps:wsp>
                              <wps:cNvPr id="3225" name="Freeform 3225"/>
                              <wps:cNvSpPr>
                                <a:spLocks noEditPoints="1"/>
                              </wps:cNvSpPr>
                              <wps:spPr bwMode="auto">
                                <a:xfrm>
                                  <a:off x="0" y="76200"/>
                                  <a:ext cx="96838" cy="173037"/>
                                </a:xfrm>
                                <a:custGeom>
                                  <a:avLst/>
                                  <a:gdLst>
                                    <a:gd name="T0" fmla="*/ 79 w 80"/>
                                    <a:gd name="T1" fmla="*/ 137 h 142"/>
                                    <a:gd name="T2" fmla="*/ 80 w 80"/>
                                    <a:gd name="T3" fmla="*/ 136 h 142"/>
                                    <a:gd name="T4" fmla="*/ 80 w 80"/>
                                    <a:gd name="T5" fmla="*/ 136 h 142"/>
                                    <a:gd name="T6" fmla="*/ 80 w 80"/>
                                    <a:gd name="T7" fmla="*/ 135 h 142"/>
                                    <a:gd name="T8" fmla="*/ 80 w 80"/>
                                    <a:gd name="T9" fmla="*/ 135 h 142"/>
                                    <a:gd name="T10" fmla="*/ 80 w 80"/>
                                    <a:gd name="T11" fmla="*/ 134 h 142"/>
                                    <a:gd name="T12" fmla="*/ 75 w 80"/>
                                    <a:gd name="T13" fmla="*/ 95 h 142"/>
                                    <a:gd name="T14" fmla="*/ 39 w 80"/>
                                    <a:gd name="T15" fmla="*/ 57 h 142"/>
                                    <a:gd name="T16" fmla="*/ 28 w 80"/>
                                    <a:gd name="T17" fmla="*/ 58 h 142"/>
                                    <a:gd name="T18" fmla="*/ 27 w 80"/>
                                    <a:gd name="T19" fmla="*/ 68 h 142"/>
                                    <a:gd name="T20" fmla="*/ 41 w 80"/>
                                    <a:gd name="T21" fmla="*/ 88 h 142"/>
                                    <a:gd name="T22" fmla="*/ 46 w 80"/>
                                    <a:gd name="T23" fmla="*/ 84 h 142"/>
                                    <a:gd name="T24" fmla="*/ 31 w 80"/>
                                    <a:gd name="T25" fmla="*/ 65 h 142"/>
                                    <a:gd name="T26" fmla="*/ 35 w 80"/>
                                    <a:gd name="T27" fmla="*/ 61 h 142"/>
                                    <a:gd name="T28" fmla="*/ 58 w 80"/>
                                    <a:gd name="T29" fmla="*/ 78 h 142"/>
                                    <a:gd name="T30" fmla="*/ 72 w 80"/>
                                    <a:gd name="T31" fmla="*/ 114 h 142"/>
                                    <a:gd name="T32" fmla="*/ 44 w 80"/>
                                    <a:gd name="T33" fmla="*/ 105 h 142"/>
                                    <a:gd name="T34" fmla="*/ 11 w 80"/>
                                    <a:gd name="T35" fmla="*/ 71 h 142"/>
                                    <a:gd name="T36" fmla="*/ 8 w 80"/>
                                    <a:gd name="T37" fmla="*/ 6 h 142"/>
                                    <a:gd name="T38" fmla="*/ 25 w 80"/>
                                    <a:gd name="T39" fmla="*/ 64 h 142"/>
                                    <a:gd name="T40" fmla="*/ 31 w 80"/>
                                    <a:gd name="T41" fmla="*/ 62 h 142"/>
                                    <a:gd name="T42" fmla="*/ 16 w 80"/>
                                    <a:gd name="T43" fmla="*/ 6 h 142"/>
                                    <a:gd name="T44" fmla="*/ 0 w 80"/>
                                    <a:gd name="T45" fmla="*/ 9 h 142"/>
                                    <a:gd name="T46" fmla="*/ 13 w 80"/>
                                    <a:gd name="T47" fmla="*/ 86 h 142"/>
                                    <a:gd name="T48" fmla="*/ 45 w 80"/>
                                    <a:gd name="T49" fmla="*/ 118 h 142"/>
                                    <a:gd name="T50" fmla="*/ 45 w 80"/>
                                    <a:gd name="T51" fmla="*/ 139 h 142"/>
                                    <a:gd name="T52" fmla="*/ 45 w 80"/>
                                    <a:gd name="T53" fmla="*/ 139 h 142"/>
                                    <a:gd name="T54" fmla="*/ 45 w 80"/>
                                    <a:gd name="T55" fmla="*/ 140 h 142"/>
                                    <a:gd name="T56" fmla="*/ 46 w 80"/>
                                    <a:gd name="T57" fmla="*/ 140 h 142"/>
                                    <a:gd name="T58" fmla="*/ 46 w 80"/>
                                    <a:gd name="T59" fmla="*/ 140 h 142"/>
                                    <a:gd name="T60" fmla="*/ 46 w 80"/>
                                    <a:gd name="T61" fmla="*/ 141 h 142"/>
                                    <a:gd name="T62" fmla="*/ 46 w 80"/>
                                    <a:gd name="T63" fmla="*/ 141 h 142"/>
                                    <a:gd name="T64" fmla="*/ 47 w 80"/>
                                    <a:gd name="T65" fmla="*/ 141 h 142"/>
                                    <a:gd name="T66" fmla="*/ 47 w 80"/>
                                    <a:gd name="T67" fmla="*/ 141 h 142"/>
                                    <a:gd name="T68" fmla="*/ 47 w 80"/>
                                    <a:gd name="T69" fmla="*/ 142 h 142"/>
                                    <a:gd name="T70" fmla="*/ 48 w 80"/>
                                    <a:gd name="T71" fmla="*/ 142 h 142"/>
                                    <a:gd name="T72" fmla="*/ 48 w 80"/>
                                    <a:gd name="T73" fmla="*/ 142 h 142"/>
                                    <a:gd name="T74" fmla="*/ 48 w 80"/>
                                    <a:gd name="T75" fmla="*/ 142 h 142"/>
                                    <a:gd name="T76" fmla="*/ 78 w 80"/>
                                    <a:gd name="T77" fmla="*/ 137 h 142"/>
                                    <a:gd name="T78" fmla="*/ 78 w 80"/>
                                    <a:gd name="T79" fmla="*/ 137 h 142"/>
                                    <a:gd name="T80" fmla="*/ 79 w 80"/>
                                    <a:gd name="T81" fmla="*/ 137 h 142"/>
                                    <a:gd name="T82" fmla="*/ 74 w 80"/>
                                    <a:gd name="T83" fmla="*/ 132 h 142"/>
                                    <a:gd name="T84" fmla="*/ 51 w 80"/>
                                    <a:gd name="T85" fmla="*/ 124 h 142"/>
                                    <a:gd name="T86" fmla="*/ 74 w 80"/>
                                    <a:gd name="T87" fmla="*/ 132 h 142"/>
                                    <a:gd name="T88" fmla="*/ 74 w 80"/>
                                    <a:gd name="T89" fmla="*/ 13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42">
                                      <a:moveTo>
                                        <a:pt x="79" y="137"/>
                                      </a:moveTo>
                                      <a:cubicBezTo>
                                        <a:pt x="79" y="137"/>
                                        <a:pt x="79" y="137"/>
                                        <a:pt x="79" y="137"/>
                                      </a:cubicBezTo>
                                      <a:cubicBezTo>
                                        <a:pt x="79" y="137"/>
                                        <a:pt x="80" y="137"/>
                                        <a:pt x="80" y="137"/>
                                      </a:cubicBezTo>
                                      <a:cubicBezTo>
                                        <a:pt x="80" y="136"/>
                                        <a:pt x="80" y="136"/>
                                        <a:pt x="80" y="136"/>
                                      </a:cubicBezTo>
                                      <a:cubicBezTo>
                                        <a:pt x="80" y="136"/>
                                        <a:pt x="80" y="136"/>
                                        <a:pt x="80" y="136"/>
                                      </a:cubicBezTo>
                                      <a:cubicBezTo>
                                        <a:pt x="80" y="136"/>
                                        <a:pt x="80" y="136"/>
                                        <a:pt x="80" y="136"/>
                                      </a:cubicBezTo>
                                      <a:cubicBezTo>
                                        <a:pt x="80" y="136"/>
                                        <a:pt x="80" y="136"/>
                                        <a:pt x="80" y="136"/>
                                      </a:cubicBezTo>
                                      <a:cubicBezTo>
                                        <a:pt x="80" y="136"/>
                                        <a:pt x="80" y="135"/>
                                        <a:pt x="80" y="135"/>
                                      </a:cubicBezTo>
                                      <a:cubicBezTo>
                                        <a:pt x="80" y="135"/>
                                        <a:pt x="80" y="135"/>
                                        <a:pt x="80" y="135"/>
                                      </a:cubicBezTo>
                                      <a:cubicBezTo>
                                        <a:pt x="80" y="135"/>
                                        <a:pt x="80" y="135"/>
                                        <a:pt x="80" y="135"/>
                                      </a:cubicBezTo>
                                      <a:cubicBezTo>
                                        <a:pt x="80" y="135"/>
                                        <a:pt x="80" y="135"/>
                                        <a:pt x="80" y="135"/>
                                      </a:cubicBezTo>
                                      <a:cubicBezTo>
                                        <a:pt x="80" y="134"/>
                                        <a:pt x="80" y="134"/>
                                        <a:pt x="80" y="134"/>
                                      </a:cubicBezTo>
                                      <a:cubicBezTo>
                                        <a:pt x="76" y="96"/>
                                        <a:pt x="76" y="96"/>
                                        <a:pt x="76" y="96"/>
                                      </a:cubicBezTo>
                                      <a:cubicBezTo>
                                        <a:pt x="76" y="96"/>
                                        <a:pt x="76" y="96"/>
                                        <a:pt x="75" y="95"/>
                                      </a:cubicBezTo>
                                      <a:cubicBezTo>
                                        <a:pt x="75" y="95"/>
                                        <a:pt x="72" y="80"/>
                                        <a:pt x="61" y="73"/>
                                      </a:cubicBezTo>
                                      <a:cubicBezTo>
                                        <a:pt x="39" y="57"/>
                                        <a:pt x="39" y="57"/>
                                        <a:pt x="39" y="57"/>
                                      </a:cubicBezTo>
                                      <a:cubicBezTo>
                                        <a:pt x="39" y="57"/>
                                        <a:pt x="39" y="57"/>
                                        <a:pt x="39" y="57"/>
                                      </a:cubicBezTo>
                                      <a:cubicBezTo>
                                        <a:pt x="35" y="54"/>
                                        <a:pt x="31" y="55"/>
                                        <a:pt x="28" y="58"/>
                                      </a:cubicBezTo>
                                      <a:cubicBezTo>
                                        <a:pt x="25" y="61"/>
                                        <a:pt x="24" y="65"/>
                                        <a:pt x="27" y="68"/>
                                      </a:cubicBezTo>
                                      <a:cubicBezTo>
                                        <a:pt x="27" y="68"/>
                                        <a:pt x="27" y="68"/>
                                        <a:pt x="27" y="68"/>
                                      </a:cubicBezTo>
                                      <a:cubicBezTo>
                                        <a:pt x="27" y="69"/>
                                        <a:pt x="27" y="70"/>
                                        <a:pt x="34" y="79"/>
                                      </a:cubicBezTo>
                                      <a:cubicBezTo>
                                        <a:pt x="38" y="83"/>
                                        <a:pt x="41" y="87"/>
                                        <a:pt x="41" y="88"/>
                                      </a:cubicBezTo>
                                      <a:cubicBezTo>
                                        <a:pt x="42" y="89"/>
                                        <a:pt x="44" y="89"/>
                                        <a:pt x="45" y="88"/>
                                      </a:cubicBezTo>
                                      <a:cubicBezTo>
                                        <a:pt x="46" y="88"/>
                                        <a:pt x="47" y="86"/>
                                        <a:pt x="46" y="84"/>
                                      </a:cubicBezTo>
                                      <a:cubicBezTo>
                                        <a:pt x="46" y="84"/>
                                        <a:pt x="46" y="84"/>
                                        <a:pt x="39" y="76"/>
                                      </a:cubicBezTo>
                                      <a:cubicBezTo>
                                        <a:pt x="36" y="71"/>
                                        <a:pt x="32" y="66"/>
                                        <a:pt x="31" y="65"/>
                                      </a:cubicBezTo>
                                      <a:cubicBezTo>
                                        <a:pt x="30" y="64"/>
                                        <a:pt x="32" y="62"/>
                                        <a:pt x="32" y="62"/>
                                      </a:cubicBezTo>
                                      <a:cubicBezTo>
                                        <a:pt x="33" y="61"/>
                                        <a:pt x="34" y="61"/>
                                        <a:pt x="35" y="61"/>
                                      </a:cubicBezTo>
                                      <a:cubicBezTo>
                                        <a:pt x="57" y="78"/>
                                        <a:pt x="57" y="78"/>
                                        <a:pt x="57" y="78"/>
                                      </a:cubicBezTo>
                                      <a:cubicBezTo>
                                        <a:pt x="58" y="78"/>
                                        <a:pt x="58" y="78"/>
                                        <a:pt x="58" y="78"/>
                                      </a:cubicBezTo>
                                      <a:cubicBezTo>
                                        <a:pt x="66" y="83"/>
                                        <a:pt x="70" y="95"/>
                                        <a:pt x="70" y="97"/>
                                      </a:cubicBezTo>
                                      <a:cubicBezTo>
                                        <a:pt x="72" y="114"/>
                                        <a:pt x="72" y="114"/>
                                        <a:pt x="72" y="114"/>
                                      </a:cubicBezTo>
                                      <a:cubicBezTo>
                                        <a:pt x="51" y="118"/>
                                        <a:pt x="51" y="118"/>
                                        <a:pt x="51" y="118"/>
                                      </a:cubicBezTo>
                                      <a:cubicBezTo>
                                        <a:pt x="50" y="113"/>
                                        <a:pt x="48" y="108"/>
                                        <a:pt x="44" y="105"/>
                                      </a:cubicBezTo>
                                      <a:cubicBezTo>
                                        <a:pt x="17" y="82"/>
                                        <a:pt x="17" y="82"/>
                                        <a:pt x="17" y="82"/>
                                      </a:cubicBezTo>
                                      <a:cubicBezTo>
                                        <a:pt x="13" y="79"/>
                                        <a:pt x="11" y="75"/>
                                        <a:pt x="11" y="71"/>
                                      </a:cubicBezTo>
                                      <a:cubicBezTo>
                                        <a:pt x="6" y="9"/>
                                        <a:pt x="6" y="9"/>
                                        <a:pt x="6" y="9"/>
                                      </a:cubicBezTo>
                                      <a:cubicBezTo>
                                        <a:pt x="5" y="7"/>
                                        <a:pt x="7" y="6"/>
                                        <a:pt x="8" y="6"/>
                                      </a:cubicBezTo>
                                      <a:cubicBezTo>
                                        <a:pt x="8" y="6"/>
                                        <a:pt x="10" y="6"/>
                                        <a:pt x="11" y="8"/>
                                      </a:cubicBezTo>
                                      <a:cubicBezTo>
                                        <a:pt x="25" y="64"/>
                                        <a:pt x="25" y="64"/>
                                        <a:pt x="25" y="64"/>
                                      </a:cubicBezTo>
                                      <a:cubicBezTo>
                                        <a:pt x="25" y="65"/>
                                        <a:pt x="27" y="66"/>
                                        <a:pt x="29" y="66"/>
                                      </a:cubicBezTo>
                                      <a:cubicBezTo>
                                        <a:pt x="30" y="66"/>
                                        <a:pt x="31" y="64"/>
                                        <a:pt x="31" y="62"/>
                                      </a:cubicBezTo>
                                      <a:cubicBezTo>
                                        <a:pt x="16" y="6"/>
                                        <a:pt x="16" y="6"/>
                                        <a:pt x="16" y="6"/>
                                      </a:cubicBezTo>
                                      <a:cubicBezTo>
                                        <a:pt x="16" y="6"/>
                                        <a:pt x="16" y="6"/>
                                        <a:pt x="16" y="6"/>
                                      </a:cubicBezTo>
                                      <a:cubicBezTo>
                                        <a:pt x="15" y="2"/>
                                        <a:pt x="11" y="0"/>
                                        <a:pt x="7" y="1"/>
                                      </a:cubicBezTo>
                                      <a:cubicBezTo>
                                        <a:pt x="2" y="1"/>
                                        <a:pt x="0" y="5"/>
                                        <a:pt x="0" y="9"/>
                                      </a:cubicBezTo>
                                      <a:cubicBezTo>
                                        <a:pt x="5" y="71"/>
                                        <a:pt x="5" y="71"/>
                                        <a:pt x="5" y="71"/>
                                      </a:cubicBezTo>
                                      <a:cubicBezTo>
                                        <a:pt x="6" y="77"/>
                                        <a:pt x="8" y="82"/>
                                        <a:pt x="13" y="86"/>
                                      </a:cubicBezTo>
                                      <a:cubicBezTo>
                                        <a:pt x="41" y="109"/>
                                        <a:pt x="41" y="109"/>
                                        <a:pt x="41" y="109"/>
                                      </a:cubicBezTo>
                                      <a:cubicBezTo>
                                        <a:pt x="43" y="112"/>
                                        <a:pt x="45" y="115"/>
                                        <a:pt x="45" y="118"/>
                                      </a:cubicBezTo>
                                      <a:cubicBezTo>
                                        <a:pt x="45" y="139"/>
                                        <a:pt x="45" y="139"/>
                                        <a:pt x="45" y="139"/>
                                      </a:cubicBezTo>
                                      <a:cubicBezTo>
                                        <a:pt x="45" y="139"/>
                                        <a:pt x="45" y="139"/>
                                        <a:pt x="45" y="139"/>
                                      </a:cubicBezTo>
                                      <a:cubicBezTo>
                                        <a:pt x="45" y="139"/>
                                        <a:pt x="45" y="139"/>
                                        <a:pt x="45" y="139"/>
                                      </a:cubicBezTo>
                                      <a:cubicBezTo>
                                        <a:pt x="45" y="139"/>
                                        <a:pt x="45" y="139"/>
                                        <a:pt x="45" y="139"/>
                                      </a:cubicBezTo>
                                      <a:cubicBezTo>
                                        <a:pt x="45" y="139"/>
                                        <a:pt x="45" y="139"/>
                                        <a:pt x="45" y="139"/>
                                      </a:cubicBezTo>
                                      <a:cubicBezTo>
                                        <a:pt x="45" y="140"/>
                                        <a:pt x="45" y="140"/>
                                        <a:pt x="45" y="140"/>
                                      </a:cubicBezTo>
                                      <a:cubicBezTo>
                                        <a:pt x="45" y="140"/>
                                        <a:pt x="45" y="140"/>
                                        <a:pt x="45" y="140"/>
                                      </a:cubicBezTo>
                                      <a:cubicBezTo>
                                        <a:pt x="45" y="140"/>
                                        <a:pt x="46" y="140"/>
                                        <a:pt x="46" y="140"/>
                                      </a:cubicBezTo>
                                      <a:cubicBezTo>
                                        <a:pt x="46" y="140"/>
                                        <a:pt x="46" y="140"/>
                                        <a:pt x="46" y="140"/>
                                      </a:cubicBezTo>
                                      <a:cubicBezTo>
                                        <a:pt x="46" y="140"/>
                                        <a:pt x="46" y="140"/>
                                        <a:pt x="46" y="140"/>
                                      </a:cubicBezTo>
                                      <a:cubicBezTo>
                                        <a:pt x="46" y="141"/>
                                        <a:pt x="46" y="141"/>
                                        <a:pt x="46" y="141"/>
                                      </a:cubicBezTo>
                                      <a:cubicBezTo>
                                        <a:pt x="46" y="141"/>
                                        <a:pt x="46" y="141"/>
                                        <a:pt x="46" y="141"/>
                                      </a:cubicBezTo>
                                      <a:cubicBezTo>
                                        <a:pt x="46" y="141"/>
                                        <a:pt x="46" y="141"/>
                                        <a:pt x="46" y="141"/>
                                      </a:cubicBezTo>
                                      <a:cubicBezTo>
                                        <a:pt x="46" y="141"/>
                                        <a:pt x="46" y="141"/>
                                        <a:pt x="46" y="141"/>
                                      </a:cubicBezTo>
                                      <a:cubicBezTo>
                                        <a:pt x="46" y="141"/>
                                        <a:pt x="46" y="141"/>
                                        <a:pt x="47" y="141"/>
                                      </a:cubicBezTo>
                                      <a:cubicBezTo>
                                        <a:pt x="47" y="141"/>
                                        <a:pt x="47" y="141"/>
                                        <a:pt x="47" y="141"/>
                                      </a:cubicBezTo>
                                      <a:cubicBezTo>
                                        <a:pt x="47" y="141"/>
                                        <a:pt x="47" y="141"/>
                                        <a:pt x="47" y="141"/>
                                      </a:cubicBezTo>
                                      <a:cubicBezTo>
                                        <a:pt x="47" y="141"/>
                                        <a:pt x="47" y="141"/>
                                        <a:pt x="47" y="141"/>
                                      </a:cubicBezTo>
                                      <a:cubicBezTo>
                                        <a:pt x="47" y="142"/>
                                        <a:pt x="47" y="142"/>
                                        <a:pt x="47" y="142"/>
                                      </a:cubicBezTo>
                                      <a:cubicBezTo>
                                        <a:pt x="47" y="142"/>
                                        <a:pt x="47" y="142"/>
                                        <a:pt x="47"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8" y="142"/>
                                      </a:cubicBezTo>
                                      <a:cubicBezTo>
                                        <a:pt x="48" y="142"/>
                                        <a:pt x="48" y="142"/>
                                        <a:pt x="49" y="142"/>
                                      </a:cubicBezTo>
                                      <a:cubicBezTo>
                                        <a:pt x="78" y="137"/>
                                        <a:pt x="78" y="137"/>
                                        <a:pt x="78" y="137"/>
                                      </a:cubicBezTo>
                                      <a:cubicBezTo>
                                        <a:pt x="78" y="137"/>
                                        <a:pt x="78" y="137"/>
                                        <a:pt x="78" y="137"/>
                                      </a:cubicBezTo>
                                      <a:cubicBezTo>
                                        <a:pt x="78" y="137"/>
                                        <a:pt x="78" y="137"/>
                                        <a:pt x="78" y="137"/>
                                      </a:cubicBezTo>
                                      <a:cubicBezTo>
                                        <a:pt x="79" y="137"/>
                                        <a:pt x="79" y="137"/>
                                        <a:pt x="79" y="137"/>
                                      </a:cubicBezTo>
                                      <a:cubicBezTo>
                                        <a:pt x="79" y="137"/>
                                        <a:pt x="79" y="137"/>
                                        <a:pt x="79" y="137"/>
                                      </a:cubicBezTo>
                                      <a:cubicBezTo>
                                        <a:pt x="79" y="137"/>
                                        <a:pt x="79" y="137"/>
                                        <a:pt x="79" y="137"/>
                                      </a:cubicBezTo>
                                      <a:close/>
                                      <a:moveTo>
                                        <a:pt x="74" y="132"/>
                                      </a:moveTo>
                                      <a:cubicBezTo>
                                        <a:pt x="51" y="136"/>
                                        <a:pt x="51" y="136"/>
                                        <a:pt x="51" y="136"/>
                                      </a:cubicBezTo>
                                      <a:cubicBezTo>
                                        <a:pt x="51" y="124"/>
                                        <a:pt x="51" y="124"/>
                                        <a:pt x="51" y="124"/>
                                      </a:cubicBezTo>
                                      <a:cubicBezTo>
                                        <a:pt x="73" y="120"/>
                                        <a:pt x="73" y="120"/>
                                        <a:pt x="73" y="120"/>
                                      </a:cubicBezTo>
                                      <a:lnTo>
                                        <a:pt x="74" y="132"/>
                                      </a:lnTo>
                                      <a:close/>
                                      <a:moveTo>
                                        <a:pt x="74" y="132"/>
                                      </a:moveTo>
                                      <a:cubicBezTo>
                                        <a:pt x="74" y="132"/>
                                        <a:pt x="74" y="132"/>
                                        <a:pt x="74"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6" name="Freeform 3226"/>
                              <wps:cNvSpPr>
                                <a:spLocks noEditPoints="1"/>
                              </wps:cNvSpPr>
                              <wps:spPr bwMode="auto">
                                <a:xfrm>
                                  <a:off x="141288" y="76200"/>
                                  <a:ext cx="95250" cy="173037"/>
                                </a:xfrm>
                                <a:custGeom>
                                  <a:avLst/>
                                  <a:gdLst>
                                    <a:gd name="T0" fmla="*/ 1 w 80"/>
                                    <a:gd name="T1" fmla="*/ 137 h 142"/>
                                    <a:gd name="T2" fmla="*/ 2 w 80"/>
                                    <a:gd name="T3" fmla="*/ 137 h 142"/>
                                    <a:gd name="T4" fmla="*/ 2 w 80"/>
                                    <a:gd name="T5" fmla="*/ 137 h 142"/>
                                    <a:gd name="T6" fmla="*/ 32 w 80"/>
                                    <a:gd name="T7" fmla="*/ 142 h 142"/>
                                    <a:gd name="T8" fmla="*/ 32 w 80"/>
                                    <a:gd name="T9" fmla="*/ 142 h 142"/>
                                    <a:gd name="T10" fmla="*/ 32 w 80"/>
                                    <a:gd name="T11" fmla="*/ 142 h 142"/>
                                    <a:gd name="T12" fmla="*/ 33 w 80"/>
                                    <a:gd name="T13" fmla="*/ 142 h 142"/>
                                    <a:gd name="T14" fmla="*/ 33 w 80"/>
                                    <a:gd name="T15" fmla="*/ 141 h 142"/>
                                    <a:gd name="T16" fmla="*/ 33 w 80"/>
                                    <a:gd name="T17" fmla="*/ 141 h 142"/>
                                    <a:gd name="T18" fmla="*/ 34 w 80"/>
                                    <a:gd name="T19" fmla="*/ 141 h 142"/>
                                    <a:gd name="T20" fmla="*/ 34 w 80"/>
                                    <a:gd name="T21" fmla="*/ 141 h 142"/>
                                    <a:gd name="T22" fmla="*/ 34 w 80"/>
                                    <a:gd name="T23" fmla="*/ 140 h 142"/>
                                    <a:gd name="T24" fmla="*/ 34 w 80"/>
                                    <a:gd name="T25" fmla="*/ 140 h 142"/>
                                    <a:gd name="T26" fmla="*/ 35 w 80"/>
                                    <a:gd name="T27" fmla="*/ 140 h 142"/>
                                    <a:gd name="T28" fmla="*/ 35 w 80"/>
                                    <a:gd name="T29" fmla="*/ 139 h 142"/>
                                    <a:gd name="T30" fmla="*/ 35 w 80"/>
                                    <a:gd name="T31" fmla="*/ 139 h 142"/>
                                    <a:gd name="T32" fmla="*/ 35 w 80"/>
                                    <a:gd name="T33" fmla="*/ 118 h 142"/>
                                    <a:gd name="T34" fmla="*/ 67 w 80"/>
                                    <a:gd name="T35" fmla="*/ 86 h 142"/>
                                    <a:gd name="T36" fmla="*/ 80 w 80"/>
                                    <a:gd name="T37" fmla="*/ 9 h 142"/>
                                    <a:gd name="T38" fmla="*/ 64 w 80"/>
                                    <a:gd name="T39" fmla="*/ 6 h 142"/>
                                    <a:gd name="T40" fmla="*/ 49 w 80"/>
                                    <a:gd name="T41" fmla="*/ 62 h 142"/>
                                    <a:gd name="T42" fmla="*/ 55 w 80"/>
                                    <a:gd name="T43" fmla="*/ 64 h 142"/>
                                    <a:gd name="T44" fmla="*/ 72 w 80"/>
                                    <a:gd name="T45" fmla="*/ 6 h 142"/>
                                    <a:gd name="T46" fmla="*/ 69 w 80"/>
                                    <a:gd name="T47" fmla="*/ 71 h 142"/>
                                    <a:gd name="T48" fmla="*/ 35 w 80"/>
                                    <a:gd name="T49" fmla="*/ 105 h 142"/>
                                    <a:gd name="T50" fmla="*/ 8 w 80"/>
                                    <a:gd name="T51" fmla="*/ 114 h 142"/>
                                    <a:gd name="T52" fmla="*/ 22 w 80"/>
                                    <a:gd name="T53" fmla="*/ 78 h 142"/>
                                    <a:gd name="T54" fmla="*/ 45 w 80"/>
                                    <a:gd name="T55" fmla="*/ 61 h 142"/>
                                    <a:gd name="T56" fmla="*/ 49 w 80"/>
                                    <a:gd name="T57" fmla="*/ 65 h 142"/>
                                    <a:gd name="T58" fmla="*/ 34 w 80"/>
                                    <a:gd name="T59" fmla="*/ 84 h 142"/>
                                    <a:gd name="T60" fmla="*/ 39 w 80"/>
                                    <a:gd name="T61" fmla="*/ 88 h 142"/>
                                    <a:gd name="T62" fmla="*/ 53 w 80"/>
                                    <a:gd name="T63" fmla="*/ 68 h 142"/>
                                    <a:gd name="T64" fmla="*/ 52 w 80"/>
                                    <a:gd name="T65" fmla="*/ 58 h 142"/>
                                    <a:gd name="T66" fmla="*/ 41 w 80"/>
                                    <a:gd name="T67" fmla="*/ 57 h 142"/>
                                    <a:gd name="T68" fmla="*/ 4 w 80"/>
                                    <a:gd name="T69" fmla="*/ 95 h 142"/>
                                    <a:gd name="T70" fmla="*/ 0 w 80"/>
                                    <a:gd name="T71" fmla="*/ 134 h 142"/>
                                    <a:gd name="T72" fmla="*/ 0 w 80"/>
                                    <a:gd name="T73" fmla="*/ 135 h 142"/>
                                    <a:gd name="T74" fmla="*/ 0 w 80"/>
                                    <a:gd name="T75" fmla="*/ 135 h 142"/>
                                    <a:gd name="T76" fmla="*/ 0 w 80"/>
                                    <a:gd name="T77" fmla="*/ 136 h 142"/>
                                    <a:gd name="T78" fmla="*/ 0 w 80"/>
                                    <a:gd name="T79" fmla="*/ 136 h 142"/>
                                    <a:gd name="T80" fmla="*/ 1 w 80"/>
                                    <a:gd name="T81" fmla="*/ 137 h 142"/>
                                    <a:gd name="T82" fmla="*/ 7 w 80"/>
                                    <a:gd name="T83" fmla="*/ 120 h 142"/>
                                    <a:gd name="T84" fmla="*/ 29 w 80"/>
                                    <a:gd name="T85" fmla="*/ 136 h 142"/>
                                    <a:gd name="T86" fmla="*/ 7 w 80"/>
                                    <a:gd name="T87" fmla="*/ 120 h 142"/>
                                    <a:gd name="T88" fmla="*/ 6 w 80"/>
                                    <a:gd name="T89" fmla="*/ 13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 h="142">
                                      <a:moveTo>
                                        <a:pt x="1" y="137"/>
                                      </a:moveTo>
                                      <a:cubicBezTo>
                                        <a:pt x="1" y="137"/>
                                        <a:pt x="1" y="137"/>
                                        <a:pt x="1" y="137"/>
                                      </a:cubicBezTo>
                                      <a:cubicBezTo>
                                        <a:pt x="1" y="137"/>
                                        <a:pt x="1" y="137"/>
                                        <a:pt x="1" y="137"/>
                                      </a:cubicBezTo>
                                      <a:cubicBezTo>
                                        <a:pt x="1" y="137"/>
                                        <a:pt x="1" y="137"/>
                                        <a:pt x="2" y="137"/>
                                      </a:cubicBezTo>
                                      <a:cubicBezTo>
                                        <a:pt x="2" y="137"/>
                                        <a:pt x="2" y="137"/>
                                        <a:pt x="2" y="137"/>
                                      </a:cubicBezTo>
                                      <a:cubicBezTo>
                                        <a:pt x="2" y="137"/>
                                        <a:pt x="2" y="137"/>
                                        <a:pt x="2" y="137"/>
                                      </a:cubicBezTo>
                                      <a:cubicBezTo>
                                        <a:pt x="31" y="142"/>
                                        <a:pt x="31" y="142"/>
                                        <a:pt x="31" y="142"/>
                                      </a:cubicBezTo>
                                      <a:cubicBezTo>
                                        <a:pt x="31" y="142"/>
                                        <a:pt x="32" y="142"/>
                                        <a:pt x="32" y="142"/>
                                      </a:cubicBezTo>
                                      <a:cubicBezTo>
                                        <a:pt x="32" y="142"/>
                                        <a:pt x="32" y="142"/>
                                        <a:pt x="32" y="142"/>
                                      </a:cubicBezTo>
                                      <a:cubicBezTo>
                                        <a:pt x="32" y="142"/>
                                        <a:pt x="32" y="142"/>
                                        <a:pt x="32" y="142"/>
                                      </a:cubicBezTo>
                                      <a:cubicBezTo>
                                        <a:pt x="32" y="142"/>
                                        <a:pt x="32" y="142"/>
                                        <a:pt x="32" y="142"/>
                                      </a:cubicBezTo>
                                      <a:cubicBezTo>
                                        <a:pt x="32" y="142"/>
                                        <a:pt x="32" y="142"/>
                                        <a:pt x="32" y="142"/>
                                      </a:cubicBezTo>
                                      <a:cubicBezTo>
                                        <a:pt x="32" y="142"/>
                                        <a:pt x="32" y="142"/>
                                        <a:pt x="32" y="142"/>
                                      </a:cubicBezTo>
                                      <a:cubicBezTo>
                                        <a:pt x="33" y="142"/>
                                        <a:pt x="33" y="142"/>
                                        <a:pt x="33" y="142"/>
                                      </a:cubicBezTo>
                                      <a:cubicBezTo>
                                        <a:pt x="33" y="142"/>
                                        <a:pt x="33" y="142"/>
                                        <a:pt x="33" y="142"/>
                                      </a:cubicBezTo>
                                      <a:cubicBezTo>
                                        <a:pt x="33" y="142"/>
                                        <a:pt x="33" y="142"/>
                                        <a:pt x="33" y="141"/>
                                      </a:cubicBezTo>
                                      <a:cubicBezTo>
                                        <a:pt x="33" y="141"/>
                                        <a:pt x="33" y="141"/>
                                        <a:pt x="33" y="141"/>
                                      </a:cubicBezTo>
                                      <a:cubicBezTo>
                                        <a:pt x="33" y="141"/>
                                        <a:pt x="33" y="141"/>
                                        <a:pt x="33" y="141"/>
                                      </a:cubicBezTo>
                                      <a:cubicBezTo>
                                        <a:pt x="33" y="141"/>
                                        <a:pt x="33" y="141"/>
                                        <a:pt x="33" y="141"/>
                                      </a:cubicBezTo>
                                      <a:cubicBezTo>
                                        <a:pt x="33" y="141"/>
                                        <a:pt x="34" y="141"/>
                                        <a:pt x="34" y="141"/>
                                      </a:cubicBezTo>
                                      <a:cubicBezTo>
                                        <a:pt x="34" y="141"/>
                                        <a:pt x="34" y="141"/>
                                        <a:pt x="34" y="141"/>
                                      </a:cubicBezTo>
                                      <a:cubicBezTo>
                                        <a:pt x="34" y="141"/>
                                        <a:pt x="34" y="141"/>
                                        <a:pt x="34" y="141"/>
                                      </a:cubicBezTo>
                                      <a:cubicBezTo>
                                        <a:pt x="34" y="141"/>
                                        <a:pt x="34" y="141"/>
                                        <a:pt x="34" y="141"/>
                                      </a:cubicBezTo>
                                      <a:cubicBezTo>
                                        <a:pt x="34" y="141"/>
                                        <a:pt x="34" y="141"/>
                                        <a:pt x="34" y="140"/>
                                      </a:cubicBezTo>
                                      <a:cubicBezTo>
                                        <a:pt x="34" y="140"/>
                                        <a:pt x="34" y="140"/>
                                        <a:pt x="34" y="140"/>
                                      </a:cubicBezTo>
                                      <a:cubicBezTo>
                                        <a:pt x="34" y="140"/>
                                        <a:pt x="34" y="140"/>
                                        <a:pt x="34" y="140"/>
                                      </a:cubicBezTo>
                                      <a:cubicBezTo>
                                        <a:pt x="34" y="140"/>
                                        <a:pt x="34" y="140"/>
                                        <a:pt x="34" y="140"/>
                                      </a:cubicBezTo>
                                      <a:cubicBezTo>
                                        <a:pt x="35" y="140"/>
                                        <a:pt x="35" y="140"/>
                                        <a:pt x="35" y="140"/>
                                      </a:cubicBezTo>
                                      <a:cubicBezTo>
                                        <a:pt x="35" y="140"/>
                                        <a:pt x="35" y="140"/>
                                        <a:pt x="35" y="139"/>
                                      </a:cubicBezTo>
                                      <a:cubicBezTo>
                                        <a:pt x="35" y="139"/>
                                        <a:pt x="35" y="139"/>
                                        <a:pt x="35" y="139"/>
                                      </a:cubicBezTo>
                                      <a:cubicBezTo>
                                        <a:pt x="35" y="139"/>
                                        <a:pt x="35" y="139"/>
                                        <a:pt x="35" y="139"/>
                                      </a:cubicBezTo>
                                      <a:cubicBezTo>
                                        <a:pt x="35" y="139"/>
                                        <a:pt x="35" y="139"/>
                                        <a:pt x="35" y="139"/>
                                      </a:cubicBezTo>
                                      <a:cubicBezTo>
                                        <a:pt x="35" y="139"/>
                                        <a:pt x="35" y="139"/>
                                        <a:pt x="35" y="139"/>
                                      </a:cubicBezTo>
                                      <a:cubicBezTo>
                                        <a:pt x="35" y="118"/>
                                        <a:pt x="35" y="118"/>
                                        <a:pt x="35" y="118"/>
                                      </a:cubicBezTo>
                                      <a:cubicBezTo>
                                        <a:pt x="35" y="115"/>
                                        <a:pt x="37" y="112"/>
                                        <a:pt x="39" y="109"/>
                                      </a:cubicBezTo>
                                      <a:cubicBezTo>
                                        <a:pt x="67" y="86"/>
                                        <a:pt x="67" y="86"/>
                                        <a:pt x="67" y="86"/>
                                      </a:cubicBezTo>
                                      <a:cubicBezTo>
                                        <a:pt x="71" y="82"/>
                                        <a:pt x="74" y="77"/>
                                        <a:pt x="75" y="71"/>
                                      </a:cubicBezTo>
                                      <a:cubicBezTo>
                                        <a:pt x="80" y="9"/>
                                        <a:pt x="80" y="9"/>
                                        <a:pt x="80" y="9"/>
                                      </a:cubicBezTo>
                                      <a:cubicBezTo>
                                        <a:pt x="80" y="5"/>
                                        <a:pt x="78" y="1"/>
                                        <a:pt x="73" y="1"/>
                                      </a:cubicBezTo>
                                      <a:cubicBezTo>
                                        <a:pt x="69" y="0"/>
                                        <a:pt x="65" y="2"/>
                                        <a:pt x="64" y="6"/>
                                      </a:cubicBezTo>
                                      <a:cubicBezTo>
                                        <a:pt x="64" y="6"/>
                                        <a:pt x="64" y="6"/>
                                        <a:pt x="64" y="6"/>
                                      </a:cubicBezTo>
                                      <a:cubicBezTo>
                                        <a:pt x="49" y="62"/>
                                        <a:pt x="49" y="62"/>
                                        <a:pt x="49" y="62"/>
                                      </a:cubicBezTo>
                                      <a:cubicBezTo>
                                        <a:pt x="49" y="64"/>
                                        <a:pt x="50" y="66"/>
                                        <a:pt x="51" y="66"/>
                                      </a:cubicBezTo>
                                      <a:cubicBezTo>
                                        <a:pt x="53" y="66"/>
                                        <a:pt x="55" y="65"/>
                                        <a:pt x="55" y="64"/>
                                      </a:cubicBezTo>
                                      <a:cubicBezTo>
                                        <a:pt x="69" y="8"/>
                                        <a:pt x="69" y="8"/>
                                        <a:pt x="69" y="8"/>
                                      </a:cubicBezTo>
                                      <a:cubicBezTo>
                                        <a:pt x="70" y="6"/>
                                        <a:pt x="72" y="6"/>
                                        <a:pt x="72" y="6"/>
                                      </a:cubicBezTo>
                                      <a:cubicBezTo>
                                        <a:pt x="73" y="6"/>
                                        <a:pt x="75" y="7"/>
                                        <a:pt x="74" y="9"/>
                                      </a:cubicBezTo>
                                      <a:cubicBezTo>
                                        <a:pt x="69" y="71"/>
                                        <a:pt x="69" y="71"/>
                                        <a:pt x="69" y="71"/>
                                      </a:cubicBezTo>
                                      <a:cubicBezTo>
                                        <a:pt x="69" y="75"/>
                                        <a:pt x="67" y="79"/>
                                        <a:pt x="63" y="82"/>
                                      </a:cubicBezTo>
                                      <a:cubicBezTo>
                                        <a:pt x="35" y="105"/>
                                        <a:pt x="35" y="105"/>
                                        <a:pt x="35" y="105"/>
                                      </a:cubicBezTo>
                                      <a:cubicBezTo>
                                        <a:pt x="32" y="108"/>
                                        <a:pt x="29" y="113"/>
                                        <a:pt x="29" y="118"/>
                                      </a:cubicBezTo>
                                      <a:cubicBezTo>
                                        <a:pt x="8" y="114"/>
                                        <a:pt x="8" y="114"/>
                                        <a:pt x="8" y="114"/>
                                      </a:cubicBezTo>
                                      <a:cubicBezTo>
                                        <a:pt x="10" y="97"/>
                                        <a:pt x="10" y="97"/>
                                        <a:pt x="10" y="97"/>
                                      </a:cubicBezTo>
                                      <a:cubicBezTo>
                                        <a:pt x="10" y="95"/>
                                        <a:pt x="14" y="83"/>
                                        <a:pt x="22" y="78"/>
                                      </a:cubicBezTo>
                                      <a:cubicBezTo>
                                        <a:pt x="22" y="78"/>
                                        <a:pt x="22" y="78"/>
                                        <a:pt x="22" y="78"/>
                                      </a:cubicBezTo>
                                      <a:cubicBezTo>
                                        <a:pt x="45" y="61"/>
                                        <a:pt x="45" y="61"/>
                                        <a:pt x="45" y="61"/>
                                      </a:cubicBezTo>
                                      <a:cubicBezTo>
                                        <a:pt x="46" y="61"/>
                                        <a:pt x="47" y="61"/>
                                        <a:pt x="48" y="62"/>
                                      </a:cubicBezTo>
                                      <a:cubicBezTo>
                                        <a:pt x="48" y="62"/>
                                        <a:pt x="50" y="64"/>
                                        <a:pt x="49" y="65"/>
                                      </a:cubicBezTo>
                                      <a:cubicBezTo>
                                        <a:pt x="48" y="66"/>
                                        <a:pt x="44" y="71"/>
                                        <a:pt x="41" y="76"/>
                                      </a:cubicBezTo>
                                      <a:cubicBezTo>
                                        <a:pt x="34" y="84"/>
                                        <a:pt x="34" y="84"/>
                                        <a:pt x="34" y="84"/>
                                      </a:cubicBezTo>
                                      <a:cubicBezTo>
                                        <a:pt x="33" y="86"/>
                                        <a:pt x="34" y="88"/>
                                        <a:pt x="35" y="88"/>
                                      </a:cubicBezTo>
                                      <a:cubicBezTo>
                                        <a:pt x="36" y="89"/>
                                        <a:pt x="38" y="89"/>
                                        <a:pt x="39" y="88"/>
                                      </a:cubicBezTo>
                                      <a:cubicBezTo>
                                        <a:pt x="39" y="87"/>
                                        <a:pt x="42" y="83"/>
                                        <a:pt x="45" y="79"/>
                                      </a:cubicBezTo>
                                      <a:cubicBezTo>
                                        <a:pt x="53" y="70"/>
                                        <a:pt x="53" y="69"/>
                                        <a:pt x="53" y="68"/>
                                      </a:cubicBezTo>
                                      <a:cubicBezTo>
                                        <a:pt x="53" y="68"/>
                                        <a:pt x="53" y="68"/>
                                        <a:pt x="53" y="68"/>
                                      </a:cubicBezTo>
                                      <a:cubicBezTo>
                                        <a:pt x="55" y="65"/>
                                        <a:pt x="55" y="61"/>
                                        <a:pt x="52" y="58"/>
                                      </a:cubicBezTo>
                                      <a:cubicBezTo>
                                        <a:pt x="49" y="55"/>
                                        <a:pt x="45" y="54"/>
                                        <a:pt x="41" y="57"/>
                                      </a:cubicBezTo>
                                      <a:cubicBezTo>
                                        <a:pt x="41" y="57"/>
                                        <a:pt x="41" y="57"/>
                                        <a:pt x="41" y="57"/>
                                      </a:cubicBezTo>
                                      <a:cubicBezTo>
                                        <a:pt x="19" y="73"/>
                                        <a:pt x="19" y="73"/>
                                        <a:pt x="19" y="73"/>
                                      </a:cubicBezTo>
                                      <a:cubicBezTo>
                                        <a:pt x="8" y="80"/>
                                        <a:pt x="5" y="95"/>
                                        <a:pt x="4" y="95"/>
                                      </a:cubicBezTo>
                                      <a:cubicBezTo>
                                        <a:pt x="4" y="96"/>
                                        <a:pt x="4" y="96"/>
                                        <a:pt x="4" y="96"/>
                                      </a:cubicBezTo>
                                      <a:cubicBezTo>
                                        <a:pt x="0" y="134"/>
                                        <a:pt x="0" y="134"/>
                                        <a:pt x="0" y="134"/>
                                      </a:cubicBezTo>
                                      <a:cubicBezTo>
                                        <a:pt x="0" y="134"/>
                                        <a:pt x="0" y="134"/>
                                        <a:pt x="0" y="135"/>
                                      </a:cubicBezTo>
                                      <a:cubicBezTo>
                                        <a:pt x="0" y="135"/>
                                        <a:pt x="0" y="135"/>
                                        <a:pt x="0" y="135"/>
                                      </a:cubicBezTo>
                                      <a:cubicBezTo>
                                        <a:pt x="0" y="135"/>
                                        <a:pt x="0" y="135"/>
                                        <a:pt x="0" y="135"/>
                                      </a:cubicBezTo>
                                      <a:cubicBezTo>
                                        <a:pt x="0" y="135"/>
                                        <a:pt x="0" y="135"/>
                                        <a:pt x="0" y="135"/>
                                      </a:cubicBezTo>
                                      <a:cubicBezTo>
                                        <a:pt x="0" y="135"/>
                                        <a:pt x="0" y="136"/>
                                        <a:pt x="0" y="136"/>
                                      </a:cubicBezTo>
                                      <a:cubicBezTo>
                                        <a:pt x="0" y="136"/>
                                        <a:pt x="0" y="136"/>
                                        <a:pt x="0" y="136"/>
                                      </a:cubicBezTo>
                                      <a:cubicBezTo>
                                        <a:pt x="0" y="136"/>
                                        <a:pt x="0" y="136"/>
                                        <a:pt x="0" y="136"/>
                                      </a:cubicBezTo>
                                      <a:cubicBezTo>
                                        <a:pt x="0" y="136"/>
                                        <a:pt x="0" y="136"/>
                                        <a:pt x="0" y="136"/>
                                      </a:cubicBezTo>
                                      <a:cubicBezTo>
                                        <a:pt x="0" y="136"/>
                                        <a:pt x="0" y="136"/>
                                        <a:pt x="0" y="137"/>
                                      </a:cubicBezTo>
                                      <a:cubicBezTo>
                                        <a:pt x="0" y="137"/>
                                        <a:pt x="0" y="137"/>
                                        <a:pt x="1" y="137"/>
                                      </a:cubicBezTo>
                                      <a:cubicBezTo>
                                        <a:pt x="1" y="137"/>
                                        <a:pt x="1" y="137"/>
                                        <a:pt x="1" y="137"/>
                                      </a:cubicBezTo>
                                      <a:close/>
                                      <a:moveTo>
                                        <a:pt x="7" y="120"/>
                                      </a:moveTo>
                                      <a:cubicBezTo>
                                        <a:pt x="29" y="124"/>
                                        <a:pt x="29" y="124"/>
                                        <a:pt x="29" y="124"/>
                                      </a:cubicBezTo>
                                      <a:cubicBezTo>
                                        <a:pt x="29" y="136"/>
                                        <a:pt x="29" y="136"/>
                                        <a:pt x="29" y="136"/>
                                      </a:cubicBezTo>
                                      <a:cubicBezTo>
                                        <a:pt x="6" y="132"/>
                                        <a:pt x="6" y="132"/>
                                        <a:pt x="6" y="132"/>
                                      </a:cubicBezTo>
                                      <a:lnTo>
                                        <a:pt x="7" y="120"/>
                                      </a:lnTo>
                                      <a:close/>
                                      <a:moveTo>
                                        <a:pt x="6" y="132"/>
                                      </a:moveTo>
                                      <a:cubicBezTo>
                                        <a:pt x="6" y="132"/>
                                        <a:pt x="6" y="132"/>
                                        <a:pt x="6"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7" name="Freeform 3227"/>
                              <wps:cNvSpPr>
                                <a:spLocks noEditPoints="1"/>
                              </wps:cNvSpPr>
                              <wps:spPr bwMode="auto">
                                <a:xfrm>
                                  <a:off x="46038" y="39687"/>
                                  <a:ext cx="101600" cy="103187"/>
                                </a:xfrm>
                                <a:custGeom>
                                  <a:avLst/>
                                  <a:gdLst>
                                    <a:gd name="T0" fmla="*/ 15 w 84"/>
                                    <a:gd name="T1" fmla="*/ 70 h 85"/>
                                    <a:gd name="T2" fmla="*/ 69 w 84"/>
                                    <a:gd name="T3" fmla="*/ 70 h 85"/>
                                    <a:gd name="T4" fmla="*/ 69 w 84"/>
                                    <a:gd name="T5" fmla="*/ 15 h 85"/>
                                    <a:gd name="T6" fmla="*/ 15 w 84"/>
                                    <a:gd name="T7" fmla="*/ 15 h 85"/>
                                    <a:gd name="T8" fmla="*/ 15 w 84"/>
                                    <a:gd name="T9" fmla="*/ 70 h 85"/>
                                    <a:gd name="T10" fmla="*/ 66 w 84"/>
                                    <a:gd name="T11" fmla="*/ 19 h 85"/>
                                    <a:gd name="T12" fmla="*/ 66 w 84"/>
                                    <a:gd name="T13" fmla="*/ 66 h 85"/>
                                    <a:gd name="T14" fmla="*/ 18 w 84"/>
                                    <a:gd name="T15" fmla="*/ 66 h 85"/>
                                    <a:gd name="T16" fmla="*/ 18 w 84"/>
                                    <a:gd name="T17" fmla="*/ 19 h 85"/>
                                    <a:gd name="T18" fmla="*/ 66 w 84"/>
                                    <a:gd name="T19" fmla="*/ 19 h 85"/>
                                    <a:gd name="T20" fmla="*/ 66 w 84"/>
                                    <a:gd name="T21" fmla="*/ 19 h 85"/>
                                    <a:gd name="T22" fmla="*/ 66 w 84"/>
                                    <a:gd name="T23" fmla="*/ 1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85">
                                      <a:moveTo>
                                        <a:pt x="15" y="70"/>
                                      </a:moveTo>
                                      <a:cubicBezTo>
                                        <a:pt x="30" y="85"/>
                                        <a:pt x="54" y="85"/>
                                        <a:pt x="69" y="70"/>
                                      </a:cubicBezTo>
                                      <a:cubicBezTo>
                                        <a:pt x="84" y="55"/>
                                        <a:pt x="84" y="30"/>
                                        <a:pt x="69" y="15"/>
                                      </a:cubicBezTo>
                                      <a:cubicBezTo>
                                        <a:pt x="54" y="0"/>
                                        <a:pt x="30" y="0"/>
                                        <a:pt x="15" y="15"/>
                                      </a:cubicBezTo>
                                      <a:cubicBezTo>
                                        <a:pt x="0" y="30"/>
                                        <a:pt x="0" y="55"/>
                                        <a:pt x="15" y="70"/>
                                      </a:cubicBezTo>
                                      <a:close/>
                                      <a:moveTo>
                                        <a:pt x="66" y="19"/>
                                      </a:moveTo>
                                      <a:cubicBezTo>
                                        <a:pt x="79" y="32"/>
                                        <a:pt x="79" y="53"/>
                                        <a:pt x="66" y="66"/>
                                      </a:cubicBezTo>
                                      <a:cubicBezTo>
                                        <a:pt x="53" y="80"/>
                                        <a:pt x="31" y="80"/>
                                        <a:pt x="18" y="66"/>
                                      </a:cubicBezTo>
                                      <a:cubicBezTo>
                                        <a:pt x="5" y="53"/>
                                        <a:pt x="5" y="32"/>
                                        <a:pt x="18" y="19"/>
                                      </a:cubicBezTo>
                                      <a:cubicBezTo>
                                        <a:pt x="31" y="6"/>
                                        <a:pt x="53" y="6"/>
                                        <a:pt x="66" y="19"/>
                                      </a:cubicBezTo>
                                      <a:close/>
                                      <a:moveTo>
                                        <a:pt x="66" y="19"/>
                                      </a:moveTo>
                                      <a:cubicBezTo>
                                        <a:pt x="66" y="19"/>
                                        <a:pt x="66" y="19"/>
                                        <a:pt x="66" y="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8" name="Freeform 3228"/>
                              <wps:cNvSpPr>
                                <a:spLocks noEditPoints="1"/>
                              </wps:cNvSpPr>
                              <wps:spPr bwMode="auto">
                                <a:xfrm>
                                  <a:off x="92075" y="39687"/>
                                  <a:ext cx="101600" cy="103187"/>
                                </a:xfrm>
                                <a:custGeom>
                                  <a:avLst/>
                                  <a:gdLst>
                                    <a:gd name="T0" fmla="*/ 15 w 85"/>
                                    <a:gd name="T1" fmla="*/ 70 h 85"/>
                                    <a:gd name="T2" fmla="*/ 70 w 85"/>
                                    <a:gd name="T3" fmla="*/ 70 h 85"/>
                                    <a:gd name="T4" fmla="*/ 70 w 85"/>
                                    <a:gd name="T5" fmla="*/ 15 h 85"/>
                                    <a:gd name="T6" fmla="*/ 15 w 85"/>
                                    <a:gd name="T7" fmla="*/ 15 h 85"/>
                                    <a:gd name="T8" fmla="*/ 15 w 85"/>
                                    <a:gd name="T9" fmla="*/ 70 h 85"/>
                                    <a:gd name="T10" fmla="*/ 66 w 85"/>
                                    <a:gd name="T11" fmla="*/ 19 h 85"/>
                                    <a:gd name="T12" fmla="*/ 66 w 85"/>
                                    <a:gd name="T13" fmla="*/ 66 h 85"/>
                                    <a:gd name="T14" fmla="*/ 19 w 85"/>
                                    <a:gd name="T15" fmla="*/ 66 h 85"/>
                                    <a:gd name="T16" fmla="*/ 19 w 85"/>
                                    <a:gd name="T17" fmla="*/ 19 h 85"/>
                                    <a:gd name="T18" fmla="*/ 66 w 85"/>
                                    <a:gd name="T19" fmla="*/ 19 h 85"/>
                                    <a:gd name="T20" fmla="*/ 66 w 85"/>
                                    <a:gd name="T21" fmla="*/ 19 h 85"/>
                                    <a:gd name="T22" fmla="*/ 66 w 85"/>
                                    <a:gd name="T23" fmla="*/ 1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85">
                                      <a:moveTo>
                                        <a:pt x="15" y="70"/>
                                      </a:moveTo>
                                      <a:cubicBezTo>
                                        <a:pt x="30" y="85"/>
                                        <a:pt x="55" y="85"/>
                                        <a:pt x="70" y="70"/>
                                      </a:cubicBezTo>
                                      <a:cubicBezTo>
                                        <a:pt x="85" y="55"/>
                                        <a:pt x="85" y="30"/>
                                        <a:pt x="70" y="15"/>
                                      </a:cubicBezTo>
                                      <a:cubicBezTo>
                                        <a:pt x="55" y="0"/>
                                        <a:pt x="30" y="0"/>
                                        <a:pt x="15" y="15"/>
                                      </a:cubicBezTo>
                                      <a:cubicBezTo>
                                        <a:pt x="0" y="30"/>
                                        <a:pt x="0" y="55"/>
                                        <a:pt x="15" y="70"/>
                                      </a:cubicBezTo>
                                      <a:close/>
                                      <a:moveTo>
                                        <a:pt x="66" y="19"/>
                                      </a:moveTo>
                                      <a:cubicBezTo>
                                        <a:pt x="79" y="32"/>
                                        <a:pt x="79" y="53"/>
                                        <a:pt x="66" y="66"/>
                                      </a:cubicBezTo>
                                      <a:cubicBezTo>
                                        <a:pt x="53" y="80"/>
                                        <a:pt x="32" y="80"/>
                                        <a:pt x="19" y="66"/>
                                      </a:cubicBezTo>
                                      <a:cubicBezTo>
                                        <a:pt x="5" y="53"/>
                                        <a:pt x="5" y="32"/>
                                        <a:pt x="19" y="19"/>
                                      </a:cubicBezTo>
                                      <a:cubicBezTo>
                                        <a:pt x="32" y="6"/>
                                        <a:pt x="53" y="6"/>
                                        <a:pt x="66" y="19"/>
                                      </a:cubicBezTo>
                                      <a:close/>
                                      <a:moveTo>
                                        <a:pt x="66" y="19"/>
                                      </a:moveTo>
                                      <a:cubicBezTo>
                                        <a:pt x="66" y="19"/>
                                        <a:pt x="66" y="19"/>
                                        <a:pt x="66" y="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9" name="Freeform 3229"/>
                              <wps:cNvSpPr>
                                <a:spLocks noEditPoints="1"/>
                              </wps:cNvSpPr>
                              <wps:spPr bwMode="auto">
                                <a:xfrm>
                                  <a:off x="66675" y="0"/>
                                  <a:ext cx="103188" cy="101600"/>
                                </a:xfrm>
                                <a:custGeom>
                                  <a:avLst/>
                                  <a:gdLst>
                                    <a:gd name="T0" fmla="*/ 16 w 85"/>
                                    <a:gd name="T1" fmla="*/ 69 h 84"/>
                                    <a:gd name="T2" fmla="*/ 70 w 85"/>
                                    <a:gd name="T3" fmla="*/ 69 h 84"/>
                                    <a:gd name="T4" fmla="*/ 70 w 85"/>
                                    <a:gd name="T5" fmla="*/ 15 h 84"/>
                                    <a:gd name="T6" fmla="*/ 15 w 85"/>
                                    <a:gd name="T7" fmla="*/ 15 h 84"/>
                                    <a:gd name="T8" fmla="*/ 16 w 85"/>
                                    <a:gd name="T9" fmla="*/ 69 h 84"/>
                                    <a:gd name="T10" fmla="*/ 67 w 85"/>
                                    <a:gd name="T11" fmla="*/ 18 h 84"/>
                                    <a:gd name="T12" fmla="*/ 67 w 85"/>
                                    <a:gd name="T13" fmla="*/ 66 h 84"/>
                                    <a:gd name="T14" fmla="*/ 19 w 85"/>
                                    <a:gd name="T15" fmla="*/ 66 h 84"/>
                                    <a:gd name="T16" fmla="*/ 19 w 85"/>
                                    <a:gd name="T17" fmla="*/ 18 h 84"/>
                                    <a:gd name="T18" fmla="*/ 67 w 85"/>
                                    <a:gd name="T19" fmla="*/ 18 h 84"/>
                                    <a:gd name="T20" fmla="*/ 67 w 85"/>
                                    <a:gd name="T21" fmla="*/ 18 h 84"/>
                                    <a:gd name="T22" fmla="*/ 67 w 85"/>
                                    <a:gd name="T23" fmla="*/ 1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84">
                                      <a:moveTo>
                                        <a:pt x="16" y="69"/>
                                      </a:moveTo>
                                      <a:cubicBezTo>
                                        <a:pt x="31" y="84"/>
                                        <a:pt x="55" y="84"/>
                                        <a:pt x="70" y="69"/>
                                      </a:cubicBezTo>
                                      <a:cubicBezTo>
                                        <a:pt x="85" y="54"/>
                                        <a:pt x="85" y="30"/>
                                        <a:pt x="70" y="15"/>
                                      </a:cubicBezTo>
                                      <a:cubicBezTo>
                                        <a:pt x="55" y="0"/>
                                        <a:pt x="30" y="0"/>
                                        <a:pt x="15" y="15"/>
                                      </a:cubicBezTo>
                                      <a:cubicBezTo>
                                        <a:pt x="0" y="30"/>
                                        <a:pt x="0" y="54"/>
                                        <a:pt x="16" y="69"/>
                                      </a:cubicBezTo>
                                      <a:close/>
                                      <a:moveTo>
                                        <a:pt x="67" y="18"/>
                                      </a:moveTo>
                                      <a:cubicBezTo>
                                        <a:pt x="80" y="31"/>
                                        <a:pt x="80" y="53"/>
                                        <a:pt x="67" y="66"/>
                                      </a:cubicBezTo>
                                      <a:cubicBezTo>
                                        <a:pt x="53" y="79"/>
                                        <a:pt x="32" y="79"/>
                                        <a:pt x="19" y="66"/>
                                      </a:cubicBezTo>
                                      <a:cubicBezTo>
                                        <a:pt x="6" y="53"/>
                                        <a:pt x="6" y="31"/>
                                        <a:pt x="19" y="18"/>
                                      </a:cubicBezTo>
                                      <a:cubicBezTo>
                                        <a:pt x="32" y="5"/>
                                        <a:pt x="53" y="5"/>
                                        <a:pt x="67" y="18"/>
                                      </a:cubicBezTo>
                                      <a:close/>
                                      <a:moveTo>
                                        <a:pt x="67" y="18"/>
                                      </a:moveTo>
                                      <a:cubicBezTo>
                                        <a:pt x="67" y="18"/>
                                        <a:pt x="67" y="18"/>
                                        <a:pt x="67" y="1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37BCCC" id="Group 67" o:spid="_x0000_s1026" style="position:absolute;margin-left:41.15pt;margin-top:2.5pt;width:19.65pt;height:20.7pt;z-index:251651072;mso-width-relative:margin;mso-height-relative:margin" coordsize="236538,249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">
                      <v:shape id="Freeform 3225" o:spid="_x0000_s1027" style="position:absolute;top:76200;width:96838;height:173037;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" path="m79,137v,,,,,c79,137,80,137,80,137v,-1,,-1,,-1c80,136,80,136,80,136v,,,,,c80,136,80,136,80,136v,,,-1,,-1c80,135,80,135,80,135v,,,,,c80,135,80,135,80,135v,-1,,-1,,-1c76,96,76,96,76,96v,,,,-1,-1c75,95,72,80,61,73,39,57,39,57,39,57v,,,,,c35,54,31,55,28,58v-3,3,-4,7,-1,10c27,68,27,68,27,68v,1,,2,7,11c38,83,41,87,41,88v1,1,3,1,4,c46,88,47,86,46,84v,,,,-7,-8c36,71,32,66,31,65v-1,-1,1,-3,1,-3c33,61,34,61,35,61,57,78,57,78,57,78v1,,1,,1,c66,83,70,95,70,97v2,17,2,17,2,17c51,118,51,118,51,118v-1,-5,-3,-10,-7,-13c17,82,17,82,17,82,13,79,11,75,11,71,6,9,6,9,6,9,5,7,7,6,8,6v,,2,,3,2c25,64,25,64,25,64v,1,2,2,4,2c30,66,31,64,31,62,16,6,16,6,16,6v,,,,,c15,2,11,,7,1,2,1,,5,,9,5,71,5,71,5,71v1,6,3,11,8,15c41,109,41,109,41,109v2,3,4,6,4,9c45,139,45,139,45,139v,,,,,c45,139,45,139,45,139v,,,,,c45,139,45,139,45,139v,1,,1,,1c45,140,45,140,45,140v,,1,,1,c46,140,46,140,46,140v,,,,,c46,141,46,141,46,141v,,,,,c46,141,46,141,46,141v,,,,,c46,141,46,141,47,141v,,,,,c47,141,47,141,47,141v,,,,,c47,142,47,142,47,142v,,,,,c48,142,48,142,48,142v,,,,,c48,142,48,142,48,142v,,,,,c48,142,48,142,48,142v,,,,,c48,142,48,142,49,142v29,-5,29,-5,29,-5c78,137,78,137,78,137v,,,,,c79,137,79,137,79,137v,,,,,c79,137,79,137,79,137xm74,132v-23,4,-23,4,-23,4c51,124,51,124,51,124v22,-4,22,-4,22,-4l74,132xm74,132v,,,,,e" filled="f" stroked="f">
                        <v:path arrowok="t" o:connecttype="custom" o:connectlocs="95628,166944;96838,165726;96838,165726;96838,164507;96838,164507;96838,163288;90786,115764;47209,69459;33893,70677;32683,82863;49629,107234;55682,102360;37525,79207;42367,74333;70208,95048;87154,138917;53261,127950;13315,86519;9684,7311;30262,77989;37525,75551;19368,7311;0,10967;15736,104797;54471,143791;54471,169381;54471,169381;54471,170600;55682,170600;55682,170600;55682,171818;55682,171818;56892,171818;56892,171818;56892,173037;58103,173037;58103,173037;58103,173037;94417,166944;94417,166944;95628,166944;89575,160851;61734,151103;89575,160851;89575,160851" o:connectangles="0,0,0,0,0,0,0,0,0,0,0,0,0,0,0,0,0,0,0,0,0,0,0,0,0,0,0,0,0,0,0,0,0,0,0,0,0,0,0,0,0,0,0,0,0"/>
                        <o:lock v:ext="edit" verticies="t"/>
                      </v:shape>
                      <v:shape id="Freeform 3226" o:spid="_x0000_s1028" style="position:absolute;left:141288;top:76200;width:95250;height:173037;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" path="m1,137v,,,,,c1,137,1,137,1,137v,,,,1,c2,137,2,137,2,137v,,,,,c31,142,31,142,31,142v,,1,,1,c32,142,32,142,32,142v,,,,,c32,142,32,142,32,142v,,,,,c32,142,32,142,32,142v1,,1,,1,c33,142,33,142,33,142v,,,,,-1c33,141,33,141,33,141v,,,,,c33,141,33,141,33,141v,,1,,1,c34,141,34,141,34,141v,,,,,c34,141,34,141,34,141v,,,,,-1c34,140,34,140,34,140v,,,,,c34,140,34,140,34,140v1,,1,,1,c35,140,35,140,35,139v,,,,,c35,139,35,139,35,139v,,,,,c35,139,35,139,35,139v,-21,,-21,,-21c35,115,37,112,39,109,67,86,67,86,67,86v4,-4,7,-9,8,-15c80,9,80,9,80,9,80,5,78,1,73,1,69,,65,2,64,6v,,,,,c49,62,49,62,49,62v,2,1,4,2,4c53,66,55,65,55,64,69,8,69,8,69,8,70,6,72,6,72,6v1,,3,1,2,3c69,71,69,71,69,71v,4,-2,8,-6,11c35,105,35,105,35,105v-3,3,-6,8,-6,13c8,114,8,114,8,114,10,97,10,97,10,97v,-2,4,-14,12,-19c22,78,22,78,22,78,45,61,45,61,45,61v1,,2,,3,1c48,62,50,64,49,65v-1,1,-5,6,-8,11c34,84,34,84,34,84v-1,2,,4,1,4c36,89,38,89,39,88v,-1,3,-5,6,-9c53,70,53,69,53,68v,,,,,c55,65,55,61,52,58,49,55,45,54,41,57v,,,,,c19,73,19,73,19,73,8,80,5,95,4,95v,1,,1,,1c,134,,134,,134v,,,,,1c,135,,135,,135v,,,,,c,135,,135,,135v,,,1,,1c,136,,136,,136v,,,,,c,136,,136,,136v,,,,,1c,137,,137,1,137v,,,,,xm7,120v22,4,22,4,22,4c29,136,29,136,29,136,6,132,6,132,6,132l7,120xm6,132v,,,,,e" filled="f" stroked="f">
                        <v:path arrowok="t" o:connecttype="custom" o:connectlocs="1191,166944;2381,166944;2381,166944;38100,173037;38100,173037;38100,173037;39291,173037;39291,171818;39291,171818;40481,171818;40481,171818;40481,170600;40481,170600;41672,170600;41672,169381;41672,169381;41672,143791;79772,104797;95250,10967;76200,7311;58341,75551;65484,77989;85725,7311;82153,86519;41672,127950;9525,138917;26194,95048;53578,74333;58341,79207;40481,102360;46434,107234;63103,82863;61913,70677;48816,69459;4763,115764;0,163288;0,164507;0,164507;0,165726;0,165726;1191,166944;8334,146228;34528,165726;8334,146228;7144,160851" o:connectangles="0,0,0,0,0,0,0,0,0,0,0,0,0,0,0,0,0,0,0,0,0,0,0,0,0,0,0,0,0,0,0,0,0,0,0,0,0,0,0,0,0,0,0,0,0"/>
                        <o:lock v:ext="edit" verticies="t"/>
                      </v:shape>
                      <v:shape id="Freeform 3227" o:spid="_x0000_s1029" style="position:absolute;left:46038;top:39687;width:101600;height:103187;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" path="m15,70v15,15,39,15,54,c84,55,84,30,69,15,54,,30,,15,15,,30,,55,15,70xm66,19v13,13,13,34,,47c53,80,31,80,18,66,5,53,5,32,18,19,31,6,53,6,66,19xm66,19v,,,,,e" filled="f" stroked="f">
                        <v:path arrowok="t" o:connecttype="custom" o:connectlocs="18143,84978;83457,84978;83457,18209;18143,18209;18143,84978;79829,23065;79829,80122;21771,80122;21771,23065;79829,23065;79829,23065;79829,23065" o:connectangles="0,0,0,0,0,0,0,0,0,0,0,0"/>
                        <o:lock v:ext="edit" verticies="t"/>
                      </v:shape>
                      <v:shape id="Freeform 3228" o:spid="_x0000_s1030" style="position:absolute;left:92075;top:39687;width:101600;height:103187;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" path="m15,70v15,15,40,15,55,c85,55,85,30,70,15,55,,30,,15,15,,30,,55,15,70xm66,19v13,13,13,34,,47c53,80,32,80,19,66,5,53,5,32,19,19,32,6,53,6,66,19xm66,19v,,,,,e" filled="f" stroked="f">
                        <v:path arrowok="t" o:connecttype="custom" o:connectlocs="17929,84978;83671,84978;83671,18209;17929,18209;17929,84978;78889,23065;78889,80122;22711,80122;22711,23065;78889,23065;78889,23065;78889,23065" o:connectangles="0,0,0,0,0,0,0,0,0,0,0,0"/>
                        <o:lock v:ext="edit" verticies="t"/>
                      </v:shape>
                      <v:shape id="Freeform 3229" o:spid="_x0000_s1031" style="position:absolute;left:66675;width:103188;height:101600;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" path="m16,69v15,15,39,15,54,c85,54,85,30,70,15,55,,30,,15,15,,30,,54,16,69xm67,18v13,13,13,35,,48c53,79,32,79,19,66,6,53,6,31,19,18,32,5,53,5,67,18xm67,18v,,,,,e" filled="f" stroked="f">
                        <v:path arrowok="t" o:connecttype="custom" o:connectlocs="19424,83457;84978,83457;84978,18143;18210,18143;19424,83457;81336,21771;81336,79829;23066,79829;23066,21771;81336,21771;81336,21771;81336,21771" o:connectangles="0,0,0,0,0,0,0,0,0,0,0,0"/>
                        <o:lock v:ext="edit" verticies="t"/>
                      </v:shape>
                    </v:group>
                  </w:pict>
                </mc:Fallback>
              </mc:AlternateContent>
            </w:r>
            <w:r>
              <w:rPr>
                <w:noProof/>
                <w:color w:val="F26A47"/>
                <w:lang w:eastAsia="fr-BE"/>
              </w:rPr>
              <mc:AlternateContent>
                <mc:Choice Requires="wpg">
                  <w:drawing>
                    <wp:anchor distT="0" distB="0" distL="114300" distR="114300" simplePos="0" relativeHeight="251650048" behindDoc="0" locked="0" layoutInCell="1" allowOverlap="1">
                      <wp:simplePos x="0" y="0"/>
                      <wp:positionH relativeFrom="column">
                        <wp:posOffset>-2313</wp:posOffset>
                      </wp:positionH>
                      <wp:positionV relativeFrom="paragraph">
                        <wp:posOffset>116576</wp:posOffset>
                      </wp:positionV>
                      <wp:extent cx="307975" cy="118745"/>
                      <wp:effectExtent l="0" t="0" r="0" b="0"/>
                      <wp:wrapNone/>
                      <wp:docPr id="3221" name="Group 924"/>
                      <wp:cNvGraphicFramePr/>
                      <a:graphic xmlns:a="http://schemas.openxmlformats.org/drawingml/2006/main">
                        <a:graphicData uri="http://schemas.microsoft.com/office/word/2010/wordprocessingGroup">
                          <wpg:wgp>
                            <wpg:cNvGrpSpPr/>
                            <wpg:grpSpPr>
                              <a:xfrm>
                                <a:off x="0" y="0"/>
                                <a:ext cx="307975" cy="118745"/>
                                <a:chOff x="0" y="0"/>
                                <a:chExt cx="307975" cy="119063"/>
                              </a:xfrm>
                              <a:solidFill>
                                <a:sysClr val="window" lastClr="FFFFFF"/>
                              </a:solidFill>
                            </wpg:grpSpPr>
                            <wps:wsp>
                              <wps:cNvPr id="3222" name="Freeform 3222"/>
                              <wps:cNvSpPr>
                                <a:spLocks noEditPoints="1"/>
                              </wps:cNvSpPr>
                              <wps:spPr bwMode="auto">
                                <a:xfrm>
                                  <a:off x="0" y="0"/>
                                  <a:ext cx="307975" cy="100013"/>
                                </a:xfrm>
                                <a:custGeom>
                                  <a:avLst/>
                                  <a:gdLst>
                                    <a:gd name="T0" fmla="*/ 4 w 231"/>
                                    <a:gd name="T1" fmla="*/ 23 h 74"/>
                                    <a:gd name="T2" fmla="*/ 110 w 231"/>
                                    <a:gd name="T3" fmla="*/ 37 h 74"/>
                                    <a:gd name="T4" fmla="*/ 111 w 231"/>
                                    <a:gd name="T5" fmla="*/ 37 h 74"/>
                                    <a:gd name="T6" fmla="*/ 111 w 231"/>
                                    <a:gd name="T7" fmla="*/ 37 h 74"/>
                                    <a:gd name="T8" fmla="*/ 213 w 231"/>
                                    <a:gd name="T9" fmla="*/ 24 h 74"/>
                                    <a:gd name="T10" fmla="*/ 213 w 231"/>
                                    <a:gd name="T11" fmla="*/ 40 h 74"/>
                                    <a:gd name="T12" fmla="*/ 203 w 231"/>
                                    <a:gd name="T13" fmla="*/ 60 h 74"/>
                                    <a:gd name="T14" fmla="*/ 217 w 231"/>
                                    <a:gd name="T15" fmla="*/ 74 h 74"/>
                                    <a:gd name="T16" fmla="*/ 231 w 231"/>
                                    <a:gd name="T17" fmla="*/ 60 h 74"/>
                                    <a:gd name="T18" fmla="*/ 222 w 231"/>
                                    <a:gd name="T19" fmla="*/ 40 h 74"/>
                                    <a:gd name="T20" fmla="*/ 222 w 231"/>
                                    <a:gd name="T21" fmla="*/ 19 h 74"/>
                                    <a:gd name="T22" fmla="*/ 222 w 231"/>
                                    <a:gd name="T23" fmla="*/ 17 h 74"/>
                                    <a:gd name="T24" fmla="*/ 221 w 231"/>
                                    <a:gd name="T25" fmla="*/ 17 h 74"/>
                                    <a:gd name="T26" fmla="*/ 221 w 231"/>
                                    <a:gd name="T27" fmla="*/ 16 h 74"/>
                                    <a:gd name="T28" fmla="*/ 220 w 231"/>
                                    <a:gd name="T29" fmla="*/ 15 h 74"/>
                                    <a:gd name="T30" fmla="*/ 219 w 231"/>
                                    <a:gd name="T31" fmla="*/ 15 h 74"/>
                                    <a:gd name="T32" fmla="*/ 219 w 231"/>
                                    <a:gd name="T33" fmla="*/ 14 h 74"/>
                                    <a:gd name="T34" fmla="*/ 218 w 231"/>
                                    <a:gd name="T35" fmla="*/ 14 h 74"/>
                                    <a:gd name="T36" fmla="*/ 111 w 231"/>
                                    <a:gd name="T37" fmla="*/ 0 h 74"/>
                                    <a:gd name="T38" fmla="*/ 110 w 231"/>
                                    <a:gd name="T39" fmla="*/ 0 h 74"/>
                                    <a:gd name="T40" fmla="*/ 4 w 231"/>
                                    <a:gd name="T41" fmla="*/ 14 h 74"/>
                                    <a:gd name="T42" fmla="*/ 0 w 231"/>
                                    <a:gd name="T43" fmla="*/ 19 h 74"/>
                                    <a:gd name="T44" fmla="*/ 4 w 231"/>
                                    <a:gd name="T45" fmla="*/ 23 h 74"/>
                                    <a:gd name="T46" fmla="*/ 222 w 231"/>
                                    <a:gd name="T47" fmla="*/ 60 h 74"/>
                                    <a:gd name="T48" fmla="*/ 217 w 231"/>
                                    <a:gd name="T49" fmla="*/ 65 h 74"/>
                                    <a:gd name="T50" fmla="*/ 213 w 231"/>
                                    <a:gd name="T51" fmla="*/ 60 h 74"/>
                                    <a:gd name="T52" fmla="*/ 217 w 231"/>
                                    <a:gd name="T53" fmla="*/ 49 h 74"/>
                                    <a:gd name="T54" fmla="*/ 222 w 231"/>
                                    <a:gd name="T55" fmla="*/ 60 h 74"/>
                                    <a:gd name="T56" fmla="*/ 111 w 231"/>
                                    <a:gd name="T57" fmla="*/ 10 h 74"/>
                                    <a:gd name="T58" fmla="*/ 181 w 231"/>
                                    <a:gd name="T59" fmla="*/ 19 h 74"/>
                                    <a:gd name="T60" fmla="*/ 111 w 231"/>
                                    <a:gd name="T61" fmla="*/ 28 h 74"/>
                                    <a:gd name="T62" fmla="*/ 40 w 231"/>
                                    <a:gd name="T63" fmla="*/ 19 h 74"/>
                                    <a:gd name="T64" fmla="*/ 111 w 231"/>
                                    <a:gd name="T65" fmla="*/ 10 h 74"/>
                                    <a:gd name="T66" fmla="*/ 111 w 231"/>
                                    <a:gd name="T67" fmla="*/ 10 h 74"/>
                                    <a:gd name="T68" fmla="*/ 111 w 231"/>
                                    <a:gd name="T69" fmla="*/ 1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1" h="74">
                                      <a:moveTo>
                                        <a:pt x="4" y="23"/>
                                      </a:moveTo>
                                      <a:cubicBezTo>
                                        <a:pt x="110" y="37"/>
                                        <a:pt x="110" y="37"/>
                                        <a:pt x="110" y="37"/>
                                      </a:cubicBezTo>
                                      <a:cubicBezTo>
                                        <a:pt x="110" y="37"/>
                                        <a:pt x="111" y="37"/>
                                        <a:pt x="111" y="37"/>
                                      </a:cubicBezTo>
                                      <a:cubicBezTo>
                                        <a:pt x="111" y="37"/>
                                        <a:pt x="111" y="37"/>
                                        <a:pt x="111" y="37"/>
                                      </a:cubicBezTo>
                                      <a:cubicBezTo>
                                        <a:pt x="213" y="24"/>
                                        <a:pt x="213" y="24"/>
                                        <a:pt x="213" y="24"/>
                                      </a:cubicBezTo>
                                      <a:cubicBezTo>
                                        <a:pt x="213" y="40"/>
                                        <a:pt x="213" y="40"/>
                                        <a:pt x="213" y="40"/>
                                      </a:cubicBezTo>
                                      <a:cubicBezTo>
                                        <a:pt x="210" y="43"/>
                                        <a:pt x="203" y="51"/>
                                        <a:pt x="203" y="60"/>
                                      </a:cubicBezTo>
                                      <a:cubicBezTo>
                                        <a:pt x="203" y="71"/>
                                        <a:pt x="212" y="74"/>
                                        <a:pt x="217" y="74"/>
                                      </a:cubicBezTo>
                                      <a:cubicBezTo>
                                        <a:pt x="223" y="74"/>
                                        <a:pt x="231" y="71"/>
                                        <a:pt x="231" y="60"/>
                                      </a:cubicBezTo>
                                      <a:cubicBezTo>
                                        <a:pt x="231" y="51"/>
                                        <a:pt x="225" y="43"/>
                                        <a:pt x="222" y="40"/>
                                      </a:cubicBezTo>
                                      <a:cubicBezTo>
                                        <a:pt x="222" y="19"/>
                                        <a:pt x="222" y="19"/>
                                        <a:pt x="222" y="19"/>
                                      </a:cubicBezTo>
                                      <a:cubicBezTo>
                                        <a:pt x="222" y="18"/>
                                        <a:pt x="222" y="18"/>
                                        <a:pt x="222" y="17"/>
                                      </a:cubicBezTo>
                                      <a:cubicBezTo>
                                        <a:pt x="221" y="17"/>
                                        <a:pt x="221" y="17"/>
                                        <a:pt x="221" y="17"/>
                                      </a:cubicBezTo>
                                      <a:cubicBezTo>
                                        <a:pt x="221" y="16"/>
                                        <a:pt x="221" y="16"/>
                                        <a:pt x="221" y="16"/>
                                      </a:cubicBezTo>
                                      <a:cubicBezTo>
                                        <a:pt x="220" y="15"/>
                                        <a:pt x="220" y="15"/>
                                        <a:pt x="220" y="15"/>
                                      </a:cubicBezTo>
                                      <a:cubicBezTo>
                                        <a:pt x="220" y="15"/>
                                        <a:pt x="220" y="15"/>
                                        <a:pt x="219" y="15"/>
                                      </a:cubicBezTo>
                                      <a:cubicBezTo>
                                        <a:pt x="219" y="15"/>
                                        <a:pt x="219" y="14"/>
                                        <a:pt x="219" y="14"/>
                                      </a:cubicBezTo>
                                      <a:cubicBezTo>
                                        <a:pt x="218" y="14"/>
                                        <a:pt x="218" y="14"/>
                                        <a:pt x="218" y="14"/>
                                      </a:cubicBezTo>
                                      <a:cubicBezTo>
                                        <a:pt x="111" y="0"/>
                                        <a:pt x="111" y="0"/>
                                        <a:pt x="111" y="0"/>
                                      </a:cubicBezTo>
                                      <a:cubicBezTo>
                                        <a:pt x="111" y="0"/>
                                        <a:pt x="111" y="0"/>
                                        <a:pt x="110" y="0"/>
                                      </a:cubicBezTo>
                                      <a:cubicBezTo>
                                        <a:pt x="4" y="14"/>
                                        <a:pt x="4" y="14"/>
                                        <a:pt x="4" y="14"/>
                                      </a:cubicBezTo>
                                      <a:cubicBezTo>
                                        <a:pt x="2" y="14"/>
                                        <a:pt x="0" y="16"/>
                                        <a:pt x="0" y="19"/>
                                      </a:cubicBezTo>
                                      <a:cubicBezTo>
                                        <a:pt x="0" y="21"/>
                                        <a:pt x="2" y="23"/>
                                        <a:pt x="4" y="23"/>
                                      </a:cubicBezTo>
                                      <a:close/>
                                      <a:moveTo>
                                        <a:pt x="222" y="60"/>
                                      </a:moveTo>
                                      <a:cubicBezTo>
                                        <a:pt x="222" y="64"/>
                                        <a:pt x="219" y="65"/>
                                        <a:pt x="217" y="65"/>
                                      </a:cubicBezTo>
                                      <a:cubicBezTo>
                                        <a:pt x="215" y="65"/>
                                        <a:pt x="213" y="64"/>
                                        <a:pt x="213" y="60"/>
                                      </a:cubicBezTo>
                                      <a:cubicBezTo>
                                        <a:pt x="213" y="57"/>
                                        <a:pt x="215" y="52"/>
                                        <a:pt x="217" y="49"/>
                                      </a:cubicBezTo>
                                      <a:cubicBezTo>
                                        <a:pt x="220" y="52"/>
                                        <a:pt x="222" y="57"/>
                                        <a:pt x="222" y="60"/>
                                      </a:cubicBezTo>
                                      <a:close/>
                                      <a:moveTo>
                                        <a:pt x="111" y="10"/>
                                      </a:moveTo>
                                      <a:cubicBezTo>
                                        <a:pt x="181" y="19"/>
                                        <a:pt x="181" y="19"/>
                                        <a:pt x="181" y="19"/>
                                      </a:cubicBezTo>
                                      <a:cubicBezTo>
                                        <a:pt x="111" y="28"/>
                                        <a:pt x="111" y="28"/>
                                        <a:pt x="111" y="28"/>
                                      </a:cubicBezTo>
                                      <a:cubicBezTo>
                                        <a:pt x="40" y="19"/>
                                        <a:pt x="40" y="19"/>
                                        <a:pt x="40" y="19"/>
                                      </a:cubicBezTo>
                                      <a:lnTo>
                                        <a:pt x="111" y="10"/>
                                      </a:lnTo>
                                      <a:close/>
                                      <a:moveTo>
                                        <a:pt x="111" y="10"/>
                                      </a:moveTo>
                                      <a:cubicBezTo>
                                        <a:pt x="111" y="10"/>
                                        <a:pt x="111" y="10"/>
                                        <a:pt x="111" y="1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23" name="Freeform 3223"/>
                              <wps:cNvSpPr>
                                <a:spLocks noEditPoints="1"/>
                              </wps:cNvSpPr>
                              <wps:spPr bwMode="auto">
                                <a:xfrm>
                                  <a:off x="49212" y="44450"/>
                                  <a:ext cx="198438" cy="74613"/>
                                </a:xfrm>
                                <a:custGeom>
                                  <a:avLst/>
                                  <a:gdLst>
                                    <a:gd name="T0" fmla="*/ 148 w 148"/>
                                    <a:gd name="T1" fmla="*/ 37 h 55"/>
                                    <a:gd name="T2" fmla="*/ 148 w 148"/>
                                    <a:gd name="T3" fmla="*/ 4 h 55"/>
                                    <a:gd name="T4" fmla="*/ 143 w 148"/>
                                    <a:gd name="T5" fmla="*/ 0 h 55"/>
                                    <a:gd name="T6" fmla="*/ 139 w 148"/>
                                    <a:gd name="T7" fmla="*/ 4 h 55"/>
                                    <a:gd name="T8" fmla="*/ 139 w 148"/>
                                    <a:gd name="T9" fmla="*/ 34 h 55"/>
                                    <a:gd name="T10" fmla="*/ 74 w 148"/>
                                    <a:gd name="T11" fmla="*/ 46 h 55"/>
                                    <a:gd name="T12" fmla="*/ 9 w 148"/>
                                    <a:gd name="T13" fmla="*/ 34 h 55"/>
                                    <a:gd name="T14" fmla="*/ 9 w 148"/>
                                    <a:gd name="T15" fmla="*/ 4 h 55"/>
                                    <a:gd name="T16" fmla="*/ 4 w 148"/>
                                    <a:gd name="T17" fmla="*/ 0 h 55"/>
                                    <a:gd name="T18" fmla="*/ 0 w 148"/>
                                    <a:gd name="T19" fmla="*/ 4 h 55"/>
                                    <a:gd name="T20" fmla="*/ 0 w 148"/>
                                    <a:gd name="T21" fmla="*/ 37 h 55"/>
                                    <a:gd name="T22" fmla="*/ 2 w 148"/>
                                    <a:gd name="T23" fmla="*/ 41 h 55"/>
                                    <a:gd name="T24" fmla="*/ 74 w 148"/>
                                    <a:gd name="T25" fmla="*/ 55 h 55"/>
                                    <a:gd name="T26" fmla="*/ 145 w 148"/>
                                    <a:gd name="T27" fmla="*/ 41 h 55"/>
                                    <a:gd name="T28" fmla="*/ 148 w 148"/>
                                    <a:gd name="T29" fmla="*/ 37 h 55"/>
                                    <a:gd name="T30" fmla="*/ 148 w 148"/>
                                    <a:gd name="T31" fmla="*/ 37 h 55"/>
                                    <a:gd name="T32" fmla="*/ 148 w 148"/>
                                    <a:gd name="T33" fmla="*/ 3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8" h="55">
                                      <a:moveTo>
                                        <a:pt x="148" y="37"/>
                                      </a:moveTo>
                                      <a:cubicBezTo>
                                        <a:pt x="148" y="4"/>
                                        <a:pt x="148" y="4"/>
                                        <a:pt x="148" y="4"/>
                                      </a:cubicBezTo>
                                      <a:cubicBezTo>
                                        <a:pt x="148" y="2"/>
                                        <a:pt x="146" y="0"/>
                                        <a:pt x="143" y="0"/>
                                      </a:cubicBezTo>
                                      <a:cubicBezTo>
                                        <a:pt x="141" y="0"/>
                                        <a:pt x="139" y="2"/>
                                        <a:pt x="139" y="4"/>
                                      </a:cubicBezTo>
                                      <a:cubicBezTo>
                                        <a:pt x="139" y="34"/>
                                        <a:pt x="139" y="34"/>
                                        <a:pt x="139" y="34"/>
                                      </a:cubicBezTo>
                                      <a:cubicBezTo>
                                        <a:pt x="131" y="37"/>
                                        <a:pt x="107" y="46"/>
                                        <a:pt x="74" y="46"/>
                                      </a:cubicBezTo>
                                      <a:cubicBezTo>
                                        <a:pt x="41" y="46"/>
                                        <a:pt x="17" y="37"/>
                                        <a:pt x="9" y="34"/>
                                      </a:cubicBezTo>
                                      <a:cubicBezTo>
                                        <a:pt x="9" y="4"/>
                                        <a:pt x="9" y="4"/>
                                        <a:pt x="9" y="4"/>
                                      </a:cubicBezTo>
                                      <a:cubicBezTo>
                                        <a:pt x="9" y="2"/>
                                        <a:pt x="7" y="0"/>
                                        <a:pt x="4" y="0"/>
                                      </a:cubicBezTo>
                                      <a:cubicBezTo>
                                        <a:pt x="2" y="0"/>
                                        <a:pt x="0" y="2"/>
                                        <a:pt x="0" y="4"/>
                                      </a:cubicBezTo>
                                      <a:cubicBezTo>
                                        <a:pt x="0" y="37"/>
                                        <a:pt x="0" y="37"/>
                                        <a:pt x="0" y="37"/>
                                      </a:cubicBezTo>
                                      <a:cubicBezTo>
                                        <a:pt x="0" y="38"/>
                                        <a:pt x="1" y="40"/>
                                        <a:pt x="2" y="41"/>
                                      </a:cubicBezTo>
                                      <a:cubicBezTo>
                                        <a:pt x="4" y="41"/>
                                        <a:pt x="32" y="55"/>
                                        <a:pt x="74" y="55"/>
                                      </a:cubicBezTo>
                                      <a:cubicBezTo>
                                        <a:pt x="116" y="55"/>
                                        <a:pt x="144" y="41"/>
                                        <a:pt x="145" y="41"/>
                                      </a:cubicBezTo>
                                      <a:cubicBezTo>
                                        <a:pt x="147" y="40"/>
                                        <a:pt x="148" y="38"/>
                                        <a:pt x="148" y="37"/>
                                      </a:cubicBezTo>
                                      <a:close/>
                                      <a:moveTo>
                                        <a:pt x="148" y="37"/>
                                      </a:moveTo>
                                      <a:cubicBezTo>
                                        <a:pt x="148" y="37"/>
                                        <a:pt x="148" y="37"/>
                                        <a:pt x="148" y="3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A503DD" id="Group 924" o:spid="_x0000_s1026" style="position:absolute;margin-left:-.2pt;margin-top:9.2pt;width:24.25pt;height:9.35pt;z-index:251650048;mso-width-relative:margin;mso-height-relative:margin" coordsize="307975,11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">
                      <v:shape id="Freeform 3222" o:spid="_x0000_s1027" style="position:absolute;width:307975;height:100013;visibility:visible;mso-wrap-style:square;v-text-anchor:top" coordsize="2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" path="m4,23c110,37,110,37,110,37v,,1,,1,c111,37,111,37,111,37,213,24,213,24,213,24v,16,,16,,16c210,43,203,51,203,60v,11,9,14,14,14c223,74,231,71,231,60v,-9,-6,-17,-9,-20c222,19,222,19,222,19v,-1,,-1,,-2c221,17,221,17,221,17v,-1,,-1,,-1c220,15,220,15,220,15v,,,,-1,c219,15,219,14,219,14v-1,,-1,,-1,c111,,111,,111,v,,,,-1,c4,14,4,14,4,14,2,14,,16,,19v,2,2,4,4,4xm222,60v,4,-3,5,-5,5c215,65,213,64,213,60v,-3,2,-8,4,-11c220,52,222,57,222,60xm111,10v70,9,70,9,70,9c111,28,111,28,111,28,40,19,40,19,40,19r71,-9xm111,10v,,,,,e" filled="f" stroked="f">
                        <v:path arrowok="t" o:connecttype="custom" o:connectlocs="5333,31085;146655,50007;147988,50007;147988,50007;283977,32437;283977,54061;270645,81092;289310,100013;307975,81092;295976,54061;295976,25679;295976,22976;294643,22976;294643,21624;293310,20273;291976,20273;291976,18921;290643,18921;147988,0;146655,0;5333,18921;0,25679;5333,31085;295976,81092;289310,87849;283977,81092;289310,66225;295976,81092;147988,13515;241314,25679;147988,37843;53329,25679;147988,13515;147988,13515;147988,13515" o:connectangles="0,0,0,0,0,0,0,0,0,0,0,0,0,0,0,0,0,0,0,0,0,0,0,0,0,0,0,0,0,0,0,0,0,0,0"/>
                        <o:lock v:ext="edit" verticies="t"/>
                      </v:shape>
                      <v:shape id="Freeform 3223" o:spid="_x0000_s1028" style="position:absolute;left:49212;top:44450;width:198438;height:74613;visibility:visible;mso-wrap-style:square;v-text-anchor:top" coordsize="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" path="m148,37v,-33,,-33,,-33c148,2,146,,143,v-2,,-4,2,-4,4c139,34,139,34,139,34v-8,3,-32,12,-65,12c41,46,17,37,9,34,9,4,9,4,9,4,9,2,7,,4,,2,,,2,,4,,37,,37,,37v,1,1,3,2,4c4,41,32,55,74,55v42,,70,-14,71,-14c147,40,148,38,148,37xm148,37v,,,,,e" filled="f" stroked="f">
                        <v:path arrowok="t" o:connecttype="custom" o:connectlocs="198438,50194;198438,5426;191734,0;186371,5426;186371,46124;99219,62404;12067,46124;12067,5426;5363,0;0,5426;0,50194;2682,55621;99219,74613;194416,55621;198438,50194;198438,50194;198438,50194" o:connectangles="0,0,0,0,0,0,0,0,0,0,0,0,0,0,0,0,0"/>
                        <o:lock v:ext="edit" verticies="t"/>
                      </v:shape>
                    </v:group>
                  </w:pict>
                </mc:Fallback>
              </mc:AlternateContent>
            </w:r>
          </w:p>
        </w:tc>
        <w:tc>
          <w:tcPr>
            <w:tcW w:w="711" w:type="dxa"/>
            <w:vMerge/>
            <w:shd w:val="clear" w:color="auto" w:fill="BFBFBF" w:themeFill="background1" w:themeFillShade="BF"/>
          </w:tcPr>
          <w:p w:rsidR="00315B87" w:rsidRDefault="00315B87">
            <w:pPr>
              <w:suppressAutoHyphens/>
              <w:rPr>
                <w:noProof/>
                <w:color w:val="F26A47"/>
              </w:rPr>
            </w:pPr>
          </w:p>
        </w:tc>
      </w:tr>
      <w:tr w:rsidR="00315B87">
        <w:trPr>
          <w:trHeight w:val="545"/>
        </w:trPr>
        <w:tc>
          <w:tcPr>
            <w:tcW w:w="1809" w:type="dxa"/>
            <w:tcBorders>
              <w:top w:val="single" w:sz="6" w:space="0" w:color="FFFFFF" w:themeColor="background1"/>
            </w:tcBorders>
            <w:shd w:val="clear" w:color="auto" w:fill="92D050"/>
          </w:tcPr>
          <w:p w:rsidR="00315B87" w:rsidRDefault="00C32692">
            <w:pPr>
              <w:suppressAutoHyphens/>
              <w:rPr>
                <w:noProof/>
                <w:color w:val="FFFFFF" w:themeColor="background1"/>
                <w:sz w:val="18"/>
                <w:szCs w:val="18"/>
                <w:lang w:val="en-GB"/>
              </w:rPr>
            </w:pPr>
            <w:r>
              <w:rPr>
                <w:b/>
                <w:bCs/>
                <w:noProof/>
                <w:color w:val="FFFFFF" w:themeColor="background1"/>
                <w:sz w:val="18"/>
                <w:szCs w:val="18"/>
                <w:lang w:val="en-GB"/>
              </w:rPr>
              <w:t>6.2 million farms</w:t>
            </w:r>
            <w:r>
              <w:rPr>
                <w:noProof/>
                <w:color w:val="FFFFFF" w:themeColor="background1"/>
                <w:sz w:val="18"/>
                <w:szCs w:val="18"/>
                <w:lang w:val="en-GB"/>
              </w:rPr>
              <w:t xml:space="preserve"> supported out of 10.5 million</w:t>
            </w:r>
          </w:p>
          <w:p w:rsidR="00315B87" w:rsidRDefault="00315B87">
            <w:pPr>
              <w:suppressAutoHyphens/>
              <w:rPr>
                <w:noProof/>
                <w:color w:val="FFFFFF" w:themeColor="background1"/>
                <w:sz w:val="18"/>
                <w:lang w:val="en-GB"/>
              </w:rPr>
            </w:pPr>
          </w:p>
          <w:p w:rsidR="00315B87" w:rsidRDefault="00315B87">
            <w:pPr>
              <w:suppressAutoHyphens/>
              <w:rPr>
                <w:i/>
                <w:noProof/>
                <w:color w:val="FFFFFF" w:themeColor="background1"/>
                <w:sz w:val="18"/>
                <w:szCs w:val="18"/>
                <w:lang w:val="en-GB"/>
              </w:rPr>
            </w:pPr>
          </w:p>
          <w:p w:rsidR="00315B87" w:rsidRDefault="00315B87">
            <w:pPr>
              <w:suppressAutoHyphens/>
              <w:rPr>
                <w:i/>
                <w:noProof/>
                <w:color w:val="FFFFFF" w:themeColor="background1"/>
                <w:sz w:val="18"/>
                <w:szCs w:val="18"/>
                <w:lang w:val="en-GB"/>
              </w:rPr>
            </w:pPr>
          </w:p>
        </w:tc>
        <w:tc>
          <w:tcPr>
            <w:tcW w:w="1843" w:type="dxa"/>
            <w:tcBorders>
              <w:top w:val="single" w:sz="6" w:space="0" w:color="FFFFFF" w:themeColor="background1"/>
            </w:tcBorders>
            <w:shd w:val="clear" w:color="auto" w:fill="5B9BD5" w:themeFill="accent1"/>
          </w:tcPr>
          <w:p w:rsidR="00315B87" w:rsidRDefault="00C32692">
            <w:pPr>
              <w:suppressAutoHyphens/>
              <w:rPr>
                <w:noProof/>
                <w:color w:val="FFFFFF" w:themeColor="background1"/>
                <w:sz w:val="18"/>
                <w:lang w:val="en-GB" w:eastAsia="en-GB"/>
              </w:rPr>
            </w:pPr>
            <w:r>
              <w:rPr>
                <w:noProof/>
                <w:color w:val="FFFFFF" w:themeColor="background1"/>
                <w:sz w:val="18"/>
                <w:lang w:val="en-GB" w:eastAsia="en-GB"/>
              </w:rPr>
              <w:t>Regions and cities</w:t>
            </w:r>
          </w:p>
          <w:p w:rsidR="00315B87" w:rsidRDefault="00315B87">
            <w:pPr>
              <w:suppressAutoHyphens/>
              <w:rPr>
                <w:noProof/>
                <w:color w:val="FFFFFF" w:themeColor="background1"/>
                <w:sz w:val="18"/>
                <w:lang w:val="en-GB" w:eastAsia="en-GB"/>
              </w:rPr>
            </w:pPr>
          </w:p>
          <w:p w:rsidR="00315B87" w:rsidRDefault="00C32692">
            <w:pPr>
              <w:suppressAutoHyphens/>
              <w:rPr>
                <w:noProof/>
                <w:color w:val="FFFFFF" w:themeColor="background1"/>
                <w:sz w:val="18"/>
                <w:lang w:val="en-GB" w:eastAsia="en-GB"/>
              </w:rPr>
            </w:pPr>
            <w:r>
              <w:rPr>
                <w:noProof/>
                <w:color w:val="FFFFFF" w:themeColor="background1"/>
                <w:sz w:val="18"/>
                <w:lang w:val="en-GB" w:eastAsia="en-GB"/>
              </w:rPr>
              <w:t xml:space="preserve">Almost </w:t>
            </w:r>
            <w:r>
              <w:rPr>
                <w:b/>
                <w:noProof/>
                <w:color w:val="FFFFFF" w:themeColor="background1"/>
                <w:sz w:val="18"/>
                <w:lang w:val="en-GB" w:eastAsia="en-GB"/>
              </w:rPr>
              <w:t>500 000</w:t>
            </w:r>
            <w:r>
              <w:rPr>
                <w:noProof/>
                <w:color w:val="FFFFFF" w:themeColor="background1"/>
                <w:sz w:val="18"/>
                <w:lang w:val="en-GB" w:eastAsia="en-GB"/>
              </w:rPr>
              <w:t xml:space="preserve"> </w:t>
            </w:r>
            <w:r>
              <w:rPr>
                <w:b/>
                <w:noProof/>
                <w:color w:val="FFFFFF" w:themeColor="background1"/>
                <w:sz w:val="18"/>
                <w:lang w:val="en-GB" w:eastAsia="en-GB"/>
              </w:rPr>
              <w:t>enterprises</w:t>
            </w:r>
            <w:r>
              <w:rPr>
                <w:noProof/>
                <w:color w:val="FFFFFF" w:themeColor="background1"/>
                <w:sz w:val="18"/>
                <w:lang w:val="en-GB" w:eastAsia="en-GB"/>
              </w:rPr>
              <w:t xml:space="preserve"> supported since 2014</w:t>
            </w:r>
          </w:p>
          <w:p w:rsidR="00315B87" w:rsidRDefault="00315B87">
            <w:pPr>
              <w:suppressAutoHyphens/>
              <w:rPr>
                <w:i/>
                <w:noProof/>
                <w:color w:val="FFFFFF" w:themeColor="background1"/>
                <w:sz w:val="18"/>
                <w:lang w:val="en-GB" w:eastAsia="en-GB"/>
              </w:rPr>
            </w:pPr>
          </w:p>
        </w:tc>
        <w:tc>
          <w:tcPr>
            <w:tcW w:w="1843" w:type="dxa"/>
            <w:tcBorders>
              <w:top w:val="single" w:sz="6" w:space="0" w:color="FFFFFF" w:themeColor="background1"/>
            </w:tcBorders>
            <w:shd w:val="clear" w:color="auto" w:fill="A5A5A5" w:themeFill="accent3"/>
          </w:tcPr>
          <w:p w:rsidR="00315B87" w:rsidRDefault="00C32692">
            <w:pPr>
              <w:suppressAutoHyphens/>
              <w:rPr>
                <w:noProof/>
                <w:color w:val="FFFFFF" w:themeColor="background1"/>
                <w:sz w:val="18"/>
                <w:szCs w:val="18"/>
                <w:lang w:val="en-GB" w:eastAsia="en-GB"/>
              </w:rPr>
            </w:pPr>
            <w:r>
              <w:rPr>
                <w:noProof/>
                <w:color w:val="FFFFFF" w:themeColor="background1"/>
                <w:sz w:val="18"/>
                <w:szCs w:val="18"/>
                <w:lang w:val="en-GB" w:eastAsia="en-GB"/>
              </w:rPr>
              <w:t xml:space="preserve">More than </w:t>
            </w:r>
            <w:r>
              <w:rPr>
                <w:b/>
                <w:noProof/>
                <w:color w:val="FFFFFF" w:themeColor="background1"/>
                <w:sz w:val="18"/>
                <w:szCs w:val="18"/>
                <w:lang w:val="en-GB" w:eastAsia="en-GB"/>
              </w:rPr>
              <w:t>12 000 small and medium-sized enterprises</w:t>
            </w:r>
            <w:r>
              <w:rPr>
                <w:noProof/>
                <w:color w:val="FFFFFF" w:themeColor="background1"/>
                <w:sz w:val="18"/>
                <w:szCs w:val="18"/>
                <w:lang w:val="en-GB" w:eastAsia="en-GB"/>
              </w:rPr>
              <w:t xml:space="preserve"> supported,</w:t>
            </w:r>
          </w:p>
          <w:p w:rsidR="00315B87" w:rsidRDefault="00C32692">
            <w:pPr>
              <w:suppressAutoHyphens/>
              <w:rPr>
                <w:noProof/>
                <w:color w:val="FFFFFF" w:themeColor="background1"/>
                <w:sz w:val="18"/>
                <w:szCs w:val="18"/>
                <w:lang w:val="en-GB" w:eastAsia="en-GB"/>
              </w:rPr>
            </w:pPr>
            <w:r>
              <w:rPr>
                <w:noProof/>
                <w:color w:val="FFFFFF" w:themeColor="background1"/>
                <w:sz w:val="18"/>
                <w:szCs w:val="18"/>
                <w:lang w:val="en-GB" w:eastAsia="en-GB"/>
              </w:rPr>
              <w:t>as well as researchers, laboratories and large organisations</w:t>
            </w:r>
          </w:p>
        </w:tc>
        <w:tc>
          <w:tcPr>
            <w:tcW w:w="1701" w:type="dxa"/>
            <w:tcBorders>
              <w:top w:val="single" w:sz="6" w:space="0" w:color="FFFFFF" w:themeColor="background1"/>
            </w:tcBorders>
            <w:shd w:val="clear" w:color="auto" w:fill="FFC000" w:themeFill="accent4"/>
          </w:tcPr>
          <w:p w:rsidR="00315B87" w:rsidRDefault="00C32692">
            <w:pPr>
              <w:suppressAutoHyphens/>
              <w:rPr>
                <w:noProof/>
                <w:color w:val="FFFFFF" w:themeColor="background1"/>
                <w:sz w:val="18"/>
                <w:szCs w:val="18"/>
                <w:lang w:val="en-GB" w:eastAsia="en-GB"/>
              </w:rPr>
            </w:pPr>
            <w:r>
              <w:rPr>
                <w:b/>
                <w:noProof/>
                <w:color w:val="FFFFFF" w:themeColor="background1"/>
                <w:sz w:val="18"/>
                <w:szCs w:val="18"/>
                <w:lang w:val="en-GB" w:eastAsia="en-GB"/>
              </w:rPr>
              <w:t>90 non-EU countries</w:t>
            </w:r>
            <w:r>
              <w:rPr>
                <w:noProof/>
                <w:color w:val="FFFFFF" w:themeColor="background1"/>
                <w:sz w:val="18"/>
                <w:szCs w:val="18"/>
                <w:lang w:val="en-GB" w:eastAsia="en-GB"/>
              </w:rPr>
              <w:t xml:space="preserve"> and territories receiving direct support, as well as numerous international and non-governmental organisations</w:t>
            </w:r>
          </w:p>
        </w:tc>
        <w:tc>
          <w:tcPr>
            <w:tcW w:w="1699" w:type="dxa"/>
            <w:tcBorders>
              <w:top w:val="single" w:sz="6" w:space="0" w:color="FFFFFF" w:themeColor="background1"/>
            </w:tcBorders>
            <w:shd w:val="clear" w:color="auto" w:fill="70AD47" w:themeFill="accent6"/>
          </w:tcPr>
          <w:p w:rsidR="00315B87" w:rsidRDefault="00C32692">
            <w:pPr>
              <w:suppressAutoHyphens/>
              <w:rPr>
                <w:noProof/>
                <w:color w:val="FFFFFF" w:themeColor="background1"/>
                <w:sz w:val="18"/>
                <w:lang w:val="en-GB" w:eastAsia="en-GB"/>
              </w:rPr>
            </w:pPr>
            <w:r>
              <w:rPr>
                <w:noProof/>
                <w:color w:val="FFFFFF" w:themeColor="background1"/>
                <w:sz w:val="18"/>
                <w:lang w:val="en-GB" w:eastAsia="en-GB"/>
              </w:rPr>
              <w:t xml:space="preserve">Erasmus+: almost </w:t>
            </w:r>
            <w:r>
              <w:rPr>
                <w:b/>
                <w:noProof/>
                <w:color w:val="FFFFFF" w:themeColor="background1"/>
                <w:sz w:val="18"/>
                <w:lang w:val="en-GB" w:eastAsia="en-GB"/>
              </w:rPr>
              <w:t>360</w:t>
            </w:r>
            <w:r>
              <w:rPr>
                <w:rFonts w:cs="Calibri"/>
                <w:b/>
                <w:noProof/>
                <w:color w:val="FFFFFF" w:themeColor="background1"/>
                <w:sz w:val="18"/>
                <w:lang w:val="en-GB" w:eastAsia="en-GB"/>
              </w:rPr>
              <w:t> </w:t>
            </w:r>
            <w:r>
              <w:rPr>
                <w:b/>
                <w:noProof/>
                <w:color w:val="FFFFFF" w:themeColor="background1"/>
                <w:sz w:val="18"/>
                <w:lang w:val="en-GB" w:eastAsia="en-GB"/>
              </w:rPr>
              <w:t>000 students</w:t>
            </w:r>
            <w:r>
              <w:rPr>
                <w:noProof/>
                <w:color w:val="FFFFFF" w:themeColor="background1"/>
                <w:sz w:val="18"/>
                <w:lang w:val="en-GB" w:eastAsia="en-GB"/>
              </w:rPr>
              <w:t xml:space="preserve"> supported in 2019</w:t>
            </w:r>
          </w:p>
          <w:p w:rsidR="00315B87" w:rsidRDefault="00C32692">
            <w:pPr>
              <w:suppressAutoHyphens/>
              <w:rPr>
                <w:noProof/>
                <w:color w:val="FFFFFF" w:themeColor="background1"/>
                <w:sz w:val="18"/>
                <w:lang w:val="en-GB" w:eastAsia="en-GB"/>
              </w:rPr>
            </w:pPr>
            <w:r>
              <w:rPr>
                <w:noProof/>
                <w:color w:val="FFFFFF" w:themeColor="background1"/>
                <w:sz w:val="18"/>
                <w:lang w:val="en-GB" w:eastAsia="en-GB"/>
              </w:rPr>
              <w:t xml:space="preserve">(more than </w:t>
            </w:r>
            <w:r>
              <w:rPr>
                <w:b/>
                <w:noProof/>
                <w:color w:val="FFFFFF" w:themeColor="background1"/>
                <w:sz w:val="18"/>
                <w:lang w:val="en-GB" w:eastAsia="en-GB"/>
              </w:rPr>
              <w:t>4.6 million participants</w:t>
            </w:r>
            <w:r>
              <w:rPr>
                <w:noProof/>
                <w:color w:val="FFFFFF" w:themeColor="background1"/>
                <w:sz w:val="18"/>
                <w:lang w:val="en-GB" w:eastAsia="en-GB"/>
              </w:rPr>
              <w:t xml:space="preserve"> since 2014)</w:t>
            </w:r>
          </w:p>
        </w:tc>
        <w:tc>
          <w:tcPr>
            <w:tcW w:w="711" w:type="dxa"/>
            <w:vMerge/>
            <w:shd w:val="clear" w:color="auto" w:fill="BFBFBF" w:themeFill="background1" w:themeFillShade="BF"/>
          </w:tcPr>
          <w:p w:rsidR="00315B87" w:rsidRDefault="00315B87">
            <w:pPr>
              <w:suppressAutoHyphens/>
              <w:rPr>
                <w:noProof/>
                <w:color w:val="FFFFFF" w:themeColor="background1"/>
                <w:sz w:val="18"/>
                <w:lang w:val="en-GB"/>
              </w:rPr>
            </w:pPr>
          </w:p>
        </w:tc>
      </w:tr>
    </w:tbl>
    <w:p w:rsidR="00315B87" w:rsidRDefault="00C32692">
      <w:pPr>
        <w:pStyle w:val="AMPRCharttitle"/>
        <w:rPr>
          <w:noProof/>
        </w:rPr>
      </w:pPr>
      <w:r>
        <w:rPr>
          <w:noProof/>
        </w:rPr>
        <w:t>Relevant expenditure of the EU budget implemented by the Commission in 2019, per policy area, in % and billion EUR</w:t>
      </w:r>
    </w:p>
    <w:p w:rsidR="00315B87" w:rsidRDefault="00C32692">
      <w:pPr>
        <w:pStyle w:val="AMPRSource-Table-Chart-Photo-Caption"/>
        <w:rPr>
          <w:noProof/>
        </w:rPr>
      </w:pPr>
      <w:r>
        <w:rPr>
          <w:i/>
          <w:noProof/>
        </w:rPr>
        <w:t xml:space="preserve">Source: </w:t>
      </w:r>
      <w:r>
        <w:rPr>
          <w:noProof/>
        </w:rPr>
        <w:t>European Commission annual activity reports.</w:t>
      </w:r>
    </w:p>
    <w:p w:rsidR="00315B87" w:rsidRDefault="00C32692">
      <w:pPr>
        <w:pStyle w:val="AMPRBodyText"/>
        <w:rPr>
          <w:noProof/>
        </w:rPr>
      </w:pPr>
      <w:r>
        <w:rPr>
          <w:noProof/>
        </w:rPr>
        <w:t xml:space="preserve">More than two thirds of the budget is implemented under shared management. Member States or bodies assigned by them distribute funds and manage expenditure in accordance with EU and national law (e.g. in the case of expenditure on cohesion and natural resources). The rest of the budget is spent either directly by </w:t>
      </w:r>
      <w:r>
        <w:rPr>
          <w:noProof/>
        </w:rPr>
        <w:lastRenderedPageBreak/>
        <w:t>the Commission or indirectly in cooperation with entrusted entities. The table below describes the three management modes.</w:t>
      </w:r>
    </w:p>
    <w:tbl>
      <w:tblPr>
        <w:tblStyle w:val="AMPRTABLEA-Template"/>
        <w:tblW w:w="0" w:type="auto"/>
        <w:tblLayout w:type="fixed"/>
        <w:tblLook w:val="04A0" w:firstRow="1" w:lastRow="0" w:firstColumn="1" w:lastColumn="0" w:noHBand="0" w:noVBand="1"/>
      </w:tblPr>
      <w:tblGrid>
        <w:gridCol w:w="1553"/>
        <w:gridCol w:w="1683"/>
        <w:gridCol w:w="1302"/>
        <w:gridCol w:w="1983"/>
        <w:gridCol w:w="2659"/>
      </w:tblGrid>
      <w:tr w:rsidR="00315B87" w:rsidTr="00315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rsidR="00315B87" w:rsidRDefault="00C32692">
            <w:pPr>
              <w:pStyle w:val="AMPRTABLEA-HEADERText-WHITE"/>
              <w:spacing w:before="144" w:after="144"/>
              <w:rPr>
                <w:b w:val="0"/>
                <w:noProof/>
                <w:szCs w:val="20"/>
              </w:rPr>
            </w:pPr>
            <w:r>
              <w:rPr>
                <w:noProof/>
                <w:sz w:val="20"/>
                <w:szCs w:val="20"/>
              </w:rPr>
              <w:t>Management mode</w:t>
            </w:r>
          </w:p>
        </w:tc>
        <w:tc>
          <w:tcPr>
            <w:tcW w:w="1683" w:type="dxa"/>
          </w:tcPr>
          <w:p w:rsidR="00315B87" w:rsidRDefault="00C32692">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Description</w:t>
            </w:r>
          </w:p>
        </w:tc>
        <w:tc>
          <w:tcPr>
            <w:tcW w:w="1302" w:type="dxa"/>
          </w:tcPr>
          <w:p w:rsidR="00315B87" w:rsidRDefault="00C32692">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 of 2019 relevant expenditure</w:t>
            </w:r>
          </w:p>
        </w:tc>
        <w:tc>
          <w:tcPr>
            <w:tcW w:w="1983" w:type="dxa"/>
          </w:tcPr>
          <w:p w:rsidR="00315B87" w:rsidRDefault="00C32692">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rPr>
            </w:pPr>
            <w:r>
              <w:rPr>
                <w:noProof/>
                <w:sz w:val="20"/>
                <w:szCs w:val="20"/>
              </w:rPr>
              <w:t>Examples of programmes/ spending</w:t>
            </w:r>
          </w:p>
        </w:tc>
        <w:tc>
          <w:tcPr>
            <w:tcW w:w="2659" w:type="dxa"/>
          </w:tcPr>
          <w:p w:rsidR="00315B87" w:rsidRDefault="00C32692">
            <w:pPr>
              <w:pStyle w:val="AMPRTABLEA-HEADERText-WHITE"/>
              <w:spacing w:before="144" w:after="144"/>
              <w:cnfStyle w:val="100000000000" w:firstRow="1" w:lastRow="0" w:firstColumn="0" w:lastColumn="0" w:oddVBand="0" w:evenVBand="0" w:oddHBand="0" w:evenHBand="0" w:firstRowFirstColumn="0" w:firstRowLastColumn="0" w:lastRowFirstColumn="0" w:lastRowLastColumn="0"/>
              <w:rPr>
                <w:b w:val="0"/>
                <w:noProof/>
                <w:szCs w:val="20"/>
                <w:lang w:val="en-GB"/>
              </w:rPr>
            </w:pPr>
            <w:r>
              <w:rPr>
                <w:noProof/>
                <w:sz w:val="20"/>
                <w:szCs w:val="20"/>
                <w:lang w:val="en-GB"/>
              </w:rPr>
              <w:t>Other actors involved, in cooperation with the Commission</w:t>
            </w:r>
          </w:p>
        </w:tc>
      </w:tr>
      <w:tr w:rsidR="00315B87" w:rsidTr="00315B87">
        <w:tc>
          <w:tcPr>
            <w:cnfStyle w:val="001000000000" w:firstRow="0" w:lastRow="0" w:firstColumn="1" w:lastColumn="0" w:oddVBand="0" w:evenVBand="0" w:oddHBand="0" w:evenHBand="0" w:firstRowFirstColumn="0" w:firstRowLastColumn="0" w:lastRowFirstColumn="0" w:lastRowLastColumn="0"/>
            <w:tcW w:w="1553" w:type="dxa"/>
          </w:tcPr>
          <w:p w:rsidR="00315B87" w:rsidRDefault="00C32692">
            <w:pPr>
              <w:pStyle w:val="AMPRTABLEA-TextLEFTallignedindented-BLACK"/>
              <w:rPr>
                <w:rStyle w:val="AMPRcharBoldBlue"/>
                <w:noProof/>
                <w:szCs w:val="20"/>
              </w:rPr>
            </w:pPr>
            <w:r>
              <w:rPr>
                <w:rStyle w:val="AMPRcharBoldBlue"/>
                <w:noProof/>
                <w:sz w:val="20"/>
                <w:szCs w:val="20"/>
              </w:rPr>
              <w:t>Direct management</w:t>
            </w:r>
          </w:p>
        </w:tc>
        <w:tc>
          <w:tcPr>
            <w:tcW w:w="1683"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Funds are implemented by the Commission</w:t>
            </w:r>
          </w:p>
        </w:tc>
        <w:tc>
          <w:tcPr>
            <w:tcW w:w="1302" w:type="dxa"/>
          </w:tcPr>
          <w:p w:rsidR="00315B87" w:rsidRDefault="00C32692">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22%</w:t>
            </w:r>
          </w:p>
        </w:tc>
        <w:tc>
          <w:tcPr>
            <w:tcW w:w="1983"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Horizon 2020;</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Connecting Europe Facility;</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administrative expenditure</w:t>
            </w:r>
          </w:p>
        </w:tc>
        <w:tc>
          <w:tcPr>
            <w:tcW w:w="2659"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i/>
                <w:noProof/>
                <w:szCs w:val="20"/>
                <w:lang w:val="en-GB"/>
              </w:rPr>
            </w:pPr>
            <w:r>
              <w:rPr>
                <w:i/>
                <w:noProof/>
                <w:sz w:val="20"/>
                <w:szCs w:val="20"/>
                <w:lang w:val="en-GB"/>
              </w:rPr>
              <w:t>n/a (funding goes directly to the beneficiaries)</w:t>
            </w:r>
          </w:p>
        </w:tc>
      </w:tr>
      <w:tr w:rsidR="00315B87" w:rsidTr="00315B87">
        <w:tc>
          <w:tcPr>
            <w:cnfStyle w:val="001000000000" w:firstRow="0" w:lastRow="0" w:firstColumn="1" w:lastColumn="0" w:oddVBand="0" w:evenVBand="0" w:oddHBand="0" w:evenHBand="0" w:firstRowFirstColumn="0" w:firstRowLastColumn="0" w:lastRowFirstColumn="0" w:lastRowLastColumn="0"/>
            <w:tcW w:w="1553" w:type="dxa"/>
          </w:tcPr>
          <w:p w:rsidR="00315B87" w:rsidRDefault="00C32692">
            <w:pPr>
              <w:pStyle w:val="AMPRTABLEA-TextLEFTallignedindented-BLACK"/>
              <w:rPr>
                <w:rStyle w:val="AMPRcharBoldBlue"/>
                <w:noProof/>
                <w:szCs w:val="20"/>
              </w:rPr>
            </w:pPr>
            <w:r>
              <w:rPr>
                <w:rStyle w:val="AMPRcharBoldBlue"/>
                <w:noProof/>
                <w:sz w:val="20"/>
                <w:szCs w:val="20"/>
              </w:rPr>
              <w:t>Indirect management</w:t>
            </w:r>
          </w:p>
        </w:tc>
        <w:tc>
          <w:tcPr>
            <w:tcW w:w="1683"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Funds are implemented in cooperation with external entities</w:t>
            </w:r>
          </w:p>
        </w:tc>
        <w:tc>
          <w:tcPr>
            <w:tcW w:w="1302" w:type="dxa"/>
          </w:tcPr>
          <w:p w:rsidR="00315B87" w:rsidRDefault="00C32692">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7%</w:t>
            </w:r>
          </w:p>
        </w:tc>
        <w:tc>
          <w:tcPr>
            <w:tcW w:w="1983"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 xml:space="preserve">Erasmus+; </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 xml:space="preserve">part of development and humanitarian aid; pre-accession assistance </w:t>
            </w:r>
          </w:p>
        </w:tc>
        <w:tc>
          <w:tcPr>
            <w:tcW w:w="2659" w:type="dxa"/>
          </w:tcPr>
          <w:p w:rsidR="00315B87" w:rsidRDefault="00C32692">
            <w:pPr>
              <w:pStyle w:val="AMPRTABLEA-TextLEFTallignedindented-BLACK"/>
              <w:spacing w:after="0"/>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 xml:space="preserve">Agencies, </w:t>
            </w:r>
          </w:p>
          <w:p w:rsidR="00315B87" w:rsidRDefault="00C32692">
            <w:pPr>
              <w:pStyle w:val="AMPRTABLEA-TextLEFTallignedindented-BLACK"/>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en-GB"/>
              </w:rPr>
            </w:pPr>
            <w:r>
              <w:rPr>
                <w:noProof/>
                <w:sz w:val="20"/>
                <w:szCs w:val="20"/>
                <w:lang w:val="en-GB"/>
              </w:rPr>
              <w:t>joint undertakings,</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Cs w:val="20"/>
                <w:lang w:val="en-GB"/>
              </w:rPr>
              <w:t xml:space="preserve">United Nations, World Bank, European Investment Bank, European Bank for Reconstruction and Development, non-EU </w:t>
            </w:r>
            <w:r>
              <w:rPr>
                <w:noProof/>
                <w:sz w:val="20"/>
                <w:szCs w:val="20"/>
                <w:lang w:val="en-GB"/>
              </w:rPr>
              <w:t>countries</w:t>
            </w:r>
          </w:p>
        </w:tc>
      </w:tr>
      <w:tr w:rsidR="00315B87" w:rsidTr="00315B87">
        <w:tc>
          <w:tcPr>
            <w:cnfStyle w:val="001000000000" w:firstRow="0" w:lastRow="0" w:firstColumn="1" w:lastColumn="0" w:oddVBand="0" w:evenVBand="0" w:oddHBand="0" w:evenHBand="0" w:firstRowFirstColumn="0" w:firstRowLastColumn="0" w:lastRowFirstColumn="0" w:lastRowLastColumn="0"/>
            <w:tcW w:w="1553" w:type="dxa"/>
          </w:tcPr>
          <w:p w:rsidR="00315B87" w:rsidRDefault="00C32692">
            <w:pPr>
              <w:pStyle w:val="AMPRTABLEA-TextLEFTallignedindented-BLACK"/>
              <w:rPr>
                <w:rStyle w:val="AMPRcharBoldBlue"/>
                <w:noProof/>
                <w:szCs w:val="20"/>
              </w:rPr>
            </w:pPr>
            <w:r>
              <w:rPr>
                <w:rStyle w:val="AMPRcharBoldBlue"/>
                <w:noProof/>
                <w:sz w:val="20"/>
                <w:szCs w:val="20"/>
              </w:rPr>
              <w:t>Shared management</w:t>
            </w:r>
          </w:p>
        </w:tc>
        <w:tc>
          <w:tcPr>
            <w:tcW w:w="1683"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Funds are implemented in cooperation with Member States’ national and/or regional authorities, which have a first level of responsibility</w:t>
            </w:r>
          </w:p>
        </w:tc>
        <w:tc>
          <w:tcPr>
            <w:tcW w:w="1302" w:type="dxa"/>
          </w:tcPr>
          <w:p w:rsidR="00315B87" w:rsidRDefault="00C32692">
            <w:pPr>
              <w:pStyle w:val="AMPRTABLEA-TextLEFTallignedindented-BLACK"/>
              <w:jc w:val="center"/>
              <w:cnfStyle w:val="000000000000" w:firstRow="0" w:lastRow="0" w:firstColumn="0" w:lastColumn="0" w:oddVBand="0" w:evenVBand="0" w:oddHBand="0" w:evenHBand="0" w:firstRowFirstColumn="0" w:firstRowLastColumn="0" w:lastRowFirstColumn="0" w:lastRowLastColumn="0"/>
              <w:rPr>
                <w:i/>
                <w:iCs/>
                <w:noProof/>
                <w:szCs w:val="20"/>
              </w:rPr>
            </w:pPr>
            <w:r>
              <w:rPr>
                <w:i/>
                <w:iCs/>
                <w:noProof/>
                <w:sz w:val="20"/>
                <w:szCs w:val="20"/>
              </w:rPr>
              <w:t>71%</w:t>
            </w:r>
          </w:p>
        </w:tc>
        <w:tc>
          <w:tcPr>
            <w:tcW w:w="1983"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Agricultural funds; Maritime and Fisheries Fund;</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European Regional Development Fund; European Social Fund;</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rPr>
            </w:pPr>
            <w:r>
              <w:rPr>
                <w:noProof/>
                <w:sz w:val="20"/>
                <w:szCs w:val="20"/>
              </w:rPr>
              <w:t>migration and security funds</w:t>
            </w:r>
          </w:p>
        </w:tc>
        <w:tc>
          <w:tcPr>
            <w:tcW w:w="2659" w:type="dxa"/>
          </w:tcPr>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 xml:space="preserve">Paying agencies for common agricultural policy: 76; </w:t>
            </w:r>
          </w:p>
          <w:p w:rsidR="00315B87" w:rsidRDefault="00C32692">
            <w:pPr>
              <w:pStyle w:val="AMPRTABLEA-TextLEFTallignedindented-BLACK"/>
              <w:cnfStyle w:val="000000000000" w:firstRow="0" w:lastRow="0" w:firstColumn="0" w:lastColumn="0" w:oddVBand="0" w:evenVBand="0" w:oddHBand="0" w:evenHBand="0" w:firstRowFirstColumn="0" w:firstRowLastColumn="0" w:lastRowFirstColumn="0" w:lastRowLastColumn="0"/>
              <w:rPr>
                <w:noProof/>
                <w:szCs w:val="20"/>
                <w:lang w:val="en-GB"/>
              </w:rPr>
            </w:pPr>
            <w:r>
              <w:rPr>
                <w:noProof/>
                <w:sz w:val="20"/>
                <w:szCs w:val="20"/>
                <w:lang w:val="en-GB"/>
              </w:rPr>
              <w:t>m</w:t>
            </w:r>
            <w:r>
              <w:rPr>
                <w:noProof/>
                <w:szCs w:val="20"/>
                <w:lang w:val="en-GB"/>
              </w:rPr>
              <w:t xml:space="preserve">anaging authorities for cohesion funds: 492, </w:t>
            </w:r>
            <w:r>
              <w:rPr>
                <w:noProof/>
                <w:sz w:val="20"/>
                <w:szCs w:val="20"/>
                <w:lang w:val="en-GB"/>
              </w:rPr>
              <w:t>in all Member States</w:t>
            </w:r>
          </w:p>
        </w:tc>
      </w:tr>
    </w:tbl>
    <w:p w:rsidR="00315B87" w:rsidRDefault="00315B87">
      <w:pPr>
        <w:pStyle w:val="BodyText"/>
        <w:rPr>
          <w:noProof/>
        </w:rPr>
      </w:pPr>
    </w:p>
    <w:p w:rsidR="00315B87" w:rsidRDefault="00C32692">
      <w:pPr>
        <w:pStyle w:val="AMPRBodyText"/>
        <w:rPr>
          <w:noProof/>
        </w:rPr>
      </w:pPr>
      <w:r>
        <w:rPr>
          <w:noProof/>
        </w:rPr>
        <w:t>Given that the EU budget is implemented in many different ways, involving different actors, the associated risks vary from one programme and management mode to another (see Annex</w:t>
      </w:r>
      <w:r>
        <w:rPr>
          <w:rFonts w:ascii="Calibri" w:hAnsi="Calibri" w:cs="Calibri"/>
          <w:noProof/>
        </w:rPr>
        <w:t> </w:t>
      </w:r>
      <w:r>
        <w:rPr>
          <w:noProof/>
        </w:rPr>
        <w:t>3). This is taken into account when developing the control strategies (see Section</w:t>
      </w:r>
      <w:r>
        <w:rPr>
          <w:rFonts w:ascii="Calibri" w:hAnsi="Calibri" w:cs="Calibri"/>
          <w:noProof/>
        </w:rPr>
        <w:t> </w:t>
      </w:r>
      <w:r>
        <w:rPr>
          <w:noProof/>
        </w:rPr>
        <w:t>2.2).</w:t>
      </w:r>
    </w:p>
    <w:p w:rsidR="00315B87" w:rsidRDefault="00C32692">
      <w:pPr>
        <w:pStyle w:val="AMPRSec2TITLE3-numbered"/>
        <w:rPr>
          <w:noProof/>
        </w:rPr>
      </w:pPr>
      <w:r>
        <w:rPr>
          <w:noProof/>
        </w:rPr>
        <w:t>Governance, accountability and transparency</w:t>
      </w:r>
    </w:p>
    <w:p w:rsidR="00315B87" w:rsidRDefault="00C32692">
      <w:pPr>
        <w:pStyle w:val="AMPRSec2TITLE4"/>
        <w:rPr>
          <w:noProof/>
        </w:rPr>
      </w:pPr>
      <w:r>
        <w:rPr>
          <w:noProof/>
        </w:rPr>
        <w:t>The chain of accountability</w:t>
      </w:r>
    </w:p>
    <w:p w:rsidR="00315B87" w:rsidRDefault="00C32692">
      <w:pPr>
        <w:pStyle w:val="AMPRBodyText"/>
        <w:rPr>
          <w:noProof/>
        </w:rPr>
      </w:pPr>
      <w:r>
        <w:rPr>
          <w:noProof/>
        </w:rPr>
        <w:t>The governance system used by the European Commission is tailored to its unique structure and role. The Commission’s governance arrangements have been strengthened over time and adapted to changing circumstances. Recent work by the internal and external auditors has confirmed that these arrangements are robust. The von der Leyen Commission, which took office in December 2019, has continued to put accountability and transparency at the core of its work, as confirmed in the updated working methods</w:t>
      </w:r>
      <w:r>
        <w:rPr>
          <w:rStyle w:val="fnRef"/>
          <w:rFonts w:ascii="Arial" w:hAnsi="Arial" w:cs="Arial"/>
          <w:noProof/>
        </w:rPr>
        <w:t> </w:t>
      </w:r>
      <w:r>
        <w:rPr>
          <w:rStyle w:val="fnRef"/>
          <w:noProof/>
        </w:rPr>
        <w:t>(</w:t>
      </w:r>
      <w:r>
        <w:rPr>
          <w:rStyle w:val="fnRefNo"/>
          <w:noProof/>
        </w:rPr>
        <w:footnoteReference w:id="2"/>
      </w:r>
      <w:r>
        <w:rPr>
          <w:rStyle w:val="fnRef"/>
          <w:noProof/>
        </w:rPr>
        <w:t>)</w:t>
      </w:r>
      <w:r>
        <w:rPr>
          <w:noProof/>
        </w:rPr>
        <w:t xml:space="preserve"> and mission letters addressed to all Members of the Commission. The latest developments are reflected in the updated communication on governance in the Commission, published alongside this report</w:t>
      </w:r>
      <w:r>
        <w:rPr>
          <w:rStyle w:val="fnRef"/>
          <w:rFonts w:ascii="Arial" w:hAnsi="Arial" w:cs="Arial"/>
          <w:noProof/>
        </w:rPr>
        <w:t> </w:t>
      </w:r>
      <w:r>
        <w:rPr>
          <w:rStyle w:val="fnRef"/>
          <w:noProof/>
        </w:rPr>
        <w:t>(</w:t>
      </w:r>
      <w:r>
        <w:rPr>
          <w:rStyle w:val="fnRefNo"/>
          <w:noProof/>
        </w:rPr>
        <w:footnoteReference w:id="3"/>
      </w:r>
      <w:r>
        <w:rPr>
          <w:rStyle w:val="fnRef"/>
          <w:noProof/>
        </w:rPr>
        <w:t>)</w:t>
      </w:r>
      <w:r>
        <w:rPr>
          <w:noProof/>
        </w:rPr>
        <w:t>.</w:t>
      </w:r>
    </w:p>
    <w:p w:rsidR="00315B87" w:rsidRDefault="00C32692">
      <w:pPr>
        <w:pStyle w:val="AMPRBodyText"/>
        <w:rPr>
          <w:noProof/>
        </w:rPr>
      </w:pPr>
      <w:r>
        <w:rPr>
          <w:noProof/>
          <w:color w:val="auto"/>
        </w:rPr>
        <w:t xml:space="preserve">The </w:t>
      </w:r>
      <w:r>
        <w:rPr>
          <w:rStyle w:val="AMPRcharBoldBlue"/>
          <w:noProof/>
        </w:rPr>
        <w:t>College of Commissioners is politically responsible</w:t>
      </w:r>
      <w:r>
        <w:rPr>
          <w:noProof/>
        </w:rPr>
        <w:t xml:space="preserve"> </w:t>
      </w:r>
      <w:r>
        <w:rPr>
          <w:noProof/>
          <w:color w:val="auto"/>
        </w:rPr>
        <w:t>for the management of the</w:t>
      </w:r>
      <w:r>
        <w:rPr>
          <w:noProof/>
        </w:rPr>
        <w:t xml:space="preserve"> </w:t>
      </w:r>
      <w:r>
        <w:rPr>
          <w:rStyle w:val="AMPRcharBoldBlue"/>
          <w:noProof/>
        </w:rPr>
        <w:t>EU budget</w:t>
      </w:r>
      <w:r>
        <w:rPr>
          <w:noProof/>
          <w:color w:val="auto"/>
        </w:rPr>
        <w:t xml:space="preserve">. </w:t>
      </w:r>
      <w:r>
        <w:rPr>
          <w:noProof/>
        </w:rPr>
        <w:t xml:space="preserve">The main building blocks of the EU budget’s governance, underpinned by a clear division of responsibilities between the political and the management levels, lead to a solid chain of assurance building and </w:t>
      </w:r>
      <w:r>
        <w:rPr>
          <w:noProof/>
        </w:rPr>
        <w:lastRenderedPageBreak/>
        <w:t>accountability. They are presented in the chart below. At Commission level, the accountability framework is based on well-defined management responsibilities and reporting (see below).</w:t>
      </w:r>
    </w:p>
    <w:p w:rsidR="00315B87" w:rsidRDefault="00C32692">
      <w:pPr>
        <w:pStyle w:val="AMPRBodyText"/>
        <w:rPr>
          <w:noProof/>
        </w:rPr>
      </w:pPr>
      <w:r>
        <w:rPr>
          <w:noProof/>
        </w:rPr>
        <w:t xml:space="preserve">These robust governance arrangements help the College of Commissioners to deliver on the Commission’s objectives, to use resources efficiently and effectively and to ensure that the EU budget is implemented in accordance with the principles of sound financial management. </w:t>
      </w:r>
    </w:p>
    <w:p w:rsidR="00315B87" w:rsidRDefault="00C32692">
      <w:pPr>
        <w:pStyle w:val="BodyText"/>
        <w:jc w:val="center"/>
        <w:rPr>
          <w:noProof/>
        </w:rPr>
      </w:pPr>
      <w:r>
        <w:rPr>
          <w:noProof/>
          <w:lang w:val="fr-BE" w:eastAsia="fr-BE"/>
        </w:rPr>
        <w:lastRenderedPageBreak/>
        <mc:AlternateContent>
          <mc:Choice Requires="wps">
            <w:drawing>
              <wp:anchor distT="0" distB="0" distL="114300" distR="114300" simplePos="0" relativeHeight="251655168" behindDoc="0" locked="0" layoutInCell="1" allowOverlap="1">
                <wp:simplePos x="0" y="0"/>
                <wp:positionH relativeFrom="column">
                  <wp:posOffset>3247573</wp:posOffset>
                </wp:positionH>
                <wp:positionV relativeFrom="paragraph">
                  <wp:posOffset>6036945</wp:posOffset>
                </wp:positionV>
                <wp:extent cx="4609951" cy="422327"/>
                <wp:effectExtent l="0" t="1905" r="0" b="0"/>
                <wp:wrapNone/>
                <wp:docPr id="8" name="Text Box 8"/>
                <wp:cNvGraphicFramePr/>
                <a:graphic xmlns:a="http://schemas.openxmlformats.org/drawingml/2006/main">
                  <a:graphicData uri="http://schemas.microsoft.com/office/word/2010/wordprocessingShape">
                    <wps:wsp>
                      <wps:cNvSpPr txBox="1"/>
                      <wps:spPr>
                        <a:xfrm rot="16200000">
                          <a:off x="0" y="0"/>
                          <a:ext cx="4609951" cy="422327"/>
                        </a:xfrm>
                        <a:prstGeom prst="rect">
                          <a:avLst/>
                        </a:prstGeom>
                        <a:solidFill>
                          <a:schemeClr val="lt1"/>
                        </a:solidFill>
                        <a:ln w="6350">
                          <a:noFill/>
                        </a:ln>
                      </wps:spPr>
                      <wps:txbx>
                        <w:txbxContent>
                          <w:p w:rsidR="00315B87" w:rsidRDefault="00C32692">
                            <w:pPr>
                              <w:pStyle w:val="AMPRCharttitle"/>
                            </w:pPr>
                            <w:r>
                              <w:t>The Commission’s assurance building and accountability: clear roles and responsibilities</w:t>
                            </w:r>
                          </w:p>
                          <w:p w:rsidR="00315B87" w:rsidRDefault="00C32692">
                            <w:pPr>
                              <w:pStyle w:val="AMPRSource-Table-Chart-Photo-Caption"/>
                            </w:pPr>
                            <w:r>
                              <w:rPr>
                                <w:i/>
                                <w:iCs w:val="0"/>
                              </w:rPr>
                              <w:t>Source:</w:t>
                            </w:r>
                            <w:r>
                              <w:t xml:space="preserve"> European Commission.</w:t>
                            </w:r>
                          </w:p>
                          <w:p w:rsidR="00315B87" w:rsidRDefault="00315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55.7pt;margin-top:475.35pt;width:363pt;height:33.2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" fillcolor="white [3201]" stroked="f" strokeweight=".5pt">
                <v:textbox>
                  <w:txbxContent>
                    <w:p w:rsidR="00315B87" w:rsidRDefault="00C32692">
                      <w:pPr>
                        <w:pStyle w:val="AMPRCharttitle"/>
                      </w:pPr>
                      <w:r>
                        <w:t>The Commission’s assurance building and accountability: clear roles and responsibilities</w:t>
                      </w:r>
                    </w:p>
                    <w:p w:rsidR="00315B87" w:rsidRDefault="00C32692">
                      <w:pPr>
                        <w:pStyle w:val="AMPRSource-Table-Chart-Photo-Caption"/>
                      </w:pPr>
                      <w:r>
                        <w:rPr>
                          <w:i/>
                          <w:iCs w:val="0"/>
                        </w:rPr>
                        <w:t>Source:</w:t>
                      </w:r>
                      <w:r>
                        <w:t xml:space="preserve"> European Commission.</w:t>
                      </w:r>
                    </w:p>
                    <w:p w:rsidR="00315B87" w:rsidRDefault="00315B87"/>
                  </w:txbxContent>
                </v:textbox>
              </v:shape>
            </w:pict>
          </mc:Fallback>
        </mc:AlternateContent>
      </w:r>
      <w:r>
        <w:rPr>
          <w:noProof/>
          <w:lang w:val="fr-BE" w:eastAsia="fr-BE"/>
        </w:rPr>
        <w:drawing>
          <wp:inline distT="0" distB="0" distL="0" distR="0">
            <wp:extent cx="8568077" cy="48983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urance_model_graph_v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8568077" cy="4898301"/>
                    </a:xfrm>
                    <a:prstGeom prst="rect">
                      <a:avLst/>
                    </a:prstGeom>
                    <a:noFill/>
                    <a:ln>
                      <a:noFill/>
                    </a:ln>
                  </pic:spPr>
                </pic:pic>
              </a:graphicData>
            </a:graphic>
          </wp:inline>
        </w:drawing>
      </w:r>
    </w:p>
    <w:p w:rsidR="00315B87" w:rsidRDefault="00315B87">
      <w:pPr>
        <w:jc w:val="center"/>
        <w:rPr>
          <w:noProof/>
        </w:rPr>
      </w:pPr>
    </w:p>
    <w:p w:rsidR="00315B87" w:rsidRDefault="00315B87">
      <w:pPr>
        <w:pStyle w:val="BodyText"/>
        <w:spacing w:after="240"/>
        <w:rPr>
          <w:noProof/>
        </w:rPr>
      </w:pPr>
    </w:p>
    <w:p w:rsidR="00315B87" w:rsidRDefault="00C32692">
      <w:pPr>
        <w:pStyle w:val="AMPRSec2TITLE4"/>
        <w:rPr>
          <w:noProof/>
        </w:rPr>
      </w:pPr>
      <w:r>
        <w:rPr>
          <w:noProof/>
        </w:rPr>
        <w:t>Accountability and reporting at department level</w:t>
      </w:r>
    </w:p>
    <w:p w:rsidR="00315B87" w:rsidRDefault="00C32692">
      <w:pPr>
        <w:pStyle w:val="AMPRBodyText"/>
        <w:rPr>
          <w:noProof/>
        </w:rPr>
      </w:pPr>
      <w:r>
        <w:rPr>
          <w:noProof/>
        </w:rPr>
        <w:t>The College of Commissioners delegates the day-to-day operational management to the 50 Directors-General</w:t>
      </w:r>
      <w:r>
        <w:rPr>
          <w:rStyle w:val="fnRef"/>
          <w:rFonts w:ascii="Arial" w:hAnsi="Arial" w:cs="Arial"/>
          <w:noProof/>
        </w:rPr>
        <w:t> </w:t>
      </w:r>
      <w:r>
        <w:rPr>
          <w:rStyle w:val="fnRef"/>
          <w:noProof/>
        </w:rPr>
        <w:t>(</w:t>
      </w:r>
      <w:r>
        <w:rPr>
          <w:rStyle w:val="fnRefNo"/>
          <w:noProof/>
        </w:rPr>
        <w:footnoteReference w:id="4"/>
      </w:r>
      <w:r>
        <w:rPr>
          <w:rStyle w:val="fnRef"/>
          <w:noProof/>
        </w:rPr>
        <w:t>)</w:t>
      </w:r>
      <w:r>
        <w:rPr>
          <w:noProof/>
        </w:rPr>
        <w:t xml:space="preserve"> or equivalent</w:t>
      </w:r>
      <w:r>
        <w:rPr>
          <w:rStyle w:val="fnRef"/>
          <w:rFonts w:ascii="Arial" w:hAnsi="Arial" w:cs="Arial"/>
          <w:noProof/>
        </w:rPr>
        <w:t> </w:t>
      </w:r>
      <w:r>
        <w:rPr>
          <w:rStyle w:val="fnRef"/>
          <w:noProof/>
        </w:rPr>
        <w:t>(</w:t>
      </w:r>
      <w:r>
        <w:rPr>
          <w:rStyle w:val="fnRefNo"/>
          <w:noProof/>
        </w:rPr>
        <w:footnoteReference w:id="5"/>
      </w:r>
      <w:r>
        <w:rPr>
          <w:rStyle w:val="fnRef"/>
          <w:noProof/>
        </w:rPr>
        <w:t>)</w:t>
      </w:r>
      <w:r>
        <w:rPr>
          <w:noProof/>
        </w:rPr>
        <w:t xml:space="preserve"> (hereafter the Directors-General), who lead the administrative structures of the Commission. In accordance with the Commission’s corporate rules and standards, they manage and shape their departments in order to deliver on their objectives as defined in their strategic plans and taking into account available resources. They are accountable for the share of the EU budget implemented in their departments. </w:t>
      </w:r>
    </w:p>
    <w:p w:rsidR="00315B87" w:rsidRDefault="00C32692">
      <w:pPr>
        <w:pStyle w:val="AMPRBodyText"/>
        <w:rPr>
          <w:noProof/>
        </w:rPr>
      </w:pPr>
      <w:r>
        <w:rPr>
          <w:noProof/>
        </w:rPr>
        <w:t xml:space="preserve">In their annual activity reports, they report in a transparent way on the performance and results achieved, on the functioning of their internal control systems and on the financial management of their share of the EU budget – taking account of the assurance provided by Member States under shared management. In the declaration of assurance, which is part of the annual activity report, they declare whether they have reasonable assurance that: </w:t>
      </w:r>
    </w:p>
    <w:p w:rsidR="00315B87" w:rsidRDefault="00C32692">
      <w:pPr>
        <w:pStyle w:val="AMPRListOrange-L1"/>
        <w:rPr>
          <w:noProof/>
        </w:rPr>
      </w:pPr>
      <w:r>
        <w:rPr>
          <w:noProof/>
        </w:rPr>
        <w:t xml:space="preserve">the information contained in their report presents a ‘true and fair view’ (i.e. reliable, complete and correct) on the state of affairs in their department; </w:t>
      </w:r>
    </w:p>
    <w:p w:rsidR="00315B87" w:rsidRDefault="00C32692">
      <w:pPr>
        <w:pStyle w:val="AMPRListOrange-L1"/>
        <w:rPr>
          <w:noProof/>
        </w:rPr>
      </w:pPr>
      <w:r>
        <w:rPr>
          <w:noProof/>
        </w:rPr>
        <w:t xml:space="preserve">the resources assigned to their department have been used for their intended purpose and in accordance with the principle of sound financial management; </w:t>
      </w:r>
    </w:p>
    <w:p w:rsidR="00315B87" w:rsidRDefault="00C32692">
      <w:pPr>
        <w:pStyle w:val="AMPRListOrange-L1"/>
        <w:rPr>
          <w:noProof/>
        </w:rPr>
      </w:pPr>
      <w:r>
        <w:rPr>
          <w:noProof/>
        </w:rPr>
        <w:t>the control procedures put in place in their department give the necessary guarantees concerning the legality and regularity of the underlying transactions.</w:t>
      </w:r>
    </w:p>
    <w:p w:rsidR="00315B87" w:rsidRDefault="00C32692">
      <w:pPr>
        <w:pStyle w:val="AMPRBodyText"/>
        <w:rPr>
          <w:noProof/>
        </w:rPr>
      </w:pPr>
      <w:r>
        <w:rPr>
          <w:noProof/>
        </w:rPr>
        <w:t xml:space="preserve">In order to obtain this assurance, the Directors-General use all available information (summarised in their annual activity reports), namely: </w:t>
      </w:r>
    </w:p>
    <w:p w:rsidR="00315B87" w:rsidRDefault="00C32692">
      <w:pPr>
        <w:pStyle w:val="AMPRListOrange-L1"/>
        <w:rPr>
          <w:noProof/>
        </w:rPr>
      </w:pPr>
      <w:r>
        <w:rPr>
          <w:noProof/>
        </w:rPr>
        <w:t xml:space="preserve">the results of the controls carried out by their own services or on their behalf; </w:t>
      </w:r>
    </w:p>
    <w:p w:rsidR="00315B87" w:rsidRDefault="00C32692">
      <w:pPr>
        <w:pStyle w:val="AMPRListOrange-L1"/>
        <w:rPr>
          <w:noProof/>
        </w:rPr>
      </w:pPr>
      <w:r>
        <w:rPr>
          <w:noProof/>
        </w:rPr>
        <w:t>the management and control information reported by Member States and other entrusted entities based on their own control systems, in the case of shared and indirect management;</w:t>
      </w:r>
    </w:p>
    <w:p w:rsidR="00315B87" w:rsidRDefault="00C32692">
      <w:pPr>
        <w:pStyle w:val="AMPRListOrange-L1"/>
        <w:rPr>
          <w:noProof/>
        </w:rPr>
      </w:pPr>
      <w:r>
        <w:rPr>
          <w:noProof/>
        </w:rPr>
        <w:t>the work done by the Internal Audit Service (see Annex</w:t>
      </w:r>
      <w:r>
        <w:rPr>
          <w:rFonts w:ascii="Calibri" w:hAnsi="Calibri" w:cs="Calibri"/>
          <w:noProof/>
        </w:rPr>
        <w:t> </w:t>
      </w:r>
      <w:r>
        <w:rPr>
          <w:noProof/>
        </w:rPr>
        <w:t>6);</w:t>
      </w:r>
    </w:p>
    <w:p w:rsidR="00315B87" w:rsidRDefault="00C32692">
      <w:pPr>
        <w:pStyle w:val="AMPRListOrange-L1"/>
        <w:rPr>
          <w:noProof/>
        </w:rPr>
      </w:pPr>
      <w:r>
        <w:rPr>
          <w:noProof/>
        </w:rPr>
        <w:t>audits by the European Court of Auditors, the EU’s independent external auditor.</w:t>
      </w:r>
    </w:p>
    <w:p w:rsidR="00315B87" w:rsidRDefault="00C32692">
      <w:pPr>
        <w:pStyle w:val="AMPRBodyText"/>
        <w:rPr>
          <w:noProof/>
        </w:rPr>
      </w:pPr>
      <w:r>
        <w:rPr>
          <w:noProof/>
        </w:rPr>
        <w:t>If they identify weaknesses with a significant impact, they are required to qualify their declaration of assurance with a reservation. In parallel, they put in place action plans to mitigate future risks and to strengthen their control systems (see Section</w:t>
      </w:r>
      <w:r>
        <w:rPr>
          <w:rFonts w:ascii="Calibri" w:hAnsi="Calibri" w:cs="Calibri"/>
          <w:noProof/>
        </w:rPr>
        <w:t> </w:t>
      </w:r>
      <w:r>
        <w:rPr>
          <w:noProof/>
        </w:rPr>
        <w:t>2.3.5 and Annex 4).</w:t>
      </w:r>
    </w:p>
    <w:p w:rsidR="00315B87" w:rsidRDefault="00C32692">
      <w:pPr>
        <w:pStyle w:val="AMPRSec2TITLE4"/>
        <w:spacing w:before="600"/>
        <w:rPr>
          <w:noProof/>
        </w:rPr>
      </w:pPr>
      <w:r>
        <w:rPr>
          <w:noProof/>
        </w:rPr>
        <w:t>Accountability and reporting at corporate level</w:t>
      </w:r>
    </w:p>
    <w:p w:rsidR="00315B87" w:rsidRDefault="00C32692">
      <w:pPr>
        <w:pStyle w:val="AMPRBodyText"/>
        <w:rPr>
          <w:noProof/>
        </w:rPr>
      </w:pPr>
      <w:r>
        <w:rPr>
          <w:noProof/>
        </w:rPr>
        <w:t>The annual management and performance report for the EU budget presents the situation at Commission level. This report is part of the Commission’s integrated financial and accountability reporting package</w:t>
      </w:r>
      <w:r>
        <w:rPr>
          <w:rStyle w:val="fnRef"/>
          <w:rFonts w:ascii="Arial" w:hAnsi="Arial" w:cs="Arial"/>
          <w:noProof/>
        </w:rPr>
        <w:t> </w:t>
      </w:r>
      <w:r>
        <w:rPr>
          <w:rStyle w:val="fnRef"/>
          <w:noProof/>
        </w:rPr>
        <w:t>(</w:t>
      </w:r>
      <w:r>
        <w:rPr>
          <w:rStyle w:val="fnRefNo"/>
          <w:noProof/>
        </w:rPr>
        <w:footnoteReference w:id="6"/>
      </w:r>
      <w:r>
        <w:rPr>
          <w:rStyle w:val="fnRef"/>
          <w:noProof/>
        </w:rPr>
        <w:t>)</w:t>
      </w:r>
      <w:r>
        <w:rPr>
          <w:noProof/>
        </w:rPr>
        <w:t xml:space="preserve"> which is adopted by the College and is based on the assurance and reservations contained in all the annual activity reports. </w:t>
      </w:r>
    </w:p>
    <w:p w:rsidR="00315B87" w:rsidRDefault="00C32692">
      <w:pPr>
        <w:pStyle w:val="AMPRBodyText"/>
        <w:rPr>
          <w:noProof/>
        </w:rPr>
      </w:pPr>
      <w:r>
        <w:rPr>
          <w:noProof/>
        </w:rPr>
        <w:lastRenderedPageBreak/>
        <w:t>The ensuing annual discharge procedure allows the European Parliament and the Council to hold the Commission politically responsible for the implementation of the EU budget. The European Parliament’s decision on the discharge is based on:</w:t>
      </w:r>
    </w:p>
    <w:p w:rsidR="00315B87" w:rsidRDefault="00C32692">
      <w:pPr>
        <w:pStyle w:val="AMPRListOrange-L1"/>
        <w:rPr>
          <w:noProof/>
        </w:rPr>
      </w:pPr>
      <w:r>
        <w:rPr>
          <w:noProof/>
        </w:rPr>
        <w:t>the European Court of Auditors’ reports in which it gives an opinion on the reliability of the annual accounts and an opinion on the regularity of revenue and expenditure, and presents the results of its audits of specific spending or policy areas, or budgetary or management issues;</w:t>
      </w:r>
    </w:p>
    <w:p w:rsidR="00315B87" w:rsidRDefault="00C32692">
      <w:pPr>
        <w:pStyle w:val="AMPRListOrange-L1"/>
        <w:rPr>
          <w:noProof/>
        </w:rPr>
      </w:pPr>
      <w:r>
        <w:rPr>
          <w:noProof/>
        </w:rPr>
        <w:t>the Commission’s integrated financial and accountability reporting;</w:t>
      </w:r>
    </w:p>
    <w:p w:rsidR="00315B87" w:rsidRDefault="00C32692">
      <w:pPr>
        <w:pStyle w:val="AMPRListOrange-L1"/>
        <w:rPr>
          <w:noProof/>
        </w:rPr>
      </w:pPr>
      <w:r>
        <w:rPr>
          <w:noProof/>
        </w:rPr>
        <w:t>hearings of Commissioners and Directors-General and replies to written questions;</w:t>
      </w:r>
    </w:p>
    <w:p w:rsidR="00315B87" w:rsidRDefault="00C32692">
      <w:pPr>
        <w:pStyle w:val="AMPRListOrange-L1"/>
        <w:rPr>
          <w:noProof/>
        </w:rPr>
      </w:pPr>
      <w:r>
        <w:rPr>
          <w:noProof/>
        </w:rPr>
        <w:t>a recommendation from the Council.</w:t>
      </w:r>
    </w:p>
    <w:p w:rsidR="00315B87" w:rsidRDefault="00C32692">
      <w:pPr>
        <w:pStyle w:val="AMPRBodyText"/>
        <w:rPr>
          <w:noProof/>
        </w:rPr>
      </w:pPr>
      <w:r>
        <w:rPr>
          <w:noProof/>
        </w:rPr>
        <w:t xml:space="preserve">The Commission reports each year on its follow-up of requests addressed by the European Parliament and the Council to the Commission during the discharge procedure. </w:t>
      </w:r>
    </w:p>
    <w:p w:rsidR="00315B87" w:rsidRDefault="00C32692">
      <w:pPr>
        <w:pStyle w:val="AMPRSec2TITLE2-numbered"/>
        <w:rPr>
          <w:noProof/>
        </w:rPr>
      </w:pPr>
      <w:bookmarkStart w:id="20" w:name="_Toc37166572"/>
      <w:bookmarkStart w:id="21" w:name="_Toc37948906"/>
      <w:bookmarkStart w:id="22" w:name="_Toc37955821"/>
      <w:bookmarkStart w:id="23" w:name="_Toc37956055"/>
      <w:r>
        <w:rPr>
          <w:noProof/>
        </w:rPr>
        <w:lastRenderedPageBreak/>
        <w:t>The Commission relies on various instruments to ensure that the taxpayers’ money is well managed</w:t>
      </w:r>
      <w:bookmarkEnd w:id="20"/>
      <w:bookmarkEnd w:id="21"/>
      <w:bookmarkEnd w:id="22"/>
      <w:bookmarkEnd w:id="23"/>
    </w:p>
    <w:p w:rsidR="00315B87" w:rsidRDefault="00C32692">
      <w:pPr>
        <w:pStyle w:val="AMPRBodyText"/>
        <w:rPr>
          <w:noProof/>
        </w:rPr>
      </w:pPr>
      <w:r>
        <w:rPr>
          <w:noProof/>
        </w:rPr>
        <w:t>In order to ensure that the budget is well implemented and protected from weaknesses and irregularities within this complex environment, the Commission has several instruments at its disposal.</w:t>
      </w:r>
    </w:p>
    <w:p w:rsidR="00315B87" w:rsidRDefault="00C32692">
      <w:pPr>
        <w:pStyle w:val="AMPRSec2TITLE3-numbered"/>
        <w:rPr>
          <w:noProof/>
        </w:rPr>
      </w:pPr>
      <w:r>
        <w:rPr>
          <w:noProof/>
        </w:rPr>
        <w:t>A strong internal control framework</w:t>
      </w:r>
    </w:p>
    <w:p w:rsidR="00315B87" w:rsidRDefault="00C32692">
      <w:pPr>
        <w:pStyle w:val="AMPRBodyText"/>
        <w:rPr>
          <w:noProof/>
          <w:lang w:eastAsia="zh-CN"/>
        </w:rPr>
      </w:pPr>
      <w:r>
        <w:rPr>
          <w:noProof/>
          <w:lang w:eastAsia="zh-CN"/>
        </w:rPr>
        <w:t xml:space="preserve">The Commission has in place a </w:t>
      </w:r>
      <w:r>
        <w:rPr>
          <w:rStyle w:val="AMPRcharBoldBlue"/>
          <w:noProof/>
        </w:rPr>
        <w:t>strong corporate internal control framework</w:t>
      </w:r>
      <w:r>
        <w:rPr>
          <w:noProof/>
          <w:color w:val="auto"/>
        </w:rPr>
        <w:t xml:space="preserve"> </w:t>
      </w:r>
      <w:r>
        <w:rPr>
          <w:noProof/>
        </w:rPr>
        <w:t>based on the highest international standards</w:t>
      </w:r>
      <w:r>
        <w:rPr>
          <w:rStyle w:val="fnRef"/>
          <w:rFonts w:ascii="Arial" w:hAnsi="Arial" w:cs="Arial"/>
          <w:noProof/>
        </w:rPr>
        <w:t> </w:t>
      </w:r>
      <w:r>
        <w:rPr>
          <w:rStyle w:val="fnRef"/>
          <w:noProof/>
        </w:rPr>
        <w:t>(</w:t>
      </w:r>
      <w:r>
        <w:rPr>
          <w:rStyle w:val="fnRefNo"/>
          <w:noProof/>
        </w:rPr>
        <w:footnoteReference w:id="7"/>
      </w:r>
      <w:r>
        <w:rPr>
          <w:rStyle w:val="fnRef"/>
          <w:noProof/>
        </w:rPr>
        <w:t>)</w:t>
      </w:r>
      <w:r>
        <w:rPr>
          <w:noProof/>
        </w:rPr>
        <w:t>.</w:t>
      </w:r>
      <w:r>
        <w:rPr>
          <w:noProof/>
          <w:lang w:eastAsia="zh-CN"/>
        </w:rPr>
        <w:t xml:space="preserve"> </w:t>
      </w:r>
    </w:p>
    <w:p w:rsidR="00315B87" w:rsidRDefault="00C32692">
      <w:pPr>
        <w:pStyle w:val="AMPRBodyText"/>
        <w:rPr>
          <w:noProof/>
        </w:rPr>
      </w:pPr>
      <w:r>
        <w:rPr>
          <w:noProof/>
        </w:rPr>
        <w:t>The Directors-General implement this corporate framework within their departments through tailored internal control systems, taking into account their specific operating environments, risks and needs. They are supported in this task by the central services</w:t>
      </w:r>
      <w:r>
        <w:rPr>
          <w:rStyle w:val="fnRef"/>
          <w:rFonts w:ascii="Arial" w:hAnsi="Arial" w:cs="Arial"/>
          <w:noProof/>
        </w:rPr>
        <w:t> </w:t>
      </w:r>
      <w:r>
        <w:rPr>
          <w:rStyle w:val="fnRef"/>
          <w:noProof/>
        </w:rPr>
        <w:t>(</w:t>
      </w:r>
      <w:r>
        <w:rPr>
          <w:rStyle w:val="fnRefNo"/>
          <w:noProof/>
        </w:rPr>
        <w:footnoteReference w:id="8"/>
      </w:r>
      <w:r>
        <w:rPr>
          <w:rStyle w:val="fnRef"/>
          <w:noProof/>
        </w:rPr>
        <w:t>)</w:t>
      </w:r>
      <w:r>
        <w:rPr>
          <w:noProof/>
        </w:rPr>
        <w:t xml:space="preserve">, which provide instructions, guidance and advice and facilitate the sharing of good practice. Each year, they assess the functioning of their internal control systems according to a common methodology and summarise their conclusions in their annual activity reports. </w:t>
      </w:r>
    </w:p>
    <w:p w:rsidR="00315B87" w:rsidRDefault="00C32692">
      <w:pPr>
        <w:pStyle w:val="AMPRBodyText"/>
        <w:rPr>
          <w:noProof/>
        </w:rPr>
      </w:pPr>
      <w:r>
        <w:rPr>
          <w:noProof/>
        </w:rPr>
        <w:t>In addition, the Internal Audit Service may conduct audit engagements on the functioning of the internal control systems and the assessment by the Commission departments of these systems (see Annex</w:t>
      </w:r>
      <w:r>
        <w:rPr>
          <w:rFonts w:ascii="Calibri" w:hAnsi="Calibri" w:cs="Calibri"/>
          <w:noProof/>
        </w:rPr>
        <w:t> </w:t>
      </w:r>
      <w:r>
        <w:rPr>
          <w:noProof/>
        </w:rPr>
        <w:t xml:space="preserve">6). </w:t>
      </w:r>
    </w:p>
    <w:p w:rsidR="00315B87" w:rsidRDefault="00C32692">
      <w:pPr>
        <w:pStyle w:val="AMPRBodyText"/>
        <w:rPr>
          <w:noProof/>
        </w:rPr>
      </w:pPr>
      <w:r>
        <w:rPr>
          <w:rStyle w:val="AMPRcharBoldBlue"/>
          <w:noProof/>
        </w:rPr>
        <w:t>For 2019</w:t>
      </w:r>
      <w:r>
        <w:rPr>
          <w:noProof/>
        </w:rPr>
        <w:t xml:space="preserve">, the 2nd year of the full implementation of the current internal control framework, the assessments by the Commission departments indicate that their </w:t>
      </w:r>
      <w:r>
        <w:rPr>
          <w:rStyle w:val="AMPRcharBoldBlue"/>
          <w:noProof/>
        </w:rPr>
        <w:t>internal control systems remain effective</w:t>
      </w:r>
      <w:r>
        <w:rPr>
          <w:noProof/>
        </w:rPr>
        <w:t xml:space="preserve">. The overall situation is presented in the chart below. </w:t>
      </w:r>
    </w:p>
    <w:p w:rsidR="00315B87" w:rsidRDefault="00C32692">
      <w:pPr>
        <w:pStyle w:val="AMPRBodyText"/>
        <w:rPr>
          <w:noProof/>
        </w:rPr>
      </w:pPr>
      <w:r>
        <w:rPr>
          <w:noProof/>
        </w:rPr>
        <w:t xml:space="preserve">The assessment confirms the improvements made in relation to control activities, the positive impact from the reinforced corporate oversight on risk identification and risk management, and improvements in the field of information technology. </w:t>
      </w:r>
    </w:p>
    <w:p w:rsidR="00315B87" w:rsidRDefault="00C32692">
      <w:pPr>
        <w:pStyle w:val="AMPRBodyText"/>
        <w:rPr>
          <w:noProof/>
        </w:rPr>
      </w:pPr>
      <w:r>
        <w:rPr>
          <w:noProof/>
        </w:rPr>
        <w:t>These results demonstrate that the Commission has reached an advanced level of internal control. The central services will continue to provide guidance and facilitate the sharing of good practice in order to further promote the internal control framework as a management tool that helps the organisation to achieve its objectives.</w:t>
      </w:r>
    </w:p>
    <w:p w:rsidR="00315B87" w:rsidRDefault="00315B87">
      <w:pPr>
        <w:pStyle w:val="BodyText"/>
        <w:rPr>
          <w:noProof/>
          <w:lang w:eastAsia="zh-CN"/>
        </w:rPr>
      </w:pPr>
    </w:p>
    <w:p w:rsidR="00315B87" w:rsidRDefault="00C32692">
      <w:pPr>
        <w:rPr>
          <w:noProof/>
          <w:lang w:eastAsia="zh-CN"/>
        </w:rPr>
      </w:pPr>
      <w:r>
        <w:rPr>
          <w:noProof/>
          <w:lang w:eastAsia="zh-CN"/>
        </w:rPr>
        <w:br w:type="page"/>
      </w:r>
      <w:r>
        <w:rPr>
          <w:noProof/>
          <w:lang w:val="fr-BE" w:eastAsia="fr-BE"/>
        </w:rPr>
        <w:lastRenderedPageBreak/>
        <w:drawing>
          <wp:inline distT="0" distB="0" distL="0" distR="0">
            <wp:extent cx="5760720" cy="3996690"/>
            <wp:effectExtent l="0" t="0" r="0" b="381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5B87" w:rsidRDefault="00C32692">
      <w:pPr>
        <w:pStyle w:val="AMPRCharttitle"/>
        <w:rPr>
          <w:noProof/>
        </w:rPr>
      </w:pPr>
      <w:r>
        <w:rPr>
          <w:noProof/>
        </w:rPr>
        <w:t>Assessment of the functioning of the 17 internal control principles</w:t>
      </w:r>
    </w:p>
    <w:p w:rsidR="00315B87" w:rsidRDefault="00C32692">
      <w:pPr>
        <w:pStyle w:val="AMPRSource-Table-Chart-Photo-Caption"/>
        <w:rPr>
          <w:i/>
          <w:noProof/>
        </w:rPr>
      </w:pPr>
      <w:r>
        <w:rPr>
          <w:i/>
          <w:noProof/>
        </w:rPr>
        <w:t xml:space="preserve">Source: </w:t>
      </w:r>
      <w:r>
        <w:rPr>
          <w:noProof/>
        </w:rPr>
        <w:t>European Commission annual activity reports.</w:t>
      </w:r>
    </w:p>
    <w:p w:rsidR="00315B87" w:rsidRDefault="00C32692">
      <w:pPr>
        <w:pStyle w:val="AMPRSec2TITLE3-numbered"/>
        <w:rPr>
          <w:noProof/>
        </w:rPr>
      </w:pPr>
      <w:r>
        <w:rPr>
          <w:noProof/>
        </w:rPr>
        <w:t>Multiannual control strategies ensure that the taxpayers’ money is well spent</w:t>
      </w:r>
    </w:p>
    <w:p w:rsidR="00315B87" w:rsidRDefault="00C32692">
      <w:pPr>
        <w:pStyle w:val="AMPRBodyText"/>
        <w:rPr>
          <w:noProof/>
        </w:rPr>
      </w:pPr>
      <w:r>
        <w:rPr>
          <w:noProof/>
        </w:rPr>
        <w:t>Within the Commission’s corporate framework, the Directors-General, as managers of the EU budget, put in place multiannual control strategies designed to prevent errors and, if it is not possible to prevent errors, to detect and correct them. To do so, they need to build their assurance from the bottom up and to assess the errors affecting EU spending at a detailed level, i.e. by programme or other relevant segment of expenditure. This allows the Commission to detect the weaknesses and correct them, and also to identify the root causes of systemic errors (e.g. complexity of rules), take targeted corrective actions and ensure that any lessons learned are factored into the design of future financial programmes.</w:t>
      </w:r>
    </w:p>
    <w:p w:rsidR="00315B87" w:rsidRDefault="00C32692">
      <w:pPr>
        <w:pStyle w:val="AMPRSec2TITLE4"/>
        <w:rPr>
          <w:noProof/>
        </w:rPr>
      </w:pPr>
      <w:r>
        <w:rPr>
          <w:noProof/>
        </w:rPr>
        <w:t>From prevention to detection and correction</w:t>
      </w:r>
    </w:p>
    <w:p w:rsidR="00315B87" w:rsidRDefault="00C32692">
      <w:pPr>
        <w:pStyle w:val="AMPRBodyText"/>
        <w:rPr>
          <w:noProof/>
        </w:rPr>
      </w:pPr>
      <w:r>
        <w:rPr>
          <w:noProof/>
        </w:rPr>
        <w:t xml:space="preserve">As EU spending programmes are </w:t>
      </w:r>
      <w:r>
        <w:rPr>
          <w:rStyle w:val="AMPRcharBoldBlue"/>
          <w:noProof/>
        </w:rPr>
        <w:t>multiannual</w:t>
      </w:r>
      <w:r>
        <w:rPr>
          <w:noProof/>
          <w:color w:val="auto"/>
        </w:rPr>
        <w:t xml:space="preserve"> </w:t>
      </w:r>
      <w:r>
        <w:rPr>
          <w:noProof/>
        </w:rPr>
        <w:t xml:space="preserve">by design, the related control systems and management cycles also cover multiple years. This means that while errors may be detected in a given year, they are corrected in the current or in subsequent years after the payment was made – up until the moment of closure at the end of the programmes’ life cycle. Moreover, the control strategies are </w:t>
      </w:r>
      <w:r>
        <w:rPr>
          <w:rStyle w:val="AMPRcharBoldBlue"/>
          <w:noProof/>
        </w:rPr>
        <w:t>risk differentiated</w:t>
      </w:r>
      <w:r>
        <w:rPr>
          <w:noProof/>
        </w:rPr>
        <w:t xml:space="preserve">, i.e. they are adjusted to the different management modes, policy areas and/or funding arrangements and their associated risks. </w:t>
      </w:r>
    </w:p>
    <w:p w:rsidR="00315B87" w:rsidRDefault="00315B87">
      <w:pPr>
        <w:rPr>
          <w:noProof/>
        </w:rPr>
      </w:pPr>
    </w:p>
    <w:p w:rsidR="00315B87" w:rsidRDefault="00C32692">
      <w:pPr>
        <w:rPr>
          <w:noProof/>
        </w:rPr>
      </w:pPr>
      <w:r>
        <w:rPr>
          <w:noProof/>
          <w:lang w:val="fr-BE" w:eastAsia="fr-BE"/>
        </w:rPr>
        <w:lastRenderedPageBreak/>
        <w:drawing>
          <wp:inline distT="0" distB="0" distL="0" distR="0">
            <wp:extent cx="5760720" cy="480314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803140"/>
                    </a:xfrm>
                    <a:prstGeom prst="rect">
                      <a:avLst/>
                    </a:prstGeom>
                    <a:noFill/>
                  </pic:spPr>
                </pic:pic>
              </a:graphicData>
            </a:graphic>
          </wp:inline>
        </w:drawing>
      </w:r>
    </w:p>
    <w:p w:rsidR="00315B87" w:rsidRDefault="00C32692">
      <w:pPr>
        <w:pStyle w:val="AMPRCharttitle"/>
        <w:spacing w:before="60"/>
        <w:rPr>
          <w:noProof/>
        </w:rPr>
      </w:pPr>
      <w:r>
        <w:rPr>
          <w:noProof/>
        </w:rPr>
        <w:t>The Commission’s multiannual control cycle (for the 2019 results mentioned inside the circles see Section</w:t>
      </w:r>
      <w:r>
        <w:rPr>
          <w:rFonts w:ascii="Calibri" w:hAnsi="Calibri" w:cs="Calibri"/>
          <w:noProof/>
        </w:rPr>
        <w:t> </w:t>
      </w:r>
      <w:r>
        <w:rPr>
          <w:noProof/>
        </w:rPr>
        <w:t>2.3.1 below)</w:t>
      </w:r>
    </w:p>
    <w:p w:rsidR="00315B87" w:rsidRDefault="00C32692">
      <w:pPr>
        <w:pStyle w:val="AMPRSource-Table-Chart-Photo-Caption"/>
        <w:spacing w:after="120"/>
        <w:rPr>
          <w:noProof/>
        </w:rPr>
      </w:pPr>
      <w:r>
        <w:rPr>
          <w:i/>
          <w:iCs w:val="0"/>
          <w:noProof/>
        </w:rPr>
        <w:t>Source:</w:t>
      </w:r>
      <w:r>
        <w:rPr>
          <w:noProof/>
        </w:rPr>
        <w:t xml:space="preserve"> European Commission.</w:t>
      </w:r>
    </w:p>
    <w:p w:rsidR="00315B87" w:rsidRDefault="00C32692">
      <w:pPr>
        <w:pStyle w:val="AMPRBOXB-bgWHITElnBLUE-BLACKtext"/>
        <w:pBdr>
          <w:bottom w:val="dashSmallGap" w:sz="12" w:space="7" w:color="4E9DD6"/>
        </w:pBdr>
        <w:rPr>
          <w:rStyle w:val="AMPRcharBoldBlue"/>
          <w:rFonts w:eastAsia="Calibri" w:cstheme="minorBidi"/>
          <w:iCs/>
          <w:noProof/>
          <w:sz w:val="16"/>
          <w:szCs w:val="16"/>
          <w:lang w:eastAsia="en-US"/>
        </w:rPr>
      </w:pPr>
      <w:r>
        <w:rPr>
          <w:rStyle w:val="AMPRcharBoldBlue"/>
          <w:noProof/>
        </w:rPr>
        <w:t>Prevention of errors</w:t>
      </w:r>
    </w:p>
    <w:p w:rsidR="00315B87" w:rsidRDefault="00C32692">
      <w:pPr>
        <w:pStyle w:val="AMPRBOXB-bgWHITElnBLUE-BLACKtext"/>
        <w:pBdr>
          <w:bottom w:val="dashSmallGap" w:sz="12" w:space="7" w:color="4E9DD6"/>
        </w:pBdr>
        <w:rPr>
          <w:noProof/>
          <w:spacing w:val="-1"/>
        </w:rPr>
      </w:pPr>
      <w:r>
        <w:rPr>
          <w:noProof/>
          <w:spacing w:val="-1"/>
        </w:rPr>
        <w:t xml:space="preserve">Prevention is the first line of defence against errors. The Commission’s key preventive mechanisms include verifications by Member States’ managing authorities (under shared management), </w:t>
      </w:r>
      <w:r>
        <w:rPr>
          <w:i/>
          <w:noProof/>
          <w:spacing w:val="-1"/>
        </w:rPr>
        <w:t xml:space="preserve">ex ante </w:t>
      </w:r>
      <w:r>
        <w:rPr>
          <w:noProof/>
          <w:spacing w:val="-1"/>
        </w:rPr>
        <w:t>controls leading to the rejection of ineligible amounts before the Commission accepts expenditure and makes payments, systems audits to detect weaknesses in the implementing partners’ management and control systems (preventive for future expenditure) and the interruption and suspension of payments until the deficiencies in the systems are fixed.</w:t>
      </w:r>
    </w:p>
    <w:p w:rsidR="00315B87" w:rsidRDefault="00C32692">
      <w:pPr>
        <w:pStyle w:val="AMPRBOXB-bgWHITElnBLUE-BLACKtext"/>
        <w:pBdr>
          <w:bottom w:val="dashSmallGap" w:sz="12" w:space="7" w:color="4E9DD6"/>
        </w:pBdr>
        <w:rPr>
          <w:rStyle w:val="AMPRcharBoldBlue"/>
          <w:noProof/>
          <w:spacing w:val="-1"/>
        </w:rPr>
      </w:pPr>
      <w:r>
        <w:rPr>
          <w:rStyle w:val="AMPRcharBoldBlue"/>
          <w:noProof/>
          <w:spacing w:val="-1"/>
        </w:rPr>
        <w:t>These measures also serve as incentives for Member States to correct payments before they submit their cost claims to the Commission. This explains why, under shared management, the risk at payment is relatively low as regards the payments made by the Commission to the Member States, as errors have already been corrected by the Member States at their level before they submit their payment claims or annual accounts for clearance to the Commission.</w:t>
      </w:r>
    </w:p>
    <w:p w:rsidR="00315B87" w:rsidRDefault="00C32692">
      <w:pPr>
        <w:pStyle w:val="AMPRBOXB-bgWHITElnBLUE-BLACKtext"/>
        <w:pBdr>
          <w:bottom w:val="dashSmallGap" w:sz="12" w:space="7" w:color="4E9DD6"/>
        </w:pBdr>
        <w:rPr>
          <w:rStyle w:val="AMPRcharBoldBlue"/>
          <w:b w:val="0"/>
          <w:noProof/>
          <w:color w:val="auto"/>
          <w:spacing w:val="-1"/>
        </w:rPr>
      </w:pPr>
      <w:r>
        <w:rPr>
          <w:rStyle w:val="AMPRcharBoldBlue"/>
          <w:b w:val="0"/>
          <w:noProof/>
          <w:color w:val="auto"/>
          <w:spacing w:val="-1"/>
        </w:rPr>
        <w:t xml:space="preserve">In 2019, the preventive measures confirmed amounted to EUR 416 million. These include deductions and other adjustments before payment/acceptance of accounts by the Commission, Member State deductions from new expenditure declared to the Commission (at-source deductions) and other </w:t>
      </w:r>
      <w:r>
        <w:rPr>
          <w:rStyle w:val="AMPRcharBoldBlue"/>
          <w:b w:val="0"/>
          <w:i/>
          <w:noProof/>
          <w:color w:val="auto"/>
          <w:spacing w:val="-1"/>
        </w:rPr>
        <w:t>ex ante</w:t>
      </w:r>
      <w:r>
        <w:rPr>
          <w:rStyle w:val="AMPRcharBoldBlue"/>
          <w:b w:val="0"/>
          <w:noProof/>
          <w:color w:val="auto"/>
          <w:spacing w:val="-1"/>
        </w:rPr>
        <w:t xml:space="preserve"> adjustments. </w:t>
      </w:r>
    </w:p>
    <w:p w:rsidR="00315B87" w:rsidRDefault="00C32692">
      <w:pPr>
        <w:pStyle w:val="AMPRBOXB-bgWHITElnBLUE-BLACKtext"/>
        <w:pBdr>
          <w:bottom w:val="dashSmallGap" w:sz="12" w:space="7" w:color="4E9DD6"/>
        </w:pBdr>
        <w:rPr>
          <w:rStyle w:val="AMPRcharBoldBlue"/>
          <w:b w:val="0"/>
          <w:noProof/>
          <w:color w:val="auto"/>
          <w:spacing w:val="-1"/>
        </w:rPr>
      </w:pPr>
      <w:r>
        <w:rPr>
          <w:rStyle w:val="AMPRcharBoldBlue"/>
          <w:b w:val="0"/>
          <w:noProof/>
          <w:color w:val="auto"/>
          <w:spacing w:val="-1"/>
        </w:rPr>
        <w:t>Furthermore, for cohesion policy funds, the Member States have applied corrections totalling EUR 670 million for the 2014-2020 period. This is a result of the strengthened regulatory provisions that increase managing authorities’ accountability and significantly strengthen the Commission’s position in protecting the EU budget from irregular expenditure.</w:t>
      </w:r>
    </w:p>
    <w:p w:rsidR="00315B87" w:rsidRDefault="00C32692">
      <w:pPr>
        <w:pStyle w:val="AMPRBOXB-bgWHITElnBLUE-BLACKtext"/>
        <w:pBdr>
          <w:bottom w:val="dashSmallGap" w:sz="12" w:space="7" w:color="4E9DD6"/>
        </w:pBdr>
        <w:rPr>
          <w:rStyle w:val="AMPRcharBoldBlue"/>
          <w:b w:val="0"/>
          <w:noProof/>
          <w:color w:val="auto"/>
          <w:spacing w:val="-1"/>
        </w:rPr>
      </w:pPr>
      <w:r>
        <w:rPr>
          <w:rStyle w:val="AMPRcharBoldBlue"/>
          <w:b w:val="0"/>
          <w:noProof/>
          <w:color w:val="auto"/>
          <w:spacing w:val="-1"/>
        </w:rPr>
        <w:t>In addition to these mechanisms, the guidance provided to implementing partners also help to prevent errors.</w:t>
      </w:r>
    </w:p>
    <w:p w:rsidR="00315B87" w:rsidRDefault="00C32692">
      <w:pPr>
        <w:pStyle w:val="AMPRBOXB-bgWHITElnBLUE-BLACKtext"/>
        <w:spacing w:after="100"/>
        <w:rPr>
          <w:rStyle w:val="AMPRcharBoldBlue"/>
          <w:noProof/>
        </w:rPr>
      </w:pPr>
      <w:r>
        <w:rPr>
          <w:rStyle w:val="AMPRcharBoldBlue"/>
          <w:noProof/>
        </w:rPr>
        <w:lastRenderedPageBreak/>
        <w:t>Detection and correction of errors affecting EU expenditure</w:t>
      </w:r>
    </w:p>
    <w:p w:rsidR="00315B87" w:rsidRDefault="00C32692">
      <w:pPr>
        <w:pStyle w:val="AMPRBOXB-bgWHITElnBLUE-BLACKtext"/>
        <w:spacing w:after="100"/>
        <w:rPr>
          <w:noProof/>
        </w:rPr>
      </w:pPr>
      <w:r>
        <w:rPr>
          <w:noProof/>
        </w:rPr>
        <w:t xml:space="preserve">Where preventive mechanisms have not been effective, it is important that errors affecting EU expenditure are </w:t>
      </w:r>
      <w:r>
        <w:rPr>
          <w:rStyle w:val="AMPRcharBoldBlue"/>
          <w:noProof/>
        </w:rPr>
        <w:t>detected</w:t>
      </w:r>
      <w:r>
        <w:rPr>
          <w:noProof/>
        </w:rPr>
        <w:t xml:space="preserve"> a posteriori, through controls on amounts the Commission has accepted and paid out (</w:t>
      </w:r>
      <w:r>
        <w:rPr>
          <w:i/>
          <w:noProof/>
        </w:rPr>
        <w:t>ex post</w:t>
      </w:r>
      <w:r>
        <w:rPr>
          <w:noProof/>
        </w:rPr>
        <w:t xml:space="preserve"> controls). </w:t>
      </w:r>
    </w:p>
    <w:p w:rsidR="00315B87" w:rsidRDefault="00C32692">
      <w:pPr>
        <w:pStyle w:val="AMPRBOXB-bgWHITElnBLUE-BLACKtext"/>
        <w:spacing w:after="100"/>
        <w:rPr>
          <w:noProof/>
        </w:rPr>
      </w:pPr>
      <w:r>
        <w:rPr>
          <w:noProof/>
        </w:rPr>
        <w:t xml:space="preserve">These errors are </w:t>
      </w:r>
      <w:r>
        <w:rPr>
          <w:rStyle w:val="AMPRcharBoldBlue"/>
          <w:noProof/>
        </w:rPr>
        <w:t>corrected</w:t>
      </w:r>
      <w:r>
        <w:rPr>
          <w:noProof/>
        </w:rPr>
        <w:t xml:space="preserve"> by the Commission during the same or in subsequent years, by way of financial corrections or replacement of ineligible expenditure in shared management, and recoveries from final recipients in direct and indirect management. </w:t>
      </w:r>
    </w:p>
    <w:p w:rsidR="00315B87" w:rsidRDefault="00C32692">
      <w:pPr>
        <w:pStyle w:val="AMPRBOXB-bgWHITElnBLUE-BLACKtext"/>
        <w:spacing w:after="100"/>
        <w:rPr>
          <w:noProof/>
        </w:rPr>
      </w:pPr>
      <w:r>
        <w:rPr>
          <w:noProof/>
        </w:rPr>
        <w:t>In 2019, the corrective measures confirmed amounted to EUR</w:t>
      </w:r>
      <w:r>
        <w:rPr>
          <w:rFonts w:ascii="Calibri" w:hAnsi="Calibri" w:cs="Calibri"/>
          <w:noProof/>
        </w:rPr>
        <w:t> </w:t>
      </w:r>
      <w:r>
        <w:rPr>
          <w:noProof/>
        </w:rPr>
        <w:t>1.5</w:t>
      </w:r>
      <w:r>
        <w:rPr>
          <w:rFonts w:ascii="Calibri" w:hAnsi="Calibri" w:cs="Calibri"/>
          <w:noProof/>
        </w:rPr>
        <w:t> </w:t>
      </w:r>
      <w:r>
        <w:rPr>
          <w:noProof/>
        </w:rPr>
        <w:t xml:space="preserve">billion (25% higher than in 2018). These relate mainly to errors affecting payments made in previous years. </w:t>
      </w:r>
    </w:p>
    <w:p w:rsidR="00315B87" w:rsidRDefault="00C32692">
      <w:pPr>
        <w:pStyle w:val="AMPRBOXB-bgWHITElnBLUE-BLACKtext"/>
        <w:spacing w:after="100"/>
        <w:rPr>
          <w:noProof/>
        </w:rPr>
      </w:pPr>
      <w:r>
        <w:rPr>
          <w:noProof/>
        </w:rPr>
        <w:t>In parallel, weaknesses in control systems, detected through risk-based system audits, are subsequently addressed and systems corrected to avoid recurrence of the same errors in the future. In the context of shared and indirect management, this is done in the first place by the implementing Member States and partners.</w:t>
      </w:r>
    </w:p>
    <w:p w:rsidR="00315B87" w:rsidRDefault="00C32692">
      <w:pPr>
        <w:pStyle w:val="AMPRBodyText"/>
        <w:rPr>
          <w:noProof/>
        </w:rPr>
      </w:pPr>
      <w:r>
        <w:rPr>
          <w:noProof/>
        </w:rPr>
        <w:t>For more information on the protection of the EU budget, see Annex</w:t>
      </w:r>
      <w:r>
        <w:rPr>
          <w:rFonts w:ascii="Calibri" w:hAnsi="Calibri" w:cs="Calibri"/>
          <w:noProof/>
        </w:rPr>
        <w:t> </w:t>
      </w:r>
      <w:r>
        <w:rPr>
          <w:noProof/>
        </w:rPr>
        <w:t>5.</w:t>
      </w:r>
    </w:p>
    <w:p w:rsidR="00315B87" w:rsidRDefault="00C32692">
      <w:pPr>
        <w:pStyle w:val="AMPRSec2TITLE4"/>
        <w:spacing w:before="480"/>
        <w:rPr>
          <w:noProof/>
        </w:rPr>
      </w:pPr>
      <w:r>
        <w:rPr>
          <w:noProof/>
        </w:rPr>
        <w:t>A reliance on implementing partners’ control systems</w:t>
      </w:r>
    </w:p>
    <w:p w:rsidR="00315B87" w:rsidRDefault="00C32692">
      <w:pPr>
        <w:pStyle w:val="AMPRBodyText"/>
        <w:rPr>
          <w:noProof/>
        </w:rPr>
      </w:pPr>
      <w:r>
        <w:rPr>
          <w:noProof/>
        </w:rPr>
        <w:t xml:space="preserve">Almost 80% of the budget is implemented in </w:t>
      </w:r>
      <w:r>
        <w:rPr>
          <w:rStyle w:val="AMPRcharBoldBlue"/>
          <w:noProof/>
        </w:rPr>
        <w:t>cooperation with the Member States and entrusted entities as implementing partners</w:t>
      </w:r>
      <w:r>
        <w:rPr>
          <w:noProof/>
        </w:rPr>
        <w:t xml:space="preserve"> (see second table in Section 2.1.1). It is thus important to check that these partners demonstrate a level of protection of the EU financial interests equivalent to that achieved when the Commission manages the budget itself. To this end, the Commission carries out an assessment of the systems, rules and procedures of the persons or entities implementing EU funds. This concerns in particular the assessment of the Member States’ and entrusted entities’ management and control systems through system audits accompanied by substantive testing on expenditure and other types of verifications called pillar assessments or designation procedures before the partner is entrusted with implementing the EU budget on behalf of the Commission. </w:t>
      </w:r>
    </w:p>
    <w:p w:rsidR="00315B87" w:rsidRDefault="00C32692">
      <w:pPr>
        <w:pStyle w:val="AMPRBodyText"/>
        <w:rPr>
          <w:noProof/>
        </w:rPr>
      </w:pPr>
      <w:r>
        <w:rPr>
          <w:noProof/>
        </w:rPr>
        <w:t xml:space="preserve">In </w:t>
      </w:r>
      <w:r>
        <w:rPr>
          <w:rStyle w:val="AMPRcharBoldBlue"/>
          <w:noProof/>
        </w:rPr>
        <w:t>indirect management</w:t>
      </w:r>
      <w:r>
        <w:rPr>
          <w:noProof/>
        </w:rPr>
        <w:t>, each year the partners report on the sound financial management of the entrusted budget through a management declaration. This is the basis upon which the related Commission departments are able to build their assurance in this management and control environment.</w:t>
      </w:r>
    </w:p>
    <w:p w:rsidR="00315B87" w:rsidRDefault="00C32692">
      <w:pPr>
        <w:pStyle w:val="AMPRBodyText"/>
        <w:rPr>
          <w:noProof/>
        </w:rPr>
      </w:pPr>
      <w:r>
        <w:rPr>
          <w:noProof/>
        </w:rPr>
        <w:t xml:space="preserve">The Commission is currently working on setting up an automated workflow for the different verifications, encompassing the whole process. Such a tool would ensure that all the necessary phases allowing an entity to qualify for working with the Commission in indirect management take place in a centralised, coherent and coordinated manner. </w:t>
      </w:r>
    </w:p>
    <w:p w:rsidR="00315B87" w:rsidRDefault="00C32692">
      <w:pPr>
        <w:pStyle w:val="AMPRBodyText"/>
        <w:rPr>
          <w:noProof/>
        </w:rPr>
      </w:pPr>
      <w:r>
        <w:rPr>
          <w:noProof/>
        </w:rPr>
        <w:t xml:space="preserve">In the area of </w:t>
      </w:r>
      <w:r>
        <w:rPr>
          <w:rStyle w:val="AMPRcharBoldBlue"/>
          <w:noProof/>
        </w:rPr>
        <w:t>shared management</w:t>
      </w:r>
      <w:r>
        <w:rPr>
          <w:noProof/>
        </w:rPr>
        <w:t>, Member States report each year on their controls on the use of EU funds at national level and on the sound financial management of their respective programmes through an assurance package, containing a management declaration, an annual summary of the verifications carried out and an annual control report containing an error rate based on representative samples and an audit opinion on the legality and regularity of the expenditure. This reporting is the basis for the Commission’s acceptance of programme accounts and for enabling the related Commission departments to build their assurance. It is also used for determining the potential risks to the EU budget, as well as for identifying weaknesses and the areas where further checks are needed.</w:t>
      </w:r>
    </w:p>
    <w:p w:rsidR="00315B87" w:rsidRDefault="00C32692">
      <w:pPr>
        <w:pStyle w:val="AMPRBodyText"/>
        <w:rPr>
          <w:noProof/>
        </w:rPr>
      </w:pPr>
      <w:r>
        <w:rPr>
          <w:noProof/>
        </w:rPr>
        <w:t>Best practice on internal control matters is shared with and among Member States in the framework of the networks for structural and agricultural funds as well as the public internal control network, led by the Commission.</w:t>
      </w:r>
    </w:p>
    <w:p w:rsidR="00315B87" w:rsidRDefault="00C32692">
      <w:pPr>
        <w:rPr>
          <w:noProof/>
          <w:color w:val="000000"/>
          <w:szCs w:val="20"/>
        </w:rPr>
      </w:pPr>
      <w:r>
        <w:rPr>
          <w:noProof/>
        </w:rPr>
        <w:br w:type="page"/>
      </w:r>
    </w:p>
    <w:p w:rsidR="00315B87" w:rsidRDefault="00C32692">
      <w:pPr>
        <w:pStyle w:val="AMPRBodyText"/>
        <w:rPr>
          <w:noProof/>
        </w:rPr>
      </w:pPr>
      <w:r>
        <w:rPr>
          <w:noProof/>
        </w:rPr>
        <w:lastRenderedPageBreak/>
        <w:t>Furthermore, the Commission has put forward a proposal</w:t>
      </w:r>
      <w:r>
        <w:rPr>
          <w:rStyle w:val="fnRef"/>
          <w:rFonts w:ascii="Arial" w:hAnsi="Arial" w:cs="Arial"/>
          <w:noProof/>
        </w:rPr>
        <w:t> </w:t>
      </w:r>
      <w:r>
        <w:rPr>
          <w:rStyle w:val="fnRef"/>
          <w:noProof/>
        </w:rPr>
        <w:t>(</w:t>
      </w:r>
      <w:r>
        <w:rPr>
          <w:rStyle w:val="fnRefNo"/>
          <w:noProof/>
        </w:rPr>
        <w:footnoteReference w:id="9"/>
      </w:r>
      <w:r>
        <w:rPr>
          <w:rStyle w:val="fnRef"/>
          <w:noProof/>
        </w:rPr>
        <w:t>)</w:t>
      </w:r>
      <w:r>
        <w:rPr>
          <w:noProof/>
        </w:rPr>
        <w:t xml:space="preserve"> to protect the EU budget in case of generalised deficiencies as regards the rule of law in the Member States. This proposal, an integral part of the future multiannual financial framework, is subject to ongoing negotiations in the European Parliament and the Council. </w:t>
      </w:r>
    </w:p>
    <w:p w:rsidR="00315B87" w:rsidRDefault="00C32692">
      <w:pPr>
        <w:pStyle w:val="AMPRBodyText"/>
        <w:rPr>
          <w:noProof/>
        </w:rPr>
      </w:pPr>
      <w:r>
        <w:rPr>
          <w:noProof/>
        </w:rPr>
        <w:t>The Commission is also working with the Member States to facilitate the understanding and implementation of the reinforced rules on conflict of interest in force since the entry into application of the revised financial regulation on 2</w:t>
      </w:r>
      <w:r>
        <w:rPr>
          <w:rFonts w:ascii="Calibri" w:hAnsi="Calibri" w:cs="Calibri"/>
          <w:noProof/>
        </w:rPr>
        <w:t> </w:t>
      </w:r>
      <w:r>
        <w:rPr>
          <w:noProof/>
        </w:rPr>
        <w:t>August</w:t>
      </w:r>
      <w:r>
        <w:rPr>
          <w:rFonts w:ascii="Calibri" w:hAnsi="Calibri" w:cs="Calibri"/>
          <w:noProof/>
        </w:rPr>
        <w:t> </w:t>
      </w:r>
      <w:r>
        <w:rPr>
          <w:noProof/>
        </w:rPr>
        <w:t>2018. It is also monitoring all the allegations brought to its attention in this context.</w:t>
      </w:r>
    </w:p>
    <w:p w:rsidR="00315B87" w:rsidRDefault="00C32692">
      <w:pPr>
        <w:pStyle w:val="AMPRSec2TITLE4"/>
        <w:spacing w:before="480"/>
        <w:rPr>
          <w:noProof/>
        </w:rPr>
      </w:pPr>
      <w:r>
        <w:rPr>
          <w:noProof/>
        </w:rPr>
        <w:t>The cost-effectiveness of controls</w:t>
      </w:r>
    </w:p>
    <w:p w:rsidR="00315B87" w:rsidRDefault="00C32692">
      <w:pPr>
        <w:pStyle w:val="AMPRBodyText"/>
        <w:rPr>
          <w:i/>
          <w:iCs/>
          <w:noProof/>
          <w:color w:val="221E1F"/>
          <w:sz w:val="16"/>
          <w:szCs w:val="16"/>
        </w:rPr>
      </w:pPr>
      <w:r>
        <w:rPr>
          <w:noProof/>
          <w:lang w:val="fr-BE" w:eastAsia="fr-BE"/>
        </w:rPr>
        <mc:AlternateContent>
          <mc:Choice Requires="wpg">
            <w:drawing>
              <wp:anchor distT="0" distB="0" distL="114300" distR="114300" simplePos="0" relativeHeight="251666432" behindDoc="0" locked="0" layoutInCell="1" allowOverlap="1">
                <wp:simplePos x="0" y="0"/>
                <wp:positionH relativeFrom="column">
                  <wp:posOffset>-2263956</wp:posOffset>
                </wp:positionH>
                <wp:positionV relativeFrom="paragraph">
                  <wp:posOffset>552714</wp:posOffset>
                </wp:positionV>
                <wp:extent cx="1931035" cy="1238151"/>
                <wp:effectExtent l="0" t="0" r="0" b="635"/>
                <wp:wrapNone/>
                <wp:docPr id="227" name="Group 227"/>
                <wp:cNvGraphicFramePr/>
                <a:graphic xmlns:a="http://schemas.openxmlformats.org/drawingml/2006/main">
                  <a:graphicData uri="http://schemas.microsoft.com/office/word/2010/wordprocessingGroup">
                    <wpg:wgp>
                      <wpg:cNvGrpSpPr/>
                      <wpg:grpSpPr>
                        <a:xfrm>
                          <a:off x="0" y="0"/>
                          <a:ext cx="1931035" cy="1238151"/>
                          <a:chOff x="179057" y="72853"/>
                          <a:chExt cx="2351266" cy="1507562"/>
                        </a:xfrm>
                      </wpg:grpSpPr>
                      <wps:wsp>
                        <wps:cNvPr id="228" name="Text Box 228"/>
                        <wps:cNvSpPr txBox="1"/>
                        <wps:spPr>
                          <a:xfrm>
                            <a:off x="1673708" y="1312407"/>
                            <a:ext cx="856615" cy="267970"/>
                          </a:xfrm>
                          <a:prstGeom prst="rect">
                            <a:avLst/>
                          </a:prstGeom>
                          <a:noFill/>
                          <a:ln w="6350">
                            <a:noFill/>
                          </a:ln>
                        </wps:spPr>
                        <wps:txbx>
                          <w:txbxContent>
                            <w:p w:rsidR="00315B87" w:rsidRDefault="00C32692">
                              <w:pPr>
                                <w:rPr>
                                  <w:rFonts w:cstheme="minorHAnsi"/>
                                  <w:b/>
                                  <w:color w:val="005D95"/>
                                  <w:sz w:val="16"/>
                                  <w:szCs w:val="16"/>
                                </w:rPr>
                              </w:pPr>
                              <w:r>
                                <w:rPr>
                                  <w:b/>
                                  <w:color w:val="005D95"/>
                                  <w:sz w:val="16"/>
                                  <w:szCs w:val="16"/>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818031" y="72853"/>
                            <a:ext cx="1239976" cy="281273"/>
                          </a:xfrm>
                          <a:prstGeom prst="rect">
                            <a:avLst/>
                          </a:prstGeom>
                          <a:noFill/>
                          <a:ln w="6350">
                            <a:noFill/>
                          </a:ln>
                        </wps:spPr>
                        <wps:txbx>
                          <w:txbxContent>
                            <w:p w:rsidR="00315B87" w:rsidRDefault="00C32692">
                              <w:pPr>
                                <w:rPr>
                                  <w:rFonts w:cstheme="minorHAnsi"/>
                                  <w:b/>
                                  <w:color w:val="005D95"/>
                                  <w:sz w:val="16"/>
                                  <w:szCs w:val="16"/>
                                </w:rPr>
                              </w:pPr>
                              <w:r>
                                <w:rPr>
                                  <w:b/>
                                  <w:color w:val="005D95"/>
                                  <w:sz w:val="16"/>
                                  <w:szCs w:val="16"/>
                                </w:rPr>
                                <w:t>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179057" y="1312445"/>
                            <a:ext cx="1067436" cy="267970"/>
                          </a:xfrm>
                          <a:prstGeom prst="rect">
                            <a:avLst/>
                          </a:prstGeom>
                          <a:noFill/>
                          <a:ln w="6350">
                            <a:noFill/>
                          </a:ln>
                        </wps:spPr>
                        <wps:txbx>
                          <w:txbxContent>
                            <w:p w:rsidR="00315B87" w:rsidRDefault="00C32692">
                              <w:pPr>
                                <w:rPr>
                                  <w:rFonts w:cstheme="minorHAnsi"/>
                                  <w:b/>
                                  <w:color w:val="005D95"/>
                                  <w:sz w:val="16"/>
                                  <w:szCs w:val="16"/>
                                </w:rPr>
                              </w:pPr>
                              <w:r>
                                <w:rPr>
                                  <w:b/>
                                  <w:color w:val="005D95"/>
                                  <w:sz w:val="16"/>
                                  <w:szCs w:val="16"/>
                                </w:rPr>
                                <w:t>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983343" y="866376"/>
                            <a:ext cx="855856" cy="646339"/>
                          </a:xfrm>
                          <a:prstGeom prst="rect">
                            <a:avLst/>
                          </a:prstGeom>
                          <a:noFill/>
                          <a:ln w="6350">
                            <a:noFill/>
                          </a:ln>
                        </wps:spPr>
                        <wps:txbx>
                          <w:txbxContent>
                            <w:p w:rsidR="00315B87" w:rsidRDefault="00C32692">
                              <w:pPr>
                                <w:spacing w:line="200" w:lineRule="exact"/>
                                <w:jc w:val="center"/>
                                <w:rPr>
                                  <w:rFonts w:ascii="EC Square Sans Pro Medium" w:hAnsi="EC Square Sans Pro Medium" w:cstheme="minorHAnsi"/>
                                  <w:color w:val="FFFFFF" w:themeColor="background1"/>
                                  <w:sz w:val="16"/>
                                  <w:szCs w:val="16"/>
                                </w:rPr>
                              </w:pPr>
                              <w:r>
                                <w:rPr>
                                  <w:rFonts w:ascii="EC Square Sans Pro Medium" w:hAnsi="EC Square Sans Pro Medium" w:cstheme="minorHAnsi"/>
                                  <w:color w:val="FFFFFF" w:themeColor="background1"/>
                                  <w:sz w:val="16"/>
                                  <w:szCs w:val="16"/>
                                </w:rPr>
                                <w:t>Cost-effective-ness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7" o:spid="_x0000_s1027" style="position:absolute;left:0;text-align:left;margin-left:-178.25pt;margin-top:43.5pt;width:152.05pt;height:97.5pt;z-index:251666432;mso-width-relative:margin;mso-height-relative:margin" coordorigin="1790,728" coordsize="23512,1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">
                <v:shape id="Text Box 228" o:spid="_x0000_s1028" type="#_x0000_t202" style="position:absolute;left:16737;top:13124;width:856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rsidR="00315B87" w:rsidRDefault="00C32692">
                        <w:pPr>
                          <w:rPr>
                            <w:rFonts w:cstheme="minorHAnsi"/>
                            <w:b/>
                            <w:color w:val="005D95"/>
                            <w:sz w:val="16"/>
                            <w:szCs w:val="16"/>
                          </w:rPr>
                        </w:pPr>
                        <w:r>
                          <w:rPr>
                            <w:b/>
                            <w:color w:val="005D95"/>
                            <w:sz w:val="16"/>
                            <w:szCs w:val="16"/>
                          </w:rPr>
                          <w:t>ECONOMY</w:t>
                        </w:r>
                      </w:p>
                    </w:txbxContent>
                  </v:textbox>
                </v:shape>
                <v:shape id="Text Box 229" o:spid="_x0000_s1029" type="#_x0000_t202" style="position:absolute;left:8180;top:728;width:1240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rsidR="00315B87" w:rsidRDefault="00C32692">
                        <w:pPr>
                          <w:rPr>
                            <w:rFonts w:cstheme="minorHAnsi"/>
                            <w:b/>
                            <w:color w:val="005D95"/>
                            <w:sz w:val="16"/>
                            <w:szCs w:val="16"/>
                          </w:rPr>
                        </w:pPr>
                        <w:r>
                          <w:rPr>
                            <w:b/>
                            <w:color w:val="005D95"/>
                            <w:sz w:val="16"/>
                            <w:szCs w:val="16"/>
                          </w:rPr>
                          <w:t>EFFECTIVENESS</w:t>
                        </w:r>
                      </w:p>
                    </w:txbxContent>
                  </v:textbox>
                </v:shape>
                <v:shape id="Text Box 230" o:spid="_x0000_s1030" type="#_x0000_t202" style="position:absolute;left:1790;top:13124;width:1067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rsidR="00315B87" w:rsidRDefault="00C32692">
                        <w:pPr>
                          <w:rPr>
                            <w:rFonts w:cstheme="minorHAnsi"/>
                            <w:b/>
                            <w:color w:val="005D95"/>
                            <w:sz w:val="16"/>
                            <w:szCs w:val="16"/>
                          </w:rPr>
                        </w:pPr>
                        <w:r>
                          <w:rPr>
                            <w:b/>
                            <w:color w:val="005D95"/>
                            <w:sz w:val="16"/>
                            <w:szCs w:val="16"/>
                          </w:rPr>
                          <w:t>EFFICIENCY</w:t>
                        </w:r>
                      </w:p>
                    </w:txbxContent>
                  </v:textbox>
                </v:shape>
                <v:shape id="Text Box 231" o:spid="_x0000_s1031" type="#_x0000_t202" style="position:absolute;left:9833;top:8663;width:8558;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rsidR="00315B87" w:rsidRDefault="00C32692">
                        <w:pPr>
                          <w:spacing w:line="200" w:lineRule="exact"/>
                          <w:jc w:val="center"/>
                          <w:rPr>
                            <w:rFonts w:ascii="EC Square Sans Pro Medium" w:hAnsi="EC Square Sans Pro Medium" w:cstheme="minorHAnsi"/>
                            <w:color w:val="FFFFFF" w:themeColor="background1"/>
                            <w:sz w:val="16"/>
                            <w:szCs w:val="16"/>
                          </w:rPr>
                        </w:pPr>
                        <w:r>
                          <w:rPr>
                            <w:rFonts w:ascii="EC Square Sans Pro Medium" w:hAnsi="EC Square Sans Pro Medium" w:cstheme="minorHAnsi"/>
                            <w:color w:val="FFFFFF" w:themeColor="background1"/>
                            <w:sz w:val="16"/>
                            <w:szCs w:val="16"/>
                          </w:rPr>
                          <w:t>Cost-effective-ness</w:t>
                        </w:r>
                      </w:p>
                    </w:txbxContent>
                  </v:textbox>
                </v:shape>
              </v:group>
            </w:pict>
          </mc:Fallback>
        </mc:AlternateContent>
      </w:r>
      <w:r>
        <w:rPr>
          <w:noProof/>
          <w:lang w:val="fr-BE" w:eastAsia="fr-BE"/>
        </w:rPr>
        <w:drawing>
          <wp:anchor distT="71755" distB="215900" distL="114300" distR="114300" simplePos="0" relativeHeight="251649024" behindDoc="0" locked="0" layoutInCell="1" allowOverlap="1">
            <wp:simplePos x="0" y="0"/>
            <wp:positionH relativeFrom="column">
              <wp:posOffset>-1905</wp:posOffset>
            </wp:positionH>
            <wp:positionV relativeFrom="paragraph">
              <wp:posOffset>152342</wp:posOffset>
            </wp:positionV>
            <wp:extent cx="2296800" cy="2296800"/>
            <wp:effectExtent l="0" t="0" r="0" b="0"/>
            <wp:wrapSquare wrapText="bothSides"/>
            <wp:docPr id="226" name="Picture 226" descr="control-systems_red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rol-systems_reddis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800" cy="229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All Commission departments apply the </w:t>
      </w:r>
      <w:r>
        <w:rPr>
          <w:rStyle w:val="AMPRcharBoldBlue"/>
          <w:noProof/>
        </w:rPr>
        <w:t>common control features</w:t>
      </w:r>
      <w:r>
        <w:rPr>
          <w:noProof/>
        </w:rPr>
        <w:t xml:space="preserve"> described above, by which preventive and corrective measures are applied on a multiannual basis at the level of specific programmes or other expenditure segments. However, as seen in Section</w:t>
      </w:r>
      <w:r>
        <w:rPr>
          <w:rFonts w:ascii="Calibri" w:hAnsi="Calibri" w:cs="Calibri"/>
          <w:noProof/>
        </w:rPr>
        <w:t> </w:t>
      </w:r>
      <w:r>
        <w:rPr>
          <w:rFonts w:asciiTheme="minorHAnsi" w:hAnsiTheme="minorHAnsi" w:cs="Calibri"/>
          <w:noProof/>
        </w:rPr>
        <w:t>2.</w:t>
      </w:r>
      <w:r>
        <w:rPr>
          <w:noProof/>
        </w:rPr>
        <w:t xml:space="preserve">1.1, individual spending programmes may be very diverse and therefore </w:t>
      </w:r>
      <w:r>
        <w:rPr>
          <w:rStyle w:val="AMPRcharBoldBlue"/>
          <w:noProof/>
        </w:rPr>
        <w:t>control strategies need to be adapted</w:t>
      </w:r>
      <w:r>
        <w:rPr>
          <w:noProof/>
        </w:rPr>
        <w:t xml:space="preserve"> to different management modes, policy areas and/or funding modalities and their associated risks. Such differentiation of the control strategies is needed to ensure that the controls remain </w:t>
      </w:r>
      <w:r>
        <w:rPr>
          <w:rStyle w:val="AMPRcharBoldBlue"/>
          <w:noProof/>
        </w:rPr>
        <w:t>cost-effective</w:t>
      </w:r>
      <w:r>
        <w:rPr>
          <w:noProof/>
        </w:rPr>
        <w:t>, i.e. that they strike the right balance between a low level of errors (effectiveness), fast payments (efficiency) and reasonable costs (economy). Riskier areas will trigger a higher level of scrutiny and/or frequency of controls, whereas low-risk areas should lead to less intensive, costly or burdensome controls. Also, the actual recovery potential of unduly spent EU funds will be considered when setting up the control strategy (e.g. the cost-benefit analysis of on-site</w:t>
      </w:r>
      <w:r>
        <w:rPr>
          <w:rFonts w:ascii="Calibri" w:hAnsi="Calibri" w:cs="Calibri"/>
          <w:noProof/>
        </w:rPr>
        <w:t xml:space="preserve"> </w:t>
      </w:r>
      <w:r>
        <w:rPr>
          <w:noProof/>
        </w:rPr>
        <w:t>audits).</w:t>
      </w:r>
      <w:r>
        <w:rPr>
          <w:noProof/>
          <w:color w:val="FF0000"/>
        </w:rPr>
        <w:t xml:space="preserve"> </w:t>
      </w:r>
    </w:p>
    <w:p w:rsidR="00315B87" w:rsidRDefault="00C32692">
      <w:pPr>
        <w:pStyle w:val="AMPRSec2TITLE4"/>
        <w:spacing w:before="480"/>
        <w:rPr>
          <w:noProof/>
        </w:rPr>
      </w:pPr>
      <w:r>
        <w:rPr>
          <w:noProof/>
        </w:rPr>
        <w:t>The Commission and the Court of Auditors: different roles lead to different control approaches</w:t>
      </w:r>
    </w:p>
    <w:p w:rsidR="00315B87" w:rsidRDefault="00C32692">
      <w:pPr>
        <w:pStyle w:val="AMPRBodyText"/>
        <w:rPr>
          <w:noProof/>
        </w:rPr>
      </w:pPr>
      <w:r>
        <w:rPr>
          <w:noProof/>
        </w:rPr>
        <w:t xml:space="preserve">The Commission and the Court of Auditors play different roles in the control chain of the EU budget and therefore their control approaches differ considerably. The Commission’s duty as manager of the EU budget is to prevent and, if necessary, to correct errors and recover unduly spent funds. This requires a detailed bottom-up assessment of the control systems to identify where the weaknesses are, so that targeted corrective measures can be taken at programme level or even at the level of the implementing partners. On the other hand, the role of the Court of Auditors is to provide an annual audit opinion on the legality and regularity of EU spending as a whole, which may be supplemented by specific assessments of major areas of the EU budget (see comparative table on the next page). Therefore, although both institutions converge on several concepts, the Commission’s methodology differs duly from that of the Court. </w:t>
      </w:r>
    </w:p>
    <w:p w:rsidR="00315B87" w:rsidRDefault="00C32692">
      <w:pPr>
        <w:pStyle w:val="AMPRBodyText"/>
        <w:rPr>
          <w:noProof/>
        </w:rPr>
      </w:pPr>
      <w:r>
        <w:rPr>
          <w:noProof/>
        </w:rPr>
        <w:t xml:space="preserve">These approaches can lead to differences between the error rates reported by the Court of Auditors and by the Commission. In particular, when the Court of Auditors detects procurement errors and/or the late availability of supporting documents for grants, in a (few) sampled transaction(s), it extrapolates the impact to the whole heading or to the whole EU budget, which often amplifies the importance of such errors. Given its more detailed segmentation of expenditure according to risk profiles and control systems, the Commission, when detecting such errors, is able to extrapolate them more precisely to the population that is most likely to be affected. It is thus able to give a more nuanced view of the level of error across the payments made and to clearly identify the areas where improvements are needed. </w:t>
      </w:r>
      <w:r>
        <w:rPr>
          <w:noProof/>
        </w:rPr>
        <w:br w:type="page"/>
      </w:r>
    </w:p>
    <w:p w:rsidR="00315B87" w:rsidRPr="00613A00" w:rsidRDefault="00C32692">
      <w:pPr>
        <w:pStyle w:val="AMPRBodyText"/>
        <w:rPr>
          <w:noProof/>
          <w:color w:val="auto"/>
        </w:rPr>
      </w:pPr>
      <w:r>
        <w:rPr>
          <w:noProof/>
        </w:rPr>
        <w:lastRenderedPageBreak/>
        <w:t>Some examples of these differences are given in the box below.</w:t>
      </w:r>
    </w:p>
    <w:p w:rsidR="00315B87" w:rsidRPr="00613A00" w:rsidRDefault="00C32692">
      <w:pPr>
        <w:pStyle w:val="AMPRBOXA-bgWHITElnORANGE-BLUEHeading"/>
        <w:rPr>
          <w:noProof/>
          <w:color w:val="2F5496" w:themeColor="accent5" w:themeShade="BF"/>
        </w:rPr>
      </w:pPr>
      <w:r>
        <w:rPr>
          <w:noProof/>
        </w:rPr>
        <w:t>Natural resources</w:t>
      </w:r>
    </w:p>
    <w:p w:rsidR="00315B87" w:rsidRDefault="00C32692">
      <w:pPr>
        <w:pStyle w:val="AMPRBOXA-bgWHITElnORANGE-BLUEtext"/>
        <w:rPr>
          <w:noProof/>
        </w:rPr>
      </w:pPr>
      <w:r>
        <w:rPr>
          <w:noProof/>
        </w:rPr>
        <w:t xml:space="preserve">In 2018, the Court of Auditors found errors in three of the six transactions sampled related to the </w:t>
      </w:r>
      <w:r>
        <w:rPr>
          <w:b/>
          <w:noProof/>
        </w:rPr>
        <w:t>European Maritime and Fisheries Fund</w:t>
      </w:r>
      <w:r>
        <w:rPr>
          <w:noProof/>
        </w:rPr>
        <w:t xml:space="preserve">. This fund being covered by the ‘Natural resources’ heading, the Court of Auditors extrapolated the errors to the entire heading, even though fisheries account for only </w:t>
      </w:r>
      <w:r>
        <w:rPr>
          <w:b/>
          <w:noProof/>
        </w:rPr>
        <w:t>1.3%</w:t>
      </w:r>
      <w:r>
        <w:rPr>
          <w:noProof/>
        </w:rPr>
        <w:t xml:space="preserve"> of the spending under this heading, and despite the fact that their </w:t>
      </w:r>
      <w:r>
        <w:rPr>
          <w:rStyle w:val="AMPRcharBoldBlue"/>
          <w:noProof/>
        </w:rPr>
        <w:t>management and control systems differ from those for spending on the common agricultural policy</w:t>
      </w:r>
      <w:r>
        <w:rPr>
          <w:noProof/>
        </w:rPr>
        <w:t>. The Commission applies a higher level of granularity to the extrapolation of errors.</w:t>
      </w:r>
    </w:p>
    <w:p w:rsidR="00315B87" w:rsidRDefault="00C32692">
      <w:pPr>
        <w:pStyle w:val="AMPRBOXA-bgWHITElnORANGE-BLUEtext"/>
        <w:rPr>
          <w:noProof/>
          <w:color w:val="2F5496" w:themeColor="accent5" w:themeShade="BF"/>
        </w:rPr>
      </w:pPr>
      <w:r>
        <w:rPr>
          <w:noProof/>
        </w:rPr>
        <w:t>Indeed</w:t>
      </w:r>
      <w:r>
        <w:rPr>
          <w:rStyle w:val="AMPRcharBoldBlue"/>
          <w:noProof/>
        </w:rPr>
        <w:t>, the European Maritime and Fisheries Fund is part of the Structural Funds</w:t>
      </w:r>
      <w:r>
        <w:rPr>
          <w:noProof/>
        </w:rPr>
        <w:t xml:space="preserve"> and follows an identical management and control cycle to that of spending in the context of cohesion. For cohesion, the Court of Auditors assesses the legality and regularity of transactions after the annual clearing of accounts, i.e. once all </w:t>
      </w:r>
      <w:r>
        <w:rPr>
          <w:i/>
          <w:noProof/>
        </w:rPr>
        <w:t>ex ante</w:t>
      </w:r>
      <w:r>
        <w:rPr>
          <w:noProof/>
        </w:rPr>
        <w:t xml:space="preserve"> controls have been completed. This is in line with the Commission’s methodology for all expenditure under the Structural Funds, whereas for the audited transactions under fisheries the</w:t>
      </w:r>
      <w:r>
        <w:rPr>
          <w:noProof/>
          <w:color w:val="FF0000"/>
        </w:rPr>
        <w:t xml:space="preserve"> </w:t>
      </w:r>
      <w:r>
        <w:rPr>
          <w:noProof/>
        </w:rPr>
        <w:t xml:space="preserve">Court of Auditors’ findings were made before the completion of all </w:t>
      </w:r>
      <w:r>
        <w:rPr>
          <w:i/>
          <w:noProof/>
        </w:rPr>
        <w:t>ex ante</w:t>
      </w:r>
      <w:r>
        <w:rPr>
          <w:noProof/>
        </w:rPr>
        <w:t xml:space="preserve"> controls and could still have been corrected before the Commission’s payments.</w:t>
      </w:r>
    </w:p>
    <w:p w:rsidR="00315B87" w:rsidRDefault="00C32692">
      <w:pPr>
        <w:pStyle w:val="AMPRBOXA-bgWHITElnORANGE-BLUEHeading"/>
        <w:rPr>
          <w:noProof/>
        </w:rPr>
      </w:pPr>
      <w:r>
        <w:rPr>
          <w:noProof/>
        </w:rPr>
        <w:t>Cohesion</w:t>
      </w:r>
    </w:p>
    <w:p w:rsidR="00315B87" w:rsidRDefault="00C32692">
      <w:pPr>
        <w:pStyle w:val="AMPRBOXA-bgWHITElnORANGE-BLUEtext"/>
        <w:rPr>
          <w:noProof/>
        </w:rPr>
      </w:pPr>
      <w:r>
        <w:rPr>
          <w:noProof/>
        </w:rPr>
        <w:t xml:space="preserve">Whilst the Court of Auditors and the Commission share the same view on the main causes of errors in spending under cohesion, in some cases </w:t>
      </w:r>
      <w:r>
        <w:rPr>
          <w:b/>
          <w:noProof/>
        </w:rPr>
        <w:t xml:space="preserve">the Court of Auditors has diverging and more restrictive interpretations </w:t>
      </w:r>
      <w:r>
        <w:rPr>
          <w:noProof/>
        </w:rPr>
        <w:t>of applicable national or EU rules. This has an impact on the calculated error rate, which once extrapolated amplifies the error rate for the whole heading.</w:t>
      </w:r>
    </w:p>
    <w:p w:rsidR="00315B87" w:rsidRDefault="00C32692">
      <w:pPr>
        <w:pStyle w:val="AMPRBOXA-bgWHITElnORANGE-BLUEtext"/>
        <w:rPr>
          <w:i/>
          <w:noProof/>
        </w:rPr>
      </w:pPr>
      <w:r>
        <w:rPr>
          <w:noProof/>
        </w:rPr>
        <w:t xml:space="preserve">Beyond the interpretation of applicable rules, the Court of Auditors’ </w:t>
      </w:r>
      <w:r>
        <w:rPr>
          <w:b/>
          <w:bCs/>
          <w:iCs/>
          <w:noProof/>
        </w:rPr>
        <w:t>quantification of errors ‘</w:t>
      </w:r>
      <w:r>
        <w:rPr>
          <w:b/>
          <w:noProof/>
        </w:rPr>
        <w:t>may differ</w:t>
      </w:r>
      <w:r>
        <w:rPr>
          <w:noProof/>
        </w:rPr>
        <w:t xml:space="preserve"> from that used by the Commission or Member States</w:t>
      </w:r>
      <w:r>
        <w:rPr>
          <w:noProof/>
          <w:color w:val="2F5496" w:themeColor="accent5" w:themeShade="BF"/>
          <w:lang w:eastAsia="en-GB"/>
        </w:rPr>
        <w:t xml:space="preserve"> </w:t>
      </w:r>
      <w:r>
        <w:rPr>
          <w:noProof/>
        </w:rPr>
        <w:t xml:space="preserve">when deciding how to respond to the misapplication of the public procurement </w:t>
      </w:r>
      <w:r>
        <w:rPr>
          <w:iCs/>
          <w:noProof/>
        </w:rPr>
        <w:t>rules’</w:t>
      </w:r>
      <w:r>
        <w:rPr>
          <w:rStyle w:val="fnRef"/>
          <w:rFonts w:ascii="Arial" w:hAnsi="Arial" w:cs="Arial"/>
          <w:noProof/>
        </w:rPr>
        <w:t> </w:t>
      </w:r>
      <w:r>
        <w:rPr>
          <w:rStyle w:val="fnRef"/>
          <w:noProof/>
        </w:rPr>
        <w:t>(</w:t>
      </w:r>
      <w:r>
        <w:rPr>
          <w:rStyle w:val="fnRefNo"/>
          <w:noProof/>
        </w:rPr>
        <w:footnoteReference w:id="10"/>
      </w:r>
      <w:r>
        <w:rPr>
          <w:rStyle w:val="fnRef"/>
          <w:noProof/>
        </w:rPr>
        <w:t>)</w:t>
      </w:r>
      <w:r>
        <w:rPr>
          <w:iCs/>
          <w:noProof/>
        </w:rPr>
        <w:t>.</w:t>
      </w:r>
      <w:r>
        <w:rPr>
          <w:i/>
          <w:iCs/>
          <w:noProof/>
        </w:rPr>
        <w:t xml:space="preserve"> </w:t>
      </w:r>
      <w:r>
        <w:rPr>
          <w:iCs/>
          <w:noProof/>
        </w:rPr>
        <w:t>The Court of Auditors systematically quantifies errors in public procurement procedures at 100%. The Commission, however, will assess the actual financial impact based on its legal interpretations and guidance</w:t>
      </w:r>
      <w:r>
        <w:rPr>
          <w:rStyle w:val="fnRef"/>
          <w:rFonts w:ascii="Arial" w:hAnsi="Arial" w:cs="Arial"/>
          <w:noProof/>
        </w:rPr>
        <w:t> </w:t>
      </w:r>
      <w:r>
        <w:rPr>
          <w:rStyle w:val="fnRef"/>
          <w:noProof/>
        </w:rPr>
        <w:t>(</w:t>
      </w:r>
      <w:r>
        <w:rPr>
          <w:rStyle w:val="fnRefNo"/>
          <w:noProof/>
        </w:rPr>
        <w:footnoteReference w:id="11"/>
      </w:r>
      <w:r>
        <w:rPr>
          <w:rStyle w:val="fnRef"/>
          <w:noProof/>
        </w:rPr>
        <w:t>)</w:t>
      </w:r>
      <w:r>
        <w:rPr>
          <w:iCs/>
          <w:noProof/>
        </w:rPr>
        <w:t>, i.e. a financial correction of 100% would not be considered proportionate by the Commission for such a breach. Likewise, the Commission’s applicable guidelines can provide for a quantification of public procurement errors of 5%, 10% or 25% when the Court of Auditors would consider an error to be only a compliance issue, with no impact on its calculation of the error rate.</w:t>
      </w:r>
    </w:p>
    <w:p w:rsidR="00315B87" w:rsidRDefault="00C32692">
      <w:pPr>
        <w:pStyle w:val="AMPRBOXA-bgWHITElnORANGE-BLUEHeading"/>
        <w:rPr>
          <w:noProof/>
        </w:rPr>
      </w:pPr>
      <w:r>
        <w:rPr>
          <w:noProof/>
        </w:rPr>
        <w:t>External relations</w:t>
      </w:r>
    </w:p>
    <w:p w:rsidR="00315B87" w:rsidRDefault="00C32692">
      <w:pPr>
        <w:pStyle w:val="AMPRBOXA-bgWHITElnORANGE-BLUEtext"/>
        <w:spacing w:after="360"/>
        <w:rPr>
          <w:noProof/>
          <w:highlight w:val="green"/>
        </w:rPr>
      </w:pPr>
      <w:r>
        <w:rPr>
          <w:noProof/>
        </w:rPr>
        <w:t xml:space="preserve">In previous years, the (timely) access to supporting documents from entrusted entities, including international organisations, was a source of irregularities. This was also a reason for the Court of Auditors’ relatively high estimated level of error for the European Development Funds (5.2% for 2018). However, that </w:t>
      </w:r>
      <w:r>
        <w:rPr>
          <w:b/>
          <w:noProof/>
        </w:rPr>
        <w:t>estimated level of error was</w:t>
      </w:r>
      <w:r>
        <w:rPr>
          <w:noProof/>
        </w:rPr>
        <w:t xml:space="preserve"> </w:t>
      </w:r>
      <w:r>
        <w:rPr>
          <w:rStyle w:val="AMPRcharBoldBlue"/>
          <w:noProof/>
        </w:rPr>
        <w:t xml:space="preserve">calculated before all </w:t>
      </w:r>
      <w:r>
        <w:rPr>
          <w:rStyle w:val="AMPRcharBoldBlue"/>
          <w:i/>
          <w:noProof/>
        </w:rPr>
        <w:t>ex ante</w:t>
      </w:r>
      <w:r>
        <w:rPr>
          <w:rStyle w:val="AMPRcharBoldBlue"/>
          <w:noProof/>
        </w:rPr>
        <w:t xml:space="preserve"> controls had been implemented</w:t>
      </w:r>
      <w:r>
        <w:rPr>
          <w:noProof/>
        </w:rPr>
        <w:t xml:space="preserve"> and especially before supporting documents had been provided. The Court of Auditors acknowledged that ‘[o]f the 39 payment transactions containing </w:t>
      </w:r>
      <w:r>
        <w:rPr>
          <w:i/>
          <w:noProof/>
        </w:rPr>
        <w:t>quantifiable errors</w:t>
      </w:r>
      <w:r>
        <w:rPr>
          <w:noProof/>
        </w:rPr>
        <w:t xml:space="preserve">, 9 (23%) were final transactions authorised once all </w:t>
      </w:r>
      <w:r>
        <w:rPr>
          <w:i/>
          <w:noProof/>
        </w:rPr>
        <w:t>ex ante</w:t>
      </w:r>
      <w:r>
        <w:rPr>
          <w:noProof/>
        </w:rPr>
        <w:t xml:space="preserve"> checks had been carried out’</w:t>
      </w:r>
      <w:r>
        <w:rPr>
          <w:rStyle w:val="fnRef"/>
          <w:rFonts w:ascii="Arial" w:hAnsi="Arial" w:cs="Arial"/>
          <w:noProof/>
        </w:rPr>
        <w:t> </w:t>
      </w:r>
      <w:r>
        <w:rPr>
          <w:rStyle w:val="fnRef"/>
          <w:noProof/>
        </w:rPr>
        <w:t>(</w:t>
      </w:r>
      <w:r>
        <w:rPr>
          <w:rStyle w:val="fnRefNo"/>
          <w:noProof/>
        </w:rPr>
        <w:footnoteReference w:id="12"/>
      </w:r>
      <w:r>
        <w:rPr>
          <w:rStyle w:val="fnRef"/>
          <w:noProof/>
        </w:rPr>
        <w:t>)</w:t>
      </w:r>
      <w:r>
        <w:rPr>
          <w:noProof/>
        </w:rPr>
        <w:t xml:space="preserve">. Therefore, for the other 30 transactions the level of error might have been lower if the Court of Auditors had audited them once all </w:t>
      </w:r>
      <w:r>
        <w:rPr>
          <w:i/>
          <w:noProof/>
        </w:rPr>
        <w:t>ex ante</w:t>
      </w:r>
      <w:r>
        <w:rPr>
          <w:noProof/>
        </w:rPr>
        <w:t xml:space="preserve"> controls had been performed.</w:t>
      </w:r>
    </w:p>
    <w:p w:rsidR="00315B87" w:rsidRDefault="00315B87">
      <w:pPr>
        <w:rPr>
          <w:noProof/>
        </w:rPr>
      </w:pPr>
    </w:p>
    <w:p w:rsidR="00315B87" w:rsidRDefault="00C32692">
      <w:pPr>
        <w:rPr>
          <w:noProof/>
        </w:rPr>
      </w:pPr>
      <w:r>
        <w:rPr>
          <w:noProof/>
        </w:rPr>
        <w:br w:type="page"/>
      </w:r>
    </w:p>
    <w:p w:rsidR="00315B87" w:rsidRDefault="00315B87">
      <w:pPr>
        <w:rPr>
          <w:noProof/>
        </w:rPr>
      </w:pPr>
    </w:p>
    <w:tbl>
      <w:tblPr>
        <w:tblStyle w:val="Simple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57"/>
        <w:gridCol w:w="3730"/>
        <w:gridCol w:w="3639"/>
      </w:tblGrid>
      <w:tr w:rsidR="00315B87">
        <w:trPr>
          <w:jc w:val="center"/>
        </w:trPr>
        <w:tc>
          <w:tcPr>
            <w:tcW w:w="1657" w:type="dxa"/>
            <w:tcBorders>
              <w:top w:val="nil"/>
              <w:left w:val="nil"/>
              <w:bottom w:val="single" w:sz="8" w:space="0" w:color="FFFFFF" w:themeColor="background1"/>
              <w:right w:val="nil"/>
            </w:tcBorders>
          </w:tcPr>
          <w:p w:rsidR="00315B87" w:rsidRDefault="00315B87">
            <w:pPr>
              <w:autoSpaceDE w:val="0"/>
              <w:autoSpaceDN w:val="0"/>
              <w:adjustRightInd w:val="0"/>
              <w:rPr>
                <w:rFonts w:eastAsia="Calibri"/>
                <w:noProof/>
                <w:szCs w:val="24"/>
              </w:rPr>
            </w:pPr>
          </w:p>
        </w:tc>
        <w:tc>
          <w:tcPr>
            <w:tcW w:w="3730" w:type="dxa"/>
            <w:tcBorders>
              <w:top w:val="nil"/>
              <w:left w:val="nil"/>
              <w:bottom w:val="single" w:sz="8" w:space="0" w:color="FFFFFF" w:themeColor="background1"/>
              <w:right w:val="nil"/>
            </w:tcBorders>
            <w:shd w:val="clear" w:color="auto" w:fill="5B9BD5" w:themeFill="accent1"/>
            <w:hideMark/>
          </w:tcPr>
          <w:p w:rsidR="00315B87" w:rsidRDefault="00C32692">
            <w:pPr>
              <w:autoSpaceDE w:val="0"/>
              <w:autoSpaceDN w:val="0"/>
              <w:adjustRightInd w:val="0"/>
              <w:spacing w:before="120"/>
              <w:ind w:left="170" w:right="170"/>
              <w:textAlignment w:val="center"/>
              <w:rPr>
                <w:rFonts w:eastAsia="Calibri" w:cs="EC Square Sans Pro"/>
                <w:noProof/>
                <w:color w:val="FFFFFF" w:themeColor="background1"/>
              </w:rPr>
            </w:pPr>
            <w:r>
              <w:rPr>
                <w:rFonts w:eastAsia="Calibri" w:cs="EC Square Sans Pro"/>
                <w:b/>
                <w:bCs/>
                <w:noProof/>
                <w:color w:val="FFFFFF" w:themeColor="background1"/>
              </w:rPr>
              <w:t xml:space="preserve">European Commission </w:t>
            </w:r>
            <w:r>
              <w:rPr>
                <w:rFonts w:eastAsia="Calibri" w:cs="EC Square Sans Pro"/>
                <w:b/>
                <w:bCs/>
                <w:noProof/>
                <w:color w:val="FFFFFF" w:themeColor="background1"/>
                <w:szCs w:val="18"/>
              </w:rPr>
              <w:br/>
            </w:r>
            <w:r>
              <w:rPr>
                <w:rFonts w:eastAsia="Calibri" w:cs="EC Square Sans Pro"/>
                <w:noProof/>
                <w:color w:val="FFFFFF" w:themeColor="background1"/>
              </w:rPr>
              <w:t>management perspective</w:t>
            </w:r>
          </w:p>
        </w:tc>
        <w:tc>
          <w:tcPr>
            <w:tcW w:w="3639" w:type="dxa"/>
            <w:tcBorders>
              <w:top w:val="nil"/>
              <w:left w:val="nil"/>
              <w:bottom w:val="single" w:sz="8" w:space="0" w:color="FFFFFF" w:themeColor="background1"/>
              <w:right w:val="nil"/>
            </w:tcBorders>
            <w:shd w:val="clear" w:color="auto" w:fill="FFC000" w:themeFill="accent4"/>
            <w:hideMark/>
          </w:tcPr>
          <w:p w:rsidR="00315B87" w:rsidRDefault="00C32692">
            <w:pPr>
              <w:autoSpaceDE w:val="0"/>
              <w:autoSpaceDN w:val="0"/>
              <w:adjustRightInd w:val="0"/>
              <w:spacing w:before="120"/>
              <w:ind w:left="170" w:right="170"/>
              <w:textAlignment w:val="center"/>
              <w:rPr>
                <w:rFonts w:eastAsia="Calibri" w:cs="EC Square Sans Pro"/>
                <w:b/>
                <w:noProof/>
                <w:color w:val="FFFFFF" w:themeColor="background1"/>
              </w:rPr>
            </w:pPr>
            <w:r>
              <w:rPr>
                <w:rFonts w:eastAsia="Calibri" w:cs="EC Square Sans Pro"/>
                <w:b/>
                <w:bCs/>
                <w:noProof/>
                <w:color w:val="FFFFFF" w:themeColor="background1"/>
              </w:rPr>
              <w:t xml:space="preserve">European Court of Auditors </w:t>
            </w:r>
            <w:r>
              <w:rPr>
                <w:rFonts w:eastAsia="Calibri" w:cs="EC Square Sans Pro"/>
                <w:b/>
                <w:bCs/>
                <w:noProof/>
                <w:color w:val="FFFFFF" w:themeColor="background1"/>
                <w:szCs w:val="18"/>
              </w:rPr>
              <w:br/>
            </w:r>
            <w:r>
              <w:rPr>
                <w:rFonts w:eastAsia="Calibri" w:cs="EC Square Sans Pro"/>
                <w:noProof/>
                <w:color w:val="FFFFFF" w:themeColor="background1"/>
              </w:rPr>
              <w:t>audit perspective</w:t>
            </w:r>
          </w:p>
        </w:tc>
      </w:tr>
      <w:tr w:rsidR="00315B87">
        <w:trPr>
          <w:jc w:val="center"/>
        </w:trPr>
        <w:tc>
          <w:tcPr>
            <w:tcW w:w="1657" w:type="dxa"/>
            <w:tcBorders>
              <w:top w:val="single" w:sz="8" w:space="0" w:color="FFFFFF" w:themeColor="background1"/>
              <w:left w:val="nil"/>
              <w:bottom w:val="nil"/>
              <w:right w:val="nil"/>
            </w:tcBorders>
            <w:hideMark/>
          </w:tcPr>
          <w:p w:rsidR="00315B87" w:rsidRDefault="00C32692">
            <w:pPr>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rPr>
              <w:t>Roles</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rsidR="00315B87" w:rsidRDefault="00C32692">
            <w:pPr>
              <w:numPr>
                <w:ilvl w:val="0"/>
                <w:numId w:val="5"/>
              </w:numPr>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Provide annual management assurance</w:t>
            </w:r>
          </w:p>
          <w:p w:rsidR="00315B87" w:rsidRDefault="00C32692">
            <w:pPr>
              <w:numPr>
                <w:ilvl w:val="0"/>
                <w:numId w:val="5"/>
              </w:numPr>
              <w:autoSpaceDE w:val="0"/>
              <w:autoSpaceDN w:val="0"/>
              <w:adjustRightInd w:val="0"/>
              <w:spacing w:before="60" w:after="60"/>
              <w:ind w:left="340" w:right="170" w:hanging="170"/>
              <w:textAlignment w:val="center"/>
              <w:rPr>
                <w:rFonts w:eastAsia="Calibri" w:cs="EC Square Sans Pro"/>
                <w:noProof/>
                <w:color w:val="44546A" w:themeColor="text2"/>
              </w:rPr>
            </w:pPr>
            <w:r>
              <w:rPr>
                <w:rFonts w:eastAsia="Calibri" w:cs="EC Square Sans Pro"/>
                <w:noProof/>
                <w:color w:val="203F79"/>
              </w:rPr>
              <w:t>Identify weaknesses and take action on a multiannual basis</w:t>
            </w:r>
          </w:p>
          <w:p w:rsidR="00315B87" w:rsidRDefault="00C32692">
            <w:pPr>
              <w:numPr>
                <w:ilvl w:val="0"/>
                <w:numId w:val="5"/>
              </w:numPr>
              <w:autoSpaceDE w:val="0"/>
              <w:autoSpaceDN w:val="0"/>
              <w:adjustRightInd w:val="0"/>
              <w:spacing w:before="60" w:after="60"/>
              <w:ind w:left="340" w:right="170" w:hanging="170"/>
              <w:textAlignment w:val="center"/>
              <w:rPr>
                <w:rFonts w:eastAsia="Calibri" w:cs="EC Square Sans Pro"/>
                <w:noProof/>
                <w:color w:val="44546A" w:themeColor="text2"/>
              </w:rPr>
            </w:pPr>
            <w:r>
              <w:rPr>
                <w:rFonts w:eastAsia="Calibri" w:cs="EC Square Sans Pro"/>
                <w:noProof/>
                <w:color w:val="203F79"/>
              </w:rPr>
              <w:t xml:space="preserve">Protect the EU budget </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Provide an audit opinion on the legality and regularity of financial transactions of a specific year</w:t>
            </w:r>
          </w:p>
        </w:tc>
      </w:tr>
      <w:tr w:rsidR="00315B87">
        <w:trPr>
          <w:jc w:val="center"/>
        </w:trPr>
        <w:tc>
          <w:tcPr>
            <w:tcW w:w="1657" w:type="dxa"/>
            <w:hideMark/>
          </w:tcPr>
          <w:p w:rsidR="00315B87" w:rsidRDefault="00C32692">
            <w:pPr>
              <w:suppressAutoHyphens/>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rPr>
              <w:t>Level of granularity</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rsidR="00315B87" w:rsidRDefault="00C32692">
            <w:pPr>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Error rate for the EU budget as a whole and individual error rates for each department and policy area under Headings 1 to 5, plus for revenue</w:t>
            </w:r>
          </w:p>
          <w:p w:rsidR="00315B87" w:rsidRDefault="00C32692">
            <w:pPr>
              <w:keepNext/>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bCs/>
                <w:noProof/>
                <w:color w:val="203F79"/>
              </w:rPr>
              <w:t>Error rates calculated per policy area, programme and/or relevant (sub)segments</w:t>
            </w:r>
          </w:p>
          <w:p w:rsidR="00315B87" w:rsidRDefault="00C32692">
            <w:pPr>
              <w:numPr>
                <w:ilvl w:val="0"/>
                <w:numId w:val="5"/>
              </w:numPr>
              <w:tabs>
                <w:tab w:val="left" w:pos="135"/>
              </w:tab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Expenditure and revenue of the year (or 2 years for research) with a multiannual perspective</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Error rate for EU budget as a whole and individual error rates for Headings 1a, 1b, 2 and 5, plus for revenue</w:t>
            </w:r>
          </w:p>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Expenditure and revenues of the year</w:t>
            </w:r>
          </w:p>
        </w:tc>
      </w:tr>
      <w:tr w:rsidR="00315B87">
        <w:trPr>
          <w:jc w:val="center"/>
        </w:trPr>
        <w:tc>
          <w:tcPr>
            <w:tcW w:w="1657" w:type="dxa"/>
            <w:hideMark/>
          </w:tcPr>
          <w:p w:rsidR="00315B87" w:rsidRDefault="00C32692">
            <w:pPr>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spacing w:val="-9"/>
              </w:rPr>
              <w:t>Multiannuality</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bCs/>
                <w:noProof/>
                <w:color w:val="203F79"/>
              </w:rPr>
              <w:t>Two error rates (risk at payment and risk at closur</w:t>
            </w:r>
            <w:r>
              <w:rPr>
                <w:rFonts w:eastAsia="Calibri" w:cs="EC Square Sans Pro"/>
                <w:bCs/>
                <w:noProof/>
                <w:color w:val="44546A" w:themeColor="text2"/>
              </w:rPr>
              <w:t>e</w:t>
            </w:r>
            <w:r>
              <w:rPr>
                <w:rStyle w:val="fnRef"/>
                <w:rFonts w:ascii="Arial" w:hAnsi="Arial" w:cs="Arial"/>
                <w:noProof/>
                <w:color w:val="44546A" w:themeColor="text2"/>
              </w:rPr>
              <w:t> </w:t>
            </w:r>
            <w:r>
              <w:rPr>
                <w:rStyle w:val="fnRef"/>
                <w:noProof/>
                <w:color w:val="44546A" w:themeColor="text2"/>
              </w:rPr>
              <w:t>(</w:t>
            </w:r>
            <w:r>
              <w:rPr>
                <w:rStyle w:val="fnRefNo"/>
                <w:noProof/>
                <w:color w:val="44546A" w:themeColor="text2"/>
              </w:rPr>
              <w:footnoteReference w:id="13"/>
            </w:r>
            <w:r>
              <w:rPr>
                <w:rStyle w:val="fnRef"/>
                <w:noProof/>
                <w:color w:val="44546A" w:themeColor="text2"/>
              </w:rPr>
              <w:t>))</w:t>
            </w:r>
            <w:r>
              <w:rPr>
                <w:rFonts w:eastAsia="Calibri" w:cs="EC Square Sans Pro"/>
                <w:bCs/>
                <w:noProof/>
                <w:color w:val="44546A" w:themeColor="text2"/>
              </w:rPr>
              <w:t>;</w:t>
            </w:r>
            <w:r>
              <w:rPr>
                <w:rFonts w:eastAsia="Calibri" w:cs="EC Square Sans Pro"/>
                <w:noProof/>
                <w:color w:val="203F79"/>
                <w:szCs w:val="18"/>
              </w:rPr>
              <w:br/>
            </w:r>
            <w:r>
              <w:rPr>
                <w:rFonts w:eastAsia="Calibri" w:cs="EC Square Sans Pro"/>
                <w:bCs/>
                <w:noProof/>
                <w:color w:val="203F79"/>
              </w:rPr>
              <w:t>multiannuality prospectively taken into account for the risk at closure through estimated future corrections for all programmes</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bCs/>
                <w:noProof/>
                <w:color w:val="203F79"/>
              </w:rPr>
            </w:pPr>
            <w:r>
              <w:rPr>
                <w:rFonts w:eastAsia="Calibri" w:cs="EC Square Sans Pro"/>
                <w:bCs/>
                <w:noProof/>
                <w:color w:val="203F79"/>
              </w:rPr>
              <w:t>One error rate (most likely error)</w:t>
            </w:r>
          </w:p>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bCs/>
                <w:noProof/>
                <w:color w:val="203F79"/>
              </w:rPr>
              <w:t>Multiannuality retroactively taken into account, only through financial corrections implemented for closed programmes</w:t>
            </w:r>
          </w:p>
        </w:tc>
      </w:tr>
      <w:tr w:rsidR="00315B87">
        <w:trPr>
          <w:jc w:val="center"/>
        </w:trPr>
        <w:tc>
          <w:tcPr>
            <w:tcW w:w="1657" w:type="dxa"/>
            <w:hideMark/>
          </w:tcPr>
          <w:p w:rsidR="00315B87" w:rsidRDefault="00C32692">
            <w:pPr>
              <w:autoSpaceDE w:val="0"/>
              <w:autoSpaceDN w:val="0"/>
              <w:adjustRightInd w:val="0"/>
              <w:textAlignment w:val="center"/>
              <w:rPr>
                <w:rFonts w:eastAsia="Calibri" w:cs="EC Square Sans Pro"/>
                <w:noProof/>
                <w:color w:val="44546A" w:themeColor="text2"/>
              </w:rPr>
            </w:pPr>
            <w:r>
              <w:rPr>
                <w:rFonts w:eastAsia="Calibri" w:cs="EC Square Sans Pro"/>
                <w:b/>
                <w:bCs/>
                <w:noProof/>
                <w:color w:val="203F79"/>
              </w:rPr>
              <w:t>Materiality threshold</w:t>
            </w:r>
          </w:p>
        </w:tc>
        <w:tc>
          <w:tcPr>
            <w:tcW w:w="3730" w:type="dxa"/>
            <w:tcBorders>
              <w:top w:val="single" w:sz="8" w:space="0" w:color="FFFFFF" w:themeColor="background1"/>
              <w:left w:val="nil"/>
              <w:bottom w:val="single" w:sz="8" w:space="0" w:color="FFFFFF" w:themeColor="background1"/>
              <w:right w:val="nil"/>
            </w:tcBorders>
            <w:shd w:val="clear" w:color="auto" w:fill="FAD9C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 xml:space="preserve">2% </w:t>
            </w:r>
          </w:p>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Except for revenue (1%) and for Horizon 2020 (between 2% and 5%)</w:t>
            </w:r>
          </w:p>
        </w:tc>
        <w:tc>
          <w:tcPr>
            <w:tcW w:w="3639" w:type="dxa"/>
            <w:tcBorders>
              <w:top w:val="single" w:sz="8" w:space="0" w:color="FFFFFF" w:themeColor="background1"/>
              <w:left w:val="nil"/>
              <w:bottom w:val="single" w:sz="8" w:space="0" w:color="FFFFFF" w:themeColor="background1"/>
              <w:right w:val="nil"/>
            </w:tcBorders>
            <w:shd w:val="clear" w:color="auto" w:fill="E7E6E6" w:themeFill="background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2%</w:t>
            </w:r>
          </w:p>
        </w:tc>
      </w:tr>
      <w:tr w:rsidR="00315B87">
        <w:trPr>
          <w:jc w:val="center"/>
        </w:trPr>
        <w:tc>
          <w:tcPr>
            <w:tcW w:w="1657" w:type="dxa"/>
            <w:hideMark/>
          </w:tcPr>
          <w:p w:rsidR="00315B87" w:rsidRDefault="00C32692">
            <w:pPr>
              <w:autoSpaceDE w:val="0"/>
              <w:autoSpaceDN w:val="0"/>
              <w:adjustRightInd w:val="0"/>
              <w:textAlignment w:val="center"/>
              <w:rPr>
                <w:rFonts w:eastAsia="Calibri" w:cs="EC Square Sans Pro"/>
                <w:b/>
                <w:noProof/>
                <w:color w:val="44546A" w:themeColor="text2"/>
              </w:rPr>
            </w:pPr>
            <w:r>
              <w:rPr>
                <w:rFonts w:eastAsia="Calibri" w:cs="EC Square Sans Pro"/>
                <w:b/>
                <w:bCs/>
                <w:noProof/>
                <w:color w:val="203F79"/>
              </w:rPr>
              <w:t>More information</w:t>
            </w:r>
          </w:p>
        </w:tc>
        <w:tc>
          <w:tcPr>
            <w:tcW w:w="3730" w:type="dxa"/>
            <w:tcBorders>
              <w:top w:val="single" w:sz="8" w:space="0" w:color="FFFFFF" w:themeColor="background1"/>
              <w:left w:val="nil"/>
              <w:bottom w:val="nil"/>
              <w:right w:val="nil"/>
            </w:tcBorders>
            <w:shd w:val="clear" w:color="auto" w:fill="FAD9C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Annex 3 to this report</w:t>
            </w:r>
          </w:p>
        </w:tc>
        <w:tc>
          <w:tcPr>
            <w:tcW w:w="3639" w:type="dxa"/>
            <w:tcBorders>
              <w:top w:val="single" w:sz="8" w:space="0" w:color="FFFFFF" w:themeColor="background1"/>
              <w:left w:val="nil"/>
              <w:bottom w:val="nil"/>
              <w:right w:val="nil"/>
            </w:tcBorders>
            <w:shd w:val="clear" w:color="auto" w:fill="E7E6E6" w:themeFill="background2"/>
            <w:hideMark/>
          </w:tcPr>
          <w:p w:rsidR="00315B87" w:rsidRDefault="00C32692">
            <w:pPr>
              <w:numPr>
                <w:ilvl w:val="0"/>
                <w:numId w:val="5"/>
              </w:numPr>
              <w:tabs>
                <w:tab w:val="left" w:pos="135"/>
              </w:tabs>
              <w:suppressAutoHyphens/>
              <w:autoSpaceDE w:val="0"/>
              <w:autoSpaceDN w:val="0"/>
              <w:adjustRightInd w:val="0"/>
              <w:spacing w:before="120"/>
              <w:ind w:left="340" w:right="170" w:hanging="170"/>
              <w:textAlignment w:val="center"/>
              <w:rPr>
                <w:rFonts w:eastAsia="Calibri" w:cs="EC Square Sans Pro"/>
                <w:noProof/>
                <w:color w:val="44546A" w:themeColor="text2"/>
              </w:rPr>
            </w:pPr>
            <w:r>
              <w:rPr>
                <w:rFonts w:eastAsia="Calibri" w:cs="EC Square Sans Pro"/>
                <w:noProof/>
                <w:color w:val="203F79"/>
              </w:rPr>
              <w:t>Annex 1.1 to the Court of Auditors’ annual report</w:t>
            </w:r>
          </w:p>
        </w:tc>
      </w:tr>
    </w:tbl>
    <w:p w:rsidR="00315B87" w:rsidRDefault="00C32692">
      <w:pPr>
        <w:pStyle w:val="AMPRCharttitle"/>
        <w:rPr>
          <w:noProof/>
        </w:rPr>
      </w:pPr>
      <w:r>
        <w:rPr>
          <w:noProof/>
        </w:rPr>
        <w:t>Comparison between perspectives of the Commission and the European Court of Auditors</w:t>
      </w:r>
    </w:p>
    <w:p w:rsidR="00315B87" w:rsidRDefault="00C32692">
      <w:pPr>
        <w:pStyle w:val="AMPRSec2TITLE3-numbered"/>
        <w:rPr>
          <w:noProof/>
        </w:rPr>
      </w:pPr>
      <w:r>
        <w:rPr>
          <w:noProof/>
        </w:rPr>
        <w:lastRenderedPageBreak/>
        <w:t>Fraud to the taxpayers’ detriment is prevented through multilayered strategies and controls</w:t>
      </w:r>
    </w:p>
    <w:p w:rsidR="00315B87" w:rsidRDefault="00C32692">
      <w:pPr>
        <w:pStyle w:val="AMPRBodyText"/>
        <w:rPr>
          <w:noProof/>
        </w:rPr>
      </w:pPr>
      <w:r>
        <w:rPr>
          <w:noProof/>
        </w:rPr>
        <w:t>It should be underlined that fraud represents a very limited part of illegal or irregular spending, most of which relates to errors. The Commission has zero tolerance for fraud.</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rsidR="00315B87">
        <w:trPr>
          <w:trHeight w:val="1701"/>
          <w:jc w:val="center"/>
        </w:trPr>
        <w:tc>
          <w:tcPr>
            <w:tcW w:w="9468" w:type="dxa"/>
            <w:vAlign w:val="center"/>
          </w:tcPr>
          <w:p w:rsidR="00315B87" w:rsidRDefault="00C32692">
            <w:pPr>
              <w:pStyle w:val="AMPRtableBOXA-bgWHITElnORANGE-BLUEheading"/>
              <w:rPr>
                <w:rStyle w:val="AMPRcharBoldBlue"/>
                <w:rFonts w:eastAsiaTheme="minorHAnsi" w:cstheme="minorBidi"/>
                <w:noProof/>
                <w:szCs w:val="20"/>
                <w:lang w:eastAsia="en-US"/>
              </w:rPr>
            </w:pPr>
            <w:r>
              <w:rPr>
                <w:rStyle w:val="AMPRcharBoldBlue"/>
                <w:rFonts w:eastAsiaTheme="minorEastAsia"/>
                <w:noProof/>
              </w:rPr>
              <w:t>The Commission’s anti-fraud strategy is taking hold</w:t>
            </w:r>
          </w:p>
          <w:p w:rsidR="00315B87" w:rsidRDefault="00C32692">
            <w:pPr>
              <w:pStyle w:val="AMPRtableBOXA-bgWHITElnORANGE-BLUEText"/>
              <w:rPr>
                <w:noProof/>
                <w:spacing w:val="-2"/>
                <w:lang w:val="en-GB"/>
              </w:rPr>
            </w:pPr>
            <w:r>
              <w:rPr>
                <w:noProof/>
                <w:spacing w:val="-2"/>
                <w:lang w:val="en-GB"/>
              </w:rPr>
              <w:t>Pursuant to Article 325 of the Treaty on the Functioning of the European Union, the Commission and the Member States protect the EU’s budget from fraud and other illegal activities. To this end, the Commission and its departments and executive agencies have each developed an anti-fraud strategy, which identifies vulnerabilities to fraud and priorities in the fight against fraud.</w:t>
            </w:r>
          </w:p>
          <w:p w:rsidR="00315B87" w:rsidRDefault="00C32692">
            <w:pPr>
              <w:pStyle w:val="AMPRtableBOXA-bgWHITElnORANGE-BLUEText"/>
              <w:rPr>
                <w:noProof/>
                <w:spacing w:val="-2"/>
                <w:lang w:val="en-GB"/>
              </w:rPr>
            </w:pPr>
            <w:r>
              <w:rPr>
                <w:noProof/>
                <w:spacing w:val="-2"/>
                <w:lang w:val="en-GB"/>
              </w:rPr>
              <w:t>On the European Anti-Fraud Office’s initiative, the Commission adopted a new corporate anti-fraud strategy in April 2019 with the following main objectives:</w:t>
            </w:r>
          </w:p>
          <w:p w:rsidR="00315B87" w:rsidRDefault="00C32692">
            <w:pPr>
              <w:pStyle w:val="AMPRtableBOXA-bgWHITElnORANGE-BLUEBullet"/>
              <w:rPr>
                <w:noProof/>
                <w:spacing w:val="-2"/>
                <w:lang w:val="en-GB"/>
              </w:rPr>
            </w:pPr>
            <w:r>
              <w:rPr>
                <w:noProof/>
                <w:spacing w:val="-2"/>
                <w:lang w:val="en-GB"/>
              </w:rPr>
              <w:t>to enhance the Commission’s knowledge about fraud and its analytical capability to steer anti-fraud action;</w:t>
            </w:r>
          </w:p>
          <w:p w:rsidR="00315B87" w:rsidRDefault="00C32692">
            <w:pPr>
              <w:pStyle w:val="AMPRtableBOXA-bgWHITElnORANGE-BLUEBullet"/>
              <w:rPr>
                <w:noProof/>
                <w:spacing w:val="-2"/>
                <w:lang w:val="en-GB"/>
              </w:rPr>
            </w:pPr>
            <w:r>
              <w:rPr>
                <w:noProof/>
                <w:spacing w:val="-2"/>
                <w:lang w:val="en-GB"/>
              </w:rPr>
              <w:t>to ensure close cooperation among Commission departments and executive agencies in fighting fraud;</w:t>
            </w:r>
          </w:p>
          <w:p w:rsidR="00315B87" w:rsidRDefault="00C32692">
            <w:pPr>
              <w:pStyle w:val="AMPRtableBOXA-bgWHITElnORANGE-BLUEBullet"/>
              <w:rPr>
                <w:noProof/>
                <w:spacing w:val="-2"/>
                <w:lang w:val="en-GB"/>
              </w:rPr>
            </w:pPr>
            <w:r>
              <w:rPr>
                <w:noProof/>
                <w:spacing w:val="-2"/>
                <w:lang w:val="en-GB"/>
              </w:rPr>
              <w:t>to strengthen the Commission’s corporate oversight of the fight against fraud.</w:t>
            </w:r>
          </w:p>
          <w:p w:rsidR="00315B87" w:rsidRDefault="00C32692">
            <w:pPr>
              <w:pStyle w:val="AMPRtableBOXA-bgWHITElnORANGE-BLUEText"/>
              <w:rPr>
                <w:noProof/>
                <w:spacing w:val="-2"/>
                <w:lang w:val="en-GB"/>
              </w:rPr>
            </w:pPr>
            <w:r>
              <w:rPr>
                <w:noProof/>
                <w:spacing w:val="-2"/>
                <w:lang w:val="en-GB"/>
              </w:rPr>
              <w:t>The European Anti-Fraud Office and the other Commission departments have started implementing the new Commission anti-fraud strategy</w:t>
            </w:r>
            <w:r>
              <w:rPr>
                <w:rStyle w:val="fnRef"/>
                <w:rFonts w:ascii="Arial" w:hAnsi="Arial" w:cs="Arial"/>
                <w:noProof/>
                <w:spacing w:val="-2"/>
              </w:rPr>
              <w:t> </w:t>
            </w:r>
            <w:r>
              <w:rPr>
                <w:rStyle w:val="fnRef"/>
                <w:noProof/>
                <w:spacing w:val="-2"/>
              </w:rPr>
              <w:t>(</w:t>
            </w:r>
            <w:r>
              <w:rPr>
                <w:rStyle w:val="fnRefNo"/>
                <w:noProof/>
                <w:spacing w:val="-2"/>
              </w:rPr>
              <w:footnoteReference w:id="14"/>
            </w:r>
            <w:r>
              <w:rPr>
                <w:rStyle w:val="fnRef"/>
                <w:noProof/>
                <w:spacing w:val="-2"/>
              </w:rPr>
              <w:t>)</w:t>
            </w:r>
            <w:r>
              <w:rPr>
                <w:noProof/>
                <w:spacing w:val="-2"/>
                <w:lang w:val="en-GB"/>
              </w:rPr>
              <w:t>.</w:t>
            </w:r>
          </w:p>
          <w:p w:rsidR="00315B87" w:rsidRDefault="00C32692">
            <w:pPr>
              <w:pStyle w:val="AMPRtableBOXA-bgWHITElnORANGE-BLUEText"/>
              <w:rPr>
                <w:noProof/>
                <w:spacing w:val="-2"/>
                <w:lang w:val="en-GB"/>
              </w:rPr>
            </w:pPr>
            <w:r>
              <w:rPr>
                <w:noProof/>
                <w:spacing w:val="-2"/>
                <w:lang w:val="en-GB"/>
              </w:rPr>
              <w:t xml:space="preserve">The flagship of </w:t>
            </w:r>
            <w:r>
              <w:rPr>
                <w:rStyle w:val="AMPRcharBoldBlue"/>
                <w:noProof/>
                <w:spacing w:val="-2"/>
              </w:rPr>
              <w:t>strategic anti-fraud analysis</w:t>
            </w:r>
            <w:r>
              <w:rPr>
                <w:noProof/>
                <w:spacing w:val="-2"/>
                <w:lang w:val="en-GB"/>
              </w:rPr>
              <w:t xml:space="preserve"> is the report on the protection of the EU’s financial interests. On the occasion of its 30th edition, issued on 11 October 2019, the European Anti-Fraud Office published a brochure containing the main highlights in the fight against fraud and corruption over the past 30 years</w:t>
            </w:r>
            <w:r>
              <w:rPr>
                <w:rStyle w:val="fnRef"/>
                <w:rFonts w:ascii="Arial" w:hAnsi="Arial" w:cs="Arial"/>
                <w:noProof/>
                <w:spacing w:val="-2"/>
              </w:rPr>
              <w:t> </w:t>
            </w:r>
            <w:r>
              <w:rPr>
                <w:rStyle w:val="fnRef"/>
                <w:noProof/>
                <w:spacing w:val="-2"/>
              </w:rPr>
              <w:t>(</w:t>
            </w:r>
            <w:r>
              <w:rPr>
                <w:rStyle w:val="fnRefNo"/>
                <w:noProof/>
                <w:spacing w:val="-2"/>
              </w:rPr>
              <w:footnoteReference w:id="15"/>
            </w:r>
            <w:r>
              <w:rPr>
                <w:rStyle w:val="fnRef"/>
                <w:noProof/>
                <w:spacing w:val="-2"/>
              </w:rPr>
              <w:t>)</w:t>
            </w:r>
            <w:r>
              <w:rPr>
                <w:noProof/>
                <w:spacing w:val="-2"/>
                <w:lang w:val="en-GB"/>
              </w:rPr>
              <w:t xml:space="preserve">. </w:t>
            </w:r>
          </w:p>
          <w:p w:rsidR="00315B87" w:rsidRDefault="00C32692">
            <w:pPr>
              <w:pStyle w:val="AMPRtableBOXA-bgWHITElnORANGE-BLUEText"/>
              <w:rPr>
                <w:noProof/>
                <w:spacing w:val="-2"/>
                <w:lang w:val="en-GB"/>
              </w:rPr>
            </w:pPr>
            <w:r>
              <w:rPr>
                <w:noProof/>
                <w:spacing w:val="-2"/>
                <w:lang w:val="en-GB"/>
              </w:rPr>
              <w:t xml:space="preserve">The irregularity management system, through which the Member States, candidate countries and potential candidate countries report detected fraud and other irregularities in the implementation of EU funds to the Commission, has been further developed as provided for in the anti-fraud strategy action plan. The data collected in the system will enable users to perform some predefined real-time analyses. The tool gives users the possibility to exploit data easily and intuitively in order to build evidence-based policies, thus strengthening their motivation to report in an accurate and timely way. </w:t>
            </w:r>
          </w:p>
          <w:p w:rsidR="00315B87" w:rsidRDefault="00C32692">
            <w:pPr>
              <w:pStyle w:val="AMPRtableBOXA-bgWHITElnORANGE-BLUEText"/>
              <w:rPr>
                <w:rStyle w:val="BOLDBLUE"/>
                <w:b w:val="0"/>
                <w:noProof/>
              </w:rPr>
            </w:pPr>
            <w:r>
              <w:rPr>
                <w:noProof/>
                <w:spacing w:val="-2"/>
                <w:lang w:val="en-GB"/>
              </w:rPr>
              <w:t xml:space="preserve">To promote </w:t>
            </w:r>
            <w:r>
              <w:rPr>
                <w:rStyle w:val="AMPRcharBoldBlue"/>
                <w:noProof/>
                <w:spacing w:val="-2"/>
              </w:rPr>
              <w:t>cooperation and supervision</w:t>
            </w:r>
            <w:r>
              <w:rPr>
                <w:noProof/>
                <w:spacing w:val="-2"/>
                <w:lang w:val="en-GB"/>
              </w:rPr>
              <w:t>, a structure has been set up to facilitate hands-on exchange of views and good practice between Commission departments, including the peer review of their anti-fraud strategies. Strengthening corporate oversight currently focuses on the monitoring of the follow-up given to European Anti-Fraud Office recommendations by the Commission and its executive agencies. The heads of the Commission’s central services</w:t>
            </w:r>
            <w:r>
              <w:rPr>
                <w:rStyle w:val="fnRef"/>
                <w:rFonts w:ascii="Arial" w:hAnsi="Arial" w:cs="Arial"/>
                <w:noProof/>
                <w:spacing w:val="-2"/>
              </w:rPr>
              <w:t> </w:t>
            </w:r>
            <w:r>
              <w:rPr>
                <w:rStyle w:val="fnRef"/>
                <w:noProof/>
                <w:spacing w:val="-2"/>
              </w:rPr>
              <w:t>(</w:t>
            </w:r>
            <w:r>
              <w:rPr>
                <w:rStyle w:val="fnRefNo"/>
                <w:noProof/>
                <w:spacing w:val="-2"/>
              </w:rPr>
              <w:footnoteReference w:id="16"/>
            </w:r>
            <w:r>
              <w:rPr>
                <w:rStyle w:val="fnRef"/>
                <w:noProof/>
                <w:spacing w:val="-2"/>
              </w:rPr>
              <w:t>)</w:t>
            </w:r>
            <w:r>
              <w:rPr>
                <w:noProof/>
                <w:spacing w:val="-2"/>
                <w:lang w:val="en-GB"/>
              </w:rPr>
              <w:t xml:space="preserve"> will regularly discuss the conclusions of this ongoing exercise.</w:t>
            </w:r>
          </w:p>
        </w:tc>
      </w:tr>
    </w:tbl>
    <w:p w:rsidR="00315B87" w:rsidRDefault="00C32692">
      <w:pPr>
        <w:pStyle w:val="AMPRBodyText"/>
        <w:rPr>
          <w:noProof/>
          <w:color w:val="000000" w:themeColor="text1"/>
          <w:lang w:eastAsia="fr-BE"/>
        </w:rPr>
      </w:pPr>
      <w:r>
        <w:rPr>
          <w:noProof/>
          <w:color w:val="000000" w:themeColor="text1"/>
          <w:lang w:eastAsia="fr-BE"/>
        </w:rPr>
        <w:t>The European Anti-Fraud Office</w:t>
      </w:r>
      <w:r>
        <w:rPr>
          <w:rStyle w:val="fnRef"/>
          <w:rFonts w:ascii="Arial" w:hAnsi="Arial" w:cs="Arial"/>
          <w:noProof/>
        </w:rPr>
        <w:t> </w:t>
      </w:r>
      <w:r>
        <w:rPr>
          <w:rStyle w:val="fnRef"/>
          <w:noProof/>
        </w:rPr>
        <w:t>(</w:t>
      </w:r>
      <w:r>
        <w:rPr>
          <w:rStyle w:val="fnRefNo"/>
          <w:noProof/>
        </w:rPr>
        <w:footnoteReference w:id="17"/>
      </w:r>
      <w:r>
        <w:rPr>
          <w:rStyle w:val="fnRef"/>
          <w:noProof/>
        </w:rPr>
        <w:t>)</w:t>
      </w:r>
      <w:r>
        <w:rPr>
          <w:noProof/>
          <w:color w:val="000000" w:themeColor="text1"/>
          <w:lang w:eastAsia="fr-BE"/>
        </w:rPr>
        <w:t xml:space="preserve"> is essential to the fight against fraud, not only as a policymaking department but, crucially, as an independent investigatory body. The European Anti-Fraud Office’s administrative investigations into fraud, corruption and other crimes and irregularities help to bring fraudsters to account and repair damage done to the EU budget. In 2019, the European Anti-Fraud Office closed 181 investigations and completed 1 174 selections</w:t>
      </w:r>
      <w:r>
        <w:rPr>
          <w:rStyle w:val="fnRef"/>
          <w:rFonts w:ascii="Arial" w:hAnsi="Arial" w:cs="Arial"/>
          <w:noProof/>
        </w:rPr>
        <w:t> </w:t>
      </w:r>
      <w:r>
        <w:rPr>
          <w:rStyle w:val="fnRef"/>
          <w:noProof/>
        </w:rPr>
        <w:t>(</w:t>
      </w:r>
      <w:r>
        <w:rPr>
          <w:rStyle w:val="fnRefNo"/>
          <w:noProof/>
        </w:rPr>
        <w:footnoteReference w:id="18"/>
      </w:r>
      <w:r>
        <w:rPr>
          <w:rStyle w:val="fnRef"/>
          <w:noProof/>
        </w:rPr>
        <w:t>)</w:t>
      </w:r>
      <w:r>
        <w:rPr>
          <w:noProof/>
          <w:color w:val="000000" w:themeColor="text1"/>
          <w:lang w:eastAsia="fr-BE"/>
        </w:rPr>
        <w:t>.</w:t>
      </w:r>
    </w:p>
    <w:p w:rsidR="00315B87" w:rsidRDefault="00C32692">
      <w:pPr>
        <w:pStyle w:val="AMPRBodyText"/>
        <w:rPr>
          <w:noProof/>
          <w:color w:val="000000" w:themeColor="text1"/>
          <w:lang w:eastAsia="fr-BE"/>
        </w:rPr>
      </w:pPr>
      <w:r>
        <w:rPr>
          <w:noProof/>
          <w:color w:val="000000" w:themeColor="text1"/>
          <w:lang w:eastAsia="fr-BE"/>
        </w:rPr>
        <w:br w:type="page"/>
      </w:r>
    </w:p>
    <w:p w:rsidR="00315B87" w:rsidRDefault="00315B87">
      <w:pPr>
        <w:pStyle w:val="Hidelastparagraphafterthetable"/>
        <w:rPr>
          <w:noProof/>
          <w:lang w:eastAsia="fr-BE"/>
        </w:rPr>
      </w:pP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rsidR="00315B87">
        <w:trPr>
          <w:trHeight w:val="283"/>
          <w:jc w:val="center"/>
        </w:trPr>
        <w:tc>
          <w:tcPr>
            <w:tcW w:w="9468" w:type="dxa"/>
            <w:vAlign w:val="center"/>
          </w:tcPr>
          <w:p w:rsidR="00315B87" w:rsidRDefault="00C32692">
            <w:pPr>
              <w:pStyle w:val="AMPRtableBOXA-bgWHITElnORANGE-BLUEheading"/>
              <w:spacing w:after="240"/>
              <w:jc w:val="center"/>
              <w:rPr>
                <w:noProof/>
                <w:sz w:val="22"/>
                <w:szCs w:val="28"/>
                <w:lang w:val="en-GB"/>
              </w:rPr>
            </w:pPr>
            <w:r>
              <w:rPr>
                <w:noProof/>
                <w:sz w:val="22"/>
                <w:szCs w:val="28"/>
                <w:lang w:val="en-GB"/>
              </w:rPr>
              <w:t>Fighting fraud in practice</w:t>
            </w:r>
          </w:p>
          <w:p w:rsidR="00315B87" w:rsidRDefault="00C32692">
            <w:pPr>
              <w:pStyle w:val="AMPRtableBOXA-bgWHITElnORANGE-BLUEheading"/>
              <w:rPr>
                <w:noProof/>
                <w:lang w:val="en-GB"/>
              </w:rPr>
            </w:pPr>
            <w:r>
              <w:rPr>
                <w:noProof/>
                <w:lang w:val="en-GB"/>
              </w:rPr>
              <w:t xml:space="preserve">Example: Investigating alleged misuse of EU research funds </w:t>
            </w:r>
          </w:p>
          <w:p w:rsidR="00315B87" w:rsidRDefault="00C32692">
            <w:pPr>
              <w:pStyle w:val="AMPRtableBOXA-bgWHITElnORANGE-BLUEText"/>
              <w:rPr>
                <w:noProof/>
                <w:color w:val="4472C4" w:themeColor="accent5"/>
                <w:spacing w:val="-2"/>
                <w:lang w:val="en-GB" w:eastAsia="fr-BE"/>
              </w:rPr>
            </w:pPr>
            <w:r>
              <w:rPr>
                <w:noProof/>
                <w:color w:val="4472C4" w:themeColor="accent5"/>
                <w:spacing w:val="-2"/>
                <w:lang w:val="en-GB" w:eastAsia="fr-BE"/>
              </w:rPr>
              <w:t>The basis of this investigation was allegations of, among others, the possible embezzlement and misuse of several million euros of EU research funds by a company that did not pay out, as contractually required, amounts due to its partners in the research project, while also fraudulently avoiding insolvency proceedings.</w:t>
            </w:r>
          </w:p>
          <w:p w:rsidR="00315B87" w:rsidRDefault="00C32692">
            <w:pPr>
              <w:pStyle w:val="AMPRtableBOXA-bgWHITElnORANGE-BLUEText"/>
              <w:rPr>
                <w:noProof/>
                <w:color w:val="4472C4" w:themeColor="accent5"/>
                <w:spacing w:val="-2"/>
                <w:lang w:val="en-GB"/>
              </w:rPr>
            </w:pPr>
            <w:r>
              <w:rPr>
                <w:noProof/>
                <w:color w:val="4472C4" w:themeColor="accent5"/>
                <w:spacing w:val="-2"/>
                <w:lang w:val="en-GB"/>
              </w:rPr>
              <w:t>As part of the operations, and in close cooperation with the European Anti-Fraud Office from the outset, German authorities conducted searches of commercial premises and private homes of persons concerned in various locations in Germany. French police also carried out simultaneous searches in France, based on a request for mutual legal assistance by the German judicial authorities. The European Anti-Fraud Office participated in the searches, which had been coordinated in advance with the help of the EU judicial authority, the European Union Agency for Criminal Justice Cooperation.</w:t>
            </w:r>
          </w:p>
          <w:p w:rsidR="00315B87" w:rsidRDefault="00C32692">
            <w:pPr>
              <w:pStyle w:val="AMPRtableBOXA-bgWHITElnORANGE-BLUEText"/>
              <w:rPr>
                <w:noProof/>
                <w:color w:val="2F5496" w:themeColor="accent5" w:themeShade="BF"/>
                <w:spacing w:val="-2"/>
                <w:lang w:val="en-GB" w:eastAsia="fr-BE"/>
              </w:rPr>
            </w:pPr>
            <w:r>
              <w:rPr>
                <w:noProof/>
                <w:color w:val="4472C4" w:themeColor="accent5"/>
                <w:spacing w:val="-2"/>
                <w:lang w:val="en-GB" w:eastAsia="fr-BE"/>
              </w:rPr>
              <w:t>As a result of the coordinated searches, the German authorities seized huge amounts of evidence essential for the development of the investigation, which is ongoing.</w:t>
            </w:r>
          </w:p>
          <w:p w:rsidR="00315B87" w:rsidRDefault="00C32692">
            <w:pPr>
              <w:pStyle w:val="AMPRtableBOXA-bgWHITElnORANGE-BLUEheading"/>
              <w:rPr>
                <w:noProof/>
                <w:lang w:val="en-GB"/>
              </w:rPr>
            </w:pPr>
            <w:r>
              <w:rPr>
                <w:noProof/>
                <w:lang w:val="en-GB"/>
              </w:rPr>
              <w:t>Example: Joint customs operation ‘Hygiea’</w:t>
            </w:r>
          </w:p>
          <w:p w:rsidR="00315B87" w:rsidRDefault="00C32692">
            <w:pPr>
              <w:pStyle w:val="AMPRtableBOXA-bgWHITElnORANGE-BLUEText"/>
              <w:rPr>
                <w:noProof/>
                <w:color w:val="4472C4" w:themeColor="accent5"/>
                <w:spacing w:val="-2"/>
                <w:lang w:val="en-GB" w:eastAsia="fr-BE"/>
              </w:rPr>
            </w:pPr>
            <w:r>
              <w:rPr>
                <w:noProof/>
                <w:color w:val="4472C4" w:themeColor="accent5"/>
                <w:spacing w:val="-2"/>
                <w:lang w:val="en-GB" w:eastAsia="fr-BE"/>
              </w:rPr>
              <w:t>Approximately 200</w:t>
            </w:r>
            <w:r>
              <w:rPr>
                <w:rFonts w:ascii="Calibri" w:hAnsi="Calibri" w:cs="Calibri"/>
                <w:noProof/>
                <w:color w:val="4472C4" w:themeColor="accent5"/>
                <w:spacing w:val="-2"/>
                <w:lang w:val="en-GB" w:eastAsia="fr-BE"/>
              </w:rPr>
              <w:t> </w:t>
            </w:r>
            <w:r>
              <w:rPr>
                <w:noProof/>
                <w:color w:val="4472C4" w:themeColor="accent5"/>
                <w:spacing w:val="-2"/>
                <w:lang w:val="en-GB" w:eastAsia="fr-BE"/>
              </w:rPr>
              <w:t>000 counterfeit perfumes, toothpastes and cosmetic items, 120 tonnes of counterfeit detergents, shampoos and diapers, more than 4.2 million other counterfeit goods (battery cells, footwear, toys, tennis balls, shavers, electronic devices, etc.), 77 million cigarettes and 44 tonnes of counterfeit waterpipe tobacco were seized by Asian and EU customs authorities in an operation coordinated by the European Anti-Fraud Office.</w:t>
            </w:r>
          </w:p>
          <w:p w:rsidR="00315B87" w:rsidRDefault="00C32692">
            <w:pPr>
              <w:pStyle w:val="AMPRtableBOXA-bgWHITElnORANGE-BLUEText"/>
              <w:rPr>
                <w:rStyle w:val="BOLDBLUE"/>
                <w:rFonts w:cstheme="minorBidi"/>
                <w:b w:val="0"/>
                <w:i/>
                <w:noProof/>
              </w:rPr>
            </w:pPr>
            <w:r>
              <w:rPr>
                <w:noProof/>
                <w:color w:val="4472C4" w:themeColor="accent5"/>
                <w:spacing w:val="-2"/>
                <w:lang w:val="en-GB" w:eastAsia="fr-BE"/>
              </w:rPr>
              <w:t>During this operation, the customs authorities carried out targeted physical or X-ray controls on several hundred selected shipments transported in sea containers. The European Anti-Fraud Office facilitated the cooperation between the participant countries with the support of a team of 10 liaison officers from Bangladesh, China, Japan, Lithuania, Malaysia, Malta, Portugal, Spain, Vietnam and the European Union Agency for Law Enforcement Cooperation, all working together in Brussels. A Virtual Operational Coordination Unit – a secure communications channel for such joint customs operations – was used to channel the flow of incoming information. This exchange of information in real time allowed all the experts involved to identify the suspect flows of counterfeit goods out of ordinary commercial transactions.</w:t>
            </w:r>
          </w:p>
        </w:tc>
      </w:tr>
    </w:tbl>
    <w:p w:rsidR="00315B87" w:rsidRDefault="00C32692">
      <w:pPr>
        <w:pStyle w:val="AMPRBodyText"/>
        <w:spacing w:before="480"/>
        <w:rPr>
          <w:noProof/>
        </w:rPr>
      </w:pPr>
      <w:r>
        <w:rPr>
          <w:noProof/>
        </w:rPr>
        <w:t xml:space="preserve">In parallel, and to a large extent on the basis of information collected through the European Anti-Fraud Office’s investigations, fraud prevention and sanctioning take place through the </w:t>
      </w:r>
      <w:r>
        <w:rPr>
          <w:rStyle w:val="AMPRcharBoldBlue"/>
          <w:noProof/>
        </w:rPr>
        <w:t>early detection and exclusion system</w:t>
      </w:r>
      <w:r>
        <w:rPr>
          <w:noProof/>
        </w:rPr>
        <w:t>, which allows for the early detection and exclusion of unreliable economic operators from EU funds in direct and indirect management implementation. In 2019, awareness raising across the Commission departments was stepped up and the year was marked by a substantial increase in cases registered in early detection and in cases submitted for possible administrative sanctions (i.e. exclusion and/or financial penalties and, where applicable, the publication thereof). These are determined in line with the proportionality principle (cf. seriousness of the situation, including the impact on the EU’s financial interests and image; time that has elapsed since the relevant conduct; duration and recurrence; intention or degree of negligence; and amount at stake).</w:t>
      </w:r>
    </w:p>
    <w:p w:rsidR="00315B87" w:rsidRDefault="00C32692">
      <w:pPr>
        <w:pStyle w:val="AMPRSec2TITLE2-numbered"/>
        <w:rPr>
          <w:noProof/>
        </w:rPr>
      </w:pPr>
      <w:bookmarkStart w:id="24" w:name="_Toc37937484"/>
      <w:bookmarkStart w:id="25" w:name="_Toc37938097"/>
      <w:bookmarkStart w:id="26" w:name="_Toc37939873"/>
      <w:bookmarkStart w:id="27" w:name="_Toc37940505"/>
      <w:bookmarkStart w:id="28" w:name="_Toc37941790"/>
      <w:bookmarkStart w:id="29" w:name="_Toc37941839"/>
      <w:bookmarkStart w:id="30" w:name="_Toc37942736"/>
      <w:bookmarkStart w:id="31" w:name="_Toc37943103"/>
      <w:bookmarkStart w:id="32" w:name="_Toc37948907"/>
      <w:bookmarkStart w:id="33" w:name="_Toc37951505"/>
      <w:bookmarkStart w:id="34" w:name="_Toc37955822"/>
      <w:bookmarkStart w:id="35" w:name="_Toc37166573"/>
      <w:bookmarkStart w:id="36" w:name="_Toc37948908"/>
      <w:bookmarkStart w:id="37" w:name="_Toc37955823"/>
      <w:bookmarkStart w:id="38" w:name="_Toc37956056"/>
      <w:bookmarkEnd w:id="24"/>
      <w:bookmarkEnd w:id="25"/>
      <w:bookmarkEnd w:id="26"/>
      <w:bookmarkEnd w:id="27"/>
      <w:bookmarkEnd w:id="28"/>
      <w:bookmarkEnd w:id="29"/>
      <w:bookmarkEnd w:id="30"/>
      <w:bookmarkEnd w:id="31"/>
      <w:bookmarkEnd w:id="32"/>
      <w:bookmarkEnd w:id="33"/>
      <w:bookmarkEnd w:id="34"/>
      <w:r>
        <w:rPr>
          <w:noProof/>
        </w:rPr>
        <w:lastRenderedPageBreak/>
        <w:t>The Commission’s control results confirm that the EU budget is well protected</w:t>
      </w:r>
      <w:bookmarkEnd w:id="35"/>
      <w:bookmarkEnd w:id="36"/>
      <w:bookmarkEnd w:id="37"/>
      <w:bookmarkEnd w:id="38"/>
    </w:p>
    <w:p w:rsidR="00315B87" w:rsidRDefault="00C32692">
      <w:pPr>
        <w:pStyle w:val="AMPRBodyText"/>
        <w:rPr>
          <w:noProof/>
        </w:rPr>
      </w:pPr>
      <w:r>
        <w:rPr>
          <w:noProof/>
        </w:rPr>
        <w:t xml:space="preserve">The Commission considers that the budget is effectively protected when the risk at closure is below 2% of the relevant expenditure, which is the materiality threshold also used by the Court of Auditors. </w:t>
      </w:r>
    </w:p>
    <w:p w:rsidR="00315B87" w:rsidRDefault="00C32692">
      <w:pPr>
        <w:pStyle w:val="AMPRBodyText"/>
        <w:rPr>
          <w:noProof/>
        </w:rPr>
      </w:pPr>
      <w:r>
        <w:rPr>
          <w:noProof/>
        </w:rPr>
        <w:t xml:space="preserve">If weaknesses or errors are detected during the life cycle of the programme, the Commission takes all the necessary actions. </w:t>
      </w:r>
    </w:p>
    <w:p w:rsidR="00315B87" w:rsidRDefault="00C32692">
      <w:pPr>
        <w:pStyle w:val="AMPRBodyText"/>
        <w:rPr>
          <w:noProof/>
        </w:rPr>
      </w:pPr>
      <w:r>
        <w:rPr>
          <w:noProof/>
        </w:rPr>
        <w:t>By the closure of the programme at the latest – i.e. when all controls, corrections, recoveries, etc. have been made – the risk at closure should be and is estimated to be below 2%.</w:t>
      </w:r>
    </w:p>
    <w:p w:rsidR="00315B87" w:rsidRDefault="00C32692">
      <w:pPr>
        <w:pStyle w:val="AMPRSec2TITLE3-numbered"/>
        <w:rPr>
          <w:noProof/>
        </w:rPr>
      </w:pPr>
      <w:r>
        <w:rPr>
          <w:noProof/>
        </w:rPr>
        <w:t>At the end of the programmes’ life cycles, the risk is below</w:t>
      </w:r>
      <w:r>
        <w:rPr>
          <w:rFonts w:ascii="Calibri" w:hAnsi="Calibri"/>
          <w:noProof/>
        </w:rPr>
        <w:t xml:space="preserve"> </w:t>
      </w:r>
      <w:r>
        <w:rPr>
          <w:noProof/>
        </w:rPr>
        <w:t>2%</w:t>
      </w:r>
    </w:p>
    <w:p w:rsidR="00315B87" w:rsidRDefault="00C32692">
      <w:pPr>
        <w:pStyle w:val="AMPRBodyText"/>
        <w:rPr>
          <w:noProof/>
        </w:rPr>
      </w:pPr>
      <w:r>
        <w:rPr>
          <w:noProof/>
          <w:lang w:val="fr-BE" w:eastAsia="fr-BE"/>
        </w:rPr>
        <mc:AlternateContent>
          <mc:Choice Requires="wpg">
            <w:drawing>
              <wp:anchor distT="0" distB="0" distL="114300" distR="114300" simplePos="0" relativeHeight="251657216" behindDoc="1" locked="0" layoutInCell="1" allowOverlap="1">
                <wp:simplePos x="0" y="0"/>
                <wp:positionH relativeFrom="column">
                  <wp:posOffset>-68580</wp:posOffset>
                </wp:positionH>
                <wp:positionV relativeFrom="paragraph">
                  <wp:posOffset>37465</wp:posOffset>
                </wp:positionV>
                <wp:extent cx="1771200" cy="3668400"/>
                <wp:effectExtent l="0" t="0" r="0" b="0"/>
                <wp:wrapTight wrapText="bothSides">
                  <wp:wrapPolygon edited="0">
                    <wp:start x="7203" y="0"/>
                    <wp:lineTo x="2788" y="337"/>
                    <wp:lineTo x="697" y="1010"/>
                    <wp:lineTo x="697" y="5160"/>
                    <wp:lineTo x="1162" y="5608"/>
                    <wp:lineTo x="0" y="6954"/>
                    <wp:lineTo x="0" y="8525"/>
                    <wp:lineTo x="697" y="10432"/>
                    <wp:lineTo x="2091" y="10993"/>
                    <wp:lineTo x="697" y="10993"/>
                    <wp:lineTo x="465" y="15704"/>
                    <wp:lineTo x="2556" y="16377"/>
                    <wp:lineTo x="1394" y="17050"/>
                    <wp:lineTo x="1394" y="21424"/>
                    <wp:lineTo x="20678" y="21424"/>
                    <wp:lineTo x="21143" y="17050"/>
                    <wp:lineTo x="19284" y="16713"/>
                    <wp:lineTo x="16729" y="16040"/>
                    <wp:lineTo x="16032" y="449"/>
                    <wp:lineTo x="15567" y="0"/>
                    <wp:lineTo x="7203" y="0"/>
                  </wp:wrapPolygon>
                </wp:wrapTight>
                <wp:docPr id="249" name="Group 249"/>
                <wp:cNvGraphicFramePr/>
                <a:graphic xmlns:a="http://schemas.openxmlformats.org/drawingml/2006/main">
                  <a:graphicData uri="http://schemas.microsoft.com/office/word/2010/wordprocessingGroup">
                    <wpg:wgp>
                      <wpg:cNvGrpSpPr/>
                      <wpg:grpSpPr>
                        <a:xfrm>
                          <a:off x="0" y="0"/>
                          <a:ext cx="1771200" cy="3668400"/>
                          <a:chOff x="0" y="0"/>
                          <a:chExt cx="1770431" cy="3669388"/>
                        </a:xfrm>
                      </wpg:grpSpPr>
                      <pic:pic xmlns:pic="http://schemas.openxmlformats.org/drawingml/2006/picture">
                        <pic:nvPicPr>
                          <pic:cNvPr id="5" name="Picture 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20800" cy="2940685"/>
                          </a:xfrm>
                          <a:prstGeom prst="rect">
                            <a:avLst/>
                          </a:prstGeom>
                          <a:noFill/>
                        </pic:spPr>
                      </pic:pic>
                      <wps:wsp>
                        <wps:cNvPr id="17" name="Text Box 17"/>
                        <wps:cNvSpPr txBox="1"/>
                        <wps:spPr>
                          <a:xfrm>
                            <a:off x="73348" y="2831217"/>
                            <a:ext cx="1697083" cy="838171"/>
                          </a:xfrm>
                          <a:prstGeom prst="rect">
                            <a:avLst/>
                          </a:prstGeom>
                          <a:noFill/>
                          <a:ln w="6350">
                            <a:noFill/>
                          </a:ln>
                        </wps:spPr>
                        <wps:txbx>
                          <w:txbxContent>
                            <w:p w:rsidR="00315B87" w:rsidRDefault="00C32692">
                              <w:pPr>
                                <w:pStyle w:val="AMPRCharttitle"/>
                              </w:pPr>
                              <w:r>
                                <w:t>Risks at payment and at closure, for the entire Commission, for 2017-2019</w:t>
                              </w:r>
                            </w:p>
                            <w:p w:rsidR="00315B87" w:rsidRDefault="00C32692">
                              <w:pPr>
                                <w:pStyle w:val="BodyText"/>
                                <w:rPr>
                                  <w:rFonts w:cs="EC Square Sans Pro"/>
                                  <w:i/>
                                  <w:iCs/>
                                  <w:color w:val="221E1F"/>
                                  <w:sz w:val="16"/>
                                  <w:szCs w:val="16"/>
                                </w:rPr>
                              </w:pPr>
                              <w:r>
                                <w:rPr>
                                  <w:rFonts w:cs="EC Square Sans Pro"/>
                                  <w:i/>
                                  <w:iCs/>
                                  <w:color w:val="221E1F"/>
                                  <w:sz w:val="16"/>
                                  <w:szCs w:val="16"/>
                                </w:rPr>
                                <w:t xml:space="preserve">Source: </w:t>
                              </w:r>
                              <w:r>
                                <w:rPr>
                                  <w:rFonts w:cs="EC Square Sans Pro"/>
                                  <w:color w:val="221E1F"/>
                                  <w:sz w:val="16"/>
                                  <w:szCs w:val="16"/>
                                </w:rPr>
                                <w:t>European Commission annual activity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9" o:spid="_x0000_s1032" style="position:absolute;left:0;text-align:left;margin-left:-5.4pt;margin-top:2.95pt;width:139.45pt;height:288.85pt;z-index:-251659264;mso-width-relative:margin;mso-height-relative:margin" coordsize="17704,36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">
                <v:shape id="Picture 5" o:spid="_x0000_s1033" type="#_x0000_t75" style="position:absolute;width:13208;height:2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">
                  <v:imagedata r:id="rId31" o:title=""/>
                  <v:path arrowok="t"/>
                </v:shape>
                <v:shape id="Text Box 17" o:spid="_x0000_s1034" type="#_x0000_t202" style="position:absolute;left:733;top:28312;width:16971;height:8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315B87" w:rsidRDefault="00C32692">
                        <w:pPr>
                          <w:pStyle w:val="AMPRCharttitle"/>
                        </w:pPr>
                        <w:r>
                          <w:t>Risks at payment and at closure, for the entire Commission, for 2017-2019</w:t>
                        </w:r>
                      </w:p>
                      <w:p w:rsidR="00315B87" w:rsidRDefault="00C32692">
                        <w:pPr>
                          <w:pStyle w:val="BodyText"/>
                          <w:rPr>
                            <w:rFonts w:cs="EC Square Sans Pro"/>
                            <w:i/>
                            <w:iCs/>
                            <w:color w:val="221E1F"/>
                            <w:sz w:val="16"/>
                            <w:szCs w:val="16"/>
                          </w:rPr>
                        </w:pPr>
                        <w:r>
                          <w:rPr>
                            <w:rFonts w:cs="EC Square Sans Pro"/>
                            <w:i/>
                            <w:iCs/>
                            <w:color w:val="221E1F"/>
                            <w:sz w:val="16"/>
                            <w:szCs w:val="16"/>
                          </w:rPr>
                          <w:t xml:space="preserve">Source: </w:t>
                        </w:r>
                        <w:r>
                          <w:rPr>
                            <w:rFonts w:cs="EC Square Sans Pro"/>
                            <w:color w:val="221E1F"/>
                            <w:sz w:val="16"/>
                            <w:szCs w:val="16"/>
                          </w:rPr>
                          <w:t>European Commission annual activity reports.</w:t>
                        </w:r>
                      </w:p>
                    </w:txbxContent>
                  </v:textbox>
                </v:shape>
                <w10:wrap type="tight"/>
              </v:group>
            </w:pict>
          </mc:Fallback>
        </mc:AlternateContent>
      </w:r>
      <w:r>
        <w:rPr>
          <w:noProof/>
        </w:rPr>
        <w:t>On the basis of the audits and controls carried out as described above, every year each Commission department estimates the risk to the legality and regularity of EU spending at two stages in the multiannual control cycle: at payment and at closure.</w:t>
      </w:r>
    </w:p>
    <w:p w:rsidR="00315B87" w:rsidRDefault="00C32692">
      <w:pPr>
        <w:pStyle w:val="AMPRBodyText"/>
        <w:rPr>
          <w:noProof/>
        </w:rPr>
      </w:pPr>
      <w:r>
        <w:rPr>
          <w:noProof/>
        </w:rPr>
        <w:t xml:space="preserve">The </w:t>
      </w:r>
      <w:r>
        <w:rPr>
          <w:rStyle w:val="AMPRcharBoldBlue"/>
          <w:noProof/>
        </w:rPr>
        <w:t>risk at payment</w:t>
      </w:r>
      <w:r>
        <w:rPr>
          <w:noProof/>
        </w:rPr>
        <w:t xml:space="preserve"> is an estimate of the errors that have not been prevented and may still affect the payments (made to Member States, intermediary organisations, beneficiaries, etc.) despite the </w:t>
      </w:r>
      <w:r>
        <w:rPr>
          <w:i/>
          <w:noProof/>
        </w:rPr>
        <w:t>ex ante</w:t>
      </w:r>
      <w:r>
        <w:rPr>
          <w:noProof/>
        </w:rPr>
        <w:t xml:space="preserve"> controls. They are detected through </w:t>
      </w:r>
      <w:r>
        <w:rPr>
          <w:i/>
          <w:noProof/>
        </w:rPr>
        <w:t>ex post</w:t>
      </w:r>
      <w:r>
        <w:rPr>
          <w:noProof/>
        </w:rPr>
        <w:t xml:space="preserve"> controls and audits on the payments made.</w:t>
      </w:r>
    </w:p>
    <w:p w:rsidR="00315B87" w:rsidRDefault="00C32692">
      <w:pPr>
        <w:pStyle w:val="AMPRBodyText"/>
        <w:rPr>
          <w:noProof/>
        </w:rPr>
      </w:pPr>
      <w:r>
        <w:rPr>
          <w:noProof/>
        </w:rPr>
        <w:t xml:space="preserve">The </w:t>
      </w:r>
      <w:r>
        <w:rPr>
          <w:rStyle w:val="AMPRcharBoldBlue"/>
          <w:noProof/>
        </w:rPr>
        <w:t>risk at closure</w:t>
      </w:r>
      <w:r>
        <w:rPr>
          <w:noProof/>
        </w:rPr>
        <w:t xml:space="preserve"> is an estimate of the errors that will remain at the end of the programmes’ life cycle, once all </w:t>
      </w:r>
      <w:r>
        <w:rPr>
          <w:i/>
          <w:noProof/>
        </w:rPr>
        <w:t>ex post</w:t>
      </w:r>
      <w:r>
        <w:rPr>
          <w:noProof/>
        </w:rPr>
        <w:t xml:space="preserve"> controls and corrections have been made. It is equal to the risk at payment less a conservative estimate of the </w:t>
      </w:r>
      <w:r>
        <w:rPr>
          <w:rStyle w:val="AMPRcharBoldBlue"/>
          <w:noProof/>
        </w:rPr>
        <w:t>future corrections</w:t>
      </w:r>
      <w:r>
        <w:rPr>
          <w:noProof/>
        </w:rPr>
        <w:t xml:space="preserve"> under the multiannual corrective mechanisms – those that will take place between the time of the reporting and the end of the programme’s life cycle.</w:t>
      </w:r>
    </w:p>
    <w:p w:rsidR="00315B87" w:rsidRDefault="00C32692">
      <w:pPr>
        <w:pStyle w:val="AMPRBodyText"/>
        <w:rPr>
          <w:noProof/>
          <w:color w:val="auto"/>
        </w:rPr>
      </w:pPr>
      <w:r>
        <w:rPr>
          <w:noProof/>
        </w:rPr>
        <w:t xml:space="preserve">For more details on these concepts and the methodology used to determine these estimates, as well as the rates per policy area and per Commission department, see </w:t>
      </w:r>
      <w:r>
        <w:rPr>
          <w:noProof/>
          <w:color w:val="auto"/>
        </w:rPr>
        <w:t>Annex</w:t>
      </w:r>
      <w:r>
        <w:rPr>
          <w:rFonts w:ascii="Calibri" w:hAnsi="Calibri" w:cs="Calibri"/>
          <w:noProof/>
          <w:color w:val="auto"/>
        </w:rPr>
        <w:t> </w:t>
      </w:r>
      <w:r>
        <w:rPr>
          <w:noProof/>
          <w:color w:val="auto"/>
        </w:rPr>
        <w:t>3.</w:t>
      </w:r>
    </w:p>
    <w:p w:rsidR="00315B87" w:rsidRDefault="00C32692">
      <w:pPr>
        <w:pStyle w:val="AMPRBodyText"/>
        <w:rPr>
          <w:noProof/>
          <w:lang w:eastAsia="fr-BE"/>
        </w:rPr>
      </w:pPr>
      <w:r>
        <w:rPr>
          <w:noProof/>
        </w:rPr>
        <w:br w:type="page"/>
      </w:r>
    </w:p>
    <w:p w:rsidR="00315B87" w:rsidRDefault="00C32692">
      <w:pPr>
        <w:pStyle w:val="AMPRBOXA-bgWHITElnORANGE-BLUEtext"/>
        <w:rPr>
          <w:iCs/>
          <w:noProof/>
        </w:rPr>
      </w:pPr>
      <w:r>
        <w:rPr>
          <w:noProof/>
        </w:rPr>
        <w:lastRenderedPageBreak/>
        <w:t xml:space="preserve">For </w:t>
      </w:r>
      <w:r>
        <w:rPr>
          <w:rStyle w:val="AMPRcharBoldBlue"/>
          <w:noProof/>
        </w:rPr>
        <w:t>2019, the overall risk at closure is estimated at 0.7%</w:t>
      </w:r>
      <w:r>
        <w:rPr>
          <w:noProof/>
        </w:rPr>
        <w:t xml:space="preserve"> of the Commission’s relevant expenditure (see graph). </w:t>
      </w:r>
    </w:p>
    <w:p w:rsidR="00315B87" w:rsidRDefault="00C32692">
      <w:pPr>
        <w:pStyle w:val="AMPRBOXA-bgWHITElnORANGE-BLUEtext"/>
        <w:rPr>
          <w:noProof/>
        </w:rPr>
      </w:pPr>
      <w:r>
        <w:rPr>
          <w:noProof/>
        </w:rPr>
        <w:t>Due to the higher risk at payment in cohesion spending during this year, the overall risk at payment is 2.1% for 2019 (1.7% in 2018). However, as the related estimated future corrections are also higher (1.4%, compared to 0.9% in 2018) this results in a stable and low risk at closure of 0.7% (0.8% in 2018).</w:t>
      </w:r>
    </w:p>
    <w:bookmarkEnd w:id="13"/>
    <w:bookmarkEnd w:id="14"/>
    <w:bookmarkEnd w:id="15"/>
    <w:bookmarkEnd w:id="16"/>
    <w:bookmarkEnd w:id="17"/>
    <w:bookmarkEnd w:id="18"/>
    <w:p w:rsidR="00315B87" w:rsidRDefault="00C32692">
      <w:pPr>
        <w:pStyle w:val="AMPRBOXA-bgWHITElnORANGE-BLUEtext"/>
        <w:rPr>
          <w:noProof/>
        </w:rPr>
      </w:pPr>
      <w:r>
        <w:rPr>
          <w:noProof/>
        </w:rPr>
        <w:t xml:space="preserve">As this is estimated to be </w:t>
      </w:r>
      <w:r>
        <w:rPr>
          <w:rStyle w:val="AMPRcharBoldBlue"/>
          <w:noProof/>
        </w:rPr>
        <w:t>less than 2%, taking into account the future corrections,</w:t>
      </w:r>
      <w:r>
        <w:rPr>
          <w:b/>
          <w:noProof/>
        </w:rPr>
        <w:t xml:space="preserve"> </w:t>
      </w:r>
      <w:r>
        <w:rPr>
          <w:noProof/>
        </w:rPr>
        <w:t xml:space="preserve">this means that, overall, the Commission’s multiannual control systems ensured the effective </w:t>
      </w:r>
      <w:r>
        <w:rPr>
          <w:rStyle w:val="AMPRcharBoldBlue"/>
          <w:noProof/>
        </w:rPr>
        <w:t>protection of the EU budget</w:t>
      </w:r>
      <w:r>
        <w:rPr>
          <w:noProof/>
        </w:rPr>
        <w:t xml:space="preserve"> in 2019.</w:t>
      </w:r>
    </w:p>
    <w:p w:rsidR="00315B87" w:rsidRDefault="00C32692">
      <w:pPr>
        <w:pStyle w:val="AMPRBodyText"/>
        <w:spacing w:before="160" w:after="120"/>
        <w:rPr>
          <w:noProof/>
        </w:rPr>
      </w:pPr>
      <w:r>
        <w:rPr>
          <w:noProof/>
        </w:rPr>
        <w:t>The situation regarding risks at payment and at closure, per policy area, is described below for 2019, and their evolution for the period 2017-2019 is shown in graph format. For more details, including about the departments covered in each policy area, see Annex 3.</w:t>
      </w:r>
    </w:p>
    <w:p w:rsidR="00315B87" w:rsidRDefault="00C32692">
      <w:pPr>
        <w:pStyle w:val="AMPRSec2TITLE4"/>
        <w:spacing w:before="280" w:after="80"/>
        <w:rPr>
          <w:noProof/>
        </w:rPr>
      </w:pPr>
      <w:r>
        <w:rPr>
          <w:noProof/>
        </w:rPr>
        <w:t>Natural resources</w:t>
      </w:r>
    </w:p>
    <w:p w:rsidR="00315B87" w:rsidRDefault="00CD53B5">
      <w:pPr>
        <w:pStyle w:val="AMPRBodyText"/>
        <w:spacing w:before="180"/>
        <w:rPr>
          <w:noProof/>
        </w:rPr>
      </w:pPr>
      <w:r>
        <w:rPr>
          <w:noProof/>
          <w:lang w:val="fr-BE" w:eastAsia="fr-BE"/>
        </w:rPr>
        <w:drawing>
          <wp:anchor distT="0" distB="215900" distL="114300" distR="114300" simplePos="0" relativeHeight="251660288" behindDoc="0" locked="0" layoutInCell="1" allowOverlap="1">
            <wp:simplePos x="0" y="0"/>
            <wp:positionH relativeFrom="column">
              <wp:posOffset>3810</wp:posOffset>
            </wp:positionH>
            <wp:positionV relativeFrom="paragraph">
              <wp:posOffset>149860</wp:posOffset>
            </wp:positionV>
            <wp:extent cx="1494000" cy="33408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rotWithShape="1">
                    <a:blip r:embed="rId32" cstate="print">
                      <a:extLst>
                        <a:ext uri="{28A0092B-C50C-407E-A947-70E740481C1C}">
                          <a14:useLocalDpi xmlns:a14="http://schemas.microsoft.com/office/drawing/2010/main" val="0"/>
                        </a:ext>
                      </a:extLst>
                    </a:blip>
                    <a:srcRect t="6020" b="-1970"/>
                    <a:stretch/>
                  </pic:blipFill>
                  <pic:spPr bwMode="auto">
                    <a:xfrm>
                      <a:off x="0" y="0"/>
                      <a:ext cx="1494000" cy="33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692">
        <w:rPr>
          <w:noProof/>
        </w:rPr>
        <w:t xml:space="preserve">For </w:t>
      </w:r>
      <w:r w:rsidR="00C32692">
        <w:rPr>
          <w:rStyle w:val="AMPRcharBoldBlue"/>
          <w:noProof/>
        </w:rPr>
        <w:t>natural resources</w:t>
      </w:r>
      <w:r w:rsidR="00C32692">
        <w:rPr>
          <w:noProof/>
        </w:rPr>
        <w:t xml:space="preserve">, the risk at payment is continuing its downward trend, with a further decrease from 2.1% in 2018 to </w:t>
      </w:r>
      <w:r w:rsidR="00C32692">
        <w:rPr>
          <w:rStyle w:val="AMPRcharOrange"/>
          <w:noProof/>
          <w:color w:val="auto"/>
        </w:rPr>
        <w:t>1.9% in 2019,</w:t>
      </w:r>
      <w:r w:rsidR="00C32692">
        <w:rPr>
          <w:noProof/>
          <w:color w:val="auto"/>
        </w:rPr>
        <w:t xml:space="preserve"> </w:t>
      </w:r>
      <w:r w:rsidR="00C32692">
        <w:rPr>
          <w:rStyle w:val="AMPRcharOrange"/>
          <w:noProof/>
          <w:color w:val="auto"/>
        </w:rPr>
        <w:t>which is below the materiality threshold</w:t>
      </w:r>
      <w:r w:rsidR="00C32692">
        <w:rPr>
          <w:noProof/>
          <w:color w:val="auto"/>
        </w:rPr>
        <w:t>. This corresponds to the risk at payment for agriculture expenditure given that this represents the bulk of the expenditure under this policy area (</w:t>
      </w:r>
      <w:r w:rsidR="00C32692">
        <w:rPr>
          <w:rStyle w:val="AMPRcharOrange"/>
          <w:noProof/>
          <w:color w:val="auto"/>
        </w:rPr>
        <w:t>98%</w:t>
      </w:r>
      <w:r w:rsidR="00C32692">
        <w:rPr>
          <w:noProof/>
          <w:color w:val="auto"/>
        </w:rPr>
        <w:t xml:space="preserve">) – compared to the </w:t>
      </w:r>
      <w:r w:rsidR="00C32692">
        <w:rPr>
          <w:noProof/>
        </w:rPr>
        <w:t>maritime and fisheries</w:t>
      </w:r>
      <w:r w:rsidR="00C32692">
        <w:rPr>
          <w:rStyle w:val="fnRef"/>
          <w:rFonts w:ascii="Arial" w:hAnsi="Arial" w:cs="Arial"/>
          <w:noProof/>
        </w:rPr>
        <w:t> </w:t>
      </w:r>
      <w:r w:rsidR="00C32692">
        <w:rPr>
          <w:rStyle w:val="fnRef"/>
          <w:noProof/>
        </w:rPr>
        <w:t>(</w:t>
      </w:r>
      <w:r w:rsidR="00C32692">
        <w:rPr>
          <w:rStyle w:val="fnRefNo"/>
          <w:noProof/>
        </w:rPr>
        <w:footnoteReference w:id="19"/>
      </w:r>
      <w:r w:rsidR="00C32692">
        <w:rPr>
          <w:rStyle w:val="fnRef"/>
          <w:noProof/>
        </w:rPr>
        <w:t>)</w:t>
      </w:r>
      <w:r w:rsidR="00C32692">
        <w:rPr>
          <w:noProof/>
        </w:rPr>
        <w:t>, environment and climate expenditures.</w:t>
      </w:r>
    </w:p>
    <w:p w:rsidR="00315B87" w:rsidRDefault="00C32692">
      <w:pPr>
        <w:pStyle w:val="AMPRBodyText"/>
        <w:rPr>
          <w:noProof/>
        </w:rPr>
      </w:pPr>
      <w:r>
        <w:rPr>
          <w:noProof/>
        </w:rPr>
        <w:t xml:space="preserve">In the </w:t>
      </w:r>
      <w:r>
        <w:rPr>
          <w:rStyle w:val="AMPRcharBoldBlue"/>
          <w:noProof/>
        </w:rPr>
        <w:t>common agricultural policy</w:t>
      </w:r>
      <w:r>
        <w:rPr>
          <w:noProof/>
        </w:rPr>
        <w:t xml:space="preserve">, first, the risk at payment is lowest </w:t>
      </w:r>
      <w:r>
        <w:rPr>
          <w:noProof/>
          <w:color w:val="auto"/>
        </w:rPr>
        <w:t xml:space="preserve">in the Guarantee Fund’s direct aid payments </w:t>
      </w:r>
      <w:r>
        <w:rPr>
          <w:noProof/>
        </w:rPr>
        <w:t>(</w:t>
      </w:r>
      <w:r>
        <w:rPr>
          <w:rStyle w:val="AMPRcharOrange"/>
          <w:noProof/>
          <w:color w:val="auto"/>
        </w:rPr>
        <w:t>1.6%</w:t>
      </w:r>
      <w:r>
        <w:rPr>
          <w:noProof/>
          <w:color w:val="auto"/>
        </w:rPr>
        <w:t>) and below the materiality threshold for the 3rd consecutive year. This expenditure, which belongs to the common agricultural policy’s pillar</w:t>
      </w:r>
      <w:r>
        <w:rPr>
          <w:rFonts w:ascii="Calibri" w:hAnsi="Calibri" w:cs="Calibri"/>
          <w:noProof/>
          <w:color w:val="auto"/>
        </w:rPr>
        <w:t> </w:t>
      </w:r>
      <w:r>
        <w:rPr>
          <w:noProof/>
          <w:color w:val="auto"/>
        </w:rPr>
        <w:t>1, is inherently low risk due to the ‘entitlement-based’ reimbursement mechanism (see Section</w:t>
      </w:r>
      <w:r>
        <w:rPr>
          <w:rFonts w:ascii="Calibri" w:hAnsi="Calibri" w:cs="Calibri"/>
          <w:noProof/>
          <w:color w:val="auto"/>
        </w:rPr>
        <w:t> </w:t>
      </w:r>
      <w:r>
        <w:rPr>
          <w:noProof/>
          <w:color w:val="auto"/>
        </w:rPr>
        <w:t>2.3.2). Second, still under the common agricultural policy’s pillar</w:t>
      </w:r>
      <w:r>
        <w:rPr>
          <w:rFonts w:ascii="Calibri" w:hAnsi="Calibri" w:cs="Calibri"/>
          <w:noProof/>
          <w:color w:val="auto"/>
        </w:rPr>
        <w:t> </w:t>
      </w:r>
      <w:r>
        <w:rPr>
          <w:noProof/>
          <w:color w:val="auto"/>
        </w:rPr>
        <w:t>1, the risk at payment remains higher in the Guarantee Fund’s market interventions (</w:t>
      </w:r>
      <w:r>
        <w:rPr>
          <w:rStyle w:val="AMPRcharOrange"/>
          <w:noProof/>
          <w:color w:val="auto"/>
        </w:rPr>
        <w:t>2.8%</w:t>
      </w:r>
      <w:r>
        <w:rPr>
          <w:noProof/>
          <w:color w:val="auto"/>
        </w:rPr>
        <w:t xml:space="preserve">). Third, in </w:t>
      </w:r>
      <w:r>
        <w:rPr>
          <w:noProof/>
        </w:rPr>
        <w:t>the common agricultural policy’s pillar</w:t>
      </w:r>
      <w:r>
        <w:rPr>
          <w:rFonts w:ascii="Calibri" w:hAnsi="Calibri" w:cs="Calibri"/>
          <w:noProof/>
        </w:rPr>
        <w:t> </w:t>
      </w:r>
      <w:r>
        <w:rPr>
          <w:noProof/>
        </w:rPr>
        <w:t xml:space="preserve">2, the risk at payment </w:t>
      </w:r>
      <w:r>
        <w:rPr>
          <w:noProof/>
          <w:color w:val="auto"/>
        </w:rPr>
        <w:t xml:space="preserve">in rural </w:t>
      </w:r>
      <w:r>
        <w:rPr>
          <w:noProof/>
        </w:rPr>
        <w:t>development is higher as well (</w:t>
      </w:r>
      <w:r>
        <w:rPr>
          <w:rStyle w:val="AMPRcharOrange"/>
          <w:noProof/>
          <w:color w:val="auto"/>
        </w:rPr>
        <w:t>2.7%</w:t>
      </w:r>
      <w:r>
        <w:rPr>
          <w:noProof/>
          <w:color w:val="auto"/>
        </w:rPr>
        <w:t xml:space="preserve">), but </w:t>
      </w:r>
      <w:r>
        <w:rPr>
          <w:noProof/>
        </w:rPr>
        <w:t xml:space="preserve">has constantly declined over recent years. </w:t>
      </w:r>
    </w:p>
    <w:p w:rsidR="00315B87" w:rsidRDefault="00C32692">
      <w:pPr>
        <w:pStyle w:val="AMPRBodyText"/>
        <w:rPr>
          <w:noProof/>
        </w:rPr>
      </w:pPr>
      <w:r>
        <w:rPr>
          <w:noProof/>
        </w:rPr>
        <w:t>For both pillars, the continuous decrease in error rates is due to the efficient management and control systems applied, in particular the Integrated Administration and Control System, including the Land Parcel Identification System, and the successful cooperation between the Commission and the Member States, in which action plans by Member States have proven to be an effective tool to remedy the weaknesses identified in certain paying agencies.</w:t>
      </w:r>
    </w:p>
    <w:p w:rsidR="00315B87" w:rsidRDefault="00C32692">
      <w:pPr>
        <w:pStyle w:val="AMPRBodyText"/>
        <w:spacing w:before="220" w:after="220"/>
        <w:rPr>
          <w:noProof/>
          <w:color w:val="auto"/>
        </w:rPr>
      </w:pPr>
      <w:r>
        <w:rPr>
          <w:noProof/>
        </w:rPr>
        <w:t xml:space="preserve">Owing to the design of the management and control systems in this policy area, nearly all errors affecting payments not detected at the year end are expected to be covered by subsequent recoveries (by Member States) or financial corrections. This explains the high level of estimated </w:t>
      </w:r>
      <w:r>
        <w:rPr>
          <w:noProof/>
          <w:color w:val="auto"/>
        </w:rPr>
        <w:t>future corrections (</w:t>
      </w:r>
      <w:r>
        <w:rPr>
          <w:rStyle w:val="AMPRcharOrange"/>
          <w:noProof/>
          <w:color w:val="auto"/>
        </w:rPr>
        <w:t>1.8%</w:t>
      </w:r>
      <w:r>
        <w:rPr>
          <w:noProof/>
          <w:color w:val="auto"/>
        </w:rPr>
        <w:t>). Thus the estimated risk at closure </w:t>
      </w:r>
      <w:r>
        <w:rPr>
          <w:rStyle w:val="fnRef"/>
          <w:noProof/>
        </w:rPr>
        <w:t>(</w:t>
      </w:r>
      <w:r>
        <w:rPr>
          <w:rStyle w:val="fnRefNo"/>
          <w:noProof/>
        </w:rPr>
        <w:footnoteReference w:id="20"/>
      </w:r>
      <w:r>
        <w:rPr>
          <w:rStyle w:val="fnRef"/>
          <w:noProof/>
        </w:rPr>
        <w:t>)</w:t>
      </w:r>
      <w:r>
        <w:rPr>
          <w:noProof/>
          <w:color w:val="auto"/>
        </w:rPr>
        <w:t xml:space="preserve"> remains very low at </w:t>
      </w:r>
      <w:r>
        <w:rPr>
          <w:rStyle w:val="AMPRcharOrange"/>
          <w:noProof/>
          <w:color w:val="auto"/>
        </w:rPr>
        <w:t>0.1%</w:t>
      </w:r>
      <w:r>
        <w:rPr>
          <w:noProof/>
          <w:color w:val="auto"/>
        </w:rPr>
        <w:t xml:space="preserve">. </w:t>
      </w:r>
    </w:p>
    <w:p w:rsidR="00315B87" w:rsidRDefault="00C32692">
      <w:pPr>
        <w:pStyle w:val="AMPRBodyText"/>
        <w:keepNext/>
        <w:spacing w:before="200" w:after="120"/>
        <w:rPr>
          <w:noProof/>
        </w:rPr>
      </w:pPr>
      <w:r>
        <w:rPr>
          <w:noProof/>
        </w:rPr>
        <w:t>At the end of 2019, there were five reservations for segments of expenditure or programmes where control weaknesses and/or error rates above 2% had been identified (see Section</w:t>
      </w:r>
      <w:r>
        <w:rPr>
          <w:rFonts w:ascii="Calibri" w:hAnsi="Calibri" w:cs="Calibri"/>
          <w:noProof/>
        </w:rPr>
        <w:t> </w:t>
      </w:r>
      <w:r>
        <w:rPr>
          <w:noProof/>
        </w:rPr>
        <w:t>2.3.5 and more details in Annex</w:t>
      </w:r>
      <w:r>
        <w:rPr>
          <w:rFonts w:ascii="Calibri" w:hAnsi="Calibri" w:cs="Calibri"/>
          <w:noProof/>
        </w:rPr>
        <w:t> </w:t>
      </w:r>
      <w:r>
        <w:rPr>
          <w:noProof/>
        </w:rPr>
        <w:t>4), namely:</w:t>
      </w:r>
    </w:p>
    <w:p w:rsidR="00315B87" w:rsidRDefault="00C32692">
      <w:pPr>
        <w:pStyle w:val="AMPRListOrange-L1"/>
        <w:rPr>
          <w:noProof/>
        </w:rPr>
      </w:pPr>
      <w:r>
        <w:rPr>
          <w:noProof/>
        </w:rPr>
        <w:t xml:space="preserve">three reservations for agriculture: the European Agricultural Guarantee Fund market measures and direct payments, and the European Agricultural Fund for Rural Development measures, corresponding to those Member States and paying agencies that (temporarily) face control weaknesses and/or high error rates; </w:t>
      </w:r>
    </w:p>
    <w:p w:rsidR="00315B87" w:rsidRDefault="00C32692">
      <w:pPr>
        <w:pStyle w:val="AMPRListOrange-L1"/>
        <w:rPr>
          <w:noProof/>
        </w:rPr>
      </w:pPr>
      <w:r>
        <w:rPr>
          <w:noProof/>
        </w:rPr>
        <w:lastRenderedPageBreak/>
        <w:t xml:space="preserve">one recurrent non-quantified reservation for the EU emissions trading system registry; </w:t>
      </w:r>
    </w:p>
    <w:p w:rsidR="00315B87" w:rsidRDefault="00C32692">
      <w:pPr>
        <w:pStyle w:val="AMPRListOrange-L1"/>
        <w:rPr>
          <w:noProof/>
        </w:rPr>
      </w:pPr>
      <w:r>
        <w:rPr>
          <w:noProof/>
        </w:rPr>
        <w:t xml:space="preserve">one new reservation in 2019 for the European Maritime and Fisheries Fund, corresponding to one Member State and </w:t>
      </w:r>
      <w:r w:rsidR="008472D0">
        <w:rPr>
          <w:noProof/>
        </w:rPr>
        <w:t>operational programme</w:t>
      </w:r>
      <w:r>
        <w:rPr>
          <w:noProof/>
        </w:rPr>
        <w:t>with a material error rate.</w:t>
      </w:r>
    </w:p>
    <w:p w:rsidR="00315B87" w:rsidRDefault="00C32692">
      <w:pPr>
        <w:pStyle w:val="AMPRSec2TITLE4"/>
        <w:spacing w:before="320" w:after="200"/>
        <w:rPr>
          <w:noProof/>
        </w:rPr>
      </w:pPr>
      <w:r>
        <w:rPr>
          <w:noProof/>
        </w:rPr>
        <w:t>Cohesion</w:t>
      </w:r>
    </w:p>
    <w:p w:rsidR="00315B87" w:rsidRDefault="00CD53B5">
      <w:pPr>
        <w:pStyle w:val="AMPRBodyText"/>
        <w:spacing w:before="200"/>
        <w:rPr>
          <w:noProof/>
        </w:rPr>
      </w:pPr>
      <w:r>
        <w:rPr>
          <w:noProof/>
          <w:lang w:val="fr-BE" w:eastAsia="fr-BE"/>
        </w:rPr>
        <w:drawing>
          <wp:anchor distT="0" distB="0" distL="114300" distR="144145" simplePos="0" relativeHeight="251658240" behindDoc="0" locked="0" layoutInCell="1" allowOverlap="1">
            <wp:simplePos x="0" y="0"/>
            <wp:positionH relativeFrom="column">
              <wp:posOffset>3810</wp:posOffset>
            </wp:positionH>
            <wp:positionV relativeFrom="paragraph">
              <wp:posOffset>22225</wp:posOffset>
            </wp:positionV>
            <wp:extent cx="1494000" cy="32220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rotWithShape="1">
                    <a:blip r:embed="rId33" cstate="print">
                      <a:extLst>
                        <a:ext uri="{28A0092B-C50C-407E-A947-70E740481C1C}">
                          <a14:useLocalDpi xmlns:a14="http://schemas.microsoft.com/office/drawing/2010/main" val="0"/>
                        </a:ext>
                      </a:extLst>
                    </a:blip>
                    <a:srcRect t="6140"/>
                    <a:stretch/>
                  </pic:blipFill>
                  <pic:spPr bwMode="auto">
                    <a:xfrm>
                      <a:off x="0" y="0"/>
                      <a:ext cx="1494000" cy="322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692">
        <w:rPr>
          <w:noProof/>
        </w:rPr>
        <w:t xml:space="preserve">For </w:t>
      </w:r>
      <w:r w:rsidR="00C32692">
        <w:rPr>
          <w:rStyle w:val="AMPRcharBoldBlue"/>
          <w:noProof/>
        </w:rPr>
        <w:t>cohesion</w:t>
      </w:r>
      <w:r w:rsidR="00C32692">
        <w:rPr>
          <w:noProof/>
        </w:rPr>
        <w:t xml:space="preserve">, implementation of the current programmes is fully up to speed. The risk at closure is estimated at 1.1%, which is in line with 2018 (1.3%). Even though the risk at payment has increased from 1.7% in 2018 to a range between 2.2% and 3.1% in 2019, the estimated future corrections have increased as well (1.1% to 2%). </w:t>
      </w:r>
    </w:p>
    <w:p w:rsidR="00315B87" w:rsidRDefault="00C32692">
      <w:pPr>
        <w:pStyle w:val="AMPRBodyText"/>
        <w:rPr>
          <w:noProof/>
        </w:rPr>
      </w:pPr>
      <w:r>
        <w:rPr>
          <w:noProof/>
        </w:rPr>
        <w:t>The estimation of the future corrective capacity derives from the control system itself: indeed, under cohesion policy</w:t>
      </w:r>
      <w:r>
        <w:rPr>
          <w:rStyle w:val="fnRef"/>
          <w:rFonts w:ascii="Arial" w:hAnsi="Arial" w:cs="Arial"/>
          <w:noProof/>
        </w:rPr>
        <w:t> </w:t>
      </w:r>
      <w:r>
        <w:rPr>
          <w:rStyle w:val="fnRef"/>
          <w:noProof/>
        </w:rPr>
        <w:t>(</w:t>
      </w:r>
      <w:r>
        <w:rPr>
          <w:rStyle w:val="fnRefNo"/>
          <w:noProof/>
        </w:rPr>
        <w:footnoteReference w:id="21"/>
      </w:r>
      <w:r>
        <w:rPr>
          <w:rStyle w:val="fnRef"/>
          <w:noProof/>
        </w:rPr>
        <w:t>)</w:t>
      </w:r>
      <w:r>
        <w:rPr>
          <w:noProof/>
        </w:rPr>
        <w:t>, errors detected by the Member States, the Commission or the Court of Auditors in their respective audits are systematically subject to financial corrections. Individual programmes concerned are disclosed with full transparency in the annual activity reports, which also contain reporting on the subsequent steps taken to implement the required corrections. Under shared management, the Commission annually applies further financial corrections when the level of error (reported or recalculated) remains above 2% in annual programme accounts. At the end of the programme life cycle under cohesion policy, programmes are not closed until all required financial corrections have been implemented.</w:t>
      </w:r>
    </w:p>
    <w:p w:rsidR="00315B87" w:rsidRDefault="00C32692">
      <w:pPr>
        <w:pStyle w:val="AMPRBodyText"/>
        <w:rPr>
          <w:noProof/>
        </w:rPr>
      </w:pPr>
      <w:r>
        <w:rPr>
          <w:noProof/>
        </w:rPr>
        <w:t xml:space="preserve">In cohesion, a number of operational programmes in Member States proceeded to their first payments in 2018 and 2019. This means that auditors had the possibility to examine the full process for a higher number of programmes and a higher number of payments. This resulted in an increased number of errors found, as well as a higher error rate. For the </w:t>
      </w:r>
      <w:r>
        <w:rPr>
          <w:rStyle w:val="AMPRcharBoldBlue"/>
          <w:noProof/>
        </w:rPr>
        <w:t>European Regional Development Fund</w:t>
      </w:r>
      <w:r>
        <w:rPr>
          <w:noProof/>
        </w:rPr>
        <w:t xml:space="preserve">, in particular, which has the largest share of expenditure under this policy area, the risk at payment has increased from 2% in 2018 to a level in the range of, taking into account all possible risks, 2.7%-3.8% in 2019. For the </w:t>
      </w:r>
      <w:r>
        <w:rPr>
          <w:rStyle w:val="AMPRcharBoldBlue"/>
          <w:noProof/>
        </w:rPr>
        <w:t>European Social Fund</w:t>
      </w:r>
      <w:r>
        <w:rPr>
          <w:noProof/>
        </w:rPr>
        <w:t>, the risk at payment is in the range of 1.7%-2.4%.</w:t>
      </w:r>
    </w:p>
    <w:p w:rsidR="00315B87" w:rsidRDefault="00C32692">
      <w:pPr>
        <w:pStyle w:val="AMPRBodyText"/>
        <w:rPr>
          <w:noProof/>
        </w:rPr>
      </w:pPr>
      <w:r>
        <w:rPr>
          <w:noProof/>
        </w:rPr>
        <w:t xml:space="preserve">In 2019, the Member States’ audit authorities reported irregularities under a common typology agreed with and recommended by the Commission. Ineligible expenditure, public procurement irregularities and audit trail issues are the main sources of audit findings and irregularities identified by both the audit authorities and the Commission through their audits. </w:t>
      </w:r>
    </w:p>
    <w:p w:rsidR="00315B87" w:rsidRDefault="00C32692">
      <w:pPr>
        <w:pStyle w:val="AMPRBodyText"/>
        <w:rPr>
          <w:noProof/>
        </w:rPr>
      </w:pPr>
      <w:r>
        <w:rPr>
          <w:noProof/>
        </w:rPr>
        <w:t xml:space="preserve">In order to tackle the most frequent errors, besides financial corrections for past expenditure and corrective measures for the system in the future in all cases, the Member States’ audit authorities are encouraged by the Commission to report back to their managing and certifying authorities on the main sources of identified irregularities. This allows these programme authorities to adjust their internal controls, reinforce their checklists and further train their staff and beneficiaries. The Commission also organises capacity-building events and joint workshops with the programme authorities, in particular managing and audit authorities. It provides detailed audit recommendations and requires detailed remedial action plans where system deficiencies are found. </w:t>
      </w:r>
    </w:p>
    <w:p w:rsidR="00315B87" w:rsidRDefault="00C32692">
      <w:pPr>
        <w:pStyle w:val="AMPRBodyText"/>
        <w:rPr>
          <w:noProof/>
        </w:rPr>
      </w:pPr>
      <w:r>
        <w:rPr>
          <w:noProof/>
        </w:rPr>
        <w:t>Given the importance of public procurement for cohesion policy, the Commission is continuing to implement its updated public procurement action plan to improve the compliance of public procurement procedures in this policy area. Particular emphasis is being given to actions helping Member States to further professionalise procurers, in line with the public procurement package adopted by the Commission in October 2017. The Commission is making extensive guidance, examples of good practices and explanations available online. Peer-to-peer exchanges are being promoted to support contracting and programme authorities in dealing with these issues and reducing errors.</w:t>
      </w:r>
    </w:p>
    <w:p w:rsidR="00315B87" w:rsidRDefault="00C32692">
      <w:pPr>
        <w:pStyle w:val="AMPRBodyText"/>
        <w:rPr>
          <w:noProof/>
        </w:rPr>
      </w:pPr>
      <w:r>
        <w:rPr>
          <w:noProof/>
        </w:rPr>
        <w:lastRenderedPageBreak/>
        <w:t>The two cohesion departments have issued reservations for the 2014-2020 operational programmes with errors above the materiality level in 2019. In addition, for 2007-2013, there are still a few operational programmes with a non-quantified reservation (see Section</w:t>
      </w:r>
      <w:r>
        <w:rPr>
          <w:rFonts w:ascii="Calibri" w:hAnsi="Calibri" w:cs="Calibri"/>
          <w:noProof/>
        </w:rPr>
        <w:t> </w:t>
      </w:r>
      <w:r>
        <w:rPr>
          <w:noProof/>
        </w:rPr>
        <w:t>2.3.5 and more details in Annex</w:t>
      </w:r>
      <w:r>
        <w:rPr>
          <w:rFonts w:ascii="Calibri" w:hAnsi="Calibri" w:cs="Calibri"/>
          <w:noProof/>
        </w:rPr>
        <w:t> </w:t>
      </w:r>
      <w:r>
        <w:rPr>
          <w:noProof/>
        </w:rPr>
        <w:t>4).</w:t>
      </w:r>
    </w:p>
    <w:p w:rsidR="00315B87" w:rsidRDefault="00C32692">
      <w:pPr>
        <w:pStyle w:val="AMPRSec2TITLE4"/>
        <w:spacing w:before="240" w:after="160"/>
        <w:rPr>
          <w:noProof/>
        </w:rPr>
      </w:pPr>
      <w:r>
        <w:rPr>
          <w:noProof/>
        </w:rPr>
        <w:t>External relations</w:t>
      </w:r>
    </w:p>
    <w:p w:rsidR="00315B87" w:rsidRDefault="00CD53B5">
      <w:pPr>
        <w:pStyle w:val="AMPRBodyText"/>
        <w:spacing w:before="120"/>
        <w:rPr>
          <w:noProof/>
          <w:lang w:eastAsia="fr-BE"/>
        </w:rPr>
      </w:pPr>
      <w:r>
        <w:rPr>
          <w:noProof/>
          <w:lang w:val="fr-BE" w:eastAsia="fr-BE"/>
        </w:rPr>
        <w:drawing>
          <wp:anchor distT="0" distB="0" distL="114300" distR="114300" simplePos="0" relativeHeight="251654144" behindDoc="0" locked="0" layoutInCell="1" allowOverlap="1">
            <wp:simplePos x="0" y="0"/>
            <wp:positionH relativeFrom="column">
              <wp:posOffset>3810</wp:posOffset>
            </wp:positionH>
            <wp:positionV relativeFrom="paragraph">
              <wp:posOffset>27940</wp:posOffset>
            </wp:positionV>
            <wp:extent cx="1494000" cy="3222000"/>
            <wp:effectExtent l="0" t="0" r="0" b="0"/>
            <wp:wrapSquare wrapText="bothSides"/>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Picture 235"/>
                    <pic:cNvPicPr preferRelativeResize="0">
                      <a:picLocks noChangeAspect="1"/>
                    </pic:cNvPicPr>
                  </pic:nvPicPr>
                  <pic:blipFill rotWithShape="1">
                    <a:blip r:embed="rId34" cstate="print">
                      <a:extLst>
                        <a:ext uri="{28A0092B-C50C-407E-A947-70E740481C1C}">
                          <a14:useLocalDpi xmlns:a14="http://schemas.microsoft.com/office/drawing/2010/main" val="0"/>
                        </a:ext>
                      </a:extLst>
                    </a:blip>
                    <a:srcRect t="8970" b="-729"/>
                    <a:stretch/>
                  </pic:blipFill>
                  <pic:spPr bwMode="auto">
                    <a:xfrm>
                      <a:off x="0" y="0"/>
                      <a:ext cx="1494000" cy="322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692">
        <w:rPr>
          <w:noProof/>
          <w:lang w:eastAsia="fr-BE"/>
        </w:rPr>
        <w:t xml:space="preserve">For </w:t>
      </w:r>
      <w:r w:rsidR="00C32692">
        <w:rPr>
          <w:rStyle w:val="AMPRcharBoldBlue"/>
          <w:noProof/>
        </w:rPr>
        <w:t>external relations</w:t>
      </w:r>
      <w:r w:rsidR="00C32692">
        <w:rPr>
          <w:noProof/>
          <w:lang w:eastAsia="fr-BE"/>
        </w:rPr>
        <w:t xml:space="preserve">, both the risks at </w:t>
      </w:r>
      <w:r w:rsidR="00C32692">
        <w:rPr>
          <w:noProof/>
          <w:color w:val="auto"/>
          <w:lang w:eastAsia="fr-BE"/>
        </w:rPr>
        <w:t>payment (</w:t>
      </w:r>
      <w:r w:rsidR="00C32692">
        <w:rPr>
          <w:rStyle w:val="AMPRcharOrange"/>
          <w:noProof/>
          <w:color w:val="auto"/>
        </w:rPr>
        <w:t>1%</w:t>
      </w:r>
      <w:r w:rsidR="00C32692">
        <w:rPr>
          <w:noProof/>
          <w:color w:val="auto"/>
          <w:lang w:eastAsia="fr-BE"/>
        </w:rPr>
        <w:t>) and at closure (</w:t>
      </w:r>
      <w:r w:rsidR="00C32692">
        <w:rPr>
          <w:rStyle w:val="AMPRcharOrange"/>
          <w:noProof/>
          <w:color w:val="auto"/>
        </w:rPr>
        <w:t>0.7%</w:t>
      </w:r>
      <w:r w:rsidR="00C32692">
        <w:rPr>
          <w:noProof/>
          <w:color w:val="auto"/>
          <w:lang w:eastAsia="fr-BE"/>
        </w:rPr>
        <w:t xml:space="preserve">) </w:t>
      </w:r>
      <w:r w:rsidR="00C32692">
        <w:rPr>
          <w:noProof/>
          <w:lang w:eastAsia="fr-BE"/>
        </w:rPr>
        <w:t xml:space="preserve">remained stable and are well below 2%. </w:t>
      </w:r>
    </w:p>
    <w:p w:rsidR="00315B87" w:rsidRDefault="00C32692">
      <w:pPr>
        <w:pStyle w:val="AMPRBodyText"/>
        <w:rPr>
          <w:noProof/>
        </w:rPr>
      </w:pPr>
      <w:r>
        <w:rPr>
          <w:noProof/>
        </w:rPr>
        <w:t>In 2019, the Commission continued its efforts to improve the risk-differentiated control strategies for its development and neighbourhood expenditure, thereby better focusing specific actions on the higher-risk segments. The two departments responsible have also further enhanced the transparency of their residual error rate studies (see Annex</w:t>
      </w:r>
      <w:r>
        <w:rPr>
          <w:rFonts w:ascii="Calibri" w:hAnsi="Calibri" w:cs="Calibri"/>
          <w:noProof/>
        </w:rPr>
        <w:t> </w:t>
      </w:r>
      <w:r>
        <w:rPr>
          <w:noProof/>
        </w:rPr>
        <w:t>3). For example, for development expenditure, the overall rate (1.13%) is now split into one for the EU budget (1.14%) and one for the European Development Fund (1.13%), clearly showing their similar risk profiles.</w:t>
      </w:r>
      <w:r>
        <w:rPr>
          <w:noProof/>
          <w:lang w:eastAsia="en-GB"/>
        </w:rPr>
        <w:t xml:space="preserve"> </w:t>
      </w:r>
    </w:p>
    <w:p w:rsidR="00315B87" w:rsidRDefault="00C32692">
      <w:pPr>
        <w:pStyle w:val="AMPRBodyText"/>
        <w:rPr>
          <w:noProof/>
        </w:rPr>
      </w:pPr>
      <w:r>
        <w:rPr>
          <w:noProof/>
        </w:rPr>
        <w:t xml:space="preserve">Among the non-compliance issues, the (timely) access to supporting documents from entrusted entities, including international organisations, remains a source of irregularities. This is also a reason for the Court’s relatively high estimated level of error for the European Development Fund (5.2% for 2018), which is determined before all controls have been implemented (corrective capacity of </w:t>
      </w:r>
      <w:r>
        <w:rPr>
          <w:rStyle w:val="AMPRcharOrange"/>
          <w:noProof/>
          <w:color w:val="auto"/>
        </w:rPr>
        <w:t>0.3%</w:t>
      </w:r>
      <w:r>
        <w:rPr>
          <w:noProof/>
          <w:color w:val="auto"/>
        </w:rPr>
        <w:t xml:space="preserve">) and </w:t>
      </w:r>
      <w:r>
        <w:rPr>
          <w:noProof/>
        </w:rPr>
        <w:t>especially before supporting documents have been provided. Therefore, an action plan has been put in place aiming at a more fluid flow of information between the entrusted entities, the Commission and/or the Court of Auditors.</w:t>
      </w:r>
    </w:p>
    <w:p w:rsidR="00315B87" w:rsidRDefault="00C32692">
      <w:pPr>
        <w:pStyle w:val="AMPRBodyText"/>
        <w:rPr>
          <w:noProof/>
        </w:rPr>
      </w:pPr>
      <w:r>
        <w:rPr>
          <w:noProof/>
        </w:rPr>
        <w:t>At the end of 2019, DG Neighbourhood and Enlargement Negotiations has maintained its two reservations: one for ‘grants under direct management’ (level of error at 2.65%) and one for ‘projects in Libya and Syria’ (assurance building not possible for safety reasons) (see Section</w:t>
      </w:r>
      <w:r>
        <w:rPr>
          <w:rFonts w:ascii="Calibri" w:hAnsi="Calibri" w:cs="Calibri"/>
          <w:noProof/>
        </w:rPr>
        <w:t> </w:t>
      </w:r>
      <w:r>
        <w:rPr>
          <w:noProof/>
        </w:rPr>
        <w:t>2.3.5 and more details in Annex</w:t>
      </w:r>
      <w:r>
        <w:rPr>
          <w:rFonts w:ascii="Calibri" w:hAnsi="Calibri" w:cs="Calibri"/>
          <w:noProof/>
        </w:rPr>
        <w:t> </w:t>
      </w:r>
      <w:r>
        <w:rPr>
          <w:noProof/>
        </w:rPr>
        <w:t>4).</w:t>
      </w:r>
    </w:p>
    <w:p w:rsidR="00315B87" w:rsidRDefault="00C32692">
      <w:pPr>
        <w:pStyle w:val="AMPRSec2TITLE4"/>
        <w:spacing w:before="240" w:after="120"/>
        <w:rPr>
          <w:noProof/>
        </w:rPr>
      </w:pPr>
      <w:r>
        <w:rPr>
          <w:noProof/>
        </w:rPr>
        <w:t>Research, industry, space, energy and transport</w:t>
      </w:r>
    </w:p>
    <w:p w:rsidR="00315B87" w:rsidRDefault="00CD53B5">
      <w:pPr>
        <w:pStyle w:val="AMPRBodyText"/>
        <w:spacing w:before="120"/>
        <w:rPr>
          <w:noProof/>
          <w:color w:val="auto"/>
        </w:rPr>
      </w:pPr>
      <w:r>
        <w:rPr>
          <w:noProof/>
          <w:lang w:val="fr-BE" w:eastAsia="fr-BE"/>
        </w:rPr>
        <w:drawing>
          <wp:anchor distT="0" distB="0" distL="114300" distR="114300" simplePos="0" relativeHeight="251656192" behindDoc="0" locked="0" layoutInCell="1" allowOverlap="1">
            <wp:simplePos x="0" y="0"/>
            <wp:positionH relativeFrom="column">
              <wp:posOffset>3810</wp:posOffset>
            </wp:positionH>
            <wp:positionV relativeFrom="paragraph">
              <wp:posOffset>57150</wp:posOffset>
            </wp:positionV>
            <wp:extent cx="1501200" cy="3214800"/>
            <wp:effectExtent l="0" t="0" r="3810" b="0"/>
            <wp:wrapSquare wrapText="bothSides"/>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Picture 239"/>
                    <pic:cNvPicPr preferRelativeResize="0">
                      <a:picLocks noChangeAspect="1"/>
                    </pic:cNvPicPr>
                  </pic:nvPicPr>
                  <pic:blipFill rotWithShape="1">
                    <a:blip r:embed="rId35">
                      <a:extLst>
                        <a:ext uri="{28A0092B-C50C-407E-A947-70E740481C1C}">
                          <a14:useLocalDpi xmlns:a14="http://schemas.microsoft.com/office/drawing/2010/main" val="0"/>
                        </a:ext>
                      </a:extLst>
                    </a:blip>
                    <a:srcRect t="8036" r="13176" b="-1664"/>
                    <a:stretch/>
                  </pic:blipFill>
                  <pic:spPr bwMode="auto">
                    <a:xfrm>
                      <a:off x="0" y="0"/>
                      <a:ext cx="1501200" cy="32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692">
        <w:rPr>
          <w:noProof/>
        </w:rPr>
        <w:t xml:space="preserve">For the broad </w:t>
      </w:r>
      <w:r w:rsidR="00C32692">
        <w:rPr>
          <w:rStyle w:val="AMPRcharBoldBlue"/>
          <w:noProof/>
        </w:rPr>
        <w:t>research, industry, space, energy and transport</w:t>
      </w:r>
      <w:r w:rsidR="00C32692">
        <w:rPr>
          <w:noProof/>
        </w:rPr>
        <w:t xml:space="preserve"> policy area as a whole, the risks at </w:t>
      </w:r>
      <w:r w:rsidR="00C32692">
        <w:rPr>
          <w:noProof/>
          <w:color w:val="auto"/>
        </w:rPr>
        <w:t xml:space="preserve">payment </w:t>
      </w:r>
      <w:r w:rsidR="00C32692">
        <w:rPr>
          <w:rStyle w:val="AMPRcharOrange"/>
          <w:noProof/>
          <w:color w:val="auto"/>
        </w:rPr>
        <w:t>(2%)</w:t>
      </w:r>
      <w:r w:rsidR="00C32692">
        <w:rPr>
          <w:noProof/>
          <w:color w:val="auto"/>
        </w:rPr>
        <w:t xml:space="preserve"> and at closure </w:t>
      </w:r>
      <w:r w:rsidR="00C32692">
        <w:rPr>
          <w:rStyle w:val="AMPRcharOrange"/>
          <w:noProof/>
          <w:color w:val="auto"/>
        </w:rPr>
        <w:t>(1.5%)</w:t>
      </w:r>
      <w:r w:rsidR="00C32692">
        <w:rPr>
          <w:noProof/>
          <w:color w:val="auto"/>
        </w:rPr>
        <w:t xml:space="preserve"> remained stable.</w:t>
      </w:r>
    </w:p>
    <w:p w:rsidR="00315B87" w:rsidRDefault="00C32692">
      <w:pPr>
        <w:pStyle w:val="AMPRBodyText"/>
        <w:rPr>
          <w:noProof/>
        </w:rPr>
      </w:pPr>
      <w:r>
        <w:rPr>
          <w:noProof/>
        </w:rPr>
        <w:t xml:space="preserve">Within this policy area, the risk at payment for the </w:t>
      </w:r>
      <w:r>
        <w:rPr>
          <w:rStyle w:val="AMPRcharBoldBlue"/>
          <w:noProof/>
        </w:rPr>
        <w:t>Horizon 2020</w:t>
      </w:r>
      <w:r>
        <w:rPr>
          <w:noProof/>
        </w:rPr>
        <w:t xml:space="preserve"> research </w:t>
      </w:r>
      <w:r>
        <w:rPr>
          <w:noProof/>
          <w:color w:val="auto"/>
        </w:rPr>
        <w:t xml:space="preserve">programmes </w:t>
      </w:r>
      <w:r>
        <w:rPr>
          <w:rStyle w:val="AMPRcharOrange"/>
          <w:noProof/>
          <w:color w:val="auto"/>
        </w:rPr>
        <w:t>(3.3%) remains above 2%</w:t>
      </w:r>
      <w:r>
        <w:rPr>
          <w:noProof/>
          <w:color w:val="auto"/>
        </w:rPr>
        <w:t xml:space="preserve">. </w:t>
      </w:r>
      <w:r>
        <w:rPr>
          <w:noProof/>
        </w:rPr>
        <w:t>This higher risk is inherent in grants based on the reimbursement of actual eligible costs (see Section</w:t>
      </w:r>
      <w:r>
        <w:rPr>
          <w:rFonts w:ascii="Calibri" w:hAnsi="Calibri" w:cs="Calibri"/>
          <w:noProof/>
        </w:rPr>
        <w:t> </w:t>
      </w:r>
      <w:r>
        <w:rPr>
          <w:noProof/>
        </w:rPr>
        <w:t>2.3.2) that are used in Horizon 2020 and the competiveness of small and medium-sized enterprise programmes, as per the related legal bases. Complexities in determining the exact costs that can be charged to projects lead to errors in cost claims and the related payments.</w:t>
      </w:r>
    </w:p>
    <w:p w:rsidR="00315B87" w:rsidRDefault="00C32692">
      <w:pPr>
        <w:pStyle w:val="AMPRBodyText"/>
        <w:rPr>
          <w:noProof/>
          <w:spacing w:val="-2"/>
        </w:rPr>
      </w:pPr>
      <w:r>
        <w:rPr>
          <w:noProof/>
          <w:spacing w:val="-2"/>
        </w:rPr>
        <w:t xml:space="preserve">In order to mitigate this situation, the well-established </w:t>
      </w:r>
      <w:r>
        <w:rPr>
          <w:i/>
          <w:noProof/>
          <w:spacing w:val="-2"/>
        </w:rPr>
        <w:t>ex post</w:t>
      </w:r>
      <w:r>
        <w:rPr>
          <w:noProof/>
          <w:spacing w:val="-2"/>
        </w:rPr>
        <w:t xml:space="preserve"> control strategy for the Horizon 2020 programme, common to all departments involved in its implementation, has led to significant </w:t>
      </w:r>
      <w:r>
        <w:rPr>
          <w:i/>
          <w:noProof/>
          <w:spacing w:val="-2"/>
        </w:rPr>
        <w:t>ex post</w:t>
      </w:r>
      <w:r>
        <w:rPr>
          <w:noProof/>
          <w:spacing w:val="-2"/>
        </w:rPr>
        <w:t xml:space="preserve"> corrections over the years, which are also used as the basis for the estimated future corrections.</w:t>
      </w:r>
    </w:p>
    <w:p w:rsidR="00315B87" w:rsidRDefault="00C32692">
      <w:pPr>
        <w:pStyle w:val="AMPRBodyText"/>
        <w:rPr>
          <w:noProof/>
        </w:rPr>
      </w:pPr>
      <w:r>
        <w:rPr>
          <w:noProof/>
        </w:rPr>
        <w:t>Nevertheless, the research departments continuously strive to reduce the risk at payment: for example, through further simplification of the model grant agreement, clearer communication on eligibility rules and further extending lump-sum financing. In addition, the Commission’s proposal for the next research programme (Horizon Europe from 2021) further expands the use of simplified cost options.</w:t>
      </w:r>
    </w:p>
    <w:p w:rsidR="00315B87" w:rsidRDefault="00C32692">
      <w:pPr>
        <w:pStyle w:val="AMPRBodyText"/>
        <w:rPr>
          <w:noProof/>
        </w:rPr>
      </w:pPr>
      <w:r>
        <w:rPr>
          <w:noProof/>
        </w:rPr>
        <w:t xml:space="preserve">Regarding the other programmes, the risks at payment and closure for the </w:t>
      </w:r>
      <w:r>
        <w:rPr>
          <w:rStyle w:val="AMPRcharBoldBlue"/>
          <w:noProof/>
        </w:rPr>
        <w:t>Connecting Europe Facility</w:t>
      </w:r>
      <w:r>
        <w:rPr>
          <w:noProof/>
        </w:rPr>
        <w:t xml:space="preserve"> (transport, energy and telecommunications), implemented by the Innovation and Networks Executive Agency, </w:t>
      </w:r>
      <w:r>
        <w:rPr>
          <w:noProof/>
        </w:rPr>
        <w:lastRenderedPageBreak/>
        <w:t xml:space="preserve">are </w:t>
      </w:r>
      <w:r>
        <w:rPr>
          <w:rStyle w:val="AMPRcharOrange"/>
          <w:noProof/>
          <w:color w:val="auto"/>
        </w:rPr>
        <w:t>globally below 2%.</w:t>
      </w:r>
      <w:r>
        <w:rPr>
          <w:noProof/>
          <w:color w:val="auto"/>
        </w:rPr>
        <w:t xml:space="preserve"> </w:t>
      </w:r>
      <w:r>
        <w:rPr>
          <w:noProof/>
        </w:rPr>
        <w:t xml:space="preserve">The EU </w:t>
      </w:r>
      <w:r>
        <w:rPr>
          <w:rStyle w:val="AMPRcharBoldBlue"/>
          <w:noProof/>
        </w:rPr>
        <w:t>space</w:t>
      </w:r>
      <w:r>
        <w:rPr>
          <w:noProof/>
        </w:rPr>
        <w:t xml:space="preserve"> programmes</w:t>
      </w:r>
      <w:r>
        <w:rPr>
          <w:rStyle w:val="fnRef"/>
          <w:rFonts w:ascii="Arial" w:hAnsi="Arial" w:cs="Arial"/>
          <w:noProof/>
        </w:rPr>
        <w:t> </w:t>
      </w:r>
      <w:r>
        <w:rPr>
          <w:rStyle w:val="fnRef"/>
          <w:noProof/>
        </w:rPr>
        <w:t>(</w:t>
      </w:r>
      <w:r>
        <w:rPr>
          <w:rStyle w:val="fnRefNo"/>
          <w:noProof/>
        </w:rPr>
        <w:footnoteReference w:id="22"/>
      </w:r>
      <w:r>
        <w:rPr>
          <w:rStyle w:val="fnRef"/>
          <w:noProof/>
        </w:rPr>
        <w:t>)</w:t>
      </w:r>
      <w:r>
        <w:rPr>
          <w:noProof/>
        </w:rPr>
        <w:t xml:space="preserve">, implemented by the European Space Agency and the European Global Navigation Satellite Systems Agency, also have inherently lower risks at payment and closure thanks to the type of funding and the level of auditing carried out. They have nevertheless been set, </w:t>
      </w:r>
      <w:r>
        <w:rPr>
          <w:noProof/>
          <w:color w:val="auto"/>
        </w:rPr>
        <w:t xml:space="preserve">conservatively, </w:t>
      </w:r>
      <w:r>
        <w:rPr>
          <w:rStyle w:val="AMPRcharOrange"/>
          <w:noProof/>
          <w:color w:val="auto"/>
        </w:rPr>
        <w:t>at 0.5%</w:t>
      </w:r>
      <w:r>
        <w:rPr>
          <w:noProof/>
          <w:color w:val="auto"/>
        </w:rPr>
        <w:t xml:space="preserve">. </w:t>
      </w:r>
    </w:p>
    <w:p w:rsidR="00315B87" w:rsidRDefault="00C32692">
      <w:pPr>
        <w:pStyle w:val="AMPRBodyText"/>
        <w:rPr>
          <w:noProof/>
        </w:rPr>
      </w:pPr>
      <w:r>
        <w:rPr>
          <w:noProof/>
        </w:rPr>
        <w:t xml:space="preserve">As in previous years, the </w:t>
      </w:r>
      <w:r>
        <w:rPr>
          <w:rStyle w:val="AMPRcharBoldBlue"/>
          <w:noProof/>
        </w:rPr>
        <w:t>research</w:t>
      </w:r>
      <w:r>
        <w:rPr>
          <w:noProof/>
        </w:rPr>
        <w:t xml:space="preserve"> departments and executive agencies have not qualified their declarations of assurance with any reservations in relation to the </w:t>
      </w:r>
      <w:r>
        <w:rPr>
          <w:rStyle w:val="AMPRcharBoldBlue"/>
          <w:noProof/>
        </w:rPr>
        <w:t>Horizon 2020 programme</w:t>
      </w:r>
      <w:r>
        <w:rPr>
          <w:noProof/>
        </w:rPr>
        <w:t xml:space="preserve"> despite a current level of error at</w:t>
      </w:r>
      <w:r>
        <w:rPr>
          <w:rStyle w:val="AMPRcharOrange"/>
          <w:noProof/>
        </w:rPr>
        <w:t xml:space="preserve"> </w:t>
      </w:r>
      <w:r>
        <w:rPr>
          <w:rStyle w:val="AMPRcharOrange"/>
          <w:noProof/>
          <w:color w:val="auto"/>
        </w:rPr>
        <w:t>2.3%</w:t>
      </w:r>
      <w:r>
        <w:rPr>
          <w:noProof/>
          <w:color w:val="auto"/>
        </w:rPr>
        <w:t xml:space="preserve">. </w:t>
      </w:r>
      <w:r>
        <w:rPr>
          <w:noProof/>
        </w:rPr>
        <w:t>This is because they apply the programme’s specific 2%-5% materiality threshold to take into account its inherent risks and the control limitations</w:t>
      </w:r>
      <w:r>
        <w:rPr>
          <w:rStyle w:val="fnRef"/>
          <w:rFonts w:ascii="Arial" w:hAnsi="Arial" w:cs="Arial"/>
          <w:noProof/>
        </w:rPr>
        <w:t> </w:t>
      </w:r>
      <w:r>
        <w:rPr>
          <w:rStyle w:val="fnRef"/>
          <w:noProof/>
        </w:rPr>
        <w:t>(</w:t>
      </w:r>
      <w:r>
        <w:rPr>
          <w:rStyle w:val="fnRefNo"/>
          <w:noProof/>
        </w:rPr>
        <w:footnoteReference w:id="23"/>
      </w:r>
      <w:r>
        <w:rPr>
          <w:rStyle w:val="fnRef"/>
          <w:noProof/>
        </w:rPr>
        <w:t>)</w:t>
      </w:r>
      <w:r>
        <w:rPr>
          <w:noProof/>
        </w:rPr>
        <w:t>.</w:t>
      </w:r>
    </w:p>
    <w:p w:rsidR="00315B87" w:rsidRDefault="00C32692">
      <w:pPr>
        <w:pStyle w:val="AMPRBodyText"/>
        <w:rPr>
          <w:noProof/>
        </w:rPr>
      </w:pPr>
      <w:r>
        <w:rPr>
          <w:noProof/>
        </w:rPr>
        <w:t>For 2019, there is only one reservation related to the previous seventh framework programme for research and technological development (see Section</w:t>
      </w:r>
      <w:r>
        <w:rPr>
          <w:rFonts w:ascii="Calibri" w:hAnsi="Calibri" w:cs="Calibri"/>
          <w:noProof/>
        </w:rPr>
        <w:t> </w:t>
      </w:r>
      <w:r>
        <w:rPr>
          <w:noProof/>
        </w:rPr>
        <w:t>2.3.5 and more details in Annex</w:t>
      </w:r>
      <w:r>
        <w:rPr>
          <w:rFonts w:ascii="Calibri" w:hAnsi="Calibri" w:cs="Calibri"/>
          <w:noProof/>
        </w:rPr>
        <w:t> </w:t>
      </w:r>
      <w:r>
        <w:rPr>
          <w:noProof/>
        </w:rPr>
        <w:t>4).</w:t>
      </w:r>
    </w:p>
    <w:p w:rsidR="00315B87" w:rsidRDefault="00C32692">
      <w:pPr>
        <w:pStyle w:val="AMPRSec2TITLE4"/>
        <w:rPr>
          <w:noProof/>
        </w:rPr>
      </w:pPr>
      <w:r>
        <w:rPr>
          <w:noProof/>
        </w:rPr>
        <w:t>Other internal policies</w:t>
      </w:r>
      <w:r>
        <w:rPr>
          <w:noProof/>
          <w:lang w:eastAsia="en-GB"/>
        </w:rPr>
        <w:t xml:space="preserve"> </w:t>
      </w:r>
    </w:p>
    <w:p w:rsidR="00315B87" w:rsidRDefault="00CD53B5">
      <w:pPr>
        <w:pStyle w:val="AMPRBodyText"/>
        <w:rPr>
          <w:noProof/>
        </w:rPr>
      </w:pPr>
      <w:r>
        <w:rPr>
          <w:noProof/>
          <w:lang w:val="fr-BE" w:eastAsia="fr-BE"/>
        </w:rPr>
        <w:drawing>
          <wp:anchor distT="0" distB="0" distL="114300" distR="114300" simplePos="0" relativeHeight="251664384" behindDoc="0" locked="0" layoutInCell="1" allowOverlap="1">
            <wp:simplePos x="0" y="0"/>
            <wp:positionH relativeFrom="column">
              <wp:posOffset>3810</wp:posOffset>
            </wp:positionH>
            <wp:positionV relativeFrom="paragraph">
              <wp:posOffset>4445</wp:posOffset>
            </wp:positionV>
            <wp:extent cx="1494000" cy="3218400"/>
            <wp:effectExtent l="0" t="0" r="0" b="0"/>
            <wp:wrapSquare wrapText="bothSides"/>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Picture 252"/>
                    <pic:cNvPicPr preferRelativeResize="0">
                      <a:picLocks noChangeAspect="1"/>
                    </pic:cNvPicPr>
                  </pic:nvPicPr>
                  <pic:blipFill rotWithShape="1">
                    <a:blip r:embed="rId36">
                      <a:extLst>
                        <a:ext uri="{28A0092B-C50C-407E-A947-70E740481C1C}">
                          <a14:useLocalDpi xmlns:a14="http://schemas.microsoft.com/office/drawing/2010/main" val="0"/>
                        </a:ext>
                      </a:extLst>
                    </a:blip>
                    <a:srcRect t="8323" b="-2045"/>
                    <a:stretch/>
                  </pic:blipFill>
                  <pic:spPr bwMode="auto">
                    <a:xfrm>
                      <a:off x="0" y="0"/>
                      <a:ext cx="1494000" cy="321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692">
        <w:rPr>
          <w:noProof/>
        </w:rPr>
        <w:t xml:space="preserve">For </w:t>
      </w:r>
      <w:r w:rsidR="00C32692">
        <w:rPr>
          <w:rStyle w:val="AMPRcharBoldBlue"/>
          <w:noProof/>
        </w:rPr>
        <w:t>other internal policies</w:t>
      </w:r>
      <w:r w:rsidR="00C32692">
        <w:rPr>
          <w:noProof/>
        </w:rPr>
        <w:t xml:space="preserve">, comprising mainly education and culture, migration and home affairs, and economic and financial affairs, the risks at payment and at closure remained </w:t>
      </w:r>
      <w:r w:rsidR="00C32692">
        <w:rPr>
          <w:noProof/>
          <w:color w:val="auto"/>
        </w:rPr>
        <w:t xml:space="preserve">stable, </w:t>
      </w:r>
      <w:r w:rsidR="00C32692">
        <w:rPr>
          <w:rStyle w:val="AMPRcharOrange"/>
          <w:noProof/>
          <w:color w:val="auto"/>
        </w:rPr>
        <w:t>at 1.0% and 0.8%</w:t>
      </w:r>
      <w:r w:rsidR="00C32692">
        <w:rPr>
          <w:noProof/>
          <w:color w:val="auto"/>
        </w:rPr>
        <w:t xml:space="preserve"> respectively</w:t>
      </w:r>
      <w:r w:rsidR="00C32692">
        <w:rPr>
          <w:noProof/>
        </w:rPr>
        <w:t xml:space="preserve">, and are well below 2%. </w:t>
      </w:r>
    </w:p>
    <w:p w:rsidR="00315B87" w:rsidRDefault="00C32692">
      <w:pPr>
        <w:pStyle w:val="AMPRBodyText"/>
        <w:rPr>
          <w:noProof/>
        </w:rPr>
      </w:pPr>
      <w:r>
        <w:rPr>
          <w:noProof/>
        </w:rPr>
        <w:t>Even if some education and culture programmes have a higher risk profile, which is also related to the complexity of the reimbursement programmes, their control systems mitigate those risks.</w:t>
      </w:r>
    </w:p>
    <w:p w:rsidR="00315B87" w:rsidRDefault="00C32692">
      <w:pPr>
        <w:pStyle w:val="AMPRBodyText"/>
        <w:rPr>
          <w:noProof/>
          <w:lang w:eastAsia="zh-CN"/>
        </w:rPr>
      </w:pPr>
      <w:r>
        <w:rPr>
          <w:noProof/>
        </w:rPr>
        <w:t>DG Justice and Consumers has maintained its reservation for a material error rate in grants under direct management. DG Migration and Home Affairs has maintained two reservations in shared management (for the Asylum, Migration and Integration Fund and the Internal Security Fund, and for the solidarity and management of migration flows programmes, under reservation in a few Member States) and one reservation in direct management grants because of a material level of error (see also Section</w:t>
      </w:r>
      <w:r>
        <w:rPr>
          <w:rFonts w:ascii="Calibri" w:hAnsi="Calibri" w:cs="Calibri"/>
          <w:noProof/>
        </w:rPr>
        <w:t> </w:t>
      </w:r>
      <w:r>
        <w:rPr>
          <w:noProof/>
        </w:rPr>
        <w:t>2.3.5 and more details in Annex</w:t>
      </w:r>
      <w:r>
        <w:rPr>
          <w:rFonts w:ascii="Calibri" w:hAnsi="Calibri" w:cs="Calibri"/>
          <w:noProof/>
        </w:rPr>
        <w:t> </w:t>
      </w:r>
      <w:r>
        <w:rPr>
          <w:noProof/>
        </w:rPr>
        <w:t>4).</w:t>
      </w:r>
      <w:r>
        <w:rPr>
          <w:noProof/>
        </w:rPr>
        <w:br w:type="page"/>
      </w:r>
    </w:p>
    <w:p w:rsidR="00315B87" w:rsidRDefault="00A972FC">
      <w:pPr>
        <w:pStyle w:val="AMPRSec2TITLE4"/>
        <w:rPr>
          <w:noProof/>
        </w:rPr>
      </w:pPr>
      <w:r>
        <w:rPr>
          <w:noProof/>
          <w:lang w:val="fr-BE" w:eastAsia="fr-BE"/>
        </w:rPr>
        <w:lastRenderedPageBreak/>
        <w:drawing>
          <wp:anchor distT="0" distB="0" distL="114300" distR="114300" simplePos="0" relativeHeight="251663360" behindDoc="0" locked="0" layoutInCell="1" allowOverlap="1">
            <wp:simplePos x="0" y="0"/>
            <wp:positionH relativeFrom="column">
              <wp:posOffset>111760</wp:posOffset>
            </wp:positionH>
            <wp:positionV relativeFrom="paragraph">
              <wp:posOffset>378460</wp:posOffset>
            </wp:positionV>
            <wp:extent cx="1494000" cy="3222000"/>
            <wp:effectExtent l="0" t="0" r="0" b="0"/>
            <wp:wrapSquare wrapText="bothSides"/>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Picture 237"/>
                    <pic:cNvPicPr preferRelativeResize="0">
                      <a:picLocks noChangeAspect="1"/>
                    </pic:cNvPicPr>
                  </pic:nvPicPr>
                  <pic:blipFill rotWithShape="1">
                    <a:blip r:embed="rId37">
                      <a:extLst>
                        <a:ext uri="{28A0092B-C50C-407E-A947-70E740481C1C}">
                          <a14:useLocalDpi xmlns:a14="http://schemas.microsoft.com/office/drawing/2010/main" val="0"/>
                        </a:ext>
                      </a:extLst>
                    </a:blip>
                    <a:srcRect t="8144" b="-2606"/>
                    <a:stretch/>
                  </pic:blipFill>
                  <pic:spPr bwMode="auto">
                    <a:xfrm>
                      <a:off x="0" y="0"/>
                      <a:ext cx="1494000" cy="322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692">
        <w:rPr>
          <w:noProof/>
        </w:rPr>
        <w:t>Other services and administration</w:t>
      </w:r>
    </w:p>
    <w:p w:rsidR="00315B87" w:rsidRDefault="00C32692">
      <w:pPr>
        <w:pStyle w:val="AMPRBodyText"/>
        <w:rPr>
          <w:rStyle w:val="AMPRcharOrange"/>
          <w:noProof/>
          <w:color w:val="auto"/>
        </w:rPr>
      </w:pPr>
      <w:r>
        <w:rPr>
          <w:noProof/>
        </w:rPr>
        <w:t xml:space="preserve">Finally, the Commission’s </w:t>
      </w:r>
      <w:r>
        <w:rPr>
          <w:rStyle w:val="AMPRcharBoldBlue"/>
          <w:noProof/>
        </w:rPr>
        <w:t>other services and administration</w:t>
      </w:r>
      <w:r>
        <w:rPr>
          <w:noProof/>
        </w:rPr>
        <w:t xml:space="preserve"> departments cover mostly low-risk types of expenditure, such as the administrative expenditures by the paymaster’s office. Nevertheless, the risk at payment </w:t>
      </w:r>
      <w:r>
        <w:rPr>
          <w:noProof/>
          <w:color w:val="auto"/>
        </w:rPr>
        <w:t xml:space="preserve">is </w:t>
      </w:r>
      <w:r>
        <w:rPr>
          <w:rStyle w:val="AMPRcharOrange"/>
          <w:noProof/>
          <w:color w:val="auto"/>
        </w:rPr>
        <w:t xml:space="preserve">prudently set at 0.5%. </w:t>
      </w:r>
      <w:r>
        <w:rPr>
          <w:noProof/>
          <w:color w:val="auto"/>
        </w:rPr>
        <w:t xml:space="preserve">As most of the corresponding control systems involve predominantly </w:t>
      </w:r>
      <w:r>
        <w:rPr>
          <w:i/>
          <w:iCs/>
          <w:noProof/>
          <w:color w:val="auto"/>
        </w:rPr>
        <w:t>ex ante</w:t>
      </w:r>
      <w:r>
        <w:rPr>
          <w:noProof/>
          <w:color w:val="auto"/>
        </w:rPr>
        <w:t xml:space="preserve"> controls, the estimated future corrections are </w:t>
      </w:r>
      <w:r>
        <w:rPr>
          <w:rStyle w:val="AMPRcharOrange"/>
          <w:noProof/>
          <w:color w:val="auto"/>
        </w:rPr>
        <w:t xml:space="preserve">often set at a conservative 0.0%. </w:t>
      </w:r>
      <w:r>
        <w:rPr>
          <w:noProof/>
          <w:color w:val="auto"/>
        </w:rPr>
        <w:t xml:space="preserve">Thus, the risk at closure is almost equal to the risk at payment and remains very low at </w:t>
      </w:r>
      <w:r>
        <w:rPr>
          <w:rStyle w:val="AMPRcharOrange"/>
          <w:noProof/>
          <w:color w:val="auto"/>
        </w:rPr>
        <w:t xml:space="preserve">0.5%. </w:t>
      </w:r>
    </w:p>
    <w:p w:rsidR="00315B87" w:rsidRDefault="00C32692">
      <w:pPr>
        <w:pStyle w:val="AMPRBodyText"/>
        <w:rPr>
          <w:noProof/>
        </w:rPr>
      </w:pPr>
      <w:r>
        <w:rPr>
          <w:noProof/>
        </w:rPr>
        <w:t>In this policy area, DG Structural Reform Support has maintained its reservation for a material level of error in one segment of grants under direct management (see Section</w:t>
      </w:r>
      <w:r>
        <w:rPr>
          <w:rFonts w:ascii="Calibri" w:hAnsi="Calibri" w:cs="Calibri"/>
          <w:noProof/>
        </w:rPr>
        <w:t> </w:t>
      </w:r>
      <w:r>
        <w:rPr>
          <w:noProof/>
        </w:rPr>
        <w:t>2.3.5 and more details in Annex</w:t>
      </w:r>
      <w:r>
        <w:rPr>
          <w:rFonts w:ascii="Calibri" w:hAnsi="Calibri" w:cs="Calibri"/>
          <w:noProof/>
        </w:rPr>
        <w:t> </w:t>
      </w:r>
      <w:r>
        <w:rPr>
          <w:noProof/>
        </w:rPr>
        <w:t>4).</w:t>
      </w:r>
    </w:p>
    <w:p w:rsidR="00315B87" w:rsidRDefault="00315B87">
      <w:pPr>
        <w:pStyle w:val="AMPRBodyText"/>
        <w:rPr>
          <w:noProof/>
        </w:rPr>
      </w:pPr>
    </w:p>
    <w:p w:rsidR="00315B87" w:rsidRDefault="00315B87">
      <w:pPr>
        <w:pStyle w:val="AMPRBodyText"/>
        <w:rPr>
          <w:noProof/>
        </w:rPr>
      </w:pPr>
    </w:p>
    <w:p w:rsidR="00315B87" w:rsidRDefault="00315B87">
      <w:pPr>
        <w:pStyle w:val="AMPRBodyText"/>
        <w:rPr>
          <w:noProof/>
        </w:rPr>
      </w:pPr>
    </w:p>
    <w:p w:rsidR="00315B87" w:rsidRDefault="00315B87">
      <w:pPr>
        <w:pStyle w:val="AMPRBodyText"/>
        <w:rPr>
          <w:noProof/>
        </w:rPr>
      </w:pPr>
    </w:p>
    <w:p w:rsidR="00315B87" w:rsidRDefault="00315B87">
      <w:pPr>
        <w:pStyle w:val="AMPRBodyText"/>
        <w:rPr>
          <w:noProof/>
        </w:rPr>
      </w:pPr>
    </w:p>
    <w:p w:rsidR="00315B87" w:rsidRDefault="00315B87">
      <w:pPr>
        <w:pStyle w:val="AMPRBodyText"/>
        <w:rPr>
          <w:noProof/>
        </w:rPr>
      </w:pPr>
    </w:p>
    <w:p w:rsidR="00315B87" w:rsidRDefault="00315B87">
      <w:pPr>
        <w:pStyle w:val="AMPRBodyText"/>
        <w:rPr>
          <w:noProof/>
        </w:rPr>
      </w:pPr>
    </w:p>
    <w:p w:rsidR="00315B87" w:rsidRDefault="00C32692">
      <w:pPr>
        <w:pStyle w:val="AMPRSec2TITLE3-numbered"/>
        <w:rPr>
          <w:noProof/>
        </w:rPr>
      </w:pPr>
      <w:r>
        <w:rPr>
          <w:noProof/>
        </w:rPr>
        <w:t>Relatively lower- and higher-risk programmes</w:t>
      </w:r>
    </w:p>
    <w:p w:rsidR="00315B87" w:rsidRDefault="00C32692">
      <w:pPr>
        <w:pStyle w:val="AMPRBodyText"/>
        <w:spacing w:before="0" w:after="120"/>
        <w:rPr>
          <w:noProof/>
        </w:rPr>
      </w:pPr>
      <w:r>
        <w:rPr>
          <w:noProof/>
        </w:rPr>
        <w:t>From the above, it appears that there are programmes or segments of expenditure with fairly low levels of error and others with relatively higher ones. This is closely related to the nature of the funding, notably the difference between rather complex reimbursement-based schemes on the one hand and fairly straightforward entitlement-based payments</w:t>
      </w:r>
      <w:r>
        <w:rPr>
          <w:rStyle w:val="fnRef"/>
          <w:rFonts w:ascii="Arial" w:hAnsi="Arial" w:cs="Arial"/>
          <w:noProof/>
        </w:rPr>
        <w:t> </w:t>
      </w:r>
      <w:r>
        <w:rPr>
          <w:rStyle w:val="fnRef"/>
          <w:noProof/>
        </w:rPr>
        <w:t>(</w:t>
      </w:r>
      <w:r>
        <w:rPr>
          <w:rStyle w:val="fnRefNo"/>
          <w:noProof/>
        </w:rPr>
        <w:footnoteReference w:id="24"/>
      </w:r>
      <w:r>
        <w:rPr>
          <w:rStyle w:val="fnRef"/>
          <w:noProof/>
        </w:rPr>
        <w:t>)</w:t>
      </w:r>
      <w:r>
        <w:rPr>
          <w:noProof/>
        </w:rPr>
        <w:t xml:space="preserve"> on the other hand. </w:t>
      </w:r>
    </w:p>
    <w:p w:rsidR="00315B87" w:rsidRDefault="00C32692">
      <w:pPr>
        <w:pStyle w:val="AMPRBodyText"/>
        <w:spacing w:before="0" w:after="120"/>
        <w:rPr>
          <w:noProof/>
          <w:color w:val="1B5076"/>
        </w:rPr>
      </w:pPr>
      <w:r>
        <w:rPr>
          <w:noProof/>
        </w:rPr>
        <w:t xml:space="preserve">On this basis, the Commission’s </w:t>
      </w:r>
      <w:r>
        <w:rPr>
          <w:noProof/>
          <w:color w:val="auto"/>
        </w:rPr>
        <w:t xml:space="preserve">portfolio can be subdivided into lower-risk and higher-risk </w:t>
      </w:r>
      <w:r>
        <w:rPr>
          <w:noProof/>
        </w:rPr>
        <w:t>strata (see chart below), as explained in the following.</w:t>
      </w:r>
    </w:p>
    <w:p w:rsidR="00315B87" w:rsidRDefault="00C32692">
      <w:pPr>
        <w:pStyle w:val="AMPRtableBOXA-bgWHITElnORANGE-BLUEBullet"/>
        <w:jc w:val="both"/>
        <w:rPr>
          <w:noProof/>
          <w:color w:val="auto"/>
        </w:rPr>
      </w:pPr>
      <w:r>
        <w:rPr>
          <w:b/>
          <w:noProof/>
          <w:color w:val="auto"/>
        </w:rPr>
        <w:t>Lower risk.</w:t>
      </w:r>
      <w:r>
        <w:rPr>
          <w:noProof/>
          <w:color w:val="auto"/>
        </w:rPr>
        <w:t xml:space="preserve"> Expenditure with risk at payment below 2% stands at EUR</w:t>
      </w:r>
      <w:r>
        <w:rPr>
          <w:rFonts w:ascii="Calibri" w:hAnsi="Calibri" w:cs="Calibri"/>
          <w:noProof/>
          <w:color w:val="auto"/>
        </w:rPr>
        <w:t> </w:t>
      </w:r>
      <w:r>
        <w:rPr>
          <w:noProof/>
          <w:color w:val="auto"/>
        </w:rPr>
        <w:t xml:space="preserve">80 billion (54%); </w:t>
      </w:r>
      <w:r>
        <w:rPr>
          <w:noProof/>
          <w:color w:val="auto"/>
        </w:rPr>
        <w:br/>
        <w:t>this includes: agriculture – direct payments; the Maritime and Fisheries Fund; Marie Skłodowska-Curie actions; Research Council grants; the European Space Agency and Global Navigation Satellite Systems Agency; the Connecting Europe Facility; Erasmus+; the Asylum, Migration and Integration Fund; budget support, subsidies, administrative expenditure, etc.</w:t>
      </w:r>
    </w:p>
    <w:p w:rsidR="00315B87" w:rsidRDefault="00C32692">
      <w:pPr>
        <w:pStyle w:val="AMPRtableBOXA-bgWHITElnORANGE-BLUEBullet"/>
        <w:jc w:val="both"/>
        <w:rPr>
          <w:noProof/>
          <w:color w:val="auto"/>
        </w:rPr>
      </w:pPr>
      <w:r>
        <w:rPr>
          <w:b/>
          <w:noProof/>
          <w:color w:val="auto"/>
        </w:rPr>
        <w:t>Higher risk.</w:t>
      </w:r>
      <w:r>
        <w:rPr>
          <w:noProof/>
          <w:color w:val="auto"/>
        </w:rPr>
        <w:t xml:space="preserve"> Expenditure with risk at payment above 2% stands at EUR</w:t>
      </w:r>
      <w:r>
        <w:rPr>
          <w:rFonts w:ascii="Calibri" w:hAnsi="Calibri" w:cs="Calibri"/>
          <w:noProof/>
          <w:color w:val="auto"/>
        </w:rPr>
        <w:t> </w:t>
      </w:r>
      <w:r>
        <w:rPr>
          <w:noProof/>
          <w:color w:val="auto"/>
        </w:rPr>
        <w:t xml:space="preserve">67 billion (46%); </w:t>
      </w:r>
      <w:r>
        <w:rPr>
          <w:noProof/>
          <w:color w:val="auto"/>
        </w:rPr>
        <w:br/>
        <w:t>this includes: agriculture – market measures and rural development; the Regional Development Fund; the Social Fund; Horizon 2020 research grants; other departments’ complex grants, etc.</w:t>
      </w:r>
    </w:p>
    <w:p w:rsidR="00315B87" w:rsidRDefault="00C32692">
      <w:pPr>
        <w:pStyle w:val="AMPRtableBOXA-bgWHITElnORANGE-BLUEText"/>
        <w:rPr>
          <w:noProof/>
          <w:color w:val="auto"/>
        </w:rPr>
      </w:pPr>
      <w:r>
        <w:rPr>
          <w:noProof/>
          <w:color w:val="auto"/>
        </w:rPr>
        <w:t>Furthermore, taking into account the multiannual character of the control systems, if this split were based on the risk at closure instead, then the difference would be even more pronounced. For example, the European Social Fund expenditure (EUR 11.2 billion; risk at closure of 1.3%) would then be classified in the lower-risk stratum.</w:t>
      </w:r>
    </w:p>
    <w:p w:rsidR="00315B87" w:rsidRDefault="00315B87">
      <w:pPr>
        <w:pStyle w:val="AMPRBodyText"/>
        <w:spacing w:before="0" w:after="120"/>
        <w:rPr>
          <w:noProof/>
          <w:color w:val="auto"/>
        </w:rPr>
      </w:pPr>
    </w:p>
    <w:tbl>
      <w:tblPr>
        <w:tblStyle w:val="TableGrid"/>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27" w:type="dxa"/>
          <w:bottom w:w="85" w:type="dxa"/>
          <w:right w:w="227" w:type="dxa"/>
        </w:tblCellMar>
        <w:tblLook w:val="04A0" w:firstRow="1" w:lastRow="0" w:firstColumn="1" w:lastColumn="0" w:noHBand="0" w:noVBand="1"/>
      </w:tblPr>
      <w:tblGrid>
        <w:gridCol w:w="9526"/>
      </w:tblGrid>
      <w:tr w:rsidR="00315B87">
        <w:trPr>
          <w:trHeight w:val="567"/>
          <w:jc w:val="center"/>
        </w:trPr>
        <w:tc>
          <w:tcPr>
            <w:tcW w:w="9468" w:type="dxa"/>
            <w:vAlign w:val="center"/>
          </w:tcPr>
          <w:p w:rsidR="00315B87" w:rsidRDefault="00C32692">
            <w:pPr>
              <w:pStyle w:val="AMPRSource-Table-Chart-Photo-Caption"/>
              <w:spacing w:after="160"/>
              <w:rPr>
                <w:noProof/>
              </w:rPr>
            </w:pPr>
            <w:r>
              <w:rPr>
                <w:noProof/>
                <w:lang w:val="en-GB"/>
              </w:rPr>
              <w:object w:dxaOrig="8990" w:dyaOrig="4800">
                <v:shape id="_x0000_i1026" type="#_x0000_t75" style="width:464pt;height:248pt" o:ole="">
                  <v:imagedata r:id="rId38" o:title=""/>
                </v:shape>
                <o:OLEObject Type="Embed" ProgID="PBrush" ShapeID="_x0000_i1026" DrawAspect="Content" ObjectID="_1654505029" r:id="rId39"/>
              </w:object>
            </w:r>
          </w:p>
          <w:p w:rsidR="00315B87" w:rsidRDefault="00C32692">
            <w:pPr>
              <w:pStyle w:val="AMPRtableBOXA-bgWHITElnORANGE-BLUEText"/>
              <w:keepLines/>
              <w:spacing w:before="100"/>
              <w:rPr>
                <w:noProof/>
                <w:color w:val="auto"/>
                <w:lang w:val="en-GB"/>
              </w:rPr>
            </w:pPr>
            <w:r>
              <w:rPr>
                <w:noProof/>
                <w:color w:val="auto"/>
                <w:lang w:val="en-GB"/>
              </w:rPr>
              <w:t>It is important to highlight that this estimation results from an analysis of the error rates at the level of programmes and other relevant expenditure segments. This split is different from that of the Court of Auditors, which is based on the type of reimbursements made – i.e. entitlements being considered inherently low risk and reimbursements being considered inherently high risk – regardless of the level of error rate actually found. From a management perspective, thanks to the results of the controls in place, the actual level of error can be lower than the materiality threshold and programmes that are considered high risk by the Court of Auditors can actually be quite low risk in reality.</w:t>
            </w:r>
          </w:p>
          <w:p w:rsidR="00315B87" w:rsidRDefault="00C32692">
            <w:pPr>
              <w:pStyle w:val="AMPRtableBOXA-bgWHITElnORANGE-BLUEText"/>
              <w:rPr>
                <w:rStyle w:val="BOLDBLUE"/>
                <w:b w:val="0"/>
                <w:noProof/>
              </w:rPr>
            </w:pPr>
            <w:r>
              <w:rPr>
                <w:noProof/>
                <w:color w:val="auto"/>
                <w:lang w:val="en-GB"/>
              </w:rPr>
              <w:t>Therefore, the issue of complexity and of whether something is considered as having a higher risk and/or higher error rate has also been considered in the context of the Commission’s proposals for simplification embedded in the next multiannual financial framework programmes (see Section</w:t>
            </w:r>
            <w:r>
              <w:rPr>
                <w:rFonts w:ascii="Calibri" w:hAnsi="Calibri" w:cs="Calibri"/>
                <w:noProof/>
                <w:color w:val="auto"/>
                <w:lang w:val="en-GB"/>
              </w:rPr>
              <w:t> </w:t>
            </w:r>
            <w:r>
              <w:rPr>
                <w:noProof/>
                <w:color w:val="auto"/>
                <w:lang w:val="en-GB"/>
              </w:rPr>
              <w:t>2.4.2 below).</w:t>
            </w:r>
          </w:p>
        </w:tc>
      </w:tr>
    </w:tbl>
    <w:p w:rsidR="00315B87" w:rsidRDefault="00C32692">
      <w:pPr>
        <w:pStyle w:val="AMPRSec2TITLE3-numbered"/>
        <w:spacing w:before="600" w:after="360"/>
        <w:rPr>
          <w:noProof/>
        </w:rPr>
      </w:pPr>
      <w:r>
        <w:rPr>
          <w:noProof/>
        </w:rPr>
        <w:t>The Commission is further improving the efficiency of its operations</w:t>
      </w:r>
    </w:p>
    <w:p w:rsidR="00315B87" w:rsidRDefault="00C32692">
      <w:pPr>
        <w:pStyle w:val="AMPRBodyText"/>
        <w:rPr>
          <w:noProof/>
        </w:rPr>
      </w:pPr>
      <w:r>
        <w:rPr>
          <w:noProof/>
        </w:rPr>
        <w:t xml:space="preserve">In a context of tight budgetary constraints, the Commission is striving to improve efficiency in all areas of its activity while maintaining a high level of delivery. The Corporate Management Board steers work across the Commission in domains such as human resources management, financial management, information technology and management, communication, logistics and events management. Working methods and processes are being streamlined to ensure the most efficient use of limited resources. This work will continue in order to ensure an optimal allocation of resources and a high level of performance faced with an increasing workload in many areas, including most recently in relation to the response to the COVID-19 pandemic. </w:t>
      </w:r>
    </w:p>
    <w:p w:rsidR="00315B87" w:rsidRDefault="00C32692">
      <w:pPr>
        <w:pStyle w:val="AMPRBOXA-bgWHITElnORANGE-BLUEtext"/>
        <w:rPr>
          <w:noProof/>
        </w:rPr>
      </w:pPr>
      <w:r>
        <w:rPr>
          <w:noProof/>
        </w:rPr>
        <w:t>In its communication ‘</w:t>
      </w:r>
      <w:r>
        <w:rPr>
          <w:rStyle w:val="AMPRcharBoldBlue"/>
          <w:noProof/>
        </w:rPr>
        <w:t>The synergies and efficiencies initiative: stock-taking and way forward</w:t>
      </w:r>
      <w:r>
        <w:rPr>
          <w:noProof/>
        </w:rPr>
        <w:t xml:space="preserve">’ (March 2019), the Commission established DG Budget as the domain leader for financial management and the internal control framework. The objective is to continuously improve sound financial management through further professionalisation of the domain, taking better account of recent evolutions in the way the EU budget is managed. Within the current decentralised system, actions are taken in two directions: improving centralised governance and oversight, and strengthening the coordination and modernisation of financial management across the Commission. In 2019, further steps were taken to harmonise, standardise and </w:t>
      </w:r>
      <w:r>
        <w:rPr>
          <w:noProof/>
        </w:rPr>
        <w:lastRenderedPageBreak/>
        <w:t xml:space="preserve">simplify financial management across the Commission, in addition to promoting sound financial management. The focus was on setting up more interoperable and flexible post-2020 funding programmes. </w:t>
      </w:r>
    </w:p>
    <w:p w:rsidR="00315B87" w:rsidRDefault="00C32692">
      <w:pPr>
        <w:pStyle w:val="AMPRBodyText"/>
        <w:rPr>
          <w:noProof/>
        </w:rPr>
      </w:pPr>
      <w:r>
        <w:rPr>
          <w:rStyle w:val="AMPRcharBoldBlue"/>
          <w:noProof/>
        </w:rPr>
        <w:t>Simplification</w:t>
      </w:r>
      <w:r>
        <w:rPr>
          <w:noProof/>
        </w:rPr>
        <w:t xml:space="preserve"> can be achieved through the simplification of rules; harmonised and, as far as possible, standardised corporate models of legal instruments and modern corporate financial information technology tools; and ensuring consistency in relations with partners implementing EU funds under indirect management. </w:t>
      </w:r>
    </w:p>
    <w:p w:rsidR="00315B87" w:rsidRDefault="00C32692">
      <w:pPr>
        <w:pStyle w:val="AMPRBodyText"/>
        <w:rPr>
          <w:noProof/>
        </w:rPr>
      </w:pPr>
      <w:r>
        <w:rPr>
          <w:noProof/>
        </w:rPr>
        <w:t xml:space="preserve">Actions undertaken </w:t>
      </w:r>
      <w:r>
        <w:rPr>
          <w:rStyle w:val="AMPRcharBoldBlue"/>
          <w:noProof/>
        </w:rPr>
        <w:t>at corporate level</w:t>
      </w:r>
      <w:r>
        <w:rPr>
          <w:noProof/>
        </w:rPr>
        <w:t xml:space="preserve"> during 2019 include developing more efficient corporate workflows (for grants, procurement, financial instruments) through simplified corporate models and procedures (building on the single electronic data interchange area). In addition, the Commission has stepped up guidance and coordination vis-à-vis both Member States and other Commission departments in areas that are relevant to the implementation of the EU budget (e.g. internal control systems in Member States, conflicts of interest, rule of law, anti-fraud measures). Other information technology initiatives are e-cohesion in shared management and the geospatial system used for agriculture.</w:t>
      </w:r>
    </w:p>
    <w:p w:rsidR="00315B87" w:rsidRDefault="00C32692">
      <w:pPr>
        <w:pStyle w:val="AMPRBodyText"/>
        <w:rPr>
          <w:noProof/>
        </w:rPr>
      </w:pPr>
      <w:r>
        <w:rPr>
          <w:noProof/>
        </w:rPr>
        <w:t xml:space="preserve">Initiatives to further increase efficiency in financial management were also taken </w:t>
      </w:r>
      <w:r>
        <w:rPr>
          <w:rStyle w:val="AMPRcharBoldBlue"/>
          <w:noProof/>
        </w:rPr>
        <w:t>at the level of the Commission departments</w:t>
      </w:r>
      <w:r>
        <w:rPr>
          <w:noProof/>
        </w:rPr>
        <w:t>.</w:t>
      </w:r>
    </w:p>
    <w:p w:rsidR="00315B87" w:rsidRDefault="00C32692">
      <w:pPr>
        <w:pStyle w:val="AMPRListOrange-L1"/>
        <w:rPr>
          <w:noProof/>
        </w:rPr>
      </w:pPr>
      <w:r>
        <w:rPr>
          <w:noProof/>
        </w:rPr>
        <w:t>Firstly, a number of Commission departments have further digitalised their financial processes. This contributes to a leaner, less bureaucratic, better integrated and more flexible Commission. As a result, resources are increasingly focused on frontline activities. Moreover, automated dashboarding tools enhance the monitoring process and facilitate improved management and better use of data, while reducing the chances of missed opportunities for early reaction.</w:t>
      </w:r>
    </w:p>
    <w:p w:rsidR="00315B87" w:rsidRDefault="00C32692">
      <w:pPr>
        <w:pStyle w:val="AMPRListOrange-L1"/>
        <w:rPr>
          <w:noProof/>
        </w:rPr>
      </w:pPr>
      <w:r>
        <w:rPr>
          <w:noProof/>
        </w:rPr>
        <w:t xml:space="preserve">Secondly, several Commission departments also reported that they have reviewed their control strategies and/or their financial workflows, with a view to simplifying procedures and further aligning the control frequency and intensity with the risk of the transactions. </w:t>
      </w:r>
    </w:p>
    <w:p w:rsidR="00315B87" w:rsidRDefault="00C32692">
      <w:pPr>
        <w:pStyle w:val="AMPRBodyText"/>
        <w:rPr>
          <w:noProof/>
        </w:rPr>
      </w:pPr>
      <w:r>
        <w:rPr>
          <w:noProof/>
        </w:rPr>
        <w:t xml:space="preserve">The abovementioned initiatives ensure the effective protection of the EU budget, while reducing the time needed to complete the financial processes. In particular, the ‘time-to-pay’ indicators continued their very favourable downward trend. In 2019, the Commission’s average net </w:t>
      </w:r>
      <w:r>
        <w:rPr>
          <w:rStyle w:val="AMPRcharBoldBlue"/>
          <w:noProof/>
        </w:rPr>
        <w:t>payment time</w:t>
      </w:r>
      <w:r>
        <w:rPr>
          <w:noProof/>
        </w:rPr>
        <w:t xml:space="preserve"> was 16 days (down from 20 and 18 in the 2</w:t>
      </w:r>
      <w:r>
        <w:rPr>
          <w:rFonts w:ascii="Calibri" w:hAnsi="Calibri" w:cs="Calibri"/>
          <w:noProof/>
        </w:rPr>
        <w:t> </w:t>
      </w:r>
      <w:r>
        <w:rPr>
          <w:noProof/>
        </w:rPr>
        <w:t>previous years), well below the statutory ceiling of 30</w:t>
      </w:r>
      <w:r>
        <w:rPr>
          <w:rFonts w:ascii="Calibri" w:hAnsi="Calibri" w:cs="Calibri"/>
          <w:noProof/>
        </w:rPr>
        <w:t> </w:t>
      </w:r>
      <w:r>
        <w:rPr>
          <w:noProof/>
        </w:rPr>
        <w:t xml:space="preserve">days. The Commission made 95% of its </w:t>
      </w:r>
      <w:r>
        <w:rPr>
          <w:rStyle w:val="AMPRcharBoldBlue"/>
          <w:noProof/>
        </w:rPr>
        <w:t>payments on time</w:t>
      </w:r>
      <w:r>
        <w:rPr>
          <w:noProof/>
        </w:rPr>
        <w:t xml:space="preserve"> (the number of payments affected by delays was down from 10% and 8% in the 2</w:t>
      </w:r>
      <w:r>
        <w:rPr>
          <w:rFonts w:ascii="Calibri" w:hAnsi="Calibri" w:cs="Calibri"/>
          <w:noProof/>
        </w:rPr>
        <w:t> </w:t>
      </w:r>
      <w:r>
        <w:rPr>
          <w:noProof/>
        </w:rPr>
        <w:t>previous years). Nevertheless, the aim is still to meet the statutory payment time for every payment. See details in Annex</w:t>
      </w:r>
      <w:r>
        <w:rPr>
          <w:rFonts w:ascii="Calibri" w:hAnsi="Calibri" w:cs="Calibri"/>
          <w:noProof/>
        </w:rPr>
        <w:t> </w:t>
      </w:r>
      <w:r>
        <w:rPr>
          <w:noProof/>
        </w:rPr>
        <w:t>8.</w:t>
      </w:r>
    </w:p>
    <w:p w:rsidR="00315B87" w:rsidRDefault="00C32692">
      <w:pPr>
        <w:pStyle w:val="AMPRSec2TITLE3-numbered"/>
        <w:spacing w:before="720" w:after="360"/>
        <w:rPr>
          <w:noProof/>
        </w:rPr>
      </w:pPr>
      <w:r>
        <w:rPr>
          <w:noProof/>
        </w:rPr>
        <w:t>The cost of controls remains proportionate to the associated risks</w:t>
      </w:r>
    </w:p>
    <w:p w:rsidR="00315B87" w:rsidRDefault="00C32692">
      <w:pPr>
        <w:pStyle w:val="AMPRBodyText"/>
        <w:rPr>
          <w:noProof/>
        </w:rPr>
      </w:pPr>
      <w:r>
        <w:rPr>
          <w:noProof/>
        </w:rPr>
        <w:t xml:space="preserve">Overall, the estimated costs of control are </w:t>
      </w:r>
      <w:r>
        <w:rPr>
          <w:rStyle w:val="AMPRcharBoldBlue"/>
          <w:noProof/>
        </w:rPr>
        <w:t xml:space="preserve">reasonable </w:t>
      </w:r>
      <w:r>
        <w:rPr>
          <w:noProof/>
        </w:rPr>
        <w:t xml:space="preserve">in view of the nature of the programmes and/or the control environments. Furthermore, they remain </w:t>
      </w:r>
      <w:r>
        <w:rPr>
          <w:rStyle w:val="AMPRcharBoldBlue"/>
          <w:noProof/>
        </w:rPr>
        <w:t>stable</w:t>
      </w:r>
      <w:r>
        <w:rPr>
          <w:noProof/>
        </w:rPr>
        <w:t xml:space="preserve"> due to the unchanged control environments and strategies in place for the current programmes. </w:t>
      </w:r>
    </w:p>
    <w:p w:rsidR="00315B87" w:rsidRDefault="00C32692">
      <w:pPr>
        <w:pStyle w:val="AMPRBodyText"/>
        <w:spacing w:after="360"/>
        <w:rPr>
          <w:noProof/>
        </w:rPr>
      </w:pPr>
      <w:r>
        <w:rPr>
          <w:noProof/>
        </w:rPr>
        <w:t>Direct comparison between programmes is often not possible because of their different features and cost drivers, examples of which are given in the box below</w:t>
      </w:r>
      <w:r>
        <w:rPr>
          <w:rFonts w:eastAsia="EC Square Sans Pro"/>
          <w:noProof/>
          <w:lang w:eastAsia="en-GB"/>
        </w:rPr>
        <w:t>.</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rsidR="00315B87">
        <w:trPr>
          <w:trHeight w:val="1701"/>
          <w:jc w:val="center"/>
        </w:trPr>
        <w:tc>
          <w:tcPr>
            <w:tcW w:w="9468" w:type="dxa"/>
            <w:vAlign w:val="center"/>
          </w:tcPr>
          <w:p w:rsidR="00315B87" w:rsidRDefault="00C32692">
            <w:pPr>
              <w:pStyle w:val="AMPRtableBOXA-bgWHITElnORANGE-BLUEheading"/>
              <w:rPr>
                <w:noProof/>
              </w:rPr>
            </w:pPr>
            <w:r>
              <w:rPr>
                <w:noProof/>
              </w:rPr>
              <w:t>Examples of common cost drivers</w:t>
            </w:r>
          </w:p>
          <w:p w:rsidR="00315B87" w:rsidRDefault="00C32692">
            <w:pPr>
              <w:pStyle w:val="AMPRtableBOXA-bgWHITElnORANGE-BLUEBullet"/>
              <w:jc w:val="both"/>
              <w:rPr>
                <w:noProof/>
                <w:lang w:val="en-GB"/>
              </w:rPr>
            </w:pPr>
            <w:r>
              <w:rPr>
                <w:noProof/>
                <w:lang w:val="en-GB"/>
              </w:rPr>
              <w:t xml:space="preserve">The degree of complexity of the programmes managed. </w:t>
            </w:r>
          </w:p>
          <w:p w:rsidR="00315B87" w:rsidRDefault="00C32692">
            <w:pPr>
              <w:pStyle w:val="AMPRtableBOXA-bgWHITElnORANGE-BLUEBullet"/>
              <w:jc w:val="both"/>
              <w:rPr>
                <w:noProof/>
                <w:lang w:val="en-GB"/>
              </w:rPr>
            </w:pPr>
            <w:r>
              <w:rPr>
                <w:noProof/>
                <w:lang w:val="en-GB"/>
              </w:rPr>
              <w:t xml:space="preserve">The volumes and amounts to be processed: i.e. processing a high number of low-value transactions is more labour-intensive than processing a low number of high-value transactions. </w:t>
            </w:r>
          </w:p>
          <w:p w:rsidR="00315B87" w:rsidRDefault="00C32692">
            <w:pPr>
              <w:pStyle w:val="AMPRtableBOXA-bgWHITElnORANGE-BLUEBullet"/>
              <w:jc w:val="both"/>
              <w:rPr>
                <w:noProof/>
                <w:lang w:val="en-GB"/>
              </w:rPr>
            </w:pPr>
            <w:r>
              <w:rPr>
                <w:noProof/>
                <w:lang w:val="en-GB"/>
              </w:rPr>
              <w:t xml:space="preserve">The specific risk profiles of the programmes managed: for instance programmes in external relations </w:t>
            </w:r>
            <w:r>
              <w:rPr>
                <w:noProof/>
                <w:lang w:val="en-GB"/>
              </w:rPr>
              <w:lastRenderedPageBreak/>
              <w:t>where funds are mostly spent in non-EU countries.</w:t>
            </w:r>
          </w:p>
          <w:p w:rsidR="00315B87" w:rsidRDefault="00C32692">
            <w:pPr>
              <w:pStyle w:val="AMPRtableBOXA-bgWHITElnORANGE-BLUEBullet"/>
              <w:jc w:val="both"/>
              <w:rPr>
                <w:noProof/>
                <w:lang w:val="en-GB"/>
              </w:rPr>
            </w:pPr>
            <w:r>
              <w:rPr>
                <w:noProof/>
                <w:lang w:val="en-GB"/>
              </w:rPr>
              <w:t xml:space="preserve">Possible diseconomies of scale for certain smaller programmes, in terms of amount of funding, as well as programmes that are being phased out, or funds managed by smaller entrusted entities, or Commission departments managing smaller amounts of funds, as there is always an irreducible number of controls to be carried out regardless of the amounts of funding involved. </w:t>
            </w:r>
          </w:p>
          <w:p w:rsidR="00315B87" w:rsidRDefault="00C32692">
            <w:pPr>
              <w:pStyle w:val="AMPRtableBOXA-bgWHITElnORANGE-BLUEBullet"/>
              <w:jc w:val="both"/>
              <w:rPr>
                <w:rStyle w:val="BOLDBLUE"/>
                <w:rFonts w:eastAsiaTheme="minorHAnsi"/>
                <w:b w:val="0"/>
                <w:noProof/>
                <w:szCs w:val="22"/>
              </w:rPr>
            </w:pPr>
            <w:r>
              <w:rPr>
                <w:noProof/>
                <w:lang w:val="en-GB"/>
              </w:rPr>
              <w:t>The type of management: indirect and shared management imply that the costs of controls are shared between the Commission and its implementing partners, national authorities or entrusted entities, and so the costs at Commission level may be much lower for such programmes compared to others that are directly managed by the Commission.</w:t>
            </w:r>
          </w:p>
        </w:tc>
      </w:tr>
    </w:tbl>
    <w:p w:rsidR="00315B87" w:rsidRDefault="00C32692">
      <w:pPr>
        <w:pStyle w:val="AMPRBodyText"/>
        <w:rPr>
          <w:noProof/>
        </w:rPr>
      </w:pPr>
      <w:r>
        <w:rPr>
          <w:noProof/>
        </w:rPr>
        <w:lastRenderedPageBreak/>
        <w:t>For the sake of transparency and completeness, those departments dealing with shared and/or indirect management have also reported in their annual activity reports on the cost of controls in Member States and entrusted entities, separately from the Commission’s own cost of controls. For example, for the common agricultural policy, the costs reported by Member States for delivery represented 3.5% of the expenditure for 2019.</w:t>
      </w:r>
    </w:p>
    <w:p w:rsidR="00315B87" w:rsidRDefault="00C32692">
      <w:pPr>
        <w:pStyle w:val="AMPRBodyText"/>
        <w:rPr>
          <w:noProof/>
        </w:rPr>
      </w:pPr>
      <w:r>
        <w:rPr>
          <w:noProof/>
        </w:rPr>
        <w:t>In a recent audit about the cost of implementation of Cohesion Funds</w:t>
      </w:r>
      <w:r>
        <w:rPr>
          <w:rStyle w:val="fnRef"/>
          <w:rFonts w:ascii="Arial" w:hAnsi="Arial" w:cs="Arial"/>
          <w:noProof/>
        </w:rPr>
        <w:t> </w:t>
      </w:r>
      <w:r>
        <w:rPr>
          <w:rStyle w:val="fnRef"/>
          <w:noProof/>
        </w:rPr>
        <w:t>(</w:t>
      </w:r>
      <w:r>
        <w:rPr>
          <w:rStyle w:val="fnRefNo"/>
          <w:noProof/>
        </w:rPr>
        <w:footnoteReference w:id="25"/>
      </w:r>
      <w:r>
        <w:rPr>
          <w:rStyle w:val="fnRef"/>
          <w:noProof/>
        </w:rPr>
        <w:t>)</w:t>
      </w:r>
      <w:r>
        <w:rPr>
          <w:noProof/>
        </w:rPr>
        <w:t>, the Court of Auditors found that the overall cost of implementing the cohesion policy funds presented by the Commission in its annual activity reports is comparatively low compared to other EU funds and internationally funded programmes. These costs represented, as a percentage of the payments made in 2018, 2.87% for the European Social Fund, 2.45% for the European Regional Development Fund and 2.03% for the Cohesion Fund, respectively.</w:t>
      </w:r>
    </w:p>
    <w:p w:rsidR="00315B87" w:rsidRDefault="00C32692">
      <w:pPr>
        <w:pStyle w:val="AMPRBodyText"/>
        <w:rPr>
          <w:noProof/>
        </w:rPr>
      </w:pPr>
      <w:r>
        <w:rPr>
          <w:noProof/>
        </w:rPr>
        <w:t xml:space="preserve">In 2019, following the combined assessment of their effectiveness, efficiency and economy, </w:t>
      </w:r>
      <w:r>
        <w:rPr>
          <w:rStyle w:val="AMPRcharBoldBlue"/>
          <w:noProof/>
        </w:rPr>
        <w:t>all</w:t>
      </w:r>
      <w:r>
        <w:rPr>
          <w:noProof/>
        </w:rPr>
        <w:t xml:space="preserve"> Commission departments concluded that, overall, their </w:t>
      </w:r>
      <w:r>
        <w:rPr>
          <w:rStyle w:val="AMPRcharBoldBlue"/>
          <w:noProof/>
        </w:rPr>
        <w:t>controls were cost-effective</w:t>
      </w:r>
      <w:r>
        <w:rPr>
          <w:noProof/>
        </w:rPr>
        <w:t>.</w:t>
      </w:r>
    </w:p>
    <w:p w:rsidR="00315B87" w:rsidRDefault="00C32692">
      <w:pPr>
        <w:pStyle w:val="AMPRSec2TITLE3-numbered"/>
        <w:spacing w:before="720" w:after="360"/>
        <w:rPr>
          <w:noProof/>
        </w:rPr>
      </w:pPr>
      <w:r>
        <w:rPr>
          <w:noProof/>
        </w:rPr>
        <w:t>Management assurance, audit opinions and discharge authority</w:t>
      </w:r>
    </w:p>
    <w:p w:rsidR="00315B87" w:rsidRDefault="00C32692">
      <w:pPr>
        <w:pStyle w:val="AMPRSec2TITLE4"/>
        <w:rPr>
          <w:noProof/>
        </w:rPr>
      </w:pPr>
      <w:r>
        <w:rPr>
          <w:noProof/>
        </w:rPr>
        <w:t>Director-Generals’ assessments, assurance and reservations</w:t>
      </w:r>
    </w:p>
    <w:p w:rsidR="00315B87" w:rsidRDefault="00C32692">
      <w:pPr>
        <w:pStyle w:val="AMPRBodyText"/>
        <w:rPr>
          <w:noProof/>
        </w:rPr>
      </w:pPr>
      <w:r>
        <w:rPr>
          <w:noProof/>
        </w:rPr>
        <w:t>In their 2019 declarations of assurance</w:t>
      </w:r>
      <w:r>
        <w:rPr>
          <w:rStyle w:val="fnRef"/>
          <w:rFonts w:ascii="Arial" w:hAnsi="Arial" w:cs="Arial"/>
          <w:noProof/>
        </w:rPr>
        <w:t> </w:t>
      </w:r>
      <w:r>
        <w:rPr>
          <w:rStyle w:val="fnRef"/>
          <w:noProof/>
        </w:rPr>
        <w:t>(</w:t>
      </w:r>
      <w:r>
        <w:rPr>
          <w:rStyle w:val="fnRefNo"/>
          <w:noProof/>
        </w:rPr>
        <w:footnoteReference w:id="26"/>
      </w:r>
      <w:r>
        <w:rPr>
          <w:rStyle w:val="fnRef"/>
          <w:noProof/>
        </w:rPr>
        <w:t>)</w:t>
      </w:r>
      <w:r>
        <w:rPr>
          <w:noProof/>
          <w:color w:val="auto"/>
        </w:rPr>
        <w:t>,</w:t>
      </w:r>
      <w:r>
        <w:rPr>
          <w:noProof/>
        </w:rPr>
        <w:t xml:space="preserve"> </w:t>
      </w:r>
      <w:r>
        <w:rPr>
          <w:rStyle w:val="AMPRcharBoldBlue"/>
          <w:noProof/>
        </w:rPr>
        <w:t>all 50 Directors-General (or equivalent) declared they had reasonable assurance</w:t>
      </w:r>
      <w:r>
        <w:rPr>
          <w:noProof/>
          <w:color w:val="auto"/>
        </w:rPr>
        <w:t xml:space="preserve"> that</w:t>
      </w:r>
      <w:r>
        <w:rPr>
          <w:noProof/>
        </w:rPr>
        <w:t>: (i)</w:t>
      </w:r>
      <w:r>
        <w:rPr>
          <w:rFonts w:ascii="Calibri" w:hAnsi="Calibri" w:cs="Calibri"/>
          <w:noProof/>
        </w:rPr>
        <w:t> </w:t>
      </w:r>
      <w:r>
        <w:rPr>
          <w:noProof/>
        </w:rPr>
        <w:t>the information contained in their report presents a ‘true and fair view’ (i.e. reliable, complete and correct) on the state of affairs in their department; (ii)</w:t>
      </w:r>
      <w:r>
        <w:rPr>
          <w:rFonts w:ascii="Calibri" w:hAnsi="Calibri" w:cs="Calibri"/>
          <w:noProof/>
        </w:rPr>
        <w:t> </w:t>
      </w:r>
      <w:r>
        <w:rPr>
          <w:noProof/>
        </w:rPr>
        <w:t>the resources assigned to their activities have been used for their intended purpose and in accordance with the principle of sound financial management; and (iii) the control procedures put in place give the necessary guarantees concerning the legality and regularity of the underlying transactions.</w:t>
      </w:r>
    </w:p>
    <w:p w:rsidR="00315B87" w:rsidRDefault="00C32692">
      <w:pPr>
        <w:pStyle w:val="AMPRBodyText"/>
        <w:rPr>
          <w:rFonts w:asciiTheme="minorHAnsi" w:hAnsiTheme="minorHAnsi"/>
          <w:strike/>
          <w:noProof/>
        </w:rPr>
      </w:pPr>
      <w:r>
        <w:rPr>
          <w:noProof/>
        </w:rPr>
        <w:t>Within the context of their overall assurance-building process and from their management perspective, the Directors-General also perform a more detailed analysis for each programme or segment of their portfolio. They use all available information, especially the results of their controls, to spot any potential significant weakness in quantitative or qualitative terms. At the end of each financial year, they determine whether the financial impact from such a weakness is likely to be above the materiality threshold of 2% and/or whether the reputational impact is significant. If so</w:t>
      </w:r>
      <w:r>
        <w:rPr>
          <w:noProof/>
          <w:color w:val="auto"/>
        </w:rPr>
        <w:t xml:space="preserve">, </w:t>
      </w:r>
      <w:r>
        <w:rPr>
          <w:rStyle w:val="BOLDLIGHTBLUEReport"/>
          <w:rFonts w:eastAsiaTheme="minorHAnsi"/>
          <w:noProof/>
          <w:color w:val="auto"/>
        </w:rPr>
        <w:t xml:space="preserve">they qualify their declaration of assurance with </w:t>
      </w:r>
      <w:r>
        <w:rPr>
          <w:rStyle w:val="BOLDLIGHTBLUEReport"/>
          <w:rFonts w:asciiTheme="minorHAnsi" w:eastAsiaTheme="minorHAnsi" w:hAnsiTheme="minorHAnsi"/>
          <w:noProof/>
          <w:color w:val="auto"/>
        </w:rPr>
        <w:t>a reservation</w:t>
      </w:r>
      <w:r>
        <w:rPr>
          <w:rFonts w:asciiTheme="minorHAnsi" w:hAnsiTheme="minorHAnsi" w:cs="Calibri"/>
          <w:noProof/>
          <w:color w:val="auto"/>
        </w:rPr>
        <w:t xml:space="preserve"> for </w:t>
      </w:r>
      <w:r>
        <w:rPr>
          <w:rFonts w:asciiTheme="minorHAnsi" w:hAnsiTheme="minorHAnsi" w:cs="Calibri"/>
          <w:noProof/>
        </w:rPr>
        <w:t>the specific portfolio segment affected</w:t>
      </w:r>
      <w:r>
        <w:rPr>
          <w:rFonts w:asciiTheme="minorHAnsi" w:hAnsiTheme="minorHAnsi"/>
          <w:noProof/>
        </w:rPr>
        <w:t>.</w:t>
      </w:r>
    </w:p>
    <w:p w:rsidR="00315B87" w:rsidRDefault="00C32692">
      <w:pPr>
        <w:rPr>
          <w:noProof/>
          <w:color w:val="000000"/>
          <w:szCs w:val="20"/>
        </w:rPr>
      </w:pPr>
      <w:r>
        <w:rPr>
          <w:noProof/>
        </w:rPr>
        <w:br w:type="page"/>
      </w:r>
    </w:p>
    <w:p w:rsidR="00315B87" w:rsidRDefault="00C32692">
      <w:pPr>
        <w:pStyle w:val="AMPRBodyText"/>
        <w:rPr>
          <w:noProof/>
        </w:rPr>
      </w:pPr>
      <w:r>
        <w:rPr>
          <w:noProof/>
        </w:rPr>
        <w:lastRenderedPageBreak/>
        <w:t xml:space="preserve">For 2019, </w:t>
      </w:r>
      <w:r>
        <w:rPr>
          <w:rStyle w:val="AMPRcharOrange"/>
          <w:noProof/>
          <w:color w:val="auto"/>
        </w:rPr>
        <w:t>11</w:t>
      </w:r>
      <w:r>
        <w:rPr>
          <w:noProof/>
          <w:color w:val="auto"/>
        </w:rPr>
        <w:t xml:space="preserve"> of the 50 Directors-General issued a qualified declaration with a total of </w:t>
      </w:r>
      <w:r>
        <w:rPr>
          <w:rStyle w:val="AMPRcharOrange"/>
          <w:noProof/>
          <w:color w:val="auto"/>
        </w:rPr>
        <w:t>18</w:t>
      </w:r>
      <w:r>
        <w:rPr>
          <w:noProof/>
          <w:color w:val="auto"/>
        </w:rPr>
        <w:t xml:space="preserve"> reservations</w:t>
      </w:r>
      <w:r>
        <w:rPr>
          <w:noProof/>
        </w:rPr>
        <w:t>. This significant decrease in number, compared to 2018 (when 40 reservations were reported by 20 departments), is explained as follows.</w:t>
      </w:r>
    </w:p>
    <w:p w:rsidR="00315B87" w:rsidRDefault="00C32692">
      <w:pPr>
        <w:pStyle w:val="AMPRListOrange-L1"/>
        <w:rPr>
          <w:noProof/>
        </w:rPr>
      </w:pPr>
      <w:r>
        <w:rPr>
          <w:rStyle w:val="AMPRcharOrange"/>
          <w:noProof/>
          <w:color w:val="auto"/>
        </w:rPr>
        <w:t>Six</w:t>
      </w:r>
      <w:r>
        <w:rPr>
          <w:noProof/>
          <w:color w:val="auto"/>
        </w:rPr>
        <w:t xml:space="preserve"> reservations </w:t>
      </w:r>
      <w:r>
        <w:rPr>
          <w:noProof/>
        </w:rPr>
        <w:t xml:space="preserve">were </w:t>
      </w:r>
      <w:r>
        <w:rPr>
          <w:rStyle w:val="AMPRcharBoldBlue"/>
          <w:noProof/>
        </w:rPr>
        <w:t>lifted</w:t>
      </w:r>
      <w:r>
        <w:rPr>
          <w:noProof/>
        </w:rPr>
        <w:t xml:space="preserve"> because the underlying weaknesses have been resolved. </w:t>
      </w:r>
    </w:p>
    <w:p w:rsidR="00315B87" w:rsidRDefault="00C32692">
      <w:pPr>
        <w:pStyle w:val="AMPRListOrange-L1"/>
        <w:rPr>
          <w:noProof/>
        </w:rPr>
      </w:pPr>
      <w:r>
        <w:rPr>
          <w:noProof/>
        </w:rPr>
        <w:t xml:space="preserve">For </w:t>
      </w:r>
      <w:r>
        <w:rPr>
          <w:rStyle w:val="AMPRcharOrange"/>
          <w:noProof/>
          <w:color w:val="auto"/>
        </w:rPr>
        <w:t>17</w:t>
      </w:r>
      <w:r>
        <w:rPr>
          <w:noProof/>
          <w:color w:val="auto"/>
        </w:rPr>
        <w:t xml:space="preserve"> </w:t>
      </w:r>
      <w:r>
        <w:rPr>
          <w:noProof/>
        </w:rPr>
        <w:t xml:space="preserve">reservations, the </w:t>
      </w:r>
      <w:r>
        <w:rPr>
          <w:rStyle w:val="AMPRcharBoldBlue"/>
          <w:noProof/>
        </w:rPr>
        <w:t>‘de minimis’ rule</w:t>
      </w:r>
      <w:r>
        <w:rPr>
          <w:noProof/>
        </w:rPr>
        <w:t xml:space="preserve"> was applied, whereby reservations are no longer considered meaningful under certain conditions, namely the limited expenditure involved (less than 5% of the department’s payments) and low resulting financial impact (less than EUR</w:t>
      </w:r>
      <w:r>
        <w:rPr>
          <w:rFonts w:ascii="Calibri" w:hAnsi="Calibri" w:cs="Calibri"/>
          <w:noProof/>
        </w:rPr>
        <w:t> </w:t>
      </w:r>
      <w:r>
        <w:rPr>
          <w:noProof/>
        </w:rPr>
        <w:t>5 million). These were mostly related to 2007-2013 legacy programmes in research, competitiveness, education and culture, and external relations.</w:t>
      </w:r>
    </w:p>
    <w:p w:rsidR="00315B87" w:rsidRDefault="00C32692">
      <w:pPr>
        <w:pStyle w:val="AMPRListOrange-L1"/>
        <w:rPr>
          <w:noProof/>
        </w:rPr>
      </w:pPr>
      <w:r>
        <w:rPr>
          <w:noProof/>
        </w:rPr>
        <w:t xml:space="preserve">A total of </w:t>
      </w:r>
      <w:r>
        <w:rPr>
          <w:rStyle w:val="AMPRcharOrange"/>
          <w:noProof/>
          <w:color w:val="auto"/>
        </w:rPr>
        <w:t>17</w:t>
      </w:r>
      <w:r>
        <w:rPr>
          <w:noProof/>
          <w:color w:val="auto"/>
        </w:rPr>
        <w:t xml:space="preserve"> r</w:t>
      </w:r>
      <w:r>
        <w:rPr>
          <w:noProof/>
        </w:rPr>
        <w:t xml:space="preserve">eservations are </w:t>
      </w:r>
      <w:r>
        <w:rPr>
          <w:rStyle w:val="AMPRcharBoldBlue"/>
          <w:noProof/>
        </w:rPr>
        <w:t>recurrent</w:t>
      </w:r>
      <w:r>
        <w:rPr>
          <w:noProof/>
        </w:rPr>
        <w:t xml:space="preserve"> from previous year(s), and </w:t>
      </w:r>
      <w:r>
        <w:rPr>
          <w:rStyle w:val="AMPRcharOrange"/>
          <w:noProof/>
          <w:color w:val="auto"/>
        </w:rPr>
        <w:t xml:space="preserve">only one is </w:t>
      </w:r>
      <w:r>
        <w:rPr>
          <w:rStyle w:val="AMPRcharBoldBlue"/>
          <w:noProof/>
        </w:rPr>
        <w:t>new</w:t>
      </w:r>
      <w:r>
        <w:rPr>
          <w:noProof/>
        </w:rPr>
        <w:t xml:space="preserve"> in 2019, mainly because the root causes of the material level of error can be partially mitigated but not fully eradicated under the current programmes’ legal frameworks. See details in Section</w:t>
      </w:r>
      <w:r>
        <w:rPr>
          <w:rFonts w:ascii="Calibri" w:hAnsi="Calibri" w:cs="Calibri"/>
          <w:noProof/>
        </w:rPr>
        <w:t> </w:t>
      </w:r>
      <w:r>
        <w:rPr>
          <w:noProof/>
        </w:rPr>
        <w:t>2.3.1 and concepts in Annex</w:t>
      </w:r>
      <w:r>
        <w:rPr>
          <w:rFonts w:ascii="Calibri" w:hAnsi="Calibri" w:cs="Calibri"/>
          <w:noProof/>
        </w:rPr>
        <w:t> </w:t>
      </w:r>
      <w:r>
        <w:rPr>
          <w:noProof/>
        </w:rPr>
        <w:t>4.</w:t>
      </w:r>
    </w:p>
    <w:p w:rsidR="00315B87" w:rsidRDefault="00C32692">
      <w:pPr>
        <w:pStyle w:val="AMPRBodyText"/>
        <w:rPr>
          <w:noProof/>
        </w:rPr>
      </w:pPr>
      <w:r>
        <w:rPr>
          <w:noProof/>
        </w:rPr>
        <w:t>The total financial impact from all reservations (EUR</w:t>
      </w:r>
      <w:r>
        <w:rPr>
          <w:rFonts w:ascii="Calibri" w:hAnsi="Calibri" w:cs="Calibri"/>
          <w:noProof/>
        </w:rPr>
        <w:t> </w:t>
      </w:r>
      <w:r>
        <w:rPr>
          <w:noProof/>
        </w:rPr>
        <w:t>1</w:t>
      </w:r>
      <w:r>
        <w:rPr>
          <w:rFonts w:ascii="Calibri" w:hAnsi="Calibri" w:cs="Calibri"/>
          <w:noProof/>
        </w:rPr>
        <w:t> </w:t>
      </w:r>
      <w:r>
        <w:rPr>
          <w:noProof/>
        </w:rPr>
        <w:t>053</w:t>
      </w:r>
      <w:r>
        <w:rPr>
          <w:rFonts w:ascii="Calibri" w:hAnsi="Calibri" w:cs="Calibri"/>
          <w:noProof/>
        </w:rPr>
        <w:t> </w:t>
      </w:r>
      <w:r>
        <w:rPr>
          <w:noProof/>
        </w:rPr>
        <w:t>million for 2019; i.e. 2% lower than the EUR</w:t>
      </w:r>
      <w:r>
        <w:rPr>
          <w:rFonts w:ascii="Calibri" w:hAnsi="Calibri" w:cs="Calibri"/>
          <w:noProof/>
        </w:rPr>
        <w:t> </w:t>
      </w:r>
      <w:r>
        <w:rPr>
          <w:noProof/>
        </w:rPr>
        <w:t>1</w:t>
      </w:r>
      <w:r>
        <w:rPr>
          <w:rFonts w:ascii="Calibri" w:hAnsi="Calibri" w:cs="Calibri"/>
          <w:noProof/>
        </w:rPr>
        <w:t> </w:t>
      </w:r>
      <w:r>
        <w:rPr>
          <w:noProof/>
        </w:rPr>
        <w:t>078</w:t>
      </w:r>
      <w:r>
        <w:rPr>
          <w:rFonts w:ascii="Calibri" w:hAnsi="Calibri" w:cs="Calibri"/>
          <w:noProof/>
        </w:rPr>
        <w:t> </w:t>
      </w:r>
      <w:r>
        <w:rPr>
          <w:noProof/>
        </w:rPr>
        <w:t xml:space="preserve">million in 2018) is comparable to the level in the previous 2 years. For each reservation, the Directors-General concerned put in place mitigating actions to address the underlying weaknesses and mitigate the resulting risks. </w:t>
      </w:r>
    </w:p>
    <w:p w:rsidR="00315B87" w:rsidRDefault="00C32692">
      <w:pPr>
        <w:pStyle w:val="AMPRBodyText"/>
        <w:rPr>
          <w:noProof/>
        </w:rPr>
      </w:pPr>
      <w:r>
        <w:rPr>
          <w:noProof/>
        </w:rPr>
        <w:t>Annex</w:t>
      </w:r>
      <w:r>
        <w:rPr>
          <w:rFonts w:ascii="Calibri" w:hAnsi="Calibri" w:cs="Calibri"/>
          <w:noProof/>
        </w:rPr>
        <w:t> </w:t>
      </w:r>
      <w:r>
        <w:rPr>
          <w:noProof/>
        </w:rPr>
        <w:t>4 provides the complete list of reservations for 2019 as well as further explanations and details.</w:t>
      </w:r>
    </w:p>
    <w:p w:rsidR="00315B87" w:rsidRDefault="00C32692">
      <w:pPr>
        <w:pStyle w:val="AMPRSec2TITLE4"/>
        <w:rPr>
          <w:noProof/>
        </w:rPr>
      </w:pPr>
      <w:r>
        <w:rPr>
          <w:noProof/>
        </w:rPr>
        <w:t>Work of the Internal Audit Service and overall opinion</w:t>
      </w:r>
    </w:p>
    <w:p w:rsidR="00315B87" w:rsidRDefault="00C32692">
      <w:pPr>
        <w:pStyle w:val="AMPRBodyText"/>
        <w:rPr>
          <w:noProof/>
        </w:rPr>
      </w:pPr>
      <w:r>
        <w:rPr>
          <w:noProof/>
        </w:rPr>
        <w:t xml:space="preserve">The Commission departments also based their assurance on the work done by the Internal Audit Service. The Internal Audit Service </w:t>
      </w:r>
      <w:r>
        <w:rPr>
          <w:rStyle w:val="AMPRcharBoldBlue"/>
          <w:noProof/>
        </w:rPr>
        <w:t>audits the management and control systems</w:t>
      </w:r>
      <w:r>
        <w:rPr>
          <w:noProof/>
        </w:rPr>
        <w:t xml:space="preserve"> within the Commission and the executive agencies, providing </w:t>
      </w:r>
      <w:r>
        <w:rPr>
          <w:rStyle w:val="AMPRcharBoldBlue"/>
          <w:noProof/>
        </w:rPr>
        <w:t>independent and objective assurance on their adequacy and effectiveness</w:t>
      </w:r>
      <w:r>
        <w:rPr>
          <w:noProof/>
        </w:rPr>
        <w:t>.</w:t>
      </w:r>
    </w:p>
    <w:p w:rsidR="00315B87" w:rsidRDefault="00C32692">
      <w:pPr>
        <w:pStyle w:val="AMPRBodyText"/>
        <w:rPr>
          <w:noProof/>
        </w:rPr>
      </w:pPr>
      <w:r>
        <w:rPr>
          <w:noProof/>
        </w:rPr>
        <w:t>As required by its mission charter</w:t>
      </w:r>
      <w:r>
        <w:rPr>
          <w:rStyle w:val="fnRef"/>
          <w:rFonts w:ascii="Arial" w:hAnsi="Arial" w:cs="Arial"/>
          <w:noProof/>
        </w:rPr>
        <w:t> </w:t>
      </w:r>
      <w:r>
        <w:rPr>
          <w:rStyle w:val="fnRef"/>
          <w:noProof/>
        </w:rPr>
        <w:t>(</w:t>
      </w:r>
      <w:r>
        <w:rPr>
          <w:rStyle w:val="fnRefNo"/>
          <w:noProof/>
        </w:rPr>
        <w:footnoteReference w:id="27"/>
      </w:r>
      <w:r>
        <w:rPr>
          <w:rStyle w:val="fnRef"/>
          <w:noProof/>
        </w:rPr>
        <w:t>)</w:t>
      </w:r>
      <w:r>
        <w:rPr>
          <w:noProof/>
        </w:rPr>
        <w:t xml:space="preserve">, the Internal Audit Service issued an </w:t>
      </w:r>
      <w:r>
        <w:rPr>
          <w:rStyle w:val="AMPRcharBoldBlue"/>
          <w:noProof/>
        </w:rPr>
        <w:t>annual overall opinion on the Commission’s financial management</w:t>
      </w:r>
      <w:r>
        <w:rPr>
          <w:noProof/>
        </w:rPr>
        <w:t>, based on the audit work it had carried out in the area of financial management in the Commission during the previous 3</w:t>
      </w:r>
      <w:r>
        <w:rPr>
          <w:rFonts w:ascii="Calibri" w:hAnsi="Calibri" w:cs="Calibri"/>
          <w:noProof/>
        </w:rPr>
        <w:t> </w:t>
      </w:r>
      <w:r>
        <w:rPr>
          <w:noProof/>
        </w:rPr>
        <w:t xml:space="preserve">years (2017--2019). The overall opinion also takes into account information from other sources, namely the reports from the European Court of Auditors. Based on this audit information, the internal auditor considered that, </w:t>
      </w:r>
      <w:r>
        <w:rPr>
          <w:rStyle w:val="AMPRcharBoldBlue"/>
          <w:noProof/>
        </w:rPr>
        <w:t>in 2019, the Commission had put in place governance, risk management and internal control procedures which, taken as a whole, are adequate to give reasonable assurance on the achievement of its financial objectives.</w:t>
      </w:r>
      <w:r>
        <w:rPr>
          <w:noProof/>
        </w:rPr>
        <w:t xml:space="preserve"> However, the overall opinion is </w:t>
      </w:r>
      <w:r>
        <w:rPr>
          <w:rStyle w:val="AMPRcharBoldBlue"/>
          <w:noProof/>
        </w:rPr>
        <w:t>qualified with regard to the reservations the authorising officers by delegation made in their declarations of assurance issued in their respective annual activity reports</w:t>
      </w:r>
      <w:r>
        <w:rPr>
          <w:noProof/>
        </w:rPr>
        <w:t xml:space="preserve">. </w:t>
      </w:r>
    </w:p>
    <w:p w:rsidR="00315B87" w:rsidRDefault="00C32692">
      <w:pPr>
        <w:pStyle w:val="AMPRBodyText"/>
        <w:rPr>
          <w:noProof/>
        </w:rPr>
      </w:pPr>
      <w:r>
        <w:rPr>
          <w:noProof/>
        </w:rPr>
        <w:t>In arriving at the overall opinion, the internal auditor also considered the combined impact of (i)</w:t>
      </w:r>
      <w:r>
        <w:rPr>
          <w:rFonts w:ascii="Calibri" w:hAnsi="Calibri" w:cs="Calibri"/>
          <w:noProof/>
        </w:rPr>
        <w:t> </w:t>
      </w:r>
      <w:r>
        <w:rPr>
          <w:noProof/>
        </w:rPr>
        <w:t>all amounts estimated to be at risk at payment as these go beyond the amounts put under reservation and (ii)</w:t>
      </w:r>
      <w:r>
        <w:rPr>
          <w:rFonts w:ascii="Calibri" w:hAnsi="Calibri" w:cs="Calibri"/>
          <w:noProof/>
        </w:rPr>
        <w:t> </w:t>
      </w:r>
      <w:r>
        <w:rPr>
          <w:noProof/>
        </w:rPr>
        <w:t xml:space="preserve">the financial corrections and recoveries related to deficiencies and errors the Commission departments will detect and correct in coming years due to the multiannual corrective mechanisms built into the Commission’s internal control systems. Given these elements, the Internal Audit Service considers that the EU budget is adequately protected in total and over time. </w:t>
      </w:r>
    </w:p>
    <w:p w:rsidR="00315B87" w:rsidRDefault="00C32692">
      <w:pPr>
        <w:pStyle w:val="AMPRBodyText"/>
        <w:rPr>
          <w:noProof/>
        </w:rPr>
      </w:pPr>
      <w:r w:rsidRPr="00634EA5">
        <w:rPr>
          <w:noProof/>
        </w:rPr>
        <w:t xml:space="preserve">The COVID-19 outbreak and the Commission’s response did not affect the Commission’s ability to protect the EU budget during 2019. It may however do so in 2020 and the following years as </w:t>
      </w:r>
      <w:r w:rsidRPr="00634EA5">
        <w:rPr>
          <w:i/>
          <w:noProof/>
        </w:rPr>
        <w:t>ex post</w:t>
      </w:r>
      <w:r w:rsidRPr="00634EA5">
        <w:rPr>
          <w:noProof/>
        </w:rPr>
        <w:t xml:space="preserve"> corrective measures that have so far led to corrections may become less effective (affecting corrective capacity). This may result from lightening certain procedures governing expenditure and issues concerning recovery of illegal or irregular expenditure from final beneficiaries facing financial and economic difficulties as a consequence of the coronavirus crisis</w:t>
      </w:r>
      <w:r w:rsidR="00634EA5" w:rsidRPr="00634EA5">
        <w:rPr>
          <w:noProof/>
        </w:rPr>
        <w:t>.</w:t>
      </w:r>
      <w:r w:rsidRPr="00634EA5">
        <w:rPr>
          <w:noProof/>
        </w:rPr>
        <w:t xml:space="preserve"> Without</w:t>
      </w:r>
      <w:r>
        <w:rPr>
          <w:noProof/>
        </w:rPr>
        <w:t xml:space="preserve"> further qualifying the opinion, the internal auditor added two ‘emphases of matter’, which are described in Annex</w:t>
      </w:r>
      <w:r>
        <w:rPr>
          <w:rFonts w:ascii="Calibri" w:hAnsi="Calibri" w:cs="Calibri"/>
          <w:noProof/>
        </w:rPr>
        <w:t> </w:t>
      </w:r>
      <w:r>
        <w:rPr>
          <w:noProof/>
        </w:rPr>
        <w:t>6 to this report, regarding:</w:t>
      </w:r>
    </w:p>
    <w:p w:rsidR="00315B87" w:rsidRDefault="00C32692">
      <w:pPr>
        <w:pStyle w:val="AMPRListOrange-L1"/>
        <w:rPr>
          <w:noProof/>
        </w:rPr>
      </w:pPr>
      <w:r>
        <w:rPr>
          <w:noProof/>
        </w:rPr>
        <w:lastRenderedPageBreak/>
        <w:t>the implementation of the EU budget in the context of the current crisis related to the COVID-19 pandemic, notably the need for a detailed assessment of emerging risks and defining and implementing related mitigating measures; and</w:t>
      </w:r>
    </w:p>
    <w:p w:rsidR="00315B87" w:rsidRDefault="00C32692">
      <w:pPr>
        <w:pStyle w:val="AMPRListOrange-L1"/>
        <w:rPr>
          <w:noProof/>
        </w:rPr>
      </w:pPr>
      <w:r>
        <w:rPr>
          <w:noProof/>
        </w:rPr>
        <w:t>supervision strategies for third parties implementing policies and programmes.</w:t>
      </w:r>
    </w:p>
    <w:p w:rsidR="00315B87" w:rsidRDefault="00C32692">
      <w:pPr>
        <w:pStyle w:val="AMPRBodyText"/>
        <w:rPr>
          <w:noProof/>
        </w:rPr>
      </w:pPr>
      <w:r>
        <w:rPr>
          <w:noProof/>
        </w:rPr>
        <w:t xml:space="preserve">With a view to contributing to the Commission’s performance-based culture and greater focus on value for money, the Internal Audit Service also carried out </w:t>
      </w:r>
      <w:r>
        <w:rPr>
          <w:rStyle w:val="AMPRcharBoldBlue"/>
          <w:noProof/>
        </w:rPr>
        <w:t xml:space="preserve">performance audits </w:t>
      </w:r>
      <w:r>
        <w:rPr>
          <w:noProof/>
        </w:rPr>
        <w:t>in 2019 as part of its 2019-2021 strategic audit plan. These audits resulted in recommendations, all accepted by the auditees, concerning: supervision strategies regarding the implementation of programmes by third parties; control strategies of selected departments; human resources and information technology management processes; and performance-related aspects of the implementation of operations and programmes by the departments. For all recommendations, the auditees drafted action plans, which were submitted to and assessed as satisfactory by the Internal Audit Service.</w:t>
      </w:r>
    </w:p>
    <w:p w:rsidR="00315B87" w:rsidRDefault="00C32692">
      <w:pPr>
        <w:pStyle w:val="AMPRBodyText"/>
        <w:rPr>
          <w:noProof/>
        </w:rPr>
      </w:pPr>
      <w:r>
        <w:rPr>
          <w:noProof/>
        </w:rPr>
        <w:t xml:space="preserve">Finally, in line with its strict </w:t>
      </w:r>
      <w:r>
        <w:rPr>
          <w:rStyle w:val="AMPRcharBoldBlue"/>
          <w:noProof/>
        </w:rPr>
        <w:t>follow-up policy,</w:t>
      </w:r>
      <w:r>
        <w:rPr>
          <w:noProof/>
        </w:rPr>
        <w:t xml:space="preserve"> the Internal Audit Service assessed on a regular basis the actual implementation of its recommendations by the Commission’s departments and executive agencies. The work confirmed that 98% of the recommendations issued during 2015-2019 and followed up were adequately and effectively implemented by the auditees. This result indicates that the Commission services are diligent in implementing the recommendations and mitigating the risks identified by the Internal Audit Service.</w:t>
      </w:r>
    </w:p>
    <w:p w:rsidR="00315B87" w:rsidRDefault="00C32692">
      <w:pPr>
        <w:pStyle w:val="AMPRBodyText"/>
        <w:rPr>
          <w:noProof/>
        </w:rPr>
      </w:pPr>
      <w:r>
        <w:rPr>
          <w:noProof/>
        </w:rPr>
        <w:t>Annex</w:t>
      </w:r>
      <w:r>
        <w:rPr>
          <w:rFonts w:ascii="Calibri" w:hAnsi="Calibri" w:cs="Calibri"/>
          <w:noProof/>
        </w:rPr>
        <w:t> </w:t>
      </w:r>
      <w:r>
        <w:rPr>
          <w:noProof/>
        </w:rPr>
        <w:t>6 includes more information on the assurance provided by the Internal Audit Service. In addition, a report of the internal auditor’s work is forwarded by the Commission to the discharge authority in accordance with Article 118(8) of the financial regulation, as part of the integrated financial and accountability reporting package.</w:t>
      </w:r>
    </w:p>
    <w:p w:rsidR="00315B87" w:rsidRDefault="00C32692">
      <w:pPr>
        <w:pStyle w:val="AMPRSec2TITLE4"/>
        <w:rPr>
          <w:noProof/>
        </w:rPr>
      </w:pPr>
      <w:r>
        <w:rPr>
          <w:noProof/>
        </w:rPr>
        <w:t>The work of the Audit Progress Committee</w:t>
      </w:r>
    </w:p>
    <w:p w:rsidR="00315B87" w:rsidRDefault="00C32692">
      <w:pPr>
        <w:pStyle w:val="AMPRBodyText"/>
        <w:rPr>
          <w:noProof/>
        </w:rPr>
      </w:pPr>
      <w:r>
        <w:rPr>
          <w:noProof/>
        </w:rPr>
        <w:t>The Audit Progress Committee</w:t>
      </w:r>
      <w:r>
        <w:rPr>
          <w:rStyle w:val="fnRef"/>
          <w:rFonts w:ascii="Arial" w:hAnsi="Arial" w:cs="Arial"/>
          <w:noProof/>
        </w:rPr>
        <w:t> </w:t>
      </w:r>
      <w:r>
        <w:rPr>
          <w:rStyle w:val="fnRef"/>
          <w:noProof/>
        </w:rPr>
        <w:t>(</w:t>
      </w:r>
      <w:r>
        <w:rPr>
          <w:rStyle w:val="fnRefNo"/>
          <w:noProof/>
        </w:rPr>
        <w:footnoteReference w:id="28"/>
      </w:r>
      <w:r>
        <w:rPr>
          <w:rStyle w:val="fnRef"/>
          <w:noProof/>
        </w:rPr>
        <w:t>)</w:t>
      </w:r>
      <w:r>
        <w:rPr>
          <w:noProof/>
        </w:rPr>
        <w:t xml:space="preserve"> oversees audit matters within the Commission and reports annually to the College. It does this by ensuring the independence of the Internal Audit Service, monitoring the quality of internal audit work and ensuring that internal (i.e. from the Internal Audit Service) and external (i.e. from the European Court of Auditors) audit recommendations are properly taken into account by the Commission departments and that they receive appropriate follow-up. </w:t>
      </w:r>
    </w:p>
    <w:p w:rsidR="00315B87" w:rsidRDefault="00C32692">
      <w:pPr>
        <w:pStyle w:val="AMPRBodyText"/>
        <w:rPr>
          <w:noProof/>
        </w:rPr>
      </w:pPr>
      <w:r>
        <w:rPr>
          <w:noProof/>
        </w:rPr>
        <w:t>During the reporting year, the Audit Progress Committee continued to play its important role in enhancing governance, organisational performance and accountability across the entire organisation. It held three rounds of meetings while focusing its work on the four key objectives set out in the 2019 and 2020 work programmes. The Audit Progress Committee was satisfied about the independence and quality of the internal audit work and found that the internal auditor’s planning adequately covers the audit universe and continues to cover the key risk areas. The committee considered it encouraging that the effective implementation rate of the internal auditor’s recommendations remained high (i.e. 98% for recommendations issued in 2015-2019) and that only six very important audit recommendations were overdue by more than 6</w:t>
      </w:r>
      <w:r>
        <w:rPr>
          <w:rFonts w:ascii="Calibri" w:hAnsi="Calibri" w:cs="Calibri"/>
          <w:noProof/>
        </w:rPr>
        <w:t> </w:t>
      </w:r>
      <w:r>
        <w:rPr>
          <w:noProof/>
        </w:rPr>
        <w:t>months as of January 2020. The progress in implementing the European Court of Auditors’ recommendations was also satisfactory. Only one recommendation issued in 2001-2014 remained outstanding as of February 2020. Finally, the Audit Progress Committee was satisfied that for the 12th consecutive time the Court of Auditors gave a clean opinion about the reliability of the EU consolidated accounts.</w:t>
      </w:r>
    </w:p>
    <w:p w:rsidR="00315B87" w:rsidRDefault="00C32692">
      <w:pPr>
        <w:pStyle w:val="AMPRBodyText"/>
        <w:rPr>
          <w:noProof/>
        </w:rPr>
      </w:pPr>
      <w:r>
        <w:rPr>
          <w:noProof/>
        </w:rPr>
        <w:t>Annex</w:t>
      </w:r>
      <w:r>
        <w:rPr>
          <w:rFonts w:ascii="Calibri" w:hAnsi="Calibri" w:cs="Calibri"/>
          <w:noProof/>
        </w:rPr>
        <w:t> </w:t>
      </w:r>
      <w:r>
        <w:rPr>
          <w:noProof/>
        </w:rPr>
        <w:t>7 includes more information on the committee’s work and conclusions.</w:t>
      </w:r>
    </w:p>
    <w:p w:rsidR="00315B87" w:rsidRDefault="00C32692">
      <w:pPr>
        <w:pStyle w:val="AMPRSec2TITLE4"/>
        <w:rPr>
          <w:noProof/>
        </w:rPr>
      </w:pPr>
      <w:r>
        <w:rPr>
          <w:noProof/>
        </w:rPr>
        <w:lastRenderedPageBreak/>
        <w:t>The Court of Auditor’s opinions on the 2018 accounts and on the legality and regularity of transactions</w:t>
      </w:r>
    </w:p>
    <w:p w:rsidR="00315B87" w:rsidRDefault="00C32692">
      <w:pPr>
        <w:pStyle w:val="AMPRBodyText"/>
        <w:rPr>
          <w:noProof/>
        </w:rPr>
      </w:pPr>
      <w:r>
        <w:rPr>
          <w:noProof/>
        </w:rPr>
        <w:t xml:space="preserve">In 2019, the European Court of Auditors gave a </w:t>
      </w:r>
      <w:r>
        <w:rPr>
          <w:rStyle w:val="AMPRcharBoldBlue"/>
          <w:noProof/>
        </w:rPr>
        <w:t>positive (clean) opinion</w:t>
      </w:r>
      <w:r>
        <w:rPr>
          <w:noProof/>
        </w:rPr>
        <w:t xml:space="preserve"> on the 2018 </w:t>
      </w:r>
      <w:r>
        <w:rPr>
          <w:rStyle w:val="AMPRcharBoldBlue"/>
          <w:noProof/>
        </w:rPr>
        <w:t>EU annual</w:t>
      </w:r>
      <w:r>
        <w:rPr>
          <w:noProof/>
        </w:rPr>
        <w:t xml:space="preserve"> </w:t>
      </w:r>
      <w:r>
        <w:rPr>
          <w:rStyle w:val="AMPRcharBoldBlue"/>
          <w:noProof/>
        </w:rPr>
        <w:t>accounts</w:t>
      </w:r>
      <w:r>
        <w:rPr>
          <w:noProof/>
        </w:rPr>
        <w:t>, for the 12th consecutive year.</w:t>
      </w:r>
    </w:p>
    <w:p w:rsidR="00315B87" w:rsidRDefault="00C32692">
      <w:pPr>
        <w:pStyle w:val="AMPRBOXA-bgWHITElnORANGE-BLUEHeading"/>
        <w:rPr>
          <w:noProof/>
        </w:rPr>
      </w:pPr>
      <w:r>
        <w:rPr>
          <w:noProof/>
        </w:rPr>
        <w:t>Validation of local systems</w:t>
      </w:r>
    </w:p>
    <w:p w:rsidR="00315B87" w:rsidRDefault="00C32692">
      <w:pPr>
        <w:pStyle w:val="AMPRBOXA-bgWHITElnORANGE-BLUEtext"/>
        <w:rPr>
          <w:noProof/>
        </w:rPr>
      </w:pPr>
      <w:r>
        <w:rPr>
          <w:noProof/>
        </w:rPr>
        <w:t>The accounting officer is required to sign off on the annual accounts, certifying that he/she has reasonable assurance that they present a true and fair view of the financial situation of the Commission. The validation of local systems consists of a number of monitoring and supervisory controls aimed at providing assurance that he/she can rely on the information entered by the various Commission departments in the accounting systems. This is in addition to the departments’ own management assessments of the internal control systems in place.</w:t>
      </w:r>
    </w:p>
    <w:p w:rsidR="00315B87" w:rsidRDefault="00C32692">
      <w:pPr>
        <w:pStyle w:val="AMPRBOXA-bgWHITElnORANGE-BLUEtext"/>
        <w:rPr>
          <w:noProof/>
        </w:rPr>
      </w:pPr>
      <w:r>
        <w:rPr>
          <w:noProof/>
        </w:rPr>
        <w:t>The work carried out in 2019 has identified strengths as well as a number of weaknesses and issues, resulting in recommendations intended to improve the control environment and accounting quality in the departments</w:t>
      </w:r>
      <w:r>
        <w:rPr>
          <w:rStyle w:val="fnRef"/>
          <w:rFonts w:ascii="Arial" w:hAnsi="Arial" w:cs="Arial"/>
          <w:noProof/>
        </w:rPr>
        <w:t> </w:t>
      </w:r>
      <w:r>
        <w:rPr>
          <w:rStyle w:val="fnRef"/>
          <w:noProof/>
        </w:rPr>
        <w:t>(</w:t>
      </w:r>
      <w:r>
        <w:rPr>
          <w:rStyle w:val="fnRefNo"/>
          <w:noProof/>
        </w:rPr>
        <w:footnoteReference w:id="29"/>
      </w:r>
      <w:r>
        <w:rPr>
          <w:rStyle w:val="fnRef"/>
          <w:noProof/>
        </w:rPr>
        <w:t>)</w:t>
      </w:r>
      <w:r>
        <w:rPr>
          <w:noProof/>
        </w:rPr>
        <w:t> – mitigating risks to the accuracy of the financial and regulatory management reporting</w:t>
      </w:r>
      <w:r>
        <w:rPr>
          <w:rStyle w:val="fnRef"/>
          <w:rFonts w:ascii="Arial" w:hAnsi="Arial" w:cs="Arial"/>
          <w:noProof/>
        </w:rPr>
        <w:t> </w:t>
      </w:r>
      <w:r>
        <w:rPr>
          <w:rStyle w:val="fnRef"/>
          <w:noProof/>
        </w:rPr>
        <w:t>(</w:t>
      </w:r>
      <w:r>
        <w:rPr>
          <w:rStyle w:val="fnRefNo"/>
          <w:noProof/>
        </w:rPr>
        <w:footnoteReference w:id="30"/>
      </w:r>
      <w:r>
        <w:rPr>
          <w:rStyle w:val="fnRef"/>
          <w:noProof/>
        </w:rPr>
        <w:t>)</w:t>
      </w:r>
      <w:r>
        <w:rPr>
          <w:noProof/>
        </w:rPr>
        <w:t>. None of the weaknesses identified is likely to have a material impact on the annual accounts.</w:t>
      </w:r>
    </w:p>
    <w:p w:rsidR="00315B87" w:rsidRDefault="00C32692">
      <w:pPr>
        <w:pStyle w:val="AMPRBodyText"/>
        <w:rPr>
          <w:noProof/>
        </w:rPr>
      </w:pPr>
      <w:r>
        <w:rPr>
          <w:noProof/>
        </w:rPr>
        <w:t xml:space="preserve">For the </w:t>
      </w:r>
      <w:r>
        <w:rPr>
          <w:rStyle w:val="AMPRcharBoldBlue"/>
          <w:noProof/>
        </w:rPr>
        <w:t>legality and regularity of the underlying transactions</w:t>
      </w:r>
      <w:r>
        <w:rPr>
          <w:noProof/>
        </w:rPr>
        <w:t xml:space="preserve">, the Court of Auditors gave a </w:t>
      </w:r>
      <w:r>
        <w:rPr>
          <w:rStyle w:val="AMPRcharBoldBlue"/>
          <w:noProof/>
        </w:rPr>
        <w:t>qualified (favourable, but</w:t>
      </w:r>
      <w:r w:rsidR="00EB1B34">
        <w:rPr>
          <w:rStyle w:val="AMPRcharBoldBlue"/>
          <w:noProof/>
        </w:rPr>
        <w:t xml:space="preserve"> with observations</w:t>
      </w:r>
      <w:r>
        <w:rPr>
          <w:rStyle w:val="AMPRcharBoldBlue"/>
          <w:noProof/>
        </w:rPr>
        <w:t>) opinion</w:t>
      </w:r>
      <w:r>
        <w:rPr>
          <w:noProof/>
        </w:rPr>
        <w:t xml:space="preserve"> for the </w:t>
      </w:r>
      <w:r>
        <w:rPr>
          <w:rStyle w:val="AMPRcharBoldBlue"/>
          <w:noProof/>
        </w:rPr>
        <w:t>EU budget</w:t>
      </w:r>
      <w:r>
        <w:rPr>
          <w:noProof/>
        </w:rPr>
        <w:t>, but an adverse (negative) opinion for the European Development Fund.</w:t>
      </w:r>
    </w:p>
    <w:p w:rsidR="00315B87" w:rsidRDefault="00C32692">
      <w:pPr>
        <w:pStyle w:val="AMPRBodyText"/>
        <w:rPr>
          <w:noProof/>
        </w:rPr>
      </w:pPr>
      <w:r>
        <w:rPr>
          <w:noProof/>
        </w:rPr>
        <w:t>The Commission follows up on the Court of Auditors’ recommendations, and reports on the measures taken in the annual activity reports. Moreover, the Commission reports on a regular basis on the implementation of recommendations to the Audit Progress Committee, which performs certain monitoring activities in this respect under its updated mandate</w:t>
      </w:r>
      <w:r>
        <w:rPr>
          <w:rStyle w:val="fnRef"/>
          <w:rFonts w:ascii="Arial" w:hAnsi="Arial" w:cs="Arial"/>
          <w:noProof/>
        </w:rPr>
        <w:t> </w:t>
      </w:r>
      <w:r>
        <w:rPr>
          <w:rStyle w:val="fnRef"/>
          <w:noProof/>
        </w:rPr>
        <w:t>(</w:t>
      </w:r>
      <w:r>
        <w:rPr>
          <w:rStyle w:val="fnRefNo"/>
          <w:noProof/>
        </w:rPr>
        <w:footnoteReference w:id="31"/>
      </w:r>
      <w:r>
        <w:rPr>
          <w:rStyle w:val="fnRef"/>
          <w:noProof/>
        </w:rPr>
        <w:t>)</w:t>
      </w:r>
      <w:r>
        <w:rPr>
          <w:noProof/>
        </w:rPr>
        <w:t>.</w:t>
      </w:r>
    </w:p>
    <w:p w:rsidR="00315B87" w:rsidRDefault="00C32692">
      <w:pPr>
        <w:pStyle w:val="AMPRBodyText"/>
        <w:rPr>
          <w:noProof/>
        </w:rPr>
      </w:pPr>
      <w:r>
        <w:rPr>
          <w:noProof/>
        </w:rPr>
        <w:t xml:space="preserve">The Court of Auditors monitors the Commission’s </w:t>
      </w:r>
      <w:r>
        <w:rPr>
          <w:rStyle w:val="AMPRcharBoldBlue"/>
          <w:noProof/>
        </w:rPr>
        <w:t>implementation of its recommendations</w:t>
      </w:r>
      <w:r>
        <w:rPr>
          <w:noProof/>
        </w:rPr>
        <w:t xml:space="preserve"> and provides feedback, helping the Commission to enhance its follow-up activities. In its 2018 annual report, the Court of Auditors assessed the quality of the Commission’s follow-up of 184 audit recommendations from 25 special reports published in 2015. The Court of Auditors noted that the Commission had implemented around three quarters of the recommendations fully or in most respects, and slightly less than one fifth in some respects. The remaining recommendations were not accepted by the Commission and therefore not implemented. This is broadly in line with previous years.</w:t>
      </w:r>
    </w:p>
    <w:p w:rsidR="00315B87" w:rsidRDefault="00C32692">
      <w:pPr>
        <w:pStyle w:val="AMPRSec2TITLE4"/>
        <w:spacing w:before="340" w:after="200"/>
        <w:rPr>
          <w:noProof/>
        </w:rPr>
      </w:pPr>
      <w:r>
        <w:rPr>
          <w:noProof/>
        </w:rPr>
        <w:t>Discharge 2018</w:t>
      </w:r>
    </w:p>
    <w:p w:rsidR="00315B87" w:rsidRDefault="00C32692">
      <w:pPr>
        <w:pStyle w:val="AMPRBodyText"/>
        <w:rPr>
          <w:noProof/>
        </w:rPr>
      </w:pPr>
      <w:r>
        <w:rPr>
          <w:noProof/>
        </w:rPr>
        <w:t xml:space="preserve">The European Parliament granted discharge to the Commission for the financial year 2018 by a clear majority on 14 May 2020 after having examined the reports of the European Court of Auditors, the Commission’s integrated financial reporting package and the Council’s discharge recommendation. The European Parliament’s Committee on Budgetary Control also invited selected Commissioners and Directors-General for exchanges of views during the discharge procedure. The European Parliament’s discharge resolution for 2018 includes recommendations for improving budget implementation, as well as recommendations linked to specific policy areas and situations concerning, for example, rule of law and alleged conflicts of interest. As </w:t>
      </w:r>
      <w:r>
        <w:rPr>
          <w:noProof/>
        </w:rPr>
        <w:lastRenderedPageBreak/>
        <w:t xml:space="preserve">usual, </w:t>
      </w:r>
      <w:r>
        <w:rPr>
          <w:rStyle w:val="AMPRcharBoldBlue"/>
          <w:noProof/>
        </w:rPr>
        <w:t>the Commission is taking the action to implement these recommendations</w:t>
      </w:r>
      <w:r>
        <w:rPr>
          <w:noProof/>
        </w:rPr>
        <w:t xml:space="preserve"> and will follow up on them in a specific report</w:t>
      </w:r>
      <w:r>
        <w:rPr>
          <w:rStyle w:val="fnRef"/>
          <w:rFonts w:ascii="Arial" w:hAnsi="Arial" w:cs="Arial"/>
          <w:noProof/>
        </w:rPr>
        <w:t> </w:t>
      </w:r>
      <w:r>
        <w:rPr>
          <w:rStyle w:val="fnRef"/>
          <w:noProof/>
        </w:rPr>
        <w:t>(</w:t>
      </w:r>
      <w:r>
        <w:rPr>
          <w:rStyle w:val="fnRefNo"/>
          <w:noProof/>
        </w:rPr>
        <w:footnoteReference w:id="32"/>
      </w:r>
      <w:r>
        <w:rPr>
          <w:rStyle w:val="fnRef"/>
          <w:noProof/>
        </w:rPr>
        <w:t>)</w:t>
      </w:r>
      <w:r>
        <w:rPr>
          <w:noProof/>
        </w:rPr>
        <w:t>.</w:t>
      </w:r>
    </w:p>
    <w:p w:rsidR="00315B87" w:rsidRDefault="00C32692">
      <w:pPr>
        <w:pStyle w:val="AMPRSec2TITLE2-numbered"/>
        <w:rPr>
          <w:noProof/>
        </w:rPr>
      </w:pPr>
      <w:bookmarkStart w:id="39" w:name="_Toc37166574"/>
      <w:bookmarkStart w:id="40" w:name="_Toc37948909"/>
      <w:bookmarkStart w:id="41" w:name="_Toc37955824"/>
      <w:bookmarkStart w:id="42" w:name="_Toc37956057"/>
      <w:r>
        <w:rPr>
          <w:noProof/>
        </w:rPr>
        <w:lastRenderedPageBreak/>
        <w:t>Further developments: outlook for 2020 and the 2021-2027 period</w:t>
      </w:r>
      <w:bookmarkEnd w:id="39"/>
      <w:bookmarkEnd w:id="40"/>
      <w:bookmarkEnd w:id="41"/>
      <w:bookmarkEnd w:id="42"/>
    </w:p>
    <w:p w:rsidR="00315B87" w:rsidRDefault="00C32692">
      <w:pPr>
        <w:pStyle w:val="AMPRSec2TITLE3-numbered"/>
        <w:spacing w:before="600" w:after="360"/>
        <w:rPr>
          <w:noProof/>
        </w:rPr>
      </w:pPr>
      <w:r>
        <w:rPr>
          <w:noProof/>
        </w:rPr>
        <w:t>Effect of the coronavirus health crisis on sound financial management in 2020</w:t>
      </w:r>
    </w:p>
    <w:p w:rsidR="00315B87" w:rsidRDefault="00C32692">
      <w:pPr>
        <w:pStyle w:val="AMPRBodyText"/>
        <w:rPr>
          <w:noProof/>
        </w:rPr>
      </w:pPr>
      <w:r>
        <w:rPr>
          <w:noProof/>
        </w:rPr>
        <w:t xml:space="preserve">The Commission has taken a range of measures to respond to the crisis caused by the COVID-19 outbreak, such as the coronavirus response investment initiatives to mitigate the socio-economic impact. The pandemic itself, through its massive impact on EU beneficiaries, national authorities and Commission services, and the measures taken will have an impact on the performance of the EU budget but will also present potential challenges for the assurance building of the Commission. </w:t>
      </w:r>
    </w:p>
    <w:p w:rsidR="00315B87" w:rsidRDefault="00C32692">
      <w:pPr>
        <w:pStyle w:val="AMPRBodyText"/>
        <w:rPr>
          <w:noProof/>
        </w:rPr>
      </w:pPr>
      <w:r>
        <w:rPr>
          <w:noProof/>
        </w:rPr>
        <w:t xml:space="preserve">For instance, the specific context of the crisis required adjustments to the control procedures and more flexibility in the management of funds (e.g. the European Structural and Investment Funds) to allow funds to be rapidly deployed where they are most needed. These specific adjustments have been embedded in modified legislation, against which compliance will be measured for the period affected by the crisis. </w:t>
      </w:r>
    </w:p>
    <w:p w:rsidR="00315B87" w:rsidRDefault="00C32692">
      <w:pPr>
        <w:pStyle w:val="AMPRBodyText"/>
        <w:rPr>
          <w:noProof/>
        </w:rPr>
      </w:pPr>
      <w:r>
        <w:rPr>
          <w:noProof/>
        </w:rPr>
        <w:t xml:space="preserve">The Commission is currently working on a detailed identification of these new risks and challenges, on assessing their impact and on establishing mitigating measures to strike a balance between the required flexibility to make funds available to Member States and other implementing partners and beneficiaries to fight the crisis, and the need to respect the principle of sound financial management. </w:t>
      </w:r>
    </w:p>
    <w:p w:rsidR="00315B87" w:rsidRDefault="00C32692">
      <w:pPr>
        <w:pStyle w:val="AMPRSec2TITLE3-numbered"/>
        <w:spacing w:before="600" w:after="360"/>
        <w:rPr>
          <w:noProof/>
        </w:rPr>
      </w:pPr>
      <w:r>
        <w:rPr>
          <w:noProof/>
        </w:rPr>
        <w:t>Efforts to ensure sound financial management are maintained in the next multiannual financial framework</w:t>
      </w:r>
    </w:p>
    <w:p w:rsidR="00315B87" w:rsidRDefault="00C32692">
      <w:pPr>
        <w:pStyle w:val="AMPRBodyText"/>
        <w:rPr>
          <w:noProof/>
        </w:rPr>
      </w:pPr>
      <w:r>
        <w:rPr>
          <w:noProof/>
        </w:rPr>
        <w:t xml:space="preserve">The Commission is constantly striving to ensure that the EU budget is managed in accordance with the highest standards of sound financial management. In the current circumstances, this remains as necessary as ever. In May, the Commission adopted its revamped proposals for the 2021-2027 multiannual financial framework. These proposals reconfirm the Commission’s commitment to sound financial management, with particular attention given to maximising </w:t>
      </w:r>
      <w:r>
        <w:rPr>
          <w:rStyle w:val="AMPRcharBoldBlue"/>
          <w:noProof/>
        </w:rPr>
        <w:t>simplification, synergies and efficiencies</w:t>
      </w:r>
      <w:r>
        <w:rPr>
          <w:noProof/>
        </w:rPr>
        <w:t xml:space="preserve">, as well as to implementing </w:t>
      </w:r>
      <w:r>
        <w:rPr>
          <w:rStyle w:val="AMPRcharBoldBlue"/>
          <w:noProof/>
        </w:rPr>
        <w:t>risk-differentiated and cost-effective control systems</w:t>
      </w:r>
      <w:r>
        <w:rPr>
          <w:noProof/>
        </w:rPr>
        <w:t xml:space="preserve">. </w:t>
      </w:r>
    </w:p>
    <w:p w:rsidR="00315B87" w:rsidRDefault="00C32692">
      <w:pPr>
        <w:pStyle w:val="AMPRBodyText"/>
        <w:rPr>
          <w:noProof/>
        </w:rPr>
      </w:pPr>
      <w:r>
        <w:rPr>
          <w:noProof/>
        </w:rPr>
        <w:t>The aim is to achieve both the policy/programme and the internal control objectives, i.e. fast payments, a low level of errors and economical costs of control. Examples that can contribute to these three goals are the increased use of lump-sum grants (which furthermore reduces the need for detailed record-keeping) and the possibility of funding based on outputs or results (which, for example, eliminates the need to track working hours through time sheets or to submit detailed invoices for the incurred costs).</w:t>
      </w:r>
    </w:p>
    <w:p w:rsidR="00315B87" w:rsidRDefault="00C32692">
      <w:pPr>
        <w:pStyle w:val="AMPRBodyText"/>
        <w:rPr>
          <w:noProof/>
        </w:rPr>
      </w:pPr>
      <w:r>
        <w:rPr>
          <w:noProof/>
        </w:rPr>
        <w:t xml:space="preserve">Sound financial management of the EU budget will also be facilitated by providing templates for the establishment act and delegation instruments for the </w:t>
      </w:r>
      <w:r>
        <w:rPr>
          <w:rStyle w:val="AMPRcharBoldBlue"/>
          <w:noProof/>
        </w:rPr>
        <w:t>future delegations of programmes to the executive agencies</w:t>
      </w:r>
      <w:r>
        <w:rPr>
          <w:noProof/>
        </w:rPr>
        <w:t xml:space="preserve"> during the next multiannual financial framework, as well as guidelines for the establishment and operation of executive agencies.</w:t>
      </w:r>
    </w:p>
    <w:p w:rsidR="00315B87" w:rsidRDefault="00C32692">
      <w:pPr>
        <w:pStyle w:val="AMPRSec2TITLE3-numbered"/>
        <w:spacing w:before="600" w:after="360"/>
        <w:rPr>
          <w:noProof/>
        </w:rPr>
      </w:pPr>
      <w:r>
        <w:rPr>
          <w:noProof/>
        </w:rPr>
        <w:lastRenderedPageBreak/>
        <w:t>Further enhancing and strengthening collaboration with Member States</w:t>
      </w:r>
    </w:p>
    <w:p w:rsidR="00315B87" w:rsidRDefault="00C32692">
      <w:pPr>
        <w:pStyle w:val="AMPRBodyText"/>
        <w:rPr>
          <w:noProof/>
        </w:rPr>
      </w:pPr>
      <w:r>
        <w:rPr>
          <w:noProof/>
        </w:rPr>
        <w:t xml:space="preserve">As part of the overall initiative from the Commission to enhance and </w:t>
      </w:r>
      <w:r>
        <w:rPr>
          <w:rStyle w:val="AMPRcharBoldBlue"/>
          <w:noProof/>
        </w:rPr>
        <w:t>strengthen its collaboration with Member States</w:t>
      </w:r>
      <w:r>
        <w:rPr>
          <w:noProof/>
        </w:rPr>
        <w:t>, the Better Spending Network (comprising representatives of Member States and of the Commission) should help with the exchange of good practices, sharing of knowledge and information, identifying weaknesses and finding solutions at an early stage on issues related to public spending, including areas such as conflict of interest, rule of law and fraud and corruption. Interactions with Member States will take place at a high level (annual conference of the High Level Group of the Better Spending Network) and at the technical level, with the organisation of workshops on specific topics.</w:t>
      </w:r>
    </w:p>
    <w:p w:rsidR="00315B87" w:rsidRDefault="00C32692">
      <w:pPr>
        <w:pStyle w:val="AMPRBodyText"/>
        <w:rPr>
          <w:noProof/>
        </w:rPr>
      </w:pPr>
      <w:r>
        <w:rPr>
          <w:noProof/>
        </w:rPr>
        <w:t xml:space="preserve">The issue of conflicts of interest is high on the Commission’s agenda and has frequently been the subject of discussions and calls for action, in particular from the Committee for Budgetary Control of the European Parliament. As a response, and following the revision of rules on avoidance of conflicts of interest in the 2018 financial regulation that explicitly extended their application to shared management, the Commission is preparing a </w:t>
      </w:r>
      <w:r>
        <w:rPr>
          <w:rStyle w:val="AMPRcharBoldBlue"/>
          <w:noProof/>
        </w:rPr>
        <w:t>guidance note on avoidance of conflicts of interest</w:t>
      </w:r>
      <w:r>
        <w:rPr>
          <w:noProof/>
        </w:rPr>
        <w:t xml:space="preserve"> covering all management modes (direct/indirect/shared management). Its purpose is to facilitate understanding and to raise awareness among the various stakeholders using EU funds, within the EU institutions and in the Member States, of the rules on conflicts of interest. Its publication is scheduled for the end of the year.</w:t>
      </w:r>
    </w:p>
    <w:p w:rsidR="00315B87" w:rsidRDefault="00C32692">
      <w:pPr>
        <w:pStyle w:val="AMPRBodyText"/>
        <w:spacing w:after="480"/>
        <w:rPr>
          <w:noProof/>
        </w:rPr>
      </w:pPr>
      <w:r>
        <w:rPr>
          <w:noProof/>
        </w:rPr>
        <w:t>The Commission is also considering other actions to address specific concerns raised by the European Parliament and potential issues or loopholes identified in the past year. These actions may include proposals to improve the quality and interoperability of the data on EU beneficiaries that is made available to the Commission and ensure enforcement of recoveries of EU funds.</w:t>
      </w:r>
    </w:p>
    <w:p w:rsidR="00315B87" w:rsidRDefault="00C32692">
      <w:pPr>
        <w:pStyle w:val="AMPRBOXD-bgORANGEWHITEtext-Largefont"/>
        <w:rPr>
          <w:noProof/>
        </w:rPr>
      </w:pPr>
      <w:r>
        <w:rPr>
          <w:rFonts w:eastAsiaTheme="minorEastAsia"/>
          <w:b/>
          <w:bCs/>
          <w:noProof/>
        </w:rPr>
        <w:t>On the basis of the assurances and reservations in the annual activity reports</w:t>
      </w:r>
      <w:r>
        <w:rPr>
          <w:rStyle w:val="fnRef"/>
          <w:rFonts w:ascii="Arial" w:hAnsi="Arial" w:cs="Arial"/>
          <w:noProof/>
        </w:rPr>
        <w:t> </w:t>
      </w:r>
      <w:r>
        <w:rPr>
          <w:rStyle w:val="fnRef"/>
          <w:noProof/>
        </w:rPr>
        <w:t>(</w:t>
      </w:r>
      <w:r>
        <w:rPr>
          <w:rStyle w:val="fnRefNo"/>
          <w:noProof/>
        </w:rPr>
        <w:footnoteReference w:id="33"/>
      </w:r>
      <w:r>
        <w:rPr>
          <w:rStyle w:val="fnRef"/>
          <w:noProof/>
        </w:rPr>
        <w:t>)</w:t>
      </w:r>
      <w:r>
        <w:rPr>
          <w:noProof/>
        </w:rPr>
        <w:t xml:space="preserve">, the College adopts this </w:t>
      </w:r>
      <w:r>
        <w:rPr>
          <w:i/>
          <w:iCs/>
          <w:noProof/>
        </w:rPr>
        <w:t>Annual Management and Performance Report for the EU Budget</w:t>
      </w:r>
      <w:r>
        <w:rPr>
          <w:rFonts w:ascii="Calibri" w:hAnsi="Calibri" w:cs="Calibri"/>
          <w:i/>
          <w:iCs/>
          <w:noProof/>
        </w:rPr>
        <w:t> </w:t>
      </w:r>
      <w:r>
        <w:rPr>
          <w:i/>
          <w:iCs/>
          <w:noProof/>
        </w:rPr>
        <w:t xml:space="preserve">– Financial year </w:t>
      </w:r>
      <w:r>
        <w:rPr>
          <w:i/>
          <w:noProof/>
        </w:rPr>
        <w:t xml:space="preserve">2019 </w:t>
      </w:r>
      <w:r>
        <w:rPr>
          <w:noProof/>
        </w:rPr>
        <w:t>and takes overall political responsibility for the management of the EU budget.</w:t>
      </w:r>
    </w:p>
    <w:p w:rsidR="00315B87" w:rsidRDefault="00315B87">
      <w:pPr>
        <w:rPr>
          <w:noProof/>
        </w:rPr>
        <w:sectPr w:rsidR="00315B87">
          <w:headerReference w:type="even" r:id="rId40"/>
          <w:headerReference w:type="default" r:id="rId41"/>
          <w:footerReference w:type="even" r:id="rId42"/>
          <w:footerReference w:type="default" r:id="rId43"/>
          <w:headerReference w:type="first" r:id="rId44"/>
          <w:footerReference w:type="first" r:id="rId45"/>
          <w:footnotePr>
            <w:numStart w:val="55"/>
          </w:footnotePr>
          <w:pgSz w:w="11906" w:h="16838"/>
          <w:pgMar w:top="1417" w:right="1417" w:bottom="1134" w:left="1417" w:header="567" w:footer="454" w:gutter="0"/>
          <w:cols w:space="720"/>
          <w:docGrid w:linePitch="360"/>
        </w:sectPr>
      </w:pPr>
    </w:p>
    <w:p w:rsidR="00315B87" w:rsidRDefault="00315B87">
      <w:pPr>
        <w:rPr>
          <w:noProof/>
        </w:rPr>
      </w:pPr>
    </w:p>
    <w:p w:rsidR="00315B87" w:rsidRDefault="00315B87">
      <w:pPr>
        <w:rPr>
          <w:noProof/>
        </w:rPr>
      </w:pPr>
    </w:p>
    <w:sectPr w:rsidR="00315B87">
      <w:headerReference w:type="even" r:id="rId46"/>
      <w:headerReference w:type="default" r:id="rId47"/>
      <w:footerReference w:type="even" r:id="rId48"/>
      <w:footerReference w:type="default" r:id="rId49"/>
      <w:headerReference w:type="first" r:id="rId50"/>
      <w:footerReference w:type="first" r:id="rId51"/>
      <w:footnotePr>
        <w:numStart w:val="47"/>
      </w:footnotePr>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B87" w:rsidRDefault="00C32692">
      <w:pPr>
        <w:spacing w:after="0" w:line="240" w:lineRule="auto"/>
      </w:pPr>
      <w:r>
        <w:separator/>
      </w:r>
    </w:p>
  </w:endnote>
  <w:endnote w:type="continuationSeparator" w:id="0">
    <w:p w:rsidR="00315B87" w:rsidRDefault="00C32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2" w:rsidRDefault="00BF42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Footer-Left"/>
    </w:pPr>
    <w:r>
      <w:fldChar w:fldCharType="begin"/>
    </w:r>
    <w:r>
      <w:instrText xml:space="preserve"> PAGE   \* MERGEFORMAT </w:instrText>
    </w:r>
    <w:r>
      <w:fldChar w:fldCharType="separate"/>
    </w:r>
    <w:r>
      <w:t>58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Footer-Right"/>
    </w:pPr>
    <w:r>
      <w:fldChar w:fldCharType="begin"/>
    </w:r>
    <w:r>
      <w:instrText xml:space="preserve"> PAGE   \* MERGEFORMAT </w:instrText>
    </w:r>
    <w:r>
      <w:fldChar w:fldCharType="separate"/>
    </w:r>
    <w:r w:rsidR="00936202">
      <w:t>45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AMPRFooter-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Footer-Right"/>
    </w:pPr>
    <w:r>
      <w:fldChar w:fldCharType="begin"/>
    </w:r>
    <w:r>
      <w:instrText xml:space="preserve"> PAGE   \* MERGEFORMAT </w:instrText>
    </w:r>
    <w:r>
      <w:fldChar w:fldCharType="separate"/>
    </w:r>
    <w:r w:rsidR="00936202">
      <w:t>73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2" w:rsidRPr="00BF42C2" w:rsidRDefault="00BF42C2" w:rsidP="00BF42C2">
    <w:pPr>
      <w:pStyle w:val="FooterCoverPage"/>
      <w:rPr>
        <w:rFonts w:ascii="Arial" w:hAnsi="Arial" w:cs="Arial"/>
        <w:b/>
        <w:sz w:val="48"/>
      </w:rPr>
    </w:pPr>
    <w:r w:rsidRPr="00BF42C2">
      <w:rPr>
        <w:rFonts w:ascii="Arial" w:hAnsi="Arial" w:cs="Arial"/>
        <w:b/>
        <w:sz w:val="48"/>
      </w:rPr>
      <w:t>EN</w:t>
    </w:r>
    <w:r w:rsidRPr="00BF42C2">
      <w:rPr>
        <w:rFonts w:ascii="Arial" w:hAnsi="Arial" w:cs="Arial"/>
        <w:b/>
        <w:sz w:val="48"/>
      </w:rPr>
      <w:tab/>
    </w:r>
    <w:r w:rsidRPr="00BF42C2">
      <w:rPr>
        <w:rFonts w:ascii="Arial" w:hAnsi="Arial" w:cs="Arial"/>
        <w:b/>
        <w:sz w:val="48"/>
      </w:rPr>
      <w:tab/>
    </w:r>
    <w:r w:rsidRPr="00BF42C2">
      <w:tab/>
    </w:r>
    <w:r w:rsidRPr="00BF42C2">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2" w:rsidRDefault="00BF4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Footer-Right"/>
    </w:pPr>
    <w:r>
      <w:fldChar w:fldCharType="begin"/>
    </w:r>
    <w:r>
      <w:instrText xml:space="preserve"> PAGE   \* MERGEFORMAT </w:instrText>
    </w:r>
    <w:r>
      <w:fldChar w:fldCharType="separate"/>
    </w:r>
    <w:r>
      <w:t>42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Footer-Right"/>
    </w:pPr>
    <w:r>
      <w:fldChar w:fldCharType="begin"/>
    </w:r>
    <w:r>
      <w:instrText xml:space="preserve"> PAGE   \* MERGEFORMAT </w:instrText>
    </w:r>
    <w:r>
      <w:fldChar w:fldCharType="separate"/>
    </w:r>
    <w:r w:rsidR="00936202">
      <w:t>42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B87" w:rsidRDefault="00C32692">
      <w:pPr>
        <w:spacing w:after="0" w:line="240" w:lineRule="auto"/>
      </w:pPr>
      <w:r>
        <w:separator/>
      </w:r>
    </w:p>
  </w:footnote>
  <w:footnote w:type="continuationSeparator" w:id="0">
    <w:p w:rsidR="00315B87" w:rsidRDefault="00C32692">
      <w:pPr>
        <w:spacing w:after="0" w:line="240" w:lineRule="auto"/>
      </w:pPr>
      <w:r>
        <w:continuationSeparator/>
      </w:r>
    </w:p>
  </w:footnote>
  <w:footnote w:id="1">
    <w:p w:rsidR="00315B87" w:rsidRDefault="00C32692">
      <w:pPr>
        <w:pStyle w:val="FootnoteText"/>
      </w:pPr>
      <w:r>
        <w:rPr>
          <w:rStyle w:val="fnRef"/>
        </w:rPr>
        <w:t>(</w:t>
      </w:r>
      <w:r>
        <w:rPr>
          <w:rStyle w:val="fnRefNo"/>
        </w:rPr>
        <w:footnoteRef/>
      </w:r>
      <w:r>
        <w:rPr>
          <w:rStyle w:val="fnRef"/>
        </w:rPr>
        <w:t>)</w:t>
      </w:r>
      <w:r>
        <w:rPr>
          <w:rStyle w:val="fnRef"/>
        </w:rPr>
        <w:tab/>
      </w:r>
      <w:r>
        <w:t>The amount of the Commission’s relevant expenditure corresponds to the payments made in 2019 minus the prefinancing paid out in 2019 plus the prefinancing paid out in previous years and cleared in 2019 (see Annex</w:t>
      </w:r>
      <w:r>
        <w:rPr>
          <w:rFonts w:ascii="Calibri" w:hAnsi="Calibri" w:cs="Calibri"/>
        </w:rPr>
        <w:t> </w:t>
      </w:r>
      <w:r>
        <w:t>3 for definitions and more details).</w:t>
      </w:r>
    </w:p>
  </w:footnote>
  <w:footnote w:id="2">
    <w:p w:rsidR="00315B87" w:rsidRDefault="00C32692">
      <w:pPr>
        <w:pStyle w:val="FootnoteText"/>
      </w:pPr>
      <w:r>
        <w:rPr>
          <w:rStyle w:val="fnRef"/>
        </w:rPr>
        <w:t>(</w:t>
      </w:r>
      <w:r>
        <w:rPr>
          <w:rStyle w:val="fnRefNo"/>
        </w:rPr>
        <w:footnoteRef/>
      </w:r>
      <w:r>
        <w:rPr>
          <w:rStyle w:val="fnRef"/>
        </w:rPr>
        <w:t>)</w:t>
      </w:r>
      <w:r>
        <w:rPr>
          <w:rStyle w:val="fnRef"/>
        </w:rPr>
        <w:tab/>
      </w:r>
      <w:r>
        <w:t>Communication from the President to the Commission: The Working Methods of the European Commission, 1.12.2019, p. 3.</w:t>
      </w:r>
    </w:p>
  </w:footnote>
  <w:footnote w:id="3">
    <w:p w:rsidR="00315B87" w:rsidRDefault="00C32692">
      <w:pPr>
        <w:pStyle w:val="FootnoteText"/>
        <w:tabs>
          <w:tab w:val="left" w:pos="720"/>
          <w:tab w:val="left" w:pos="1440"/>
          <w:tab w:val="left" w:pos="2160"/>
          <w:tab w:val="left" w:pos="2880"/>
          <w:tab w:val="left" w:pos="3600"/>
          <w:tab w:val="left" w:pos="4320"/>
          <w:tab w:val="left" w:pos="5040"/>
          <w:tab w:val="left" w:pos="5760"/>
          <w:tab w:val="left" w:pos="6480"/>
          <w:tab w:val="left" w:pos="7767"/>
        </w:tabs>
      </w:pPr>
      <w:r>
        <w:rPr>
          <w:rStyle w:val="fnRef"/>
        </w:rPr>
        <w:t>(</w:t>
      </w:r>
      <w:r>
        <w:rPr>
          <w:rStyle w:val="fnRefNo"/>
        </w:rPr>
        <w:footnoteRef/>
      </w:r>
      <w:r>
        <w:rPr>
          <w:rStyle w:val="fnRef"/>
        </w:rPr>
        <w:t>)</w:t>
      </w:r>
      <w:r>
        <w:tab/>
        <w:t>Communication to the Commission: Governance in the European Commission</w:t>
      </w:r>
      <w:r w:rsidRPr="00E442E1">
        <w:t xml:space="preserve">, </w:t>
      </w:r>
      <w:r w:rsidRPr="000D5491">
        <w:t>2</w:t>
      </w:r>
      <w:r w:rsidR="00936202">
        <w:t>4</w:t>
      </w:r>
      <w:bookmarkStart w:id="19" w:name="_GoBack"/>
      <w:bookmarkEnd w:id="19"/>
      <w:r w:rsidRPr="000D5491">
        <w:t>.6.2020</w:t>
      </w:r>
      <w:r w:rsidRPr="00E442E1">
        <w:t>,</w:t>
      </w:r>
      <w:r>
        <w:t xml:space="preserve"> </w:t>
      </w:r>
      <w:r w:rsidR="009F6FC9">
        <w:t xml:space="preserve">C(2020) </w:t>
      </w:r>
      <w:r w:rsidR="00E60897">
        <w:t>4240</w:t>
      </w:r>
      <w:r w:rsidR="00E442E1">
        <w:t>.</w:t>
      </w:r>
    </w:p>
  </w:footnote>
  <w:footnote w:id="4">
    <w:p w:rsidR="00315B87" w:rsidRDefault="00C32692">
      <w:pPr>
        <w:pStyle w:val="FootnoteText"/>
      </w:pPr>
      <w:r>
        <w:rPr>
          <w:rStyle w:val="fnRef"/>
        </w:rPr>
        <w:t>(</w:t>
      </w:r>
      <w:r>
        <w:rPr>
          <w:rStyle w:val="fnRefNo"/>
        </w:rPr>
        <w:footnoteRef/>
      </w:r>
      <w:r>
        <w:rPr>
          <w:rStyle w:val="fnRef"/>
        </w:rPr>
        <w:t>)</w:t>
      </w:r>
      <w:r>
        <w:rPr>
          <w:rStyle w:val="fnRef"/>
        </w:rPr>
        <w:tab/>
      </w:r>
      <w:r>
        <w:t>They are formally named authorising officers by delegation. Article 74(1) of the financial regulation states that: ‘The authorising officer shall be responsible in the Union institution concerned for implementing revenue and expenditure in accordance with the principle of sound financial management, including through ensuring reporting on performance, and for ensuring compliance with the requirements of legality and regularity and equal treatment of recipients.’</w:t>
      </w:r>
    </w:p>
  </w:footnote>
  <w:footnote w:id="5">
    <w:p w:rsidR="00315B87" w:rsidRDefault="00C32692">
      <w:pPr>
        <w:pStyle w:val="FootnoteText"/>
      </w:pPr>
      <w:r>
        <w:rPr>
          <w:rStyle w:val="fnRef"/>
        </w:rPr>
        <w:t>(</w:t>
      </w:r>
      <w:r>
        <w:rPr>
          <w:rStyle w:val="fnRefNo"/>
        </w:rPr>
        <w:footnoteRef/>
      </w:r>
      <w:r>
        <w:rPr>
          <w:rStyle w:val="fnRef"/>
        </w:rPr>
        <w:t>)</w:t>
      </w:r>
      <w:r>
        <w:rPr>
          <w:rStyle w:val="fnRef"/>
        </w:rPr>
        <w:tab/>
      </w:r>
      <w:r>
        <w:t>Heads of executive agencies, offices, services, task forces, etc.</w:t>
      </w:r>
    </w:p>
  </w:footnote>
  <w:footnote w:id="6">
    <w:p w:rsidR="00315B87" w:rsidRDefault="00C32692">
      <w:pPr>
        <w:pStyle w:val="FootnoteText"/>
      </w:pPr>
      <w:r>
        <w:rPr>
          <w:rStyle w:val="fnRef"/>
        </w:rPr>
        <w:t>(</w:t>
      </w:r>
      <w:r>
        <w:rPr>
          <w:rStyle w:val="fnRefNo"/>
        </w:rPr>
        <w:footnoteRef/>
      </w:r>
      <w:r>
        <w:rPr>
          <w:rStyle w:val="fnRef"/>
        </w:rPr>
        <w:t>)</w:t>
      </w:r>
      <w:r>
        <w:rPr>
          <w:rStyle w:val="fnRef"/>
        </w:rPr>
        <w:tab/>
      </w:r>
      <w:r>
        <w:t>As required by Article 247 of the financial regulation, t</w:t>
      </w:r>
      <w:r>
        <w:rPr>
          <w:rStyle w:val="FootnoteReference"/>
        </w:rPr>
        <w:t>he integrated financial and accountability reporting package also i</w:t>
      </w:r>
      <w:r>
        <w:t>ncludes</w:t>
      </w:r>
      <w:r>
        <w:rPr>
          <w:rStyle w:val="FootnoteReference"/>
        </w:rPr>
        <w:t>: the consolidated annual accounts of the European Union</w:t>
      </w:r>
      <w:r>
        <w:t>;</w:t>
      </w:r>
      <w:r>
        <w:rPr>
          <w:rStyle w:val="FootnoteReference"/>
        </w:rPr>
        <w:t xml:space="preserve"> the report on the follow-up to the discharge for the previous financial year</w:t>
      </w:r>
      <w:r>
        <w:t>;</w:t>
      </w:r>
      <w:r>
        <w:rPr>
          <w:rStyle w:val="FootnoteReference"/>
        </w:rPr>
        <w:t xml:space="preserve"> the </w:t>
      </w:r>
      <w:r>
        <w:t>a</w:t>
      </w:r>
      <w:r>
        <w:rPr>
          <w:rStyle w:val="FootnoteReference"/>
        </w:rPr>
        <w:t>nnual report to the discharge authority on internal audits carried out</w:t>
      </w:r>
      <w:r>
        <w:t>;</w:t>
      </w:r>
      <w:r>
        <w:rPr>
          <w:rStyle w:val="FootnoteReference"/>
        </w:rPr>
        <w:t xml:space="preserve"> and the long-term forecast of future inflows and outflows of the EU budget.</w:t>
      </w:r>
    </w:p>
  </w:footnote>
  <w:footnote w:id="7">
    <w:p w:rsidR="00315B87" w:rsidRDefault="00C32692">
      <w:pPr>
        <w:pStyle w:val="FootnoteText"/>
      </w:pPr>
      <w:r>
        <w:rPr>
          <w:rStyle w:val="fnRef"/>
        </w:rPr>
        <w:t>(</w:t>
      </w:r>
      <w:r>
        <w:rPr>
          <w:rStyle w:val="fnRefNo"/>
        </w:rPr>
        <w:footnoteRef/>
      </w:r>
      <w:r>
        <w:rPr>
          <w:rStyle w:val="fnRef"/>
        </w:rPr>
        <w:t>)</w:t>
      </w:r>
      <w:r>
        <w:tab/>
        <w:t>Committee of Sponsoring Organizations of the Treadway Commission.</w:t>
      </w:r>
    </w:p>
  </w:footnote>
  <w:footnote w:id="8">
    <w:p w:rsidR="00315B87" w:rsidRDefault="00C32692">
      <w:pPr>
        <w:pStyle w:val="FootnoteText"/>
      </w:pPr>
      <w:r>
        <w:rPr>
          <w:rStyle w:val="fnRef"/>
        </w:rPr>
        <w:t>(</w:t>
      </w:r>
      <w:r>
        <w:rPr>
          <w:rStyle w:val="fnRefNo"/>
        </w:rPr>
        <w:footnoteRef/>
      </w:r>
      <w:r>
        <w:rPr>
          <w:rStyle w:val="fnRef"/>
        </w:rPr>
        <w:t>)</w:t>
      </w:r>
      <w:r>
        <w:tab/>
        <w:t>DG Budget, in cooperation with the Secretariat-General, DG Human Resources and Security, DG Communication and the European Anti-Fraud Office.</w:t>
      </w:r>
    </w:p>
  </w:footnote>
  <w:footnote w:id="9">
    <w:p w:rsidR="00315B87" w:rsidRDefault="00C32692">
      <w:pPr>
        <w:pStyle w:val="FootnoteText"/>
      </w:pPr>
      <w:r>
        <w:rPr>
          <w:rStyle w:val="fnRef"/>
        </w:rPr>
        <w:t>(</w:t>
      </w:r>
      <w:r>
        <w:rPr>
          <w:rStyle w:val="fnRefNo"/>
        </w:rPr>
        <w:footnoteRef/>
      </w:r>
      <w:r>
        <w:rPr>
          <w:rStyle w:val="fnRef"/>
        </w:rPr>
        <w:t>)</w:t>
      </w:r>
      <w:r>
        <w:rPr>
          <w:rStyle w:val="fnRef"/>
        </w:rPr>
        <w:tab/>
      </w:r>
      <w:r>
        <w:t>COM(2018) 324 final</w:t>
      </w:r>
    </w:p>
  </w:footnote>
  <w:footnote w:id="10">
    <w:p w:rsidR="00315B87" w:rsidRDefault="00C32692">
      <w:pPr>
        <w:pStyle w:val="FootnoteText"/>
      </w:pPr>
      <w:r>
        <w:rPr>
          <w:rStyle w:val="fnRef"/>
        </w:rPr>
        <w:t>(</w:t>
      </w:r>
      <w:r>
        <w:rPr>
          <w:rStyle w:val="fnRefNo"/>
        </w:rPr>
        <w:footnoteRef/>
      </w:r>
      <w:r>
        <w:rPr>
          <w:rStyle w:val="fnRef"/>
        </w:rPr>
        <w:t>)</w:t>
      </w:r>
      <w:r>
        <w:rPr>
          <w:rStyle w:val="fnRef"/>
        </w:rPr>
        <w:tab/>
      </w:r>
      <w:r>
        <w:t>European Court of Auditors’ 2018 annual report, Methodological Annex</w:t>
      </w:r>
      <w:r>
        <w:rPr>
          <w:rFonts w:ascii="Calibri" w:hAnsi="Calibri" w:cs="Calibri"/>
        </w:rPr>
        <w:t> </w:t>
      </w:r>
      <w:r>
        <w:t>1.1, paragraphs 18-19.</w:t>
      </w:r>
    </w:p>
  </w:footnote>
  <w:footnote w:id="11">
    <w:p w:rsidR="00315B87" w:rsidRDefault="00C32692">
      <w:pPr>
        <w:pStyle w:val="FootnoteText"/>
      </w:pPr>
      <w:r>
        <w:rPr>
          <w:rStyle w:val="fnRef"/>
        </w:rPr>
        <w:t>(</w:t>
      </w:r>
      <w:r>
        <w:rPr>
          <w:rStyle w:val="fnRefNo"/>
        </w:rPr>
        <w:footnoteRef/>
      </w:r>
      <w:r>
        <w:rPr>
          <w:rStyle w:val="fnRef"/>
        </w:rPr>
        <w:t>)</w:t>
      </w:r>
      <w:r>
        <w:rPr>
          <w:rStyle w:val="fnRef"/>
        </w:rPr>
        <w:tab/>
      </w:r>
      <w:r>
        <w:t>Commission’s 2019 guidelines on financial corrections in case of public procurement irregularities in the annex to the Commission decision of 14.5.2019 laying down the guidelines for determining financial corrections to be made to expenditure financed by the Union for non-compliance with the applicable rules on public procurement, C(2019) 3452.</w:t>
      </w:r>
    </w:p>
  </w:footnote>
  <w:footnote w:id="12">
    <w:p w:rsidR="00315B87" w:rsidRDefault="00C32692">
      <w:pPr>
        <w:pStyle w:val="FootnoteText"/>
      </w:pPr>
      <w:r>
        <w:rPr>
          <w:rStyle w:val="fnRef"/>
        </w:rPr>
        <w:t>(</w:t>
      </w:r>
      <w:r>
        <w:rPr>
          <w:rStyle w:val="fnRefNo"/>
        </w:rPr>
        <w:footnoteRef/>
      </w:r>
      <w:r>
        <w:rPr>
          <w:rStyle w:val="fnRef"/>
        </w:rPr>
        <w:t>)</w:t>
      </w:r>
      <w:r>
        <w:rPr>
          <w:rStyle w:val="fnRef"/>
        </w:rPr>
        <w:tab/>
      </w:r>
      <w:r>
        <w:t>European Court of Auditors’ 2018 annual report, section on European Development Funds, paragraph 17.</w:t>
      </w:r>
    </w:p>
  </w:footnote>
  <w:footnote w:id="13">
    <w:p w:rsidR="00315B87" w:rsidRDefault="00C32692">
      <w:pPr>
        <w:pStyle w:val="FootnoteText"/>
      </w:pPr>
      <w:r>
        <w:rPr>
          <w:rStyle w:val="fnRef"/>
        </w:rPr>
        <w:t>(</w:t>
      </w:r>
      <w:r>
        <w:rPr>
          <w:rStyle w:val="fnRefNo"/>
        </w:rPr>
        <w:footnoteRef/>
      </w:r>
      <w:r>
        <w:rPr>
          <w:rStyle w:val="fnRef"/>
        </w:rPr>
        <w:t>)</w:t>
      </w:r>
      <w:r>
        <w:rPr>
          <w:rStyle w:val="fnRef"/>
        </w:rPr>
        <w:tab/>
      </w:r>
      <w:r>
        <w:t>For the spending related to the common agricultural policy, the term ‘final amount at risk’ is used, as the measures under the European Agricultural Guarantee Fund are not ‘closed’.</w:t>
      </w:r>
    </w:p>
  </w:footnote>
  <w:footnote w:id="14">
    <w:p w:rsidR="00315B87" w:rsidRDefault="00C32692">
      <w:pPr>
        <w:pStyle w:val="FootnoteText"/>
      </w:pPr>
      <w:r>
        <w:rPr>
          <w:rStyle w:val="fnRef"/>
        </w:rPr>
        <w:t>(</w:t>
      </w:r>
      <w:r>
        <w:rPr>
          <w:rStyle w:val="fnRefNo"/>
        </w:rPr>
        <w:footnoteRef/>
      </w:r>
      <w:r>
        <w:rPr>
          <w:rStyle w:val="fnRef"/>
        </w:rPr>
        <w:t>)</w:t>
      </w:r>
      <w:r>
        <w:rPr>
          <w:rStyle w:val="fnRef"/>
        </w:rPr>
        <w:tab/>
      </w:r>
      <w:r>
        <w:t>Communication from the Commission to the European Parliament, the Council, the European Economic and Social Committee, the Committee of the Regions and the Court of Auditors (COM(2019) 196).</w:t>
      </w:r>
    </w:p>
  </w:footnote>
  <w:footnote w:id="15">
    <w:p w:rsidR="00315B87" w:rsidRDefault="00C32692">
      <w:pPr>
        <w:pStyle w:val="FootnoteText"/>
      </w:pPr>
      <w:r>
        <w:rPr>
          <w:rStyle w:val="fnRef"/>
        </w:rPr>
        <w:t>(</w:t>
      </w:r>
      <w:r>
        <w:rPr>
          <w:rStyle w:val="fnRefNo"/>
        </w:rPr>
        <w:footnoteRef/>
      </w:r>
      <w:r>
        <w:rPr>
          <w:rStyle w:val="fnRef"/>
        </w:rPr>
        <w:t>)</w:t>
      </w:r>
      <w:r>
        <w:rPr>
          <w:rStyle w:val="fnRef"/>
        </w:rPr>
        <w:tab/>
      </w:r>
      <w:hyperlink r:id="rId1" w:history="1">
        <w:r>
          <w:rPr>
            <w:rStyle w:val="Hyperlink"/>
          </w:rPr>
          <w:t>https://ec.europa.eu/anti-fraud/sites/antifraud/files/pif_2018_30_years_brochure_en.pdf</w:t>
        </w:r>
      </w:hyperlink>
    </w:p>
  </w:footnote>
  <w:footnote w:id="16">
    <w:p w:rsidR="00315B87" w:rsidRDefault="00C32692">
      <w:pPr>
        <w:pStyle w:val="FootnoteText"/>
      </w:pPr>
      <w:r>
        <w:rPr>
          <w:rStyle w:val="fnRef"/>
        </w:rPr>
        <w:t>(</w:t>
      </w:r>
      <w:r>
        <w:rPr>
          <w:rStyle w:val="fnRefNo"/>
        </w:rPr>
        <w:footnoteRef/>
      </w:r>
      <w:r>
        <w:rPr>
          <w:rStyle w:val="fnRef"/>
        </w:rPr>
        <w:t>)</w:t>
      </w:r>
      <w:r>
        <w:rPr>
          <w:rStyle w:val="fnRef"/>
        </w:rPr>
        <w:tab/>
      </w:r>
      <w:r>
        <w:t>The Secretariat-General, the Legal Service, DG Human Resources and Security and DG Budget.</w:t>
      </w:r>
    </w:p>
  </w:footnote>
  <w:footnote w:id="17">
    <w:p w:rsidR="00315B87" w:rsidRDefault="00C32692">
      <w:pPr>
        <w:pStyle w:val="FootnoteText"/>
        <w:rPr>
          <w:rStyle w:val="FootnoteReference"/>
          <w:szCs w:val="16"/>
        </w:rPr>
      </w:pPr>
      <w:r>
        <w:rPr>
          <w:rStyle w:val="fnRef"/>
        </w:rPr>
        <w:t>(</w:t>
      </w:r>
      <w:r>
        <w:rPr>
          <w:rStyle w:val="fnRefNo"/>
        </w:rPr>
        <w:footnoteRef/>
      </w:r>
      <w:r>
        <w:rPr>
          <w:rStyle w:val="fnRef"/>
        </w:rPr>
        <w:t>)</w:t>
      </w:r>
      <w:r>
        <w:rPr>
          <w:rStyle w:val="fnRef"/>
        </w:rPr>
        <w:tab/>
      </w:r>
      <w:r>
        <w:rPr>
          <w:rStyle w:val="FootnoteReference"/>
          <w:szCs w:val="16"/>
        </w:rPr>
        <w:t>For more information, see t</w:t>
      </w:r>
      <w:r>
        <w:rPr>
          <w:szCs w:val="16"/>
        </w:rPr>
        <w:t>he European Anti-Fraud Office’s a</w:t>
      </w:r>
      <w:r>
        <w:rPr>
          <w:rStyle w:val="FootnoteReference"/>
          <w:szCs w:val="16"/>
        </w:rPr>
        <w:t xml:space="preserve">nnual </w:t>
      </w:r>
      <w:r>
        <w:rPr>
          <w:szCs w:val="16"/>
        </w:rPr>
        <w:t>r</w:t>
      </w:r>
      <w:r>
        <w:rPr>
          <w:rStyle w:val="FootnoteReference"/>
          <w:szCs w:val="16"/>
        </w:rPr>
        <w:t>eports</w:t>
      </w:r>
      <w:r>
        <w:rPr>
          <w:szCs w:val="16"/>
        </w:rPr>
        <w:t xml:space="preserve"> at: </w:t>
      </w:r>
      <w:hyperlink r:id="rId2" w:history="1">
        <w:r>
          <w:rPr>
            <w:rStyle w:val="AMPRcharHyperlink"/>
          </w:rPr>
          <w:t>https://ec.europa.eu/anti-fraud/about-us/reports/olaf-report_en</w:t>
        </w:r>
      </w:hyperlink>
    </w:p>
  </w:footnote>
  <w:footnote w:id="18">
    <w:p w:rsidR="00315B87" w:rsidRDefault="00C32692">
      <w:pPr>
        <w:pStyle w:val="FootnoteText"/>
        <w:rPr>
          <w:rStyle w:val="FootnoteReference"/>
          <w:szCs w:val="16"/>
        </w:rPr>
      </w:pPr>
      <w:r>
        <w:rPr>
          <w:rStyle w:val="fnRef"/>
        </w:rPr>
        <w:t>(</w:t>
      </w:r>
      <w:r>
        <w:rPr>
          <w:rStyle w:val="fnRefNo"/>
        </w:rPr>
        <w:footnoteRef/>
      </w:r>
      <w:r>
        <w:rPr>
          <w:rStyle w:val="fnRef"/>
        </w:rPr>
        <w:t>)</w:t>
      </w:r>
      <w:r>
        <w:rPr>
          <w:rStyle w:val="fnRef"/>
        </w:rPr>
        <w:tab/>
      </w:r>
      <w:r>
        <w:rPr>
          <w:rStyle w:val="FootnoteReference"/>
          <w:szCs w:val="16"/>
        </w:rPr>
        <w:t>Selection is the process of e</w:t>
      </w:r>
      <w:r>
        <w:rPr>
          <w:szCs w:val="16"/>
        </w:rPr>
        <w:t>xamining</w:t>
      </w:r>
      <w:r>
        <w:rPr>
          <w:rStyle w:val="FootnoteReference"/>
          <w:szCs w:val="16"/>
        </w:rPr>
        <w:t xml:space="preserve"> incoming information and </w:t>
      </w:r>
      <w:r>
        <w:t xml:space="preserve">preparing the </w:t>
      </w:r>
      <w:r>
        <w:rPr>
          <w:rStyle w:val="FootnoteReference"/>
          <w:szCs w:val="16"/>
        </w:rPr>
        <w:t>decis</w:t>
      </w:r>
      <w:r>
        <w:t>ion</w:t>
      </w:r>
      <w:r>
        <w:rPr>
          <w:rStyle w:val="FootnoteReference"/>
          <w:szCs w:val="16"/>
        </w:rPr>
        <w:t xml:space="preserve"> o</w:t>
      </w:r>
      <w:r>
        <w:t xml:space="preserve">f the European Anti-Fraud Office’s Director-General on </w:t>
      </w:r>
      <w:r>
        <w:rPr>
          <w:rStyle w:val="FootnoteReference"/>
          <w:szCs w:val="16"/>
        </w:rPr>
        <w:t>whether t</w:t>
      </w:r>
      <w:r>
        <w:t xml:space="preserve">o open </w:t>
      </w:r>
      <w:r>
        <w:rPr>
          <w:rStyle w:val="FootnoteReference"/>
          <w:szCs w:val="16"/>
        </w:rPr>
        <w:t>an investigation o</w:t>
      </w:r>
      <w:r>
        <w:t>r not</w:t>
      </w:r>
      <w:r>
        <w:rPr>
          <w:rStyle w:val="FootnoteReference"/>
          <w:szCs w:val="16"/>
        </w:rPr>
        <w:t>.</w:t>
      </w:r>
    </w:p>
  </w:footnote>
  <w:footnote w:id="19">
    <w:p w:rsidR="00315B87" w:rsidRDefault="00C32692">
      <w:pPr>
        <w:pStyle w:val="FootnoteText"/>
        <w:rPr>
          <w:strike/>
        </w:rPr>
      </w:pPr>
      <w:r>
        <w:rPr>
          <w:rStyle w:val="fnRef"/>
        </w:rPr>
        <w:t>(</w:t>
      </w:r>
      <w:r>
        <w:rPr>
          <w:rStyle w:val="fnRefNo"/>
        </w:rPr>
        <w:footnoteRef/>
      </w:r>
      <w:r>
        <w:rPr>
          <w:rStyle w:val="fnRef"/>
        </w:rPr>
        <w:t>)</w:t>
      </w:r>
      <w:r>
        <w:rPr>
          <w:rStyle w:val="fnRef"/>
        </w:rPr>
        <w:tab/>
      </w:r>
      <w:r>
        <w:t>The European Maritime and Fisheries Fund expenditure, although included under the ‘Natural resources’ heading, follows the same delivery mechanism as cohesion expenditure.</w:t>
      </w:r>
    </w:p>
  </w:footnote>
  <w:footnote w:id="20">
    <w:p w:rsidR="00315B87" w:rsidRDefault="00C32692">
      <w:pPr>
        <w:pStyle w:val="FootnoteText"/>
      </w:pPr>
      <w:r>
        <w:rPr>
          <w:rStyle w:val="fnRef"/>
        </w:rPr>
        <w:t>(</w:t>
      </w:r>
      <w:r>
        <w:rPr>
          <w:rStyle w:val="fnRefNo"/>
        </w:rPr>
        <w:footnoteRef/>
      </w:r>
      <w:r>
        <w:rPr>
          <w:rStyle w:val="fnRef"/>
        </w:rPr>
        <w:t>)</w:t>
      </w:r>
      <w:r>
        <w:rPr>
          <w:rStyle w:val="fnRef"/>
        </w:rPr>
        <w:tab/>
      </w:r>
      <w:r>
        <w:t>As there is no closure of the European Agricultural Guarantee Fund measures, in the area of agricultural expenditure the risk at closure is replaced by the final amount at risk.</w:t>
      </w:r>
    </w:p>
  </w:footnote>
  <w:footnote w:id="21">
    <w:p w:rsidR="00315B87" w:rsidRDefault="00C32692">
      <w:pPr>
        <w:pStyle w:val="FootnoteText"/>
      </w:pPr>
      <w:r>
        <w:rPr>
          <w:rStyle w:val="fnRef"/>
        </w:rPr>
        <w:t>(</w:t>
      </w:r>
      <w:r>
        <w:rPr>
          <w:rStyle w:val="fnRefNo"/>
        </w:rPr>
        <w:footnoteRef/>
      </w:r>
      <w:r>
        <w:rPr>
          <w:rStyle w:val="fnRef"/>
        </w:rPr>
        <w:t>)</w:t>
      </w:r>
      <w:r>
        <w:rPr>
          <w:rStyle w:val="fnRef"/>
        </w:rPr>
        <w:tab/>
      </w:r>
      <w:r>
        <w:t>The European Maritime and Fisheries Fund shares cohesion policy’s management and control systems.</w:t>
      </w:r>
    </w:p>
  </w:footnote>
  <w:footnote w:id="22">
    <w:p w:rsidR="00315B87" w:rsidRDefault="00C32692">
      <w:pPr>
        <w:pStyle w:val="FootnoteText"/>
      </w:pPr>
      <w:r>
        <w:rPr>
          <w:rStyle w:val="fnRef"/>
        </w:rPr>
        <w:t>(</w:t>
      </w:r>
      <w:r>
        <w:rPr>
          <w:rStyle w:val="fnRefNo"/>
        </w:rPr>
        <w:footnoteRef/>
      </w:r>
      <w:r>
        <w:rPr>
          <w:rStyle w:val="fnRef"/>
        </w:rPr>
        <w:t>)</w:t>
      </w:r>
      <w:r>
        <w:rPr>
          <w:rStyle w:val="fnRef"/>
        </w:rPr>
        <w:tab/>
      </w:r>
      <w:r>
        <w:t>Such as Galileo and the European Geostationary Navigation Overlay Service (the European satellite navigation systems) and Copernicus (the EU earth-observation system).</w:t>
      </w:r>
    </w:p>
  </w:footnote>
  <w:footnote w:id="23">
    <w:p w:rsidR="00315B87" w:rsidRDefault="00C32692">
      <w:pPr>
        <w:pStyle w:val="FootnoteText"/>
      </w:pPr>
      <w:r>
        <w:rPr>
          <w:rStyle w:val="fnRef"/>
        </w:rPr>
        <w:t>(</w:t>
      </w:r>
      <w:r>
        <w:rPr>
          <w:rStyle w:val="fnRefNo"/>
        </w:rPr>
        <w:footnoteRef/>
      </w:r>
      <w:r>
        <w:rPr>
          <w:rStyle w:val="fnRef"/>
        </w:rPr>
        <w:t>)</w:t>
      </w:r>
      <w:r>
        <w:rPr>
          <w:rStyle w:val="fnRef"/>
        </w:rPr>
        <w:tab/>
      </w:r>
      <w:r>
        <w:t>The legislative financial statement accompanying the Commission’s proposal for the Horizon 2020 regulation states: ‘The Commission considers therefore that, for research spending under Horizon 2020, a risk of error, on an annual basis, within a range between 2-5%, is a realistic objective taking into account the costs of controls, the simplification measures proposed to reduce the complexity of rules and the related inherent risk associated to the reimbursement of costs of the research projects. The ultimate aim for the residual level of error at the closure of the programmes after the financial impact of all audits, corrections and recovery measures will have been taken into account is to achieve a level as close as possible to 2%.’</w:t>
      </w:r>
    </w:p>
  </w:footnote>
  <w:footnote w:id="24">
    <w:p w:rsidR="00315B87" w:rsidRDefault="00C32692">
      <w:pPr>
        <w:pStyle w:val="FootnoteText"/>
      </w:pPr>
      <w:r>
        <w:rPr>
          <w:rStyle w:val="fnRef"/>
        </w:rPr>
        <w:t>(</w:t>
      </w:r>
      <w:r>
        <w:rPr>
          <w:rStyle w:val="fnRefNo"/>
        </w:rPr>
        <w:footnoteRef/>
      </w:r>
      <w:r>
        <w:rPr>
          <w:rStyle w:val="fnRef"/>
        </w:rPr>
        <w:t>)</w:t>
      </w:r>
      <w:r>
        <w:rPr>
          <w:rStyle w:val="fnRef"/>
        </w:rPr>
        <w:tab/>
      </w:r>
      <w:r>
        <w:t>This is also recognised by the European Court of Auditors (in its 2018 annual report, paragraphs 1.16-32).</w:t>
      </w:r>
    </w:p>
  </w:footnote>
  <w:footnote w:id="25">
    <w:p w:rsidR="00315B87" w:rsidRDefault="00C32692">
      <w:pPr>
        <w:pStyle w:val="FootnoteText"/>
      </w:pPr>
      <w:r>
        <w:rPr>
          <w:rStyle w:val="fnRef"/>
        </w:rPr>
        <w:t>(</w:t>
      </w:r>
      <w:r>
        <w:rPr>
          <w:rStyle w:val="fnRefNo"/>
        </w:rPr>
        <w:footnoteRef/>
      </w:r>
      <w:r>
        <w:rPr>
          <w:rStyle w:val="fnRef"/>
        </w:rPr>
        <w:t>)</w:t>
      </w:r>
      <w:r>
        <w:rPr>
          <w:rStyle w:val="fnRef"/>
        </w:rPr>
        <w:tab/>
      </w:r>
      <w:r>
        <w:t xml:space="preserve">European Court of Auditors, </w:t>
      </w:r>
      <w:r>
        <w:rPr>
          <w:rStyle w:val="AMPRcharItalic"/>
        </w:rPr>
        <w:t>Special Report No</w:t>
      </w:r>
      <w:r>
        <w:rPr>
          <w:rStyle w:val="AMPRcharItalic"/>
          <w:rFonts w:ascii="Calibri" w:hAnsi="Calibri" w:cs="Calibri"/>
        </w:rPr>
        <w:t> </w:t>
      </w:r>
      <w:r>
        <w:rPr>
          <w:rStyle w:val="AMPRcharItalic"/>
        </w:rPr>
        <w:t>7/2020, Implementing Cohesion Policy: comparatively low costs, but insufficient information to assess simplification savings</w:t>
      </w:r>
      <w:r>
        <w:t>, 16.4.2020.</w:t>
      </w:r>
    </w:p>
  </w:footnote>
  <w:footnote w:id="26">
    <w:p w:rsidR="00315B87" w:rsidRDefault="00C32692">
      <w:pPr>
        <w:pStyle w:val="FootnoteText"/>
        <w:rPr>
          <w:szCs w:val="16"/>
        </w:rPr>
      </w:pPr>
      <w:r>
        <w:rPr>
          <w:rStyle w:val="fnRef"/>
        </w:rPr>
        <w:t>(</w:t>
      </w:r>
      <w:r>
        <w:rPr>
          <w:rStyle w:val="fnRefNo"/>
        </w:rPr>
        <w:footnoteRef/>
      </w:r>
      <w:r>
        <w:rPr>
          <w:rStyle w:val="fnRef"/>
        </w:rPr>
        <w:t>)</w:t>
      </w:r>
      <w:r>
        <w:rPr>
          <w:rStyle w:val="fnRef"/>
        </w:rPr>
        <w:tab/>
      </w:r>
      <w:hyperlink r:id="rId3" w:history="1">
        <w:r>
          <w:rPr>
            <w:rStyle w:val="AMPRcharHyperlink"/>
          </w:rPr>
          <w:t>https://ec.europa.eu/info/publications/annual-activity-reports_en</w:t>
        </w:r>
      </w:hyperlink>
    </w:p>
  </w:footnote>
  <w:footnote w:id="27">
    <w:p w:rsidR="00315B87" w:rsidRDefault="00C32692">
      <w:pPr>
        <w:pStyle w:val="FootnoteText"/>
      </w:pPr>
      <w:r>
        <w:rPr>
          <w:rStyle w:val="fnRef"/>
        </w:rPr>
        <w:t>(</w:t>
      </w:r>
      <w:r>
        <w:rPr>
          <w:rStyle w:val="fnRefNo"/>
        </w:rPr>
        <w:footnoteRef/>
      </w:r>
      <w:r>
        <w:rPr>
          <w:rStyle w:val="fnRef"/>
        </w:rPr>
        <w:t>)</w:t>
      </w:r>
      <w:r>
        <w:rPr>
          <w:rStyle w:val="fnRef"/>
        </w:rPr>
        <w:tab/>
      </w:r>
      <w:r>
        <w:t>Latest version: C(2020) 1760 final.</w:t>
      </w:r>
    </w:p>
  </w:footnote>
  <w:footnote w:id="28">
    <w:p w:rsidR="00315B87" w:rsidRDefault="00C32692">
      <w:pPr>
        <w:pStyle w:val="FootnoteText"/>
      </w:pPr>
      <w:r>
        <w:rPr>
          <w:rStyle w:val="fnRef"/>
        </w:rPr>
        <w:t>(</w:t>
      </w:r>
      <w:r>
        <w:rPr>
          <w:rStyle w:val="fnRefNo"/>
        </w:rPr>
        <w:footnoteRef/>
      </w:r>
      <w:r>
        <w:rPr>
          <w:rStyle w:val="fnRef"/>
        </w:rPr>
        <w:t>)</w:t>
      </w:r>
      <w:r>
        <w:rPr>
          <w:rStyle w:val="fnRef"/>
        </w:rPr>
        <w:tab/>
        <w:t>The Audit Progress Committee comprises nine members. A maximum of six are Members of the Commission, and at least three are external members with proven professional expertise in audit and related matters</w:t>
      </w:r>
      <w:r>
        <w:t>. Half of the Commission membership of the Audit Progress Committee is renewed halfway through the term. Contracts with external members are drawn up each year.</w:t>
      </w:r>
    </w:p>
  </w:footnote>
  <w:footnote w:id="29">
    <w:p w:rsidR="00315B87" w:rsidRDefault="00C32692">
      <w:pPr>
        <w:pStyle w:val="FootnoteText"/>
      </w:pPr>
      <w:r>
        <w:rPr>
          <w:rStyle w:val="fnRef"/>
        </w:rPr>
        <w:t>(</w:t>
      </w:r>
      <w:r>
        <w:rPr>
          <w:rStyle w:val="fnRefNo"/>
        </w:rPr>
        <w:footnoteRef/>
      </w:r>
      <w:r>
        <w:rPr>
          <w:rStyle w:val="fnRef"/>
        </w:rPr>
        <w:t>)</w:t>
      </w:r>
      <w:r>
        <w:rPr>
          <w:rStyle w:val="fnRef"/>
        </w:rPr>
        <w:tab/>
      </w:r>
      <w:r>
        <w:t>Mainly concerning six departments (DG Agriculture and Rural Development, DG European Civil Protection and Humanitarian Aid Operations, DG Human Resources and Security, DG Neighbourhood and Enlargement Negotiations, DG Research and Innovation and the Research Executive Agency).</w:t>
      </w:r>
    </w:p>
  </w:footnote>
  <w:footnote w:id="30">
    <w:p w:rsidR="00315B87" w:rsidRDefault="00C32692">
      <w:pPr>
        <w:pStyle w:val="FootnoteText"/>
      </w:pPr>
      <w:r>
        <w:rPr>
          <w:rStyle w:val="fnRef"/>
        </w:rPr>
        <w:t>(</w:t>
      </w:r>
      <w:r>
        <w:rPr>
          <w:rStyle w:val="fnRefNo"/>
        </w:rPr>
        <w:footnoteRef/>
      </w:r>
      <w:r>
        <w:rPr>
          <w:rStyle w:val="fnRef"/>
        </w:rPr>
        <w:t>)</w:t>
      </w:r>
      <w:r>
        <w:rPr>
          <w:rStyle w:val="fnRef"/>
        </w:rPr>
        <w:tab/>
      </w:r>
      <w:r>
        <w:t>The main risks concerned various issues with the accounting control environment, the registration of reflows from financial instruments, the timely clearing of pre-financing, the timely issuance of recovery orders and issues related to the synchronisation of accrual-based accounting with local information technology systems.</w:t>
      </w:r>
    </w:p>
  </w:footnote>
  <w:footnote w:id="31">
    <w:p w:rsidR="00315B87" w:rsidRDefault="00C32692">
      <w:pPr>
        <w:pStyle w:val="FootnoteText"/>
      </w:pPr>
      <w:r>
        <w:rPr>
          <w:rStyle w:val="fnRef"/>
        </w:rPr>
        <w:t>(</w:t>
      </w:r>
      <w:r>
        <w:rPr>
          <w:rStyle w:val="fnRefNo"/>
        </w:rPr>
        <w:footnoteRef/>
      </w:r>
      <w:r>
        <w:rPr>
          <w:rStyle w:val="fnRef"/>
        </w:rPr>
        <w:t>)</w:t>
      </w:r>
      <w:r>
        <w:rPr>
          <w:rStyle w:val="fnRef"/>
        </w:rPr>
        <w:tab/>
      </w:r>
      <w:r w:rsidRPr="00AF43AE">
        <w:rPr>
          <w:szCs w:val="16"/>
        </w:rPr>
        <w:t>Communication to the Commission: Update of the charter of the Audit Progress Committee of the European Commission, 27.2.2020, C(2020)1165.</w:t>
      </w:r>
    </w:p>
  </w:footnote>
  <w:footnote w:id="32">
    <w:p w:rsidR="00315B87" w:rsidRDefault="00C32692">
      <w:pPr>
        <w:pStyle w:val="FootnoteText"/>
      </w:pPr>
      <w:r>
        <w:rPr>
          <w:rStyle w:val="fnRef"/>
        </w:rPr>
        <w:t>(</w:t>
      </w:r>
      <w:r>
        <w:rPr>
          <w:rStyle w:val="fnRefNo"/>
        </w:rPr>
        <w:footnoteRef/>
      </w:r>
      <w:r>
        <w:rPr>
          <w:rStyle w:val="fnRef"/>
        </w:rPr>
        <w:t>)</w:t>
      </w:r>
      <w:r>
        <w:rPr>
          <w:rStyle w:val="fnRef"/>
        </w:rPr>
        <w:tab/>
      </w:r>
      <w:r w:rsidR="00AF43AE">
        <w:rPr>
          <w:rStyle w:val="fnRef"/>
        </w:rPr>
        <w:t>Report on the follow-up to the discharge for the 2018 financial year, which will also be part of the Integrated Financial and Accountability Reporting package.</w:t>
      </w:r>
    </w:p>
  </w:footnote>
  <w:footnote w:id="33">
    <w:p w:rsidR="00315B87" w:rsidRDefault="00C32692">
      <w:pPr>
        <w:pStyle w:val="FootnoteText"/>
      </w:pPr>
      <w:r>
        <w:rPr>
          <w:rStyle w:val="fnRef"/>
        </w:rPr>
        <w:t>(</w:t>
      </w:r>
      <w:r>
        <w:rPr>
          <w:rStyle w:val="fnRefNo"/>
        </w:rPr>
        <w:footnoteRef/>
      </w:r>
      <w:r>
        <w:rPr>
          <w:rStyle w:val="fnRef"/>
        </w:rPr>
        <w:t>)</w:t>
      </w:r>
      <w:r>
        <w:rPr>
          <w:rStyle w:val="fnRef"/>
        </w:rPr>
        <w:tab/>
      </w:r>
      <w:r>
        <w:t>Article</w:t>
      </w:r>
      <w:r>
        <w:rPr>
          <w:rFonts w:ascii="Calibri" w:hAnsi="Calibri" w:cs="Calibri"/>
        </w:rPr>
        <w:t> </w:t>
      </w:r>
      <w:r>
        <w:t>74(9) of the financial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2" w:rsidRDefault="00BF42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Header-Left"/>
    </w:pPr>
    <w:r>
      <w:rPr>
        <w:lang w:val="fr-BE" w:eastAsia="fr-BE"/>
      </w:rPr>
      <mc:AlternateContent>
        <mc:Choice Requires="wps">
          <w:drawing>
            <wp:anchor distT="0" distB="0" distL="114300" distR="114300" simplePos="0" relativeHeight="251654144" behindDoc="0" locked="0" layoutInCell="1" allowOverlap="1">
              <wp:simplePos x="0" y="0"/>
              <wp:positionH relativeFrom="page">
                <wp:align>left</wp:align>
              </wp:positionH>
              <wp:positionV relativeFrom="page">
                <wp:align>top</wp:align>
              </wp:positionV>
              <wp:extent cx="7621200" cy="212400"/>
              <wp:effectExtent l="0" t="0" r="0" b="0"/>
              <wp:wrapNone/>
              <wp:docPr id="245" name="Rectangle 24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E388B" id="Rectangle 245" o:spid="_x0000_s1026" style="position:absolute;margin-left:0;margin-top:0;width:600.1pt;height:16.7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yARoqOAgAAjA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56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6" name="Rectangle 24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3D78E" id="Rectangle 246"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kY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DXApGJcCAACIBQAADgAAAAAAAAAAAAAAAAAuAgAAZHJzL2Uyb0Rv&#10;Yy54bWxQSwECLQAUAAYACAAAACEAmVzIut8AAAALAQAADwAAAAAAAAAAAAAAAADxBAAAZHJzL2Rv&#10;d25yZXYueG1sUEsFBgAAAAAEAAQA8wAAAP0FAAAAAA==&#10;" fillcolor="#3fb296" stroked="f" strokeweight="1pt"/>
          </w:pict>
        </mc:Fallback>
      </mc:AlternateContent>
    </w:r>
    <w:r>
      <w:rPr>
        <w:lang w:eastAsia="en-GB"/>
      </w:rPr>
      <w:t>Annual Management and Performance Report for the EU Budget – Financial year 2019</w:t>
    </w:r>
    <w:r>
      <w:rPr>
        <w:lang w:val="fr-BE" w:eastAsia="fr-BE"/>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7" name="Rectangle 24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076A" id="Rectangle 247" o:spid="_x0000_s1026" style="position:absolute;margin-left:-3.7pt;margin-top:-116.05pt;width:8.85pt;height:3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RFmQIAAIg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vfRRF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500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8" name="Rectangle 24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EB6D8" id="Rectangle 248" o:spid="_x0000_s1026" style="position:absolute;margin-left:-3.7pt;margin-top:-116.05pt;width:8.85pt;height:3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2J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i&#10;p9K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TOK2J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Header-Right"/>
    </w:pPr>
    <w:r>
      <w:rPr>
        <w:lang w:val="fr-BE" w:eastAsia="fr-BE"/>
      </w:rPr>
      <mc:AlternateContent>
        <mc:Choice Requires="wps">
          <w:drawing>
            <wp:anchor distT="0" distB="0" distL="114300" distR="114300" simplePos="0" relativeHeight="251645952" behindDoc="0" locked="0" layoutInCell="1" allowOverlap="1">
              <wp:simplePos x="0" y="0"/>
              <wp:positionH relativeFrom="page">
                <wp:align>left</wp:align>
              </wp:positionH>
              <wp:positionV relativeFrom="page">
                <wp:align>top</wp:align>
              </wp:positionV>
              <wp:extent cx="7621200" cy="212400"/>
              <wp:effectExtent l="0" t="0" r="0" b="0"/>
              <wp:wrapNone/>
              <wp:docPr id="241" name="Rectangle 2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317FB" id="Rectangle 241" o:spid="_x0000_s1026" style="position:absolute;margin-left:0;margin-top:0;width:600.1pt;height:16.7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eqLOn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480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2" name="Rectangle 2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B359C" id="Rectangle 242" o:spid="_x0000_s1026" style="position:absolute;margin-left:-3.7pt;margin-top:-116.05pt;width:8.85pt;height:3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y3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W&#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Q467x/B4DfZeDVdpoX3GxbEMUVHFNMfYJeXeDsKVT1sCVw8Xy2U0&#10;w5E1zN/oR8MDeGA19OXT/plZ0zevx66/hWFy2fxdDyfb4KlhufUgm9jgL7z2fOO4x8bpV1PYJ6/l&#10;aPWyQBe/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EQ6y3mQIAAIgFAAAOAAAAAAAAAAAAAAAAAC4CAABkcnMvZTJv&#10;RG9jLnhtbFBLAQItABQABgAIAAAAIQCZXMi63wAAAAsBAAAPAAAAAAAAAAAAAAAAAPMEAABkcnMv&#10;ZG93bnJldi54bWxQSwUGAAAAAAQABADzAAAA/wUAAAAA&#10;" fillcolor="#3fb296" stroked="f" strokeweight="1pt"/>
          </w:pict>
        </mc:Fallback>
      </mc:AlternateContent>
    </w:r>
    <w:r>
      <w:t xml:space="preserve"> </w:t>
    </w:r>
    <w:r>
      <w:rPr>
        <w:lang w:eastAsia="en-GB"/>
      </w:rPr>
      <w:t>Section 2 – Internal control and financial management</w:t>
    </w:r>
    <w:r>
      <w:rPr>
        <w:lang w:val="fr-BE" w:eastAsia="fr-BE"/>
      </w:rPr>
      <mc:AlternateContent>
        <mc:Choice Requires="wps">
          <w:drawing>
            <wp:anchor distT="0" distB="0" distL="114300" distR="114300" simplePos="0" relativeHeight="2516285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3" name="Rectangle 24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C3A44" id="Rectangle 243" o:spid="_x0000_s1026" style="position:absolute;margin-left:-3.7pt;margin-top:-116.05pt;width:8.85pt;height:3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Hq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e&#10;U6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CmTpHq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264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4" name="Rectangle 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DA0F8" id="Rectangle 244" o:spid="_x0000_s1026" style="position:absolute;margin-left:-3.7pt;margin-top:-116.05pt;width:8.85pt;height:3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al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Header"/>
    </w:pPr>
    <w:r>
      <w:rPr>
        <w:noProof/>
        <w:lang w:val="fr-BE" w:eastAsia="fr-BE"/>
      </w:rPr>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7560000" cy="10692000"/>
          <wp:effectExtent l="0" t="0" r="317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AMPRHeader-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Header-Right"/>
    </w:pPr>
    <w:r>
      <w:rPr>
        <w:lang w:val="fr-BE" w:eastAsia="fr-BE"/>
      </w:rPr>
      <mc:AlternateContent>
        <mc:Choice Requires="wps">
          <w:drawing>
            <wp:anchor distT="0" distB="0" distL="114300" distR="114300" simplePos="0" relativeHeight="251687936" behindDoc="0" locked="0" layoutInCell="1" allowOverlap="1">
              <wp:simplePos x="0" y="0"/>
              <wp:positionH relativeFrom="page">
                <wp:align>left</wp:align>
              </wp:positionH>
              <wp:positionV relativeFrom="page">
                <wp:align>top</wp:align>
              </wp:positionV>
              <wp:extent cx="7621200" cy="212400"/>
              <wp:effectExtent l="0" t="0" r="0" b="0"/>
              <wp:wrapNone/>
              <wp:docPr id="254" name="Rectangle 25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CD81" id="Rectangle 254" o:spid="_x0000_s1026" style="position:absolute;margin-left:0;margin-top:0;width:600.1pt;height:16.7pt;z-index:2516879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Aq4L1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899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CEBB4" id="Rectangle 255" o:spid="_x0000_s1026" style="position:absolute;margin-left:-3.7pt;margin-top:-116.05pt;width:8.85pt;height:3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" fillcolor="#3fb296" stroked="f" strokeweight="1pt"/>
          </w:pict>
        </mc:Fallback>
      </mc:AlternateContent>
    </w:r>
    <w:r>
      <w:t xml:space="preserve"> </w:t>
    </w:r>
    <w:r>
      <w:rPr>
        <w:lang w:eastAsia="en-GB"/>
      </w:rPr>
      <w:t>Section 2 – Internal control and financial management</w:t>
    </w:r>
    <w:r>
      <w:rPr>
        <w:lang w:val="fr-BE" w:eastAsia="fr-BE"/>
      </w:rPr>
      <mc:AlternateContent>
        <mc:Choice Requires="wps">
          <w:drawing>
            <wp:anchor distT="0" distB="0" distL="114300" distR="114300" simplePos="0" relativeHeight="2516858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2" name="Rectangle 3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D1832" id="Rectangle 32" o:spid="_x0000_s1026" style="position:absolute;margin-left:-3.7pt;margin-top:-116.05pt;width:8.85pt;height:3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1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Lig&#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f5ivWYAgAAhgUAAA4AAAAAAAAAAAAAAAAALgIAAGRycy9lMm9E&#10;b2MueG1sUEsBAi0AFAAGAAgAAAAhAJlcyLrfAAAACwEAAA8AAAAAAAAAAAAAAAAA8gQAAGRycy9k&#10;b3ducmV2LnhtbFBLBQYAAAAABAAEAPMAAAD+BQAAAAA=&#10;" fillcolor="#3fb296" stroked="f" strokeweight="1pt"/>
          </w:pict>
        </mc:Fallback>
      </mc:AlternateContent>
    </w:r>
    <w:r>
      <w:rPr>
        <w:lang w:val="fr-BE" w:eastAsia="fr-BE"/>
      </w:rPr>
      <mc:AlternateContent>
        <mc:Choice Requires="wps">
          <w:drawing>
            <wp:anchor distT="0" distB="0" distL="114300" distR="114300" simplePos="0" relativeHeight="2516838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 name="Rectangle 3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91056" id="Rectangle 33" o:spid="_x0000_s1026" style="position:absolute;margin-left:-3.7pt;margin-top:-116.05pt;width:8.85pt;height:3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qTmAIAAIY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LiQ6p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Header"/>
    </w:pPr>
    <w:r>
      <w:rPr>
        <w:noProof/>
        <w:lang w:val="fr-BE" w:eastAsia="fr-BE"/>
      </w:rPr>
      <w:drawing>
        <wp:anchor distT="0" distB="0" distL="114300" distR="114300" simplePos="0" relativeHeight="251681792" behindDoc="0" locked="0" layoutInCell="1" allowOverlap="1">
          <wp:simplePos x="0" y="0"/>
          <wp:positionH relativeFrom="page">
            <wp:posOffset>0</wp:posOffset>
          </wp:positionH>
          <wp:positionV relativeFrom="page">
            <wp:posOffset>0</wp:posOffset>
          </wp:positionV>
          <wp:extent cx="7560000" cy="10692000"/>
          <wp:effectExtent l="0" t="0" r="317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2" w:rsidRDefault="00BF4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2" w:rsidRDefault="00BF42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Header-Right"/>
    </w:pPr>
    <w:r>
      <w:rPr>
        <w:lang w:val="fr-BE" w:eastAsia="fr-BE"/>
      </w:rPr>
      <mc:AlternateContent>
        <mc:Choice Requires="wps">
          <w:drawing>
            <wp:anchor distT="0" distB="0" distL="114300" distR="114300" simplePos="0" relativeHeight="251640832" behindDoc="0" locked="0" layoutInCell="1" allowOverlap="1">
              <wp:simplePos x="0" y="0"/>
              <wp:positionH relativeFrom="page">
                <wp:align>left</wp:align>
              </wp:positionH>
              <wp:positionV relativeFrom="page">
                <wp:align>top</wp:align>
              </wp:positionV>
              <wp:extent cx="7621200" cy="212400"/>
              <wp:effectExtent l="0" t="0" r="0" b="0"/>
              <wp:wrapNone/>
              <wp:docPr id="2" name="Rectangle 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B4E38" id="Rectangle 2" o:spid="_x0000_s1026" style="position:absolute;margin-left:0;margin-top:0;width:600.1pt;height:16.7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DokOlgjAIAAIg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439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1" name="Rectangle 3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6C074" id="Rectangle 31" o:spid="_x0000_s1026" style="position:absolute;margin-left:-3.7pt;margin-top:-116.05pt;width:8.85pt;height:37.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pf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S4o&#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wH7GfMLl6DvVfDVVpon3FtLENUVDHNMXZJubeDcOXTjsDFw8VyGc1w&#10;YA3zN/rR8AAeWA19+bR/Ztb0zeux629hmFs2f9fDyTZ4alhuPcgmNvgLrz3fOOyxcfrFFLbJazla&#10;va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EZCKl+YAgAAhgUAAA4AAAAAAAAAAAAAAAAALgIAAGRycy9lMm9E&#10;b2MueG1sUEsBAi0AFAAGAAgAAAAhAJlcyLrfAAAACwEAAA8AAAAAAAAAAAAAAAAA8gQAAGRycy9k&#10;b3ducmV2LnhtbFBLBQYAAAAABAAEAPMAAAD+BQAAAAA=&#10;" fillcolor="#3fb296" stroked="f" strokeweight="1pt"/>
          </w:pict>
        </mc:Fallback>
      </mc:AlternateContent>
    </w:r>
    <w:r>
      <w:t>2019 Annual Management and Performance Report</w:t>
    </w:r>
    <w:r>
      <w:rPr>
        <w:lang w:val="fr-BE" w:eastAsia="fr-BE"/>
      </w:rPr>
      <mc:AlternateContent>
        <mc:Choice Requires="wps">
          <w:drawing>
            <wp:anchor distT="0" distB="0" distL="114300" distR="114300" simplePos="0" relativeHeight="2516346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6" name="Rectangle 2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0078A" id="Rectangle 236" o:spid="_x0000_s1026" style="position:absolute;margin-left:-3.7pt;margin-top:-116.05pt;width:8.85pt;height:3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4M5sxZcCAACIBQAADgAAAAAAAAAAAAAAAAAuAgAAZHJzL2Uyb0Rv&#10;Yy54bWxQSwECLQAUAAYACAAAACEAmVzIut8AAAALAQAADwAAAAAAAAAAAAAAAADxBAAAZHJzL2Rv&#10;d25yZXYueG1sUEsFBgAAAAAEAAQA8wAAAP0FAAAAAA==&#10;" fillcolor="#3fb296" stroked="f" strokeweight="1pt"/>
          </w:pict>
        </mc:Fallback>
      </mc:AlternateContent>
    </w:r>
    <w:r>
      <w:rPr>
        <w:lang w:val="fr-BE" w:eastAsia="fr-BE"/>
      </w:rPr>
      <mc:AlternateContent>
        <mc:Choice Requires="wps">
          <w:drawing>
            <wp:anchor distT="0" distB="0" distL="114300" distR="114300" simplePos="0" relativeHeight="2516316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51D4" id="Rectangle 59" o:spid="_x0000_s1026" style="position:absolute;margin-left:-3.7pt;margin-top:-116.05pt;width:8.85pt;height:3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GclkDW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Header"/>
    </w:pPr>
    <w:r>
      <w:rPr>
        <w:noProof/>
        <w:lang w:val="fr-BE" w:eastAsia="fr-BE"/>
      </w:rPr>
      <w:drawing>
        <wp:anchor distT="0" distB="0" distL="114300" distR="114300" simplePos="0" relativeHeight="251637760" behindDoc="0" locked="0" layoutInCell="1" allowOverlap="1">
          <wp:simplePos x="0" y="0"/>
          <wp:positionH relativeFrom="page">
            <wp:posOffset>0</wp:posOffset>
          </wp:positionH>
          <wp:positionV relativeFrom="page">
            <wp:posOffset>0</wp:posOffset>
          </wp:positionV>
          <wp:extent cx="7560000" cy="10692000"/>
          <wp:effectExtent l="0" t="0" r="317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315B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AMPRHeader-Right"/>
    </w:pPr>
    <w:r>
      <w:rPr>
        <w:lang w:val="fr-BE" w:eastAsia="fr-BE"/>
      </w:rPr>
      <mc:AlternateContent>
        <mc:Choice Requires="wps">
          <w:drawing>
            <wp:anchor distT="0" distB="0" distL="114300" distR="114300" simplePos="0" relativeHeight="251673600" behindDoc="0" locked="0" layoutInCell="1" allowOverlap="1">
              <wp:simplePos x="0" y="0"/>
              <wp:positionH relativeFrom="page">
                <wp:align>left</wp:align>
              </wp:positionH>
              <wp:positionV relativeFrom="page">
                <wp:align>top</wp:align>
              </wp:positionV>
              <wp:extent cx="7621200" cy="212400"/>
              <wp:effectExtent l="0" t="0" r="0" b="0"/>
              <wp:wrapNone/>
              <wp:docPr id="238" name="Rectangle 2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4EB7C" id="Rectangle 238" o:spid="_x0000_s1026" style="position:absolute;margin-left:0;margin-top:0;width:600.1pt;height:16.7pt;z-index:2516736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WEjwIAAIw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CAbiWE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val="fr-BE" w:eastAsia="fr-BE"/>
      </w:rPr>
      <mc:AlternateContent>
        <mc:Choice Requires="wps">
          <w:drawing>
            <wp:anchor distT="0" distB="0" distL="114300" distR="114300" simplePos="0" relativeHeight="25167769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0" name="Rectangle 24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C7959" id="Rectangle 240" o:spid="_x0000_s1026" style="position:absolute;margin-left:-3.7pt;margin-top:-116.05pt;width:8.85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BZ1g2YAgAAiAUAAA4AAAAAAAAAAAAAAAAALgIAAGRycy9lMm9E&#10;b2MueG1sUEsBAi0AFAAGAAgAAAAhAJlcyLrfAAAACwEAAA8AAAAAAAAAAAAAAAAA8gQAAGRycy9k&#10;b3ducmV2LnhtbFBLBQYAAAAABAAEAPMAAAD+BQAAAAA=&#10;" fillcolor="#3fb296" stroked="f" strokeweight="1pt"/>
          </w:pict>
        </mc:Fallback>
      </mc:AlternateContent>
    </w:r>
    <w:r>
      <w:t>2019 Annual Management and Performance Report</w:t>
    </w:r>
    <w:r>
      <w:rPr>
        <w:lang w:val="fr-BE" w:eastAsia="fr-BE"/>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0" name="Rectangle 2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6816E" id="Rectangle 250"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eu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5ZDeumQIAAIgFAAAOAAAAAAAAAAAAAAAAAC4CAABkcnMvZTJv&#10;RG9jLnhtbFBLAQItABQABgAIAAAAIQCZXMi63wAAAAsBAAAPAAAAAAAAAAAAAAAAAPMEAABkcnMv&#10;ZG93bnJldi54bWxQSwUGAAAAAAQABADzAAAA/wUAAAAA&#10;" fillcolor="#3fb296" stroked="f" strokeweight="1pt"/>
          </w:pict>
        </mc:Fallback>
      </mc:AlternateContent>
    </w:r>
    <w:r>
      <w:rPr>
        <w:lang w:val="fr-BE" w:eastAsia="fr-BE"/>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1" name="Rectangle 25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D040E" id="Rectangle 251"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rz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baQrz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B87" w:rsidRDefault="00C32692">
    <w:pPr>
      <w:pStyle w:val="Header"/>
    </w:pPr>
    <w:r>
      <w:rPr>
        <w:noProof/>
        <w:lang w:val="fr-BE" w:eastAsia="fr-BE"/>
      </w:rPr>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7E448F"/>
    <w:multiLevelType w:val="hybridMultilevel"/>
    <w:tmpl w:val="B9D4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4" w15:restartNumberingAfterBreak="0">
    <w:nsid w:val="0662071A"/>
    <w:multiLevelType w:val="hybridMultilevel"/>
    <w:tmpl w:val="4F3E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6" w15:restartNumberingAfterBreak="0">
    <w:nsid w:val="0B847335"/>
    <w:multiLevelType w:val="multilevel"/>
    <w:tmpl w:val="B04AB4DE"/>
    <w:numStyleLink w:val="AMPRLIST-SEC2-Headings"/>
  </w:abstractNum>
  <w:abstractNum w:abstractNumId="7" w15:restartNumberingAfterBreak="0">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8" w15:restartNumberingAfterBreak="0">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9" w15:restartNumberingAfterBreak="0">
    <w:nsid w:val="18EA0B05"/>
    <w:multiLevelType w:val="hybridMultilevel"/>
    <w:tmpl w:val="F306DEEC"/>
    <w:lvl w:ilvl="0" w:tplc="2EB65B0A">
      <w:numFmt w:val="bullet"/>
      <w:lvlText w:val="-"/>
      <w:lvlJc w:val="left"/>
      <w:pPr>
        <w:ind w:left="1080" w:hanging="360"/>
      </w:pPr>
      <w:rPr>
        <w:rFonts w:ascii="EC Square Sans Pro" w:eastAsiaTheme="minorHAnsi" w:hAnsi="EC Square Sans Pro"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11" w15:restartNumberingAfterBreak="0">
    <w:nsid w:val="22FD091A"/>
    <w:multiLevelType w:val="multilevel"/>
    <w:tmpl w:val="ADFAD92C"/>
    <w:lvl w:ilvl="0">
      <w:start w:val="1"/>
      <w:numFmt w:val="decimal"/>
      <w:pStyle w:val="Title2Report"/>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pStyle w:val="Subhead2"/>
      <w:lvlText w:val="2.%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97091A"/>
    <w:multiLevelType w:val="multilevel"/>
    <w:tmpl w:val="B04AB4DE"/>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4" w15:restartNumberingAfterBreak="0">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5" w15:restartNumberingAfterBreak="0">
    <w:nsid w:val="266822D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3A40EC"/>
    <w:multiLevelType w:val="multilevel"/>
    <w:tmpl w:val="B04AB4DE"/>
    <w:numStyleLink w:val="AMPRLIST-SEC2-Headings"/>
  </w:abstractNum>
  <w:abstractNum w:abstractNumId="17" w15:restartNumberingAfterBreak="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9" w15:restartNumberingAfterBreak="0">
    <w:nsid w:val="338A7477"/>
    <w:multiLevelType w:val="hybridMultilevel"/>
    <w:tmpl w:val="7D22E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21" w15:restartNumberingAfterBreak="0">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22" w15:restartNumberingAfterBreak="0">
    <w:nsid w:val="345C6BA4"/>
    <w:multiLevelType w:val="hybridMultilevel"/>
    <w:tmpl w:val="8674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52CBA"/>
    <w:multiLevelType w:val="multilevel"/>
    <w:tmpl w:val="6F14F578"/>
    <w:numStyleLink w:val="PPOLISTBlackNumbersinbrackets"/>
  </w:abstractNum>
  <w:abstractNum w:abstractNumId="24" w15:restartNumberingAfterBreak="0">
    <w:nsid w:val="3D8E3A11"/>
    <w:multiLevelType w:val="hybridMultilevel"/>
    <w:tmpl w:val="291ED918"/>
    <w:lvl w:ilvl="0" w:tplc="FB18660C">
      <w:start w:val="1"/>
      <w:numFmt w:val="decimal"/>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E324F0D"/>
    <w:multiLevelType w:val="hybridMultilevel"/>
    <w:tmpl w:val="1AC8CEE8"/>
    <w:lvl w:ilvl="0" w:tplc="2EB65B0A">
      <w:numFmt w:val="bullet"/>
      <w:lvlText w:val="-"/>
      <w:lvlJc w:val="left"/>
      <w:pPr>
        <w:ind w:left="720" w:hanging="360"/>
      </w:pPr>
      <w:rPr>
        <w:rFonts w:ascii="EC Square Sans Pro" w:eastAsiaTheme="minorHAnsi"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87256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7693EB3"/>
    <w:multiLevelType w:val="hybridMultilevel"/>
    <w:tmpl w:val="1E9C9D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15:restartNumberingAfterBreak="0">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9" w15:restartNumberingAfterBreak="0">
    <w:nsid w:val="4C691243"/>
    <w:multiLevelType w:val="hybridMultilevel"/>
    <w:tmpl w:val="AC4C6498"/>
    <w:lvl w:ilvl="0" w:tplc="0908F200">
      <w:start w:val="1"/>
      <w:numFmt w:val="bullet"/>
      <w:pStyle w:val="Bullets"/>
      <w:lvlText w:val=""/>
      <w:lvlJc w:val="left"/>
      <w:pPr>
        <w:ind w:left="720" w:hanging="360"/>
      </w:pPr>
      <w:rPr>
        <w:rFonts w:ascii="Symbol" w:hAnsi="Symbol" w:hint="default"/>
        <w:spacing w:val="4"/>
        <w:sz w:val="16"/>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pStyle w:val="Bullets"/>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C1A52"/>
    <w:multiLevelType w:val="hybridMultilevel"/>
    <w:tmpl w:val="FE34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C77DFE"/>
    <w:multiLevelType w:val="hybridMultilevel"/>
    <w:tmpl w:val="A34E9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77A45"/>
    <w:multiLevelType w:val="multilevel"/>
    <w:tmpl w:val="13D055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0A569B4"/>
    <w:multiLevelType w:val="hybridMultilevel"/>
    <w:tmpl w:val="E246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A78CB"/>
    <w:multiLevelType w:val="multilevel"/>
    <w:tmpl w:val="FBAC837C"/>
    <w:lvl w:ilvl="0">
      <w:start w:val="1"/>
      <w:numFmt w:val="decimal"/>
      <w:pStyle w:val="AMPRAnnexesTITLE3-Numbered"/>
      <w:lvlText w:val="%1."/>
      <w:lvlJc w:val="left"/>
      <w:pPr>
        <w:ind w:left="663" w:hanging="663"/>
      </w:pPr>
      <w:rPr>
        <w:rFonts w:hint="default"/>
      </w:rPr>
    </w:lvl>
    <w:lvl w:ilvl="1">
      <w:start w:val="1"/>
      <w:numFmt w:val="decimal"/>
      <w:pStyle w:val="AMPRAnnexesTITLE4-Numbered"/>
      <w:lvlText w:val="%1.%2."/>
      <w:lvlJc w:val="left"/>
      <w:pPr>
        <w:tabs>
          <w:tab w:val="num" w:pos="1400"/>
        </w:tabs>
        <w:ind w:left="1400" w:hanging="737"/>
      </w:pPr>
      <w:rPr>
        <w:rFonts w:hint="default"/>
        <w:color w:val="F68A42"/>
      </w:rPr>
    </w:lvl>
    <w:lvl w:ilvl="2">
      <w:start w:val="1"/>
      <w:numFmt w:val="lowerRoman"/>
      <w:lvlText w:val="%3."/>
      <w:lvlJc w:val="right"/>
      <w:pPr>
        <w:ind w:left="1989" w:hanging="663"/>
      </w:pPr>
      <w:rPr>
        <w:rFonts w:hint="default"/>
      </w:rPr>
    </w:lvl>
    <w:lvl w:ilvl="3">
      <w:start w:val="1"/>
      <w:numFmt w:val="decimal"/>
      <w:lvlText w:val="%4."/>
      <w:lvlJc w:val="left"/>
      <w:pPr>
        <w:ind w:left="2652" w:hanging="663"/>
      </w:pPr>
      <w:rPr>
        <w:rFonts w:hint="default"/>
      </w:rPr>
    </w:lvl>
    <w:lvl w:ilvl="4">
      <w:start w:val="1"/>
      <w:numFmt w:val="lowerLetter"/>
      <w:lvlText w:val="%5."/>
      <w:lvlJc w:val="left"/>
      <w:pPr>
        <w:ind w:left="3315" w:hanging="663"/>
      </w:pPr>
      <w:rPr>
        <w:rFonts w:hint="default"/>
      </w:rPr>
    </w:lvl>
    <w:lvl w:ilvl="5">
      <w:start w:val="1"/>
      <w:numFmt w:val="lowerRoman"/>
      <w:lvlText w:val="%6."/>
      <w:lvlJc w:val="right"/>
      <w:pPr>
        <w:ind w:left="3978" w:hanging="663"/>
      </w:pPr>
      <w:rPr>
        <w:rFonts w:hint="default"/>
      </w:rPr>
    </w:lvl>
    <w:lvl w:ilvl="6">
      <w:start w:val="1"/>
      <w:numFmt w:val="decimal"/>
      <w:lvlText w:val="%7."/>
      <w:lvlJc w:val="left"/>
      <w:pPr>
        <w:ind w:left="4641" w:hanging="663"/>
      </w:pPr>
      <w:rPr>
        <w:rFonts w:hint="default"/>
      </w:rPr>
    </w:lvl>
    <w:lvl w:ilvl="7">
      <w:start w:val="1"/>
      <w:numFmt w:val="lowerLetter"/>
      <w:lvlText w:val="%8."/>
      <w:lvlJc w:val="left"/>
      <w:pPr>
        <w:ind w:left="5304" w:hanging="663"/>
      </w:pPr>
      <w:rPr>
        <w:rFonts w:hint="default"/>
      </w:rPr>
    </w:lvl>
    <w:lvl w:ilvl="8">
      <w:start w:val="1"/>
      <w:numFmt w:val="lowerRoman"/>
      <w:lvlText w:val="%9."/>
      <w:lvlJc w:val="right"/>
      <w:pPr>
        <w:ind w:left="5967" w:hanging="663"/>
      </w:pPr>
      <w:rPr>
        <w:rFonts w:hint="default"/>
      </w:rPr>
    </w:lvl>
  </w:abstractNum>
  <w:abstractNum w:abstractNumId="36" w15:restartNumberingAfterBreak="0">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68781487"/>
    <w:multiLevelType w:val="hybridMultilevel"/>
    <w:tmpl w:val="C6FAEA46"/>
    <w:lvl w:ilvl="0" w:tplc="080C0001">
      <w:start w:val="1"/>
      <w:numFmt w:val="bullet"/>
      <w:lvlText w:val=""/>
      <w:lvlJc w:val="left"/>
      <w:pPr>
        <w:ind w:left="765" w:hanging="360"/>
      </w:pPr>
      <w:rPr>
        <w:rFonts w:ascii="Symbol" w:hAnsi="Symbol" w:hint="default"/>
      </w:rPr>
    </w:lvl>
    <w:lvl w:ilvl="1" w:tplc="080C0003">
      <w:start w:val="1"/>
      <w:numFmt w:val="bullet"/>
      <w:lvlText w:val="o"/>
      <w:lvlJc w:val="left"/>
      <w:pPr>
        <w:ind w:left="1485" w:hanging="360"/>
      </w:pPr>
      <w:rPr>
        <w:rFonts w:ascii="Courier New" w:hAnsi="Courier New" w:cs="Courier New" w:hint="default"/>
      </w:rPr>
    </w:lvl>
    <w:lvl w:ilvl="2" w:tplc="080C0005">
      <w:start w:val="1"/>
      <w:numFmt w:val="bullet"/>
      <w:lvlText w:val=""/>
      <w:lvlJc w:val="left"/>
      <w:pPr>
        <w:ind w:left="2205" w:hanging="360"/>
      </w:pPr>
      <w:rPr>
        <w:rFonts w:ascii="Wingdings" w:hAnsi="Wingdings" w:hint="default"/>
      </w:rPr>
    </w:lvl>
    <w:lvl w:ilvl="3" w:tplc="080C0001">
      <w:start w:val="1"/>
      <w:numFmt w:val="bullet"/>
      <w:lvlText w:val=""/>
      <w:lvlJc w:val="left"/>
      <w:pPr>
        <w:ind w:left="2925" w:hanging="360"/>
      </w:pPr>
      <w:rPr>
        <w:rFonts w:ascii="Symbol" w:hAnsi="Symbol" w:hint="default"/>
      </w:rPr>
    </w:lvl>
    <w:lvl w:ilvl="4" w:tplc="080C0003">
      <w:start w:val="1"/>
      <w:numFmt w:val="bullet"/>
      <w:lvlText w:val="o"/>
      <w:lvlJc w:val="left"/>
      <w:pPr>
        <w:ind w:left="3645" w:hanging="360"/>
      </w:pPr>
      <w:rPr>
        <w:rFonts w:ascii="Courier New" w:hAnsi="Courier New" w:cs="Courier New" w:hint="default"/>
      </w:rPr>
    </w:lvl>
    <w:lvl w:ilvl="5" w:tplc="080C0005">
      <w:start w:val="1"/>
      <w:numFmt w:val="bullet"/>
      <w:lvlText w:val=""/>
      <w:lvlJc w:val="left"/>
      <w:pPr>
        <w:ind w:left="4365" w:hanging="360"/>
      </w:pPr>
      <w:rPr>
        <w:rFonts w:ascii="Wingdings" w:hAnsi="Wingdings" w:hint="default"/>
      </w:rPr>
    </w:lvl>
    <w:lvl w:ilvl="6" w:tplc="080C0001">
      <w:start w:val="1"/>
      <w:numFmt w:val="bullet"/>
      <w:lvlText w:val=""/>
      <w:lvlJc w:val="left"/>
      <w:pPr>
        <w:ind w:left="5085" w:hanging="360"/>
      </w:pPr>
      <w:rPr>
        <w:rFonts w:ascii="Symbol" w:hAnsi="Symbol" w:hint="default"/>
      </w:rPr>
    </w:lvl>
    <w:lvl w:ilvl="7" w:tplc="080C0003">
      <w:start w:val="1"/>
      <w:numFmt w:val="bullet"/>
      <w:lvlText w:val="o"/>
      <w:lvlJc w:val="left"/>
      <w:pPr>
        <w:ind w:left="5805" w:hanging="360"/>
      </w:pPr>
      <w:rPr>
        <w:rFonts w:ascii="Courier New" w:hAnsi="Courier New" w:cs="Courier New" w:hint="default"/>
      </w:rPr>
    </w:lvl>
    <w:lvl w:ilvl="8" w:tplc="080C0005">
      <w:start w:val="1"/>
      <w:numFmt w:val="bullet"/>
      <w:lvlText w:val=""/>
      <w:lvlJc w:val="left"/>
      <w:pPr>
        <w:ind w:left="6525" w:hanging="360"/>
      </w:pPr>
      <w:rPr>
        <w:rFonts w:ascii="Wingdings" w:hAnsi="Wingdings" w:hint="default"/>
      </w:rPr>
    </w:lvl>
  </w:abstractNum>
  <w:abstractNum w:abstractNumId="38" w15:restartNumberingAfterBreak="0">
    <w:nsid w:val="6BCA0348"/>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F5A0EC4"/>
    <w:multiLevelType w:val="hybridMultilevel"/>
    <w:tmpl w:val="6770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44D95"/>
    <w:multiLevelType w:val="hybridMultilevel"/>
    <w:tmpl w:val="02AAB720"/>
    <w:lvl w:ilvl="0" w:tplc="4B321464">
      <w:start w:val="3"/>
      <w:numFmt w:val="bullet"/>
      <w:lvlText w:val="-"/>
      <w:lvlJc w:val="left"/>
      <w:pPr>
        <w:ind w:left="720" w:hanging="360"/>
      </w:pPr>
      <w:rPr>
        <w:rFonts w:ascii="EC Square Sans Pro" w:eastAsiaTheme="minorHAnsi"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394AF3"/>
    <w:multiLevelType w:val="hybridMultilevel"/>
    <w:tmpl w:val="773CB2E2"/>
    <w:lvl w:ilvl="0" w:tplc="F6247552">
      <w:start w:val="1"/>
      <w:numFmt w:val="bullet"/>
      <w:pStyle w:val="BulletsOrange"/>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2"/>
  </w:num>
  <w:num w:numId="4">
    <w:abstractNumId w:val="29"/>
  </w:num>
  <w:num w:numId="5">
    <w:abstractNumId w:val="37"/>
  </w:num>
  <w:num w:numId="6">
    <w:abstractNumId w:val="27"/>
  </w:num>
  <w:num w:numId="7">
    <w:abstractNumId w:val="31"/>
  </w:num>
  <w:num w:numId="8">
    <w:abstractNumId w:val="24"/>
  </w:num>
  <w:num w:numId="9">
    <w:abstractNumId w:val="11"/>
  </w:num>
  <w:num w:numId="10">
    <w:abstractNumId w:val="41"/>
  </w:num>
  <w:num w:numId="11">
    <w:abstractNumId w:val="36"/>
  </w:num>
  <w:num w:numId="12">
    <w:abstractNumId w:val="12"/>
  </w:num>
  <w:num w:numId="13">
    <w:abstractNumId w:val="17"/>
  </w:num>
  <w:num w:numId="14">
    <w:abstractNumId w:val="21"/>
  </w:num>
  <w:num w:numId="15">
    <w:abstractNumId w:val="3"/>
  </w:num>
  <w:num w:numId="16">
    <w:abstractNumId w:val="10"/>
  </w:num>
  <w:num w:numId="17">
    <w:abstractNumId w:val="16"/>
  </w:num>
  <w:num w:numId="18">
    <w:abstractNumId w:val="33"/>
  </w:num>
  <w:num w:numId="19">
    <w:abstractNumId w:val="32"/>
  </w:num>
  <w:num w:numId="20">
    <w:abstractNumId w:val="40"/>
  </w:num>
  <w:num w:numId="21">
    <w:abstractNumId w:val="4"/>
  </w:num>
  <w:num w:numId="22">
    <w:abstractNumId w:val="30"/>
  </w:num>
  <w:num w:numId="23">
    <w:abstractNumId w:val="25"/>
  </w:num>
  <w:num w:numId="24">
    <w:abstractNumId w:val="9"/>
  </w:num>
  <w:num w:numId="25">
    <w:abstractNumId w:val="15"/>
  </w:num>
  <w:num w:numId="26">
    <w:abstractNumId w:val="26"/>
  </w:num>
  <w:num w:numId="27">
    <w:abstractNumId w:val="38"/>
  </w:num>
  <w:num w:numId="28">
    <w:abstractNumId w:val="20"/>
  </w:num>
  <w:num w:numId="29">
    <w:abstractNumId w:val="14"/>
  </w:num>
  <w:num w:numId="30">
    <w:abstractNumId w:val="23"/>
  </w:num>
  <w:num w:numId="31">
    <w:abstractNumId w:val="13"/>
  </w:num>
  <w:num w:numId="32">
    <w:abstractNumId w:val="8"/>
  </w:num>
  <w:num w:numId="33">
    <w:abstractNumId w:val="5"/>
  </w:num>
  <w:num w:numId="34">
    <w:abstractNumId w:val="18"/>
  </w:num>
  <w:num w:numId="35">
    <w:abstractNumId w:val="7"/>
  </w:num>
  <w:num w:numId="36">
    <w:abstractNumId w:val="28"/>
  </w:num>
  <w:num w:numId="37">
    <w:abstractNumId w:val="39"/>
  </w:num>
  <w:num w:numId="38">
    <w:abstractNumId w:val="35"/>
  </w:num>
  <w:num w:numId="39">
    <w:abstractNumId w:val="6"/>
  </w:num>
  <w:num w:numId="40">
    <w:abstractNumId w:val="22"/>
  </w:num>
  <w:num w:numId="41">
    <w:abstractNumId w:val="19"/>
  </w:num>
  <w:num w:numId="42">
    <w:abstractNumId w:val="34"/>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ADAEACD-01AF-4693-B57E-3F3D0798637B"/>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3"/>
    <w:docVar w:name="LW_PART_NBR_TOTAL" w:val="3"/>
    <w:docVar w:name="LW_REF.INST.NEW" w:val="COM"/>
    <w:docVar w:name="LW_REF.INST.NEW_ADOPTED" w:val="&lt;EMPTY&gt;"/>
    <w:docVar w:name="LW_REF.INST.NEW_TEXT" w:val="(2020) 265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AND THE COURT OF AUDITORS_x000d__x000d__x000d__x000d__x000d__x000b__x000d__x000d__x000d__x000d__x000d__x000b_2019 Annual Management and Performance Report for the EU budget"/>
    <w:docVar w:name="LW_TYPE.DOC.CP" w:val="REPORT FROM THE COMMISSION"/>
  </w:docVars>
  <w:rsids>
    <w:rsidRoot w:val="00315B87"/>
    <w:rsid w:val="000316EB"/>
    <w:rsid w:val="00051783"/>
    <w:rsid w:val="00091EA0"/>
    <w:rsid w:val="000D5491"/>
    <w:rsid w:val="002A1B21"/>
    <w:rsid w:val="00315B87"/>
    <w:rsid w:val="004C7DEF"/>
    <w:rsid w:val="00512C16"/>
    <w:rsid w:val="00563840"/>
    <w:rsid w:val="00613A00"/>
    <w:rsid w:val="00634EA5"/>
    <w:rsid w:val="008472D0"/>
    <w:rsid w:val="008E1392"/>
    <w:rsid w:val="00936202"/>
    <w:rsid w:val="00992F5E"/>
    <w:rsid w:val="009F6FC9"/>
    <w:rsid w:val="00A972FC"/>
    <w:rsid w:val="00AF43AE"/>
    <w:rsid w:val="00B0093E"/>
    <w:rsid w:val="00BF42C2"/>
    <w:rsid w:val="00C32692"/>
    <w:rsid w:val="00CD53B5"/>
    <w:rsid w:val="00E442E1"/>
    <w:rsid w:val="00E60897"/>
    <w:rsid w:val="00EB1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87425BD"/>
  <w15:docId w15:val="{642112AD-41A6-4DA9-B540-BE43416C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37"/>
      </w:numPr>
      <w:spacing w:before="480" w:after="0" w:line="240" w:lineRule="auto"/>
      <w:outlineLvl w:val="0"/>
    </w:pPr>
    <w:rPr>
      <w:rFonts w:ascii="EC Square Sans Pro" w:eastAsia="Times New Roman" w:hAnsi="EC Square Sans Pro" w:cs="Times New Roman"/>
      <w:b/>
      <w:bCs/>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37"/>
      </w:numPr>
      <w:spacing w:before="120" w:after="120" w:line="240" w:lineRule="auto"/>
      <w:jc w:val="both"/>
      <w:outlineLvl w:val="1"/>
    </w:pPr>
    <w:rPr>
      <w:rFonts w:ascii="EC Square Sans Pro" w:eastAsia="Times New Roman" w:hAnsi="EC Square Sans Pro" w:cs="Times New Roman"/>
      <w:b/>
      <w:bCs/>
      <w:sz w:val="24"/>
      <w:szCs w:val="26"/>
    </w:rPr>
  </w:style>
  <w:style w:type="paragraph" w:styleId="Heading3">
    <w:name w:val="heading 3"/>
    <w:basedOn w:val="Normal"/>
    <w:next w:val="Normal"/>
    <w:link w:val="Heading3Char"/>
    <w:uiPriority w:val="9"/>
    <w:semiHidden/>
    <w:unhideWhenUsed/>
    <w:qFormat/>
    <w:pPr>
      <w:keepNext/>
      <w:keepLines/>
      <w:numPr>
        <w:ilvl w:val="2"/>
        <w:numId w:val="37"/>
      </w:numPr>
      <w:spacing w:before="40" w:after="0" w:line="240" w:lineRule="auto"/>
      <w:outlineLvl w:val="2"/>
    </w:pPr>
    <w:rPr>
      <w:rFonts w:ascii="EC Square Sans Pro" w:eastAsia="Times New Roman" w:hAnsi="EC Square Sans Pro" w:cs="Times New Roman"/>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37"/>
      </w:numPr>
      <w:spacing w:before="120" w:after="120" w:line="240" w:lineRule="auto"/>
      <w:jc w:val="both"/>
      <w:outlineLvl w:val="3"/>
    </w:pPr>
    <w:rPr>
      <w:rFonts w:ascii="EC Square Sans Pro" w:eastAsia="Times New Roman" w:hAnsi="EC Square Sans Pro" w:cs="Times New Roman"/>
      <w:bCs/>
      <w:iCs/>
      <w:sz w:val="24"/>
    </w:rPr>
  </w:style>
  <w:style w:type="paragraph" w:styleId="Heading5">
    <w:name w:val="heading 5"/>
    <w:basedOn w:val="Normal"/>
    <w:next w:val="Normal"/>
    <w:link w:val="Heading5Char"/>
    <w:uiPriority w:val="9"/>
    <w:semiHidden/>
    <w:unhideWhenUsed/>
    <w:qFormat/>
    <w:pPr>
      <w:keepNext/>
      <w:keepLines/>
      <w:numPr>
        <w:ilvl w:val="4"/>
        <w:numId w:val="37"/>
      </w:numPr>
      <w:spacing w:before="200" w:after="0" w:line="240" w:lineRule="auto"/>
      <w:outlineLvl w:val="4"/>
    </w:pPr>
    <w:rPr>
      <w:rFonts w:ascii="EC Square Sans Pro" w:eastAsia="Times New Roman" w:hAnsi="EC Square Sans Pro" w:cs="Times New Roman"/>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37"/>
      </w:numPr>
      <w:spacing w:before="200" w:after="0" w:line="240" w:lineRule="auto"/>
      <w:outlineLvl w:val="5"/>
    </w:pPr>
    <w:rPr>
      <w:rFonts w:ascii="EC Square Sans Pro" w:eastAsia="Times New Roman" w:hAnsi="EC Square Sans Pro" w:cs="Times New Roman"/>
      <w:i/>
      <w:iCs/>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37"/>
      </w:numPr>
      <w:spacing w:before="200" w:after="0" w:line="240" w:lineRule="auto"/>
      <w:outlineLvl w:val="6"/>
    </w:pPr>
    <w:rPr>
      <w:rFonts w:ascii="EC Square Sans Pro" w:eastAsia="Times New Roman" w:hAnsi="EC Square Sans Pro" w:cs="Times New Roman"/>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37"/>
      </w:numPr>
      <w:spacing w:before="200" w:after="0" w:line="240" w:lineRule="auto"/>
      <w:outlineLvl w:val="7"/>
    </w:pPr>
    <w:rPr>
      <w:rFonts w:ascii="EC Square Sans Pro" w:eastAsia="Times New Roman" w:hAnsi="EC Square Sans Pro" w:cs="Times New Roman"/>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7"/>
      </w:numPr>
      <w:spacing w:before="200" w:after="0" w:line="240" w:lineRule="auto"/>
      <w:outlineLvl w:val="8"/>
    </w:pPr>
    <w:rPr>
      <w:rFonts w:ascii="EC Square Sans Pro" w:eastAsia="Times New Roman" w:hAnsi="EC Square Sans Pro" w:cs="Times New Roman"/>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imes New Roman" w:hAnsi="EC Square Sans Pro" w:cs="Times New Roman"/>
      <w:b/>
      <w:bCs/>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imes New Roman" w:hAnsi="EC Square Sans Pro" w:cs="Times New Roman"/>
      <w:b/>
      <w:bCs/>
      <w:sz w:val="24"/>
      <w:szCs w:val="26"/>
    </w:rPr>
  </w:style>
  <w:style w:type="character" w:customStyle="1" w:styleId="Heading3Char">
    <w:name w:val="Heading 3 Char"/>
    <w:basedOn w:val="DefaultParagraphFont"/>
    <w:link w:val="Heading3"/>
    <w:uiPriority w:val="9"/>
    <w:semiHidden/>
    <w:rPr>
      <w:rFonts w:ascii="EC Square Sans Pro" w:eastAsia="Times New Roman" w:hAnsi="EC Square Sans Pro" w:cs="Times New Roman"/>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imes New Roman" w:hAnsi="EC Square Sans Pro" w:cs="Times New Roman"/>
      <w:bCs/>
      <w:iCs/>
      <w:sz w:val="24"/>
    </w:rPr>
  </w:style>
  <w:style w:type="character" w:customStyle="1" w:styleId="Heading5Char">
    <w:name w:val="Heading 5 Char"/>
    <w:basedOn w:val="DefaultParagraphFont"/>
    <w:link w:val="Heading5"/>
    <w:uiPriority w:val="9"/>
    <w:semiHidden/>
    <w:rPr>
      <w:rFonts w:ascii="EC Square Sans Pro" w:eastAsia="Times New Roman" w:hAnsi="EC Square Sans Pro" w:cs="Times New Roman"/>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imes New Roman" w:hAnsi="EC Square Sans Pro" w:cs="Times New Roman"/>
      <w:i/>
      <w:iCs/>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imes New Roman" w:hAnsi="EC Square Sans Pro" w:cs="Times New Roman"/>
      <w:i/>
      <w:iCs/>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imes New Roman" w:hAnsi="EC Square Sans Pro" w:cs="Times New Roman"/>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imes New Roman" w:hAnsi="EC Square Sans Pro" w:cs="Times New Roman"/>
      <w:i/>
      <w:iCs/>
      <w:color w:val="404040" w:themeColor="text1" w:themeTint="BF"/>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pPr>
      <w:spacing w:after="0" w:line="240" w:lineRule="auto"/>
      <w:ind w:left="720"/>
      <w:contextualSpacing/>
    </w:pPr>
    <w:rPr>
      <w:rFonts w:ascii="EC Square Sans Pro" w:hAnsi="EC Square Sans Pro" w:cs="Times New Roman"/>
      <w:sz w:val="20"/>
    </w:rPr>
  </w:style>
  <w:style w:type="paragraph" w:customStyle="1" w:styleId="Subhead3">
    <w:name w:val="Subhead 3"/>
    <w:basedOn w:val="Subhead2"/>
    <w:autoRedefine/>
    <w:semiHidden/>
    <w:pPr>
      <w:numPr>
        <w:ilvl w:val="0"/>
        <w:numId w:val="0"/>
      </w:numPr>
      <w:pBdr>
        <w:top w:val="none" w:sz="0" w:space="0" w:color="auto"/>
        <w:bottom w:val="none" w:sz="0" w:space="0" w:color="auto"/>
      </w:pBdr>
      <w:spacing w:before="120"/>
      <w:ind w:left="661"/>
    </w:pPr>
    <w:rPr>
      <w:iCs w:val="0"/>
      <w:color w:val="5B9BD5" w:themeColor="accent1"/>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sz w:val="18"/>
      <w:szCs w:val="18"/>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cs="Times New Roman"/>
      <w:b/>
      <w:bCs/>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cs="Times New Roman"/>
      <w:b/>
      <w:bCs/>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semiHidden/>
    <w:pPr>
      <w:numPr>
        <w:numId w:val="3"/>
      </w:numPr>
    </w:pPr>
  </w:style>
  <w:style w:type="character" w:styleId="Hyperlink">
    <w:name w:val="Hyperlink"/>
    <w:basedOn w:val="DefaultParagraphFont"/>
    <w:uiPriority w:val="99"/>
    <w:rPr>
      <w:rFonts w:ascii="EC Square Sans Pro" w:hAnsi="EC Square Sans Pro"/>
      <w:strike w:val="0"/>
      <w:dstrike w:val="0"/>
      <w:noProof w:val="0"/>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cs="Times New Roman"/>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cs="Times New Roman"/>
      <w:sz w:val="20"/>
      <w:szCs w:val="20"/>
    </w:rPr>
  </w:style>
  <w:style w:type="character" w:styleId="EndnoteReference">
    <w:name w:val="endnote reference"/>
    <w:basedOn w:val="DefaultParagraphFont"/>
    <w:uiPriority w:val="99"/>
    <w:semiHidden/>
    <w:unhideWhenUsed/>
    <w:rPr>
      <w:rFonts w:ascii="EC Square Sans Pro" w:hAnsi="EC Square Sans Pro"/>
      <w:noProof w:val="0"/>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120" w:line="240" w:lineRule="auto"/>
      <w:jc w:val="both"/>
    </w:pPr>
    <w:rPr>
      <w:rFonts w:ascii="EC Square Sans Pro" w:hAnsi="EC Square Sans Pro" w:cs="Times New Roman"/>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color w:val="EE6A44"/>
      <w:sz w:val="52"/>
    </w:rPr>
  </w:style>
  <w:style w:type="paragraph" w:customStyle="1" w:styleId="Title2Report">
    <w:name w:val="Title 2 / Report"/>
    <w:basedOn w:val="Normal"/>
    <w:link w:val="Title2ReportChar"/>
    <w:autoRedefine/>
    <w:semiHidden/>
    <w:qFormat/>
    <w:pPr>
      <w:keepNext/>
      <w:keepLines/>
      <w:numPr>
        <w:numId w:val="9"/>
      </w:numPr>
      <w:pBdr>
        <w:top w:val="single" w:sz="12" w:space="1" w:color="ED7D31" w:themeColor="accent2"/>
        <w:bottom w:val="single" w:sz="12" w:space="1" w:color="ED7D31" w:themeColor="accent2"/>
      </w:pBdr>
      <w:spacing w:before="480" w:after="240" w:line="276" w:lineRule="auto"/>
      <w:outlineLvl w:val="1"/>
    </w:pPr>
    <w:rPr>
      <w:rFonts w:ascii="EC Square Sans Pro" w:eastAsia="EC Square Sans Pro" w:hAnsi="EC Square Sans Pro" w:cs="Times New Roman"/>
      <w:b/>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val="0"/>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imes New Roman" w:hAnsi="EC Square Sans Pro" w:cs="Times New Roman"/>
      <w:i/>
      <w:iCs/>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sz w:val="20"/>
    </w:rPr>
  </w:style>
  <w:style w:type="character" w:customStyle="1" w:styleId="BodyText2Char">
    <w:name w:val="Body Text 2 Char"/>
    <w:basedOn w:val="DefaultParagraphFont"/>
    <w:link w:val="BodyText2"/>
    <w:uiPriority w:val="99"/>
    <w:semiHidden/>
    <w:rPr>
      <w:rFonts w:ascii="EC Square Sans Pro" w:hAnsi="EC Square Sans Pro" w:cs="Times New Roman"/>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sz w:val="20"/>
    </w:rPr>
  </w:style>
  <w:style w:type="character" w:customStyle="1" w:styleId="ClosingChar">
    <w:name w:val="Closing Char"/>
    <w:basedOn w:val="DefaultParagraphFont"/>
    <w:link w:val="Closing"/>
    <w:uiPriority w:val="99"/>
    <w:semiHidden/>
    <w:rPr>
      <w:rFonts w:ascii="EC Square Sans Pro" w:hAnsi="EC Square Sans Pro" w:cs="Times New Roman"/>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sz w:val="20"/>
    </w:rPr>
  </w:style>
  <w:style w:type="character" w:customStyle="1" w:styleId="DateChar">
    <w:name w:val="Date Char"/>
    <w:basedOn w:val="DefaultParagraphFont"/>
    <w:link w:val="Date"/>
    <w:uiPriority w:val="99"/>
    <w:semiHidden/>
    <w:rPr>
      <w:rFonts w:ascii="EC Square Sans Pro" w:hAnsi="EC Square Sans Pro" w:cs="Times New Roman"/>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imes New Roman" w:hAnsi="EC Square Sans Pro" w:cs="Times New Roman"/>
      <w:sz w:val="24"/>
      <w:szCs w:val="24"/>
    </w:rPr>
  </w:style>
  <w:style w:type="paragraph" w:styleId="EnvelopeReturn">
    <w:name w:val="envelope return"/>
    <w:basedOn w:val="Normal"/>
    <w:uiPriority w:val="99"/>
    <w:semiHidden/>
    <w:unhideWhenUsed/>
    <w:pPr>
      <w:spacing w:after="0" w:line="240" w:lineRule="auto"/>
    </w:pPr>
    <w:rPr>
      <w:rFonts w:ascii="EC Square Sans Pro" w:eastAsia="Times New Roman" w:hAnsi="EC Square Sans Pro" w:cs="Times New Roman"/>
      <w:sz w:val="20"/>
      <w:szCs w:val="20"/>
    </w:rPr>
  </w:style>
  <w:style w:type="character" w:styleId="HTMLAcronym">
    <w:name w:val="HTML Acronym"/>
    <w:basedOn w:val="DefaultParagraphFont"/>
    <w:uiPriority w:val="99"/>
    <w:semiHidden/>
    <w:unhideWhenUsed/>
    <w:rPr>
      <w:rFonts w:ascii="EC Square Sans Pro" w:hAnsi="EC Square Sans Pro"/>
      <w:noProof w:val="0"/>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sz w:val="20"/>
    </w:rPr>
  </w:style>
  <w:style w:type="character" w:styleId="HTMLCite">
    <w:name w:val="HTML Cite"/>
    <w:basedOn w:val="DefaultParagraphFont"/>
    <w:uiPriority w:val="99"/>
    <w:semiHidden/>
    <w:unhideWhenUsed/>
    <w:rPr>
      <w:rFonts w:ascii="EC Square Sans Pro" w:hAnsi="EC Square Sans Pro"/>
      <w:i/>
      <w:iCs/>
      <w:noProof w:val="0"/>
      <w:lang w:val="en-GB"/>
    </w:rPr>
  </w:style>
  <w:style w:type="character" w:styleId="HTMLCode">
    <w:name w:val="HTML Code"/>
    <w:basedOn w:val="DefaultParagraphFont"/>
    <w:uiPriority w:val="99"/>
    <w:semiHidden/>
    <w:unhideWhenUsed/>
    <w:rPr>
      <w:rFonts w:ascii="EC Square Sans Pro" w:hAnsi="EC Square Sans Pro" w:cs="Consolas"/>
      <w:noProof w:val="0"/>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val="0"/>
      <w:lang w:val="en-GB"/>
    </w:rPr>
  </w:style>
  <w:style w:type="character" w:styleId="HTMLKeyboard">
    <w:name w:val="HTML Keyboard"/>
    <w:basedOn w:val="DefaultParagraphFont"/>
    <w:uiPriority w:val="99"/>
    <w:semiHidden/>
    <w:unhideWhenUsed/>
    <w:rPr>
      <w:rFonts w:ascii="EC Square Sans Pro" w:hAnsi="EC Square Sans Pro" w:cs="Consolas"/>
      <w:noProof w:val="0"/>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sz w:val="20"/>
      <w:szCs w:val="20"/>
    </w:rPr>
  </w:style>
  <w:style w:type="character" w:styleId="HTMLSample">
    <w:name w:val="HTML Sample"/>
    <w:basedOn w:val="DefaultParagraphFont"/>
    <w:uiPriority w:val="99"/>
    <w:semiHidden/>
    <w:unhideWhenUsed/>
    <w:rPr>
      <w:rFonts w:ascii="EC Square Sans Pro" w:hAnsi="EC Square Sans Pro" w:cs="Consolas"/>
      <w:noProof w:val="0"/>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val="0"/>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val="0"/>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sz w:val="20"/>
    </w:rPr>
  </w:style>
  <w:style w:type="paragraph" w:styleId="IndexHeading">
    <w:name w:val="index heading"/>
    <w:basedOn w:val="Normal"/>
    <w:next w:val="Index1"/>
    <w:uiPriority w:val="99"/>
    <w:semiHidden/>
    <w:unhideWhenUsed/>
    <w:pPr>
      <w:spacing w:after="0" w:line="240" w:lineRule="auto"/>
    </w:pPr>
    <w:rPr>
      <w:rFonts w:ascii="EC Square Sans Pro" w:eastAsia="Times New Roman" w:hAnsi="EC Square Sans Pro" w:cs="Times New Roman"/>
      <w:b/>
      <w:bCs/>
      <w:sz w:val="20"/>
    </w:rPr>
  </w:style>
  <w:style w:type="character" w:styleId="LineNumber">
    <w:name w:val="line number"/>
    <w:basedOn w:val="DefaultParagraphFont"/>
    <w:uiPriority w:val="99"/>
    <w:semiHidden/>
    <w:unhideWhenUsed/>
    <w:rPr>
      <w:rFonts w:ascii="EC Square Sans Pro" w:hAnsi="EC Square Sans Pro"/>
      <w:noProof w:val="0"/>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imes New Roman" w:hAnsi="EC Square Sans Pro" w:cs="Times New Roman"/>
      <w:sz w:val="24"/>
      <w:szCs w:val="24"/>
    </w:rPr>
  </w:style>
  <w:style w:type="character" w:customStyle="1" w:styleId="MessageHeaderChar">
    <w:name w:val="Message Header Char"/>
    <w:basedOn w:val="DefaultParagraphFont"/>
    <w:link w:val="MessageHeader"/>
    <w:uiPriority w:val="99"/>
    <w:semiHidden/>
    <w:rPr>
      <w:rFonts w:ascii="EC Square Sans Pro" w:eastAsia="Times New Roman" w:hAnsi="EC Square Sans Pro" w:cs="Times New Roman"/>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sz w:val="20"/>
    </w:rPr>
  </w:style>
  <w:style w:type="character" w:styleId="PageNumber">
    <w:name w:val="page number"/>
    <w:basedOn w:val="DefaultParagraphFont"/>
    <w:uiPriority w:val="99"/>
    <w:semiHidden/>
    <w:unhideWhenUsed/>
    <w:rPr>
      <w:rFonts w:ascii="EC Square Sans Pro" w:hAnsi="EC Square Sans Pro"/>
      <w:noProof w:val="0"/>
      <w:lang w:val="en-GB"/>
    </w:rPr>
  </w:style>
  <w:style w:type="character" w:styleId="PlaceholderText">
    <w:name w:val="Placeholder Text"/>
    <w:basedOn w:val="DefaultParagraphFont"/>
    <w:uiPriority w:val="99"/>
    <w:semiHidden/>
    <w:rPr>
      <w:rFonts w:ascii="EC Square Sans Pro" w:hAnsi="EC Square Sans Pro"/>
      <w:noProof w:val="0"/>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sz w:val="20"/>
    </w:rPr>
  </w:style>
  <w:style w:type="character" w:customStyle="1" w:styleId="SalutationChar">
    <w:name w:val="Salutation Char"/>
    <w:basedOn w:val="DefaultParagraphFont"/>
    <w:link w:val="Salutation"/>
    <w:uiPriority w:val="99"/>
    <w:semiHidden/>
    <w:rPr>
      <w:rFonts w:ascii="EC Square Sans Pro" w:hAnsi="EC Square Sans Pro" w:cs="Times New Roman"/>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sz w:val="20"/>
    </w:rPr>
  </w:style>
  <w:style w:type="character" w:customStyle="1" w:styleId="SignatureChar">
    <w:name w:val="Signature Char"/>
    <w:basedOn w:val="DefaultParagraphFont"/>
    <w:link w:val="Signature"/>
    <w:uiPriority w:val="99"/>
    <w:semiHidden/>
    <w:rPr>
      <w:rFonts w:ascii="EC Square Sans Pro" w:hAnsi="EC Square Sans Pro" w:cs="Times New Roman"/>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imes New Roman" w:hAnsi="EC Square Sans Pro" w:cs="Times New Roman"/>
      <w:b/>
      <w:bCs/>
      <w:sz w:val="24"/>
      <w:szCs w:val="24"/>
    </w:rPr>
  </w:style>
  <w:style w:type="character" w:customStyle="1" w:styleId="BOLDBLUE">
    <w:name w:val="BOLD BLUE"/>
    <w:basedOn w:val="BodyTextChar"/>
    <w:semiHidden/>
    <w:qFormat/>
    <w:rPr>
      <w:rFonts w:ascii="EC Square Sans Pro" w:hAnsi="EC Square Sans Pro" w:cs="Times New Roman"/>
      <w:b/>
      <w:noProof w:val="0"/>
      <w:color w:val="4472C4" w:themeColor="accent5"/>
      <w:sz w:val="20"/>
      <w:lang w:val="en-GB" w:eastAsia="fr-BE"/>
    </w:rPr>
  </w:style>
  <w:style w:type="paragraph" w:customStyle="1" w:styleId="Title1-NoTOClink">
    <w:name w:val="Title 1 - No TOC link"/>
    <w:basedOn w:val="Normal"/>
    <w:next w:val="Normal"/>
    <w:semiHidden/>
    <w:pPr>
      <w:keepNext/>
      <w:keepLines/>
      <w:pageBreakBefore/>
      <w:spacing w:after="120" w:line="240" w:lineRule="auto"/>
      <w:ind w:left="680" w:hanging="680"/>
      <w:outlineLvl w:val="0"/>
    </w:pPr>
    <w:rPr>
      <w:rFonts w:ascii="EC Square Sans Pro" w:hAnsi="EC Square Sans Pro" w:cs="Times New Roman"/>
      <w:color w:val="4472C4" w:themeColor="accent5"/>
      <w:sz w:val="52"/>
    </w:rPr>
  </w:style>
  <w:style w:type="character" w:customStyle="1" w:styleId="fnRefNo">
    <w:name w:val="fnRefNo"/>
    <w:uiPriority w:val="1"/>
    <w:qFormat/>
    <w:rPr>
      <w:rFonts w:ascii="EC Square Sans Pro" w:hAnsi="EC Square Sans Pro"/>
      <w:b w:val="0"/>
      <w:i w:val="0"/>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autoRedefine/>
    <w:semiHidden/>
    <w:qFormat/>
    <w:pPr>
      <w:keepNext/>
      <w:keepLines/>
      <w:numPr>
        <w:ilvl w:val="2"/>
        <w:numId w:val="9"/>
      </w:numPr>
      <w:pBdr>
        <w:top w:val="single" w:sz="12" w:space="1" w:color="5B9BD5" w:themeColor="accent1"/>
        <w:bottom w:val="single" w:sz="12" w:space="1" w:color="5B9BD5" w:themeColor="accent1"/>
      </w:pBdr>
      <w:spacing w:before="480" w:after="120" w:line="240" w:lineRule="auto"/>
      <w:jc w:val="both"/>
      <w:outlineLvl w:val="2"/>
    </w:pPr>
    <w:rPr>
      <w:rFonts w:ascii="EC Square Sans Pro" w:hAnsi="EC Square Sans Pro" w:cs="Times New Roman"/>
      <w:b/>
      <w:iCs/>
      <w:color w:val="4472C4" w:themeColor="accent5"/>
      <w:sz w:val="28"/>
      <w:lang w:eastAsia="zh-CN"/>
    </w:rPr>
  </w:style>
  <w:style w:type="character" w:customStyle="1" w:styleId="Subhead2Char">
    <w:name w:val="Subhead 2 Char"/>
    <w:basedOn w:val="DefaultParagraphFont"/>
    <w:link w:val="Subhead2"/>
    <w:semiHidden/>
    <w:rPr>
      <w:rFonts w:ascii="EC Square Sans Pro" w:hAnsi="EC Square Sans Pro" w:cs="Times New Roman"/>
      <w:b/>
      <w:iCs/>
      <w:color w:val="4472C4" w:themeColor="accent5"/>
      <w:sz w:val="28"/>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sz w:val="20"/>
      <w:lang w:eastAsia="fr-BE"/>
    </w:rPr>
  </w:style>
  <w:style w:type="table" w:customStyle="1" w:styleId="DocumentTable2">
    <w:name w:val="Document Table2"/>
    <w:basedOn w:val="TableNormal"/>
    <w:next w:val="TableGrid"/>
    <w:uiPriority w:val="59"/>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Subhead2"/>
    <w:link w:val="BulletsChar"/>
    <w:semiHidden/>
    <w:qFormat/>
    <w:pPr>
      <w:numPr>
        <w:numId w:val="4"/>
      </w:numPr>
      <w:spacing w:before="60" w:after="60"/>
    </w:pPr>
    <w:rPr>
      <w:b w:val="0"/>
      <w:color w:val="000000" w:themeColor="text1"/>
      <w:sz w:val="20"/>
    </w:rPr>
  </w:style>
  <w:style w:type="paragraph" w:styleId="FootnoteText">
    <w:name w:val="footnote text"/>
    <w:basedOn w:val="footnote"/>
    <w:link w:val="FootnoteTextChar"/>
    <w:uiPriority w:val="99"/>
    <w:qFormat/>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character" w:customStyle="1" w:styleId="BulletsChar">
    <w:name w:val="Bullets Char"/>
    <w:basedOn w:val="Subhead2Char"/>
    <w:link w:val="Bullets"/>
    <w:semiHidden/>
    <w:rPr>
      <w:rFonts w:ascii="EC Square Sans Pro" w:hAnsi="EC Square Sans Pro" w:cs="Times New Roman"/>
      <w:b w:val="0"/>
      <w:iCs/>
      <w:color w:val="000000" w:themeColor="text1"/>
      <w:sz w:val="20"/>
      <w:lang w:eastAsia="zh-CN"/>
    </w:rPr>
  </w:style>
  <w:style w:type="paragraph" w:customStyle="1" w:styleId="footnoteTxt">
    <w:name w:val="footnote Txt"/>
    <w:basedOn w:val="FootnoteText"/>
    <w:semiHidden/>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color w:val="000000"/>
      <w:sz w:val="24"/>
      <w:szCs w:val="2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eastAsiaTheme="majorEastAsia" w:hAnsiTheme="majorHAnsi" w:cstheme="majorBid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sz w:val="20"/>
    </w:rPr>
  </w:style>
  <w:style w:type="paragraph" w:customStyle="1" w:styleId="BodyText1spaceafter">
    <w:name w:val="Body Text 1 (space after)"/>
    <w:basedOn w:val="Normal"/>
    <w:next w:val="Normal"/>
    <w:semiHidden/>
    <w:pPr>
      <w:spacing w:after="240" w:line="240" w:lineRule="auto"/>
      <w:jc w:val="both"/>
    </w:pPr>
    <w:rPr>
      <w:rFonts w:ascii="EC Square Sans Pro" w:eastAsia="Calibri" w:hAnsi="EC Square Sans Pro" w:cs="Times New Roman"/>
      <w:color w:val="000000" w:themeColor="text1"/>
      <w:sz w:val="20"/>
      <w:lang w:eastAsia="fr-BE"/>
    </w:rPr>
  </w:style>
  <w:style w:type="character" w:customStyle="1" w:styleId="fnRef">
    <w:name w:val="fnRef"/>
    <w:uiPriority w:val="1"/>
    <w:rPr>
      <w:rFonts w:ascii="EC Square Sans Pro" w:hAnsi="EC Square Sans Pro"/>
      <w:b w:val="0"/>
      <w:i w:val="0"/>
      <w:bdr w:val="none" w:sz="0" w:space="0" w:color="auto"/>
      <w:shd w:val="clear" w:color="auto" w:fill="auto"/>
      <w:vertAlign w:val="baseline"/>
      <w:lang w:val="en-GB"/>
    </w:rPr>
  </w:style>
  <w:style w:type="character" w:customStyle="1" w:styleId="BOLDLIGHTBLUEReport">
    <w:name w:val="BOLD LIGHT BLUE / Report"/>
    <w:basedOn w:val="DefaultParagraphFont"/>
    <w:semiHidden/>
    <w:rPr>
      <w:rFonts w:ascii="EC Square Sans Pro" w:eastAsia="Times New Roman" w:hAnsi="EC Square Sans Pro"/>
      <w:b/>
      <w:noProof w:val="0"/>
      <w:color w:val="65BBC8"/>
      <w:szCs w:val="20"/>
      <w:lang w:val="en-GB" w:eastAsia="en-GB"/>
    </w:rPr>
  </w:style>
  <w:style w:type="character" w:styleId="CommentReference">
    <w:name w:val="annotation reference"/>
    <w:basedOn w:val="DefaultParagraphFont"/>
    <w:uiPriority w:val="99"/>
    <w:semiHidden/>
    <w:unhideWhenUsed/>
    <w:qFormat/>
    <w:rPr>
      <w:noProof w:val="0"/>
      <w:sz w:val="16"/>
      <w:szCs w:val="16"/>
      <w:lang w:val="en-GB"/>
    </w:rPr>
  </w:style>
  <w:style w:type="paragraph" w:customStyle="1" w:styleId="Nota">
    <w:name w:val="Nota"/>
    <w:aliases w:val=" Char1,Char1,(NECG) Footnote Reference,Appel note de bas de p,Style 6,Signature Ch,Fußnotenzeichen3,Footnote Reference_LVL6,Footnote Reference_LVL61,Footnote Reference_LVL62,Ch,de nota al pi..."/>
    <w:basedOn w:val="Normal"/>
    <w:uiPriority w:val="99"/>
    <w:semiHidden/>
    <w:pPr>
      <w:spacing w:line="240" w:lineRule="exact"/>
    </w:pPr>
    <w:rPr>
      <w:rFonts w:ascii="Times New Roman" w:hAnsi="Times New Roman" w:cs="Times New Roman"/>
      <w:vertAlign w:val="superscript"/>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color w:val="000000" w:themeColor="text1"/>
      <w:sz w:val="20"/>
      <w:shd w:val="clear" w:color="auto" w:fill="FBE4D5" w:themeFill="accent2" w:themeFillTint="33"/>
      <w:lang w:eastAsia="fr-B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EC Square Sans Pro" w:hAnsi="EC Square Sans Pro" w:cs="Times New Roman"/>
      <w:sz w:val="20"/>
    </w:rPr>
  </w:style>
  <w:style w:type="paragraph" w:customStyle="1" w:styleId="BodyText1spacebeforeandafter">
    <w:name w:val="Body Text 1 (space before and after)"/>
    <w:basedOn w:val="Normal"/>
    <w:semiHidden/>
    <w:pPr>
      <w:spacing w:before="240" w:after="240" w:line="240" w:lineRule="auto"/>
      <w:jc w:val="both"/>
    </w:pPr>
    <w:rPr>
      <w:rFonts w:ascii="EC Square Sans Pro" w:eastAsia="Calibri" w:hAnsi="EC Square Sans Pro" w:cs="Times New Roman"/>
      <w:color w:val="000000" w:themeColor="text1"/>
      <w:sz w:val="20"/>
      <w:lang w:eastAsia="fr-BE"/>
    </w:rPr>
  </w:style>
  <w:style w:type="paragraph" w:customStyle="1" w:styleId="BulletsblueNew">
    <w:name w:val="Bullets blue New"/>
    <w:basedOn w:val="Normal"/>
    <w:semiHidden/>
    <w:pPr>
      <w:numPr>
        <w:numId w:val="7"/>
      </w:numPr>
      <w:spacing w:after="60" w:line="240" w:lineRule="auto"/>
      <w:jc w:val="both"/>
    </w:pPr>
    <w:rPr>
      <w:rFonts w:ascii="EC Square Sans Pro" w:eastAsia="Calibri" w:hAnsi="EC Square Sans Pro" w:cs="Times New Roman"/>
      <w:sz w:val="20"/>
      <w:lang w:eastAsia="fr-BE"/>
    </w:rPr>
  </w:style>
  <w:style w:type="character" w:customStyle="1" w:styleId="Corpsdutexte4">
    <w:name w:val="Corps du texte (4)_"/>
    <w:link w:val="Corpsdutexte40"/>
    <w:uiPriority w:val="99"/>
    <w:semiHidden/>
    <w:locked/>
    <w:rPr>
      <w:rFonts w:ascii="Times New Roman" w:hAnsi="Times New Roman" w:cs="Times New Roman"/>
      <w:sz w:val="19"/>
      <w:szCs w:val="19"/>
      <w:shd w:val="clear" w:color="auto" w:fill="FFFFFF"/>
    </w:rPr>
  </w:style>
  <w:style w:type="paragraph" w:customStyle="1" w:styleId="Corpsdutexte40">
    <w:name w:val="Corps du texte (4)"/>
    <w:basedOn w:val="Normal"/>
    <w:link w:val="Corpsdutexte4"/>
    <w:uiPriority w:val="99"/>
    <w:semiHidden/>
    <w:pPr>
      <w:widowControl w:val="0"/>
      <w:shd w:val="clear" w:color="auto" w:fill="FFFFFF"/>
      <w:spacing w:before="480" w:after="0" w:line="226" w:lineRule="exact"/>
      <w:jc w:val="both"/>
    </w:pPr>
    <w:rPr>
      <w:rFonts w:ascii="Times New Roman" w:hAnsi="Times New Roman" w:cs="Times New Roman"/>
      <w:sz w:val="19"/>
      <w:szCs w:val="19"/>
    </w:rPr>
  </w:style>
  <w:style w:type="paragraph" w:customStyle="1" w:styleId="BulletsblueNew-Spacebefore">
    <w:name w:val="Bullets blue New - Space before"/>
    <w:basedOn w:val="BulletsblueNew"/>
    <w:semiHidden/>
    <w:pPr>
      <w:spacing w:before="240"/>
    </w:pPr>
  </w:style>
  <w:style w:type="character" w:styleId="Strong">
    <w:name w:val="Strong"/>
    <w:basedOn w:val="DefaultParagraphFont"/>
    <w:uiPriority w:val="22"/>
    <w:qFormat/>
    <w:rPr>
      <w:b/>
      <w:bCs/>
      <w:noProof w:val="0"/>
      <w:lang w:val="en-GB"/>
    </w:rPr>
  </w:style>
  <w:style w:type="paragraph" w:customStyle="1" w:styleId="FootnoteTextChar1CharCharCharCharChar1">
    <w:name w:val="Footnote Text Char1 Char Char Char Char Char1"/>
    <w:basedOn w:val="Normal"/>
    <w:next w:val="FootnoteText"/>
    <w:uiPriority w:val="99"/>
    <w:semiHidden/>
    <w:qFormat/>
    <w:pPr>
      <w:spacing w:after="0" w:line="240" w:lineRule="auto"/>
    </w:pPr>
    <w:rPr>
      <w:rFonts w:ascii="EC Square Sans Pro" w:hAnsi="EC Square Sans Pro" w:cs="Times New Roman"/>
      <w:sz w:val="20"/>
      <w:szCs w:val="20"/>
    </w:rPr>
  </w:style>
  <w:style w:type="character" w:styleId="BookTitle">
    <w:name w:val="Book Title"/>
    <w:basedOn w:val="DefaultParagraphFont"/>
    <w:uiPriority w:val="33"/>
    <w:rPr>
      <w:b/>
      <w:bCs/>
      <w:i/>
      <w:iCs/>
      <w:noProof w:val="0"/>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color w:val="44546A" w:themeColor="text2"/>
      <w:sz w:val="18"/>
      <w:szCs w:val="18"/>
    </w:rPr>
  </w:style>
  <w:style w:type="character" w:styleId="Emphasis">
    <w:name w:val="Emphasis"/>
    <w:basedOn w:val="DefaultParagraphFont"/>
    <w:uiPriority w:val="20"/>
    <w:qFormat/>
    <w:rPr>
      <w:i/>
      <w:iCs/>
      <w:noProof w:val="0"/>
      <w:lang w:val="en-GB"/>
    </w:rPr>
  </w:style>
  <w:style w:type="character" w:styleId="IntenseEmphasis">
    <w:name w:val="Intense Emphasis"/>
    <w:basedOn w:val="DefaultParagraphFont"/>
    <w:uiPriority w:val="21"/>
    <w:rPr>
      <w:i/>
      <w:iCs/>
      <w:noProof w:val="0"/>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color w:val="5B9BD5" w:themeColor="accent1"/>
      <w:sz w:val="20"/>
    </w:rPr>
  </w:style>
  <w:style w:type="character" w:styleId="IntenseReference">
    <w:name w:val="Intense Reference"/>
    <w:basedOn w:val="DefaultParagraphFont"/>
    <w:uiPriority w:val="32"/>
    <w:rPr>
      <w:b/>
      <w:bCs/>
      <w:smallCaps/>
      <w:noProof w:val="0"/>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rPr>
      <w:i/>
      <w:iCs/>
      <w:noProof w:val="0"/>
      <w:color w:val="404040" w:themeColor="text1" w:themeTint="BF"/>
      <w:lang w:val="en-GB"/>
    </w:rPr>
  </w:style>
  <w:style w:type="character" w:styleId="SubtleReference">
    <w:name w:val="Subtle Reference"/>
    <w:basedOn w:val="DefaultParagraphFont"/>
    <w:uiPriority w:val="31"/>
    <w:qFormat/>
    <w:rPr>
      <w:smallCaps/>
      <w:noProof w:val="0"/>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sz w:val="20"/>
    </w:rPr>
  </w:style>
  <w:style w:type="character" w:customStyle="1" w:styleId="AMPRcharBold">
    <w:name w:val="(AMPR char) Bold"/>
    <w:uiPriority w:val="1"/>
    <w:rPr>
      <w:b/>
      <w:bCs/>
      <w:bdr w:val="none" w:sz="0" w:space="0" w:color="auto"/>
      <w:shd w:val="clear" w:color="auto" w:fill="auto"/>
    </w:rPr>
  </w:style>
  <w:style w:type="character" w:customStyle="1" w:styleId="AMPRcharBoldBlue">
    <w:name w:val="(AMPR char) Bold Blue"/>
    <w:uiPriority w:val="1"/>
    <w:rPr>
      <w:b/>
      <w:color w:val="005D95"/>
      <w:bdr w:val="none" w:sz="0" w:space="0" w:color="auto"/>
      <w:shd w:val="clear" w:color="auto" w:fill="auto"/>
      <w:lang w:val="en-GB"/>
    </w:rPr>
  </w:style>
  <w:style w:type="character" w:customStyle="1" w:styleId="AMPRcharBoldOrange">
    <w:name w:val="(AMPR char) Bold Orange"/>
    <w:basedOn w:val="DefaultParagraphFont"/>
    <w:uiPriority w:val="1"/>
    <w:rPr>
      <w:b/>
      <w:bCs/>
      <w:color w:val="5B9BD5" w:themeColor="accent1"/>
      <w:bdr w:val="none" w:sz="0" w:space="0" w:color="auto"/>
      <w:shd w:val="clear" w:color="auto" w:fill="auto"/>
    </w:rPr>
  </w:style>
  <w:style w:type="character" w:customStyle="1" w:styleId="AMPRcharHyperlink">
    <w:name w:val="(AMPR char) Hyperlink"/>
    <w:uiPriority w:val="1"/>
    <w:rPr>
      <w:color w:val="4E9DD6"/>
      <w:bdr w:val="none" w:sz="0" w:space="0" w:color="auto"/>
      <w:shd w:val="clear" w:color="auto" w:fill="auto"/>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AMPRBodyText">
    <w:name w:val="(AMPR) Body Text"/>
    <w:basedOn w:val="BASE-STYLE-TEXT"/>
    <w:qFormat/>
    <w:pPr>
      <w:spacing w:before="240" w:after="240" w:line="240" w:lineRule="auto"/>
    </w:pPr>
    <w:rPr>
      <w:rFonts w:eastAsiaTheme="minorHAnsi" w:cstheme="minorBidi"/>
      <w:color w:val="000000"/>
      <w:sz w:val="20"/>
      <w:szCs w:val="20"/>
      <w:lang w:eastAsia="en-US"/>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numbering" w:customStyle="1" w:styleId="AMPRLIST-SEC1-Headings">
    <w:name w:val="(AMPR) LIST - SEC 1 - Headings"/>
    <w:uiPriority w:val="99"/>
    <w:pPr>
      <w:numPr>
        <w:numId w:val="11"/>
      </w:numPr>
    </w:pPr>
  </w:style>
  <w:style w:type="numbering" w:customStyle="1" w:styleId="AMPRLIST-SEC2-Headings">
    <w:name w:val="(AMPR) LIST - SEC 2 - Headings"/>
    <w:uiPriority w:val="99"/>
    <w:pPr>
      <w:numPr>
        <w:numId w:val="12"/>
      </w:numPr>
    </w:pPr>
  </w:style>
  <w:style w:type="paragraph" w:customStyle="1" w:styleId="AMPRLista-L1">
    <w:name w:val="(AMPR) List (a) - L1"/>
    <w:basedOn w:val="BASE-STYLE-TEXT"/>
    <w:qFormat/>
    <w:pPr>
      <w:numPr>
        <w:numId w:val="14"/>
      </w:numPr>
      <w:spacing w:before="80" w:after="80" w:line="240" w:lineRule="auto"/>
      <w:jc w:val="left"/>
    </w:pPr>
    <w:rPr>
      <w:rFonts w:eastAsiaTheme="minorHAnsi"/>
      <w:color w:val="auto"/>
      <w:sz w:val="20"/>
      <w:szCs w:val="22"/>
      <w:lang w:eastAsia="en-US"/>
    </w:rPr>
  </w:style>
  <w:style w:type="paragraph" w:customStyle="1" w:styleId="AMPRListBlue-L1">
    <w:name w:val="(AMPR) List * [Blue] - L1"/>
    <w:basedOn w:val="BASE-STYLE-TEXT"/>
    <w:qFormat/>
    <w:pPr>
      <w:numPr>
        <w:numId w:val="15"/>
      </w:numPr>
      <w:spacing w:before="80" w:after="80" w:line="240" w:lineRule="auto"/>
    </w:pPr>
    <w:rPr>
      <w:rFonts w:eastAsiaTheme="minorHAnsi"/>
      <w:sz w:val="20"/>
      <w:szCs w:val="22"/>
      <w:lang w:eastAsia="en-US"/>
    </w:rPr>
  </w:style>
  <w:style w:type="paragraph" w:customStyle="1" w:styleId="AMPRListBlue-L2">
    <w:name w:val="(AMPR) List * [Blue] - L2"/>
    <w:basedOn w:val="BASE-STYLE-TEXT"/>
    <w:qFormat/>
    <w:pPr>
      <w:numPr>
        <w:ilvl w:val="1"/>
        <w:numId w:val="15"/>
      </w:numPr>
      <w:spacing w:before="80" w:after="80" w:line="240" w:lineRule="auto"/>
    </w:pPr>
    <w:rPr>
      <w:rFonts w:eastAsiaTheme="minorHAnsi"/>
      <w:sz w:val="20"/>
      <w:szCs w:val="22"/>
      <w:lang w:eastAsia="fr-BE"/>
    </w:rPr>
  </w:style>
  <w:style w:type="paragraph" w:customStyle="1" w:styleId="AMPRListOrange-L1">
    <w:name w:val="(AMPR) List * [Orange] - L1"/>
    <w:basedOn w:val="BASE-STYLE-TEXT"/>
    <w:qFormat/>
    <w:pPr>
      <w:numPr>
        <w:numId w:val="16"/>
      </w:numPr>
      <w:spacing w:before="80" w:after="80" w:line="240" w:lineRule="auto"/>
    </w:pPr>
    <w:rPr>
      <w:rFonts w:eastAsiaTheme="minorHAnsi"/>
      <w:sz w:val="20"/>
      <w:szCs w:val="22"/>
      <w:lang w:eastAsia="en-US"/>
    </w:rPr>
  </w:style>
  <w:style w:type="paragraph" w:customStyle="1" w:styleId="AMPRListOrange-L2">
    <w:name w:val="(AMPR) List * [Orange] - L2"/>
    <w:basedOn w:val="BASE-STYLE-TEXT"/>
    <w:qFormat/>
    <w:pPr>
      <w:numPr>
        <w:ilvl w:val="1"/>
        <w:numId w:val="16"/>
      </w:numPr>
      <w:spacing w:before="80" w:after="80" w:line="240" w:lineRule="auto"/>
    </w:pPr>
    <w:rPr>
      <w:rFonts w:eastAsiaTheme="minorHAnsi"/>
      <w:sz w:val="20"/>
      <w:szCs w:val="22"/>
      <w:lang w:eastAsia="fr-BE"/>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color w:val="auto"/>
      <w:sz w:val="16"/>
      <w:szCs w:val="16"/>
      <w:lang w:eastAsia="fr-BE"/>
    </w:r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color w:val="203F79"/>
      <w:szCs w:val="18"/>
    </w:rPr>
  </w:style>
  <w:style w:type="paragraph" w:customStyle="1" w:styleId="AMPRtableBOXA-bgWHITElnORANGE-BLUEBullet">
    <w:name w:val="(AMPR) tableBOX A - bgWHITE_lnORANGE - BLUE Bullet"/>
    <w:basedOn w:val="BASE-STYLE-TEXT"/>
    <w:qFormat/>
    <w:pPr>
      <w:widowControl w:val="0"/>
      <w:numPr>
        <w:numId w:val="13"/>
      </w:numPr>
      <w:autoSpaceDE w:val="0"/>
      <w:autoSpaceDN w:val="0"/>
      <w:adjustRightInd w:val="0"/>
      <w:spacing w:after="100" w:line="241" w:lineRule="exact"/>
      <w:jc w:val="left"/>
    </w:pPr>
    <w:rPr>
      <w:rFonts w:eastAsia="Times New Roman"/>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color w:val="005D95"/>
      <w:sz w:val="20"/>
      <w:szCs w:val="20"/>
      <w:lang w:eastAsia="en-US"/>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color w:val="auto"/>
      <w:sz w:val="20"/>
      <w:szCs w:val="22"/>
      <w:lang w:eastAsia="en-US" w:bidi="en-US"/>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color w:val="auto"/>
      <w:sz w:val="20"/>
      <w:szCs w:val="20"/>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color w:val="auto"/>
      <w:sz w:val="20"/>
      <w:szCs w:val="20"/>
      <w:lang w:eastAsia="en-US" w:bidi="en-US"/>
    </w:rPr>
  </w:style>
  <w:style w:type="numbering" w:customStyle="1" w:styleId="AMPRLISTa">
    <w:name w:val="(AMPR_LIST) (a)"/>
    <w:uiPriority w:val="99"/>
    <w:pPr>
      <w:numPr>
        <w:numId w:val="14"/>
      </w:numPr>
    </w:pPr>
  </w:style>
  <w:style w:type="numbering" w:customStyle="1" w:styleId="AMPRLISTBlue">
    <w:name w:val="(AMPR_LIST) * Blue"/>
    <w:uiPriority w:val="99"/>
    <w:pPr>
      <w:numPr>
        <w:numId w:val="15"/>
      </w:numPr>
    </w:pPr>
  </w:style>
  <w:style w:type="numbering" w:customStyle="1" w:styleId="AMPRLISTOrange">
    <w:name w:val="(AMPR_LIST) * Orange"/>
    <w:uiPriority w:val="99"/>
    <w:pPr>
      <w:numPr>
        <w:numId w:val="16"/>
      </w:numPr>
    </w:pPr>
  </w:style>
  <w:style w:type="paragraph" w:customStyle="1" w:styleId="BASE-STYLE-HEADINGS">
    <w:name w:val="_BASE-STYLE-HEADINGS"/>
    <w:basedOn w:val="BASE-STYLE-TEXT"/>
    <w:next w:val="Normal"/>
    <w:semiHidden/>
  </w:style>
  <w:style w:type="paragraph" w:customStyle="1" w:styleId="AMPRSec1TITLE2-numbered">
    <w:name w:val="(AMPR_Sec1) TITLE 2 - numbered"/>
    <w:basedOn w:val="BASE-STYLE-HEADINGS"/>
    <w:next w:val="AMPRBodyText"/>
    <w:qFormat/>
    <w:pPr>
      <w:keepNext/>
      <w:keepLines/>
      <w:pageBreakBefore/>
      <w:numPr>
        <w:numId w:val="11"/>
      </w:numPr>
      <w:spacing w:after="120" w:line="240" w:lineRule="auto"/>
      <w:jc w:val="left"/>
      <w:outlineLvl w:val="1"/>
    </w:pPr>
    <w:rPr>
      <w:rFonts w:eastAsiaTheme="minorHAnsi"/>
      <w:color w:val="4472C4" w:themeColor="accent5"/>
      <w:sz w:val="48"/>
      <w:szCs w:val="22"/>
      <w:lang w:eastAsia="en-US"/>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2TITLE2-numbered">
    <w:name w:val="(AMPR_Sec2) TITLE 2 - numbered"/>
    <w:basedOn w:val="BASE-STYLE-HEADINGS"/>
    <w:next w:val="AMPRBodyText"/>
    <w:qFormat/>
    <w:pPr>
      <w:keepNext/>
      <w:keepLines/>
      <w:pageBreakBefore/>
      <w:numPr>
        <w:numId w:val="39"/>
      </w:numPr>
      <w:spacing w:after="120" w:line="240" w:lineRule="auto"/>
      <w:jc w:val="left"/>
      <w:outlineLvl w:val="1"/>
    </w:pPr>
    <w:rPr>
      <w:rFonts w:eastAsiaTheme="minorHAnsi"/>
      <w:color w:val="4472C4" w:themeColor="accent5"/>
      <w:sz w:val="48"/>
      <w:szCs w:val="22"/>
      <w:lang w:eastAsia="en-US"/>
    </w:rPr>
  </w:style>
  <w:style w:type="paragraph" w:customStyle="1" w:styleId="AMPRSec2TITLE3-numbered">
    <w:name w:val="(AMPR_Sec2) TITLE 3 - numbered"/>
    <w:basedOn w:val="BASE-STYLE-HEADINGS"/>
    <w:next w:val="AMPRBodyText"/>
    <w:qFormat/>
    <w:pPr>
      <w:keepNext/>
      <w:keepLines/>
      <w:numPr>
        <w:ilvl w:val="1"/>
        <w:numId w:val="39"/>
      </w:numPr>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vanish/>
      <w:sz w:val="2"/>
      <w:szCs w:val="2"/>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0"/>
      <w:szCs w:val="22"/>
      <w:lang w:eastAsia="fr-BE"/>
    </w:rPr>
  </w:style>
  <w:style w:type="character" w:customStyle="1" w:styleId="AMPRcharOrange">
    <w:name w:val="(AMPR char) Orange"/>
    <w:basedOn w:val="DefaultParagraphFont"/>
    <w:uiPriority w:val="1"/>
    <w:rPr>
      <w:color w:val="DE5F0A"/>
      <w:bdr w:val="none" w:sz="0" w:space="0" w:color="auto"/>
      <w:shd w:val="clear" w:color="auto" w:fill="auto"/>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color w:val="FFFFFF" w:themeColor="background1"/>
      <w:sz w:val="24"/>
      <w:szCs w:val="24"/>
      <w:lang w:eastAsia="fr-BE"/>
    </w:rPr>
  </w:style>
  <w:style w:type="numbering" w:styleId="111111">
    <w:name w:val="Outline List 2"/>
    <w:basedOn w:val="NoList"/>
    <w:uiPriority w:val="99"/>
    <w:semiHidden/>
    <w:unhideWhenUsed/>
    <w:pPr>
      <w:numPr>
        <w:numId w:val="25"/>
      </w:numPr>
    </w:pPr>
  </w:style>
  <w:style w:type="numbering" w:styleId="1ai">
    <w:name w:val="Outline List 1"/>
    <w:basedOn w:val="NoList"/>
    <w:uiPriority w:val="99"/>
    <w:semiHidden/>
    <w:unhideWhenUsed/>
    <w:pPr>
      <w:numPr>
        <w:numId w:val="26"/>
      </w:numPr>
    </w:pPr>
  </w:style>
  <w:style w:type="numbering" w:styleId="ArticleSection">
    <w:name w:val="Outline List 3"/>
    <w:basedOn w:val="NoList"/>
    <w:uiPriority w:val="99"/>
    <w:semiHidden/>
    <w:unhideWhenUsed/>
    <w:pPr>
      <w:numPr>
        <w:numId w:val="27"/>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color w:val="auto"/>
      <w:sz w:val="16"/>
      <w:szCs w:val="16"/>
      <w:lang w:eastAsia="fr-BE"/>
    </w:rPr>
  </w:style>
  <w:style w:type="character" w:customStyle="1" w:styleId="AMPRcharBlue">
    <w:name w:val="(AMPR char) Blue"/>
    <w:uiPriority w:val="1"/>
    <w:rPr>
      <w:color w:val="005D95"/>
      <w:bdr w:val="none" w:sz="0" w:space="0" w:color="auto"/>
      <w:shd w:val="clear" w:color="auto" w:fill="auto"/>
    </w:rPr>
  </w:style>
  <w:style w:type="character" w:customStyle="1" w:styleId="AMPRcharItalic">
    <w:name w:val="(AMPR char) Italic"/>
    <w:uiPriority w:val="1"/>
    <w:rPr>
      <w:i/>
      <w:bdr w:val="none" w:sz="0" w:space="0" w:color="auto"/>
      <w:shd w:val="clear" w:color="auto" w:fill="auto"/>
    </w:rPr>
  </w:style>
  <w:style w:type="paragraph" w:customStyle="1" w:styleId="AMPRListOrange-L1-consecutive">
    <w:name w:val="(AMPR) List * [Orange] - L1 - consecutive"/>
    <w:basedOn w:val="AMPRListOrange-L1"/>
    <w:qFormat/>
    <w:pPr>
      <w:numPr>
        <w:numId w:val="0"/>
      </w:numPr>
      <w:ind w:left="697"/>
    </w:p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noProof/>
      <w:color w:val="FFFFFF" w:themeColor="background1"/>
      <w:sz w:val="72"/>
      <w:szCs w:val="72"/>
      <w:lang w:eastAsia="en-US"/>
    </w:r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numbering" w:customStyle="1" w:styleId="PPOLISTBlackBULLETS">
    <w:name w:val="(PPO LIST) Black BULLETS"/>
    <w:uiPriority w:val="99"/>
    <w:pPr>
      <w:numPr>
        <w:numId w:val="28"/>
      </w:numPr>
    </w:pPr>
  </w:style>
  <w:style w:type="numbering" w:customStyle="1" w:styleId="PPOLISTBlackNumbersinbrackets">
    <w:name w:val="(PPO LIST) Black Numbers in brackets"/>
    <w:uiPriority w:val="99"/>
    <w:pPr>
      <w:numPr>
        <w:numId w:val="29"/>
      </w:numPr>
    </w:pPr>
  </w:style>
  <w:style w:type="paragraph" w:customStyle="1" w:styleId="PPOBlackBULLETS-L1">
    <w:name w:val="(PPO) Black BULLETS - L1"/>
    <w:basedOn w:val="Normal"/>
    <w:semiHidden/>
    <w:qFormat/>
    <w:pPr>
      <w:widowControl w:val="0"/>
      <w:spacing w:after="60" w:line="200" w:lineRule="exact"/>
      <w:ind w:left="499"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BULLETS-L1nobullettext">
    <w:name w:val="(PPO) Black BULLETS - L1 (no bullet text)"/>
    <w:basedOn w:val="PPOBlackBULLETS-L1"/>
    <w:semiHidden/>
    <w:qFormat/>
    <w:pPr>
      <w:ind w:firstLine="0"/>
    </w:pPr>
  </w:style>
  <w:style w:type="paragraph" w:customStyle="1" w:styleId="PPOBlackBULLETS-L2">
    <w:name w:val="(PPO) Black BULLETS - L2"/>
    <w:basedOn w:val="Normal"/>
    <w:semiHidden/>
    <w:qFormat/>
    <w:pPr>
      <w:widowControl w:val="0"/>
      <w:spacing w:after="60" w:line="200" w:lineRule="exact"/>
      <w:ind w:left="1077" w:hanging="357"/>
      <w:jc w:val="both"/>
    </w:pPr>
    <w:rPr>
      <w:rFonts w:ascii="EC Square Sans Cond Pro" w:eastAsia="EC Square Sans Cond Pro Medium" w:hAnsi="EC Square Sans Cond Pro" w:cs="EC Square Sans Cond Pro Medium"/>
      <w:bCs/>
      <w:color w:val="000000" w:themeColor="text1"/>
      <w:sz w:val="18"/>
      <w:szCs w:val="17"/>
    </w:rPr>
  </w:style>
  <w:style w:type="paragraph" w:customStyle="1" w:styleId="PPOBlackNumberinBracketsLIST-L1">
    <w:name w:val="(PPO) Black Number in Brackets LIST - L1"/>
    <w:basedOn w:val="BASE-STYLE-TEXT"/>
    <w:semiHidden/>
    <w:qFormat/>
    <w:pPr>
      <w:numPr>
        <w:numId w:val="30"/>
      </w:numPr>
      <w:spacing w:after="60" w:line="200" w:lineRule="exact"/>
    </w:pPr>
    <w:rPr>
      <w:rFonts w:ascii="EC Square Sans Cond Pro" w:hAnsi="EC Square Sans Cond Pro"/>
      <w:bCs/>
      <w:szCs w:val="18"/>
    </w:rPr>
  </w:style>
  <w:style w:type="paragraph" w:customStyle="1" w:styleId="PPObodyText">
    <w:name w:val="(PPO) bodyText"/>
    <w:basedOn w:val="Normal"/>
    <w:semiHidden/>
    <w:qFormat/>
    <w:pPr>
      <w:jc w:val="both"/>
    </w:pPr>
    <w:rPr>
      <w:rFonts w:ascii="EC Square Sans Cond Pro" w:eastAsia="Times New Roman" w:hAnsi="EC Square Sans Cond Pro" w:cs="EC Square Sans Cond Pro"/>
      <w:color w:val="000000"/>
      <w:sz w:val="18"/>
      <w:szCs w:val="18"/>
    </w:rPr>
  </w:style>
  <w:style w:type="character" w:customStyle="1" w:styleId="PPOChar-Hyperlink">
    <w:name w:val="(PPO) Char - Hyperlink"/>
    <w:uiPriority w:val="1"/>
    <w:semiHidden/>
    <w:qFormat/>
    <w:rPr>
      <w:color w:val="0000FF"/>
    </w:rPr>
  </w:style>
  <w:style w:type="paragraph" w:customStyle="1" w:styleId="PPOExamplesTABLEHeader">
    <w:name w:val="(PPO) Examples TABLE Header"/>
    <w:basedOn w:val="BASE-STYLE-TEXT"/>
    <w:semiHidden/>
    <w:qFormat/>
    <w:pPr>
      <w:spacing w:before="60" w:after="0" w:line="200" w:lineRule="exact"/>
      <w:jc w:val="center"/>
    </w:pPr>
    <w:rPr>
      <w:rFonts w:asciiTheme="minorHAnsi" w:hAnsiTheme="minorHAnsi" w:cstheme="minorBidi"/>
      <w:b/>
      <w:bCs/>
      <w:color w:val="FFFFFF" w:themeColor="background1"/>
      <w:sz w:val="22"/>
      <w:szCs w:val="17"/>
      <w:lang w:eastAsia="en-GB"/>
    </w:rPr>
  </w:style>
  <w:style w:type="paragraph" w:customStyle="1" w:styleId="PPOExamplesTABLEText">
    <w:name w:val="(PPO) Examples TABLE Text"/>
    <w:basedOn w:val="Normal"/>
    <w:semiHidden/>
    <w:qFormat/>
    <w:pPr>
      <w:spacing w:after="0" w:line="160" w:lineRule="exact"/>
    </w:pPr>
    <w:rPr>
      <w:rFonts w:eastAsiaTheme="minorEastAsia"/>
      <w:sz w:val="17"/>
      <w:szCs w:val="17"/>
      <w:lang w:eastAsia="en-GB"/>
    </w:rPr>
  </w:style>
  <w:style w:type="paragraph" w:customStyle="1" w:styleId="PPORunningheader-rightside">
    <w:name w:val="(PPO) Running header - right side"/>
    <w:basedOn w:val="BASE-STYLE-TEXT"/>
    <w:semiHidden/>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semiHidden/>
    <w:qFormat/>
    <w:pPr>
      <w:ind w:right="0" w:firstLine="284"/>
      <w:jc w:val="left"/>
    </w:pPr>
  </w:style>
  <w:style w:type="paragraph" w:customStyle="1" w:styleId="PPOsidebarchartLegends">
    <w:name w:val="(PPO) sidebar chart Legends"/>
    <w:basedOn w:val="BASE-STYLE-TEXT"/>
    <w:semiHidden/>
    <w:qFormat/>
    <w:pPr>
      <w:spacing w:after="100"/>
      <w:ind w:left="397" w:firstLine="720"/>
      <w:jc w:val="left"/>
    </w:pPr>
    <w:rPr>
      <w:rFonts w:asciiTheme="minorHAnsi" w:hAnsiTheme="minorHAnsi" w:cstheme="minorBidi"/>
      <w:bCs/>
      <w:color w:val="auto"/>
      <w:sz w:val="16"/>
      <w:szCs w:val="14"/>
    </w:rPr>
  </w:style>
  <w:style w:type="paragraph" w:customStyle="1" w:styleId="PPOsidebartext">
    <w:name w:val="(PPO) sidebar text"/>
    <w:basedOn w:val="BASE-STYLE-TEXT"/>
    <w:semiHidden/>
    <w:qFormat/>
    <w:pPr>
      <w:spacing w:after="0"/>
      <w:jc w:val="right"/>
    </w:pPr>
    <w:rPr>
      <w:rFonts w:ascii="EC Square Sans Cond Pro" w:hAnsi="EC Square Sans Cond Pro"/>
      <w:bCs/>
      <w:szCs w:val="18"/>
    </w:rPr>
  </w:style>
  <w:style w:type="paragraph" w:customStyle="1" w:styleId="PPOsidebarchartPlaceholder">
    <w:name w:val="(PPO) sidebar chart Placeholder"/>
    <w:basedOn w:val="PPOsidebartext"/>
    <w:semiHidden/>
    <w:qFormat/>
    <w:pPr>
      <w:spacing w:before="160" w:after="160"/>
      <w:ind w:left="284"/>
    </w:pPr>
    <w:rPr>
      <w:noProof/>
      <w:lang w:eastAsia="en-GB"/>
    </w:rPr>
  </w:style>
  <w:style w:type="paragraph" w:customStyle="1" w:styleId="PPOsidebarLegalBasisBOXHeading">
    <w:name w:val="(PPO) sidebar Legal Basis BOX Heading"/>
    <w:basedOn w:val="BASE-STYLE-TEXT"/>
    <w:semiHidden/>
    <w:qFormat/>
    <w:pPr>
      <w:spacing w:after="160"/>
      <w:jc w:val="right"/>
    </w:pPr>
    <w:rPr>
      <w:rFonts w:cstheme="minorBidi"/>
      <w:b/>
      <w:bCs/>
      <w:color w:val="FFFFFF" w:themeColor="background1"/>
      <w:sz w:val="16"/>
    </w:rPr>
  </w:style>
  <w:style w:type="paragraph" w:customStyle="1" w:styleId="PPOsidebarLegalBasisBOXtext">
    <w:name w:val="(PPO) sidebar Legal Basis BOX text"/>
    <w:basedOn w:val="BASE-STYLE-TEXT"/>
    <w:semiHidden/>
    <w:qFormat/>
    <w:pPr>
      <w:spacing w:after="0"/>
      <w:jc w:val="right"/>
    </w:pPr>
    <w:rPr>
      <w:rFonts w:cstheme="minorBidi"/>
      <w:bCs/>
      <w:color w:val="FFFFFF" w:themeColor="background1"/>
      <w:sz w:val="14"/>
      <w:szCs w:val="14"/>
    </w:rPr>
  </w:style>
  <w:style w:type="paragraph" w:customStyle="1" w:styleId="PPOsidebarTableplaceholder">
    <w:name w:val="(PPO) sidebar Table placeholder"/>
    <w:basedOn w:val="BASE-STYLE-TEXT"/>
    <w:semiHidden/>
    <w:qFormat/>
    <w:pPr>
      <w:spacing w:line="276" w:lineRule="auto"/>
      <w:jc w:val="left"/>
    </w:pPr>
    <w:rPr>
      <w:rFonts w:asciiTheme="minorHAnsi" w:hAnsiTheme="minorHAnsi" w:cstheme="minorBidi"/>
      <w:bCs/>
      <w:color w:val="auto"/>
      <w:szCs w:val="22"/>
    </w:rPr>
  </w:style>
  <w:style w:type="paragraph" w:customStyle="1" w:styleId="PPOsidebarTabletext">
    <w:name w:val="(PPO) sidebar Table text"/>
    <w:basedOn w:val="BASE-STYLE-TEXT"/>
    <w:semiHidden/>
    <w:qFormat/>
    <w:pPr>
      <w:widowControl w:val="0"/>
      <w:spacing w:after="100" w:afterAutospacing="1" w:line="160" w:lineRule="exact"/>
      <w:jc w:val="center"/>
    </w:pPr>
    <w:rPr>
      <w:rFonts w:eastAsia="EC Square Sans Cond Pro Medium" w:cs="EC Square Sans Cond Pro Medium"/>
      <w:szCs w:val="15"/>
    </w:rPr>
  </w:style>
  <w:style w:type="paragraph" w:customStyle="1" w:styleId="PPOsidebarTabletext-rightaligned">
    <w:name w:val="(PPO) sidebar Table text - right aligned"/>
    <w:basedOn w:val="PPOsidebarTabletext"/>
    <w:semiHidden/>
    <w:qFormat/>
    <w:pPr>
      <w:jc w:val="right"/>
    </w:pPr>
  </w:style>
  <w:style w:type="paragraph" w:customStyle="1" w:styleId="PPOSpecificobjectivesBOX-Subheading">
    <w:name w:val="(PPO) Specific objectives BOX - Subheading"/>
    <w:basedOn w:val="BASE-STYLE-TEXT"/>
    <w:semiHidden/>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semiHidden/>
    <w:qFormat/>
    <w:pPr>
      <w:autoSpaceDE w:val="0"/>
      <w:autoSpaceDN w:val="0"/>
      <w:adjustRightInd w:val="0"/>
      <w:spacing w:before="160" w:after="120" w:line="181" w:lineRule="atLeast"/>
    </w:pPr>
    <w:rPr>
      <w:b/>
      <w:color w:val="28296E"/>
      <w:sz w:val="21"/>
    </w:rPr>
  </w:style>
  <w:style w:type="paragraph" w:customStyle="1" w:styleId="PPOTitle3-nospacebefore">
    <w:name w:val="(PPO) Title 3 - no space before"/>
    <w:basedOn w:val="PPOTitle3"/>
    <w:semiHidden/>
    <w:qFormat/>
    <w:pPr>
      <w:spacing w:before="0"/>
    </w:pPr>
  </w:style>
  <w:style w:type="paragraph" w:customStyle="1" w:styleId="PPOTitle3-pagebreakbefore">
    <w:name w:val="(PPO) Title 3 - page break before"/>
    <w:basedOn w:val="PPOTitle3"/>
    <w:semiHidden/>
    <w:qFormat/>
    <w:pPr>
      <w:pageBreakBefore/>
    </w:pPr>
  </w:style>
  <w:style w:type="paragraph" w:customStyle="1" w:styleId="PPOTitle4-BlackBold9pt">
    <w:name w:val="(PPO) Title 4 - Black Bold 9pt"/>
    <w:basedOn w:val="BASE-STYLE-TEXT"/>
    <w:semiHidden/>
    <w:qFormat/>
    <w:pPr>
      <w:spacing w:before="160" w:after="60"/>
    </w:pPr>
    <w:rPr>
      <w:rFonts w:ascii="EC Square Sans Cond Pro" w:hAnsi="EC Square Sans Cond Pro"/>
      <w:b/>
      <w:szCs w:val="18"/>
    </w:rPr>
  </w:style>
  <w:style w:type="paragraph" w:customStyle="1" w:styleId="PPOVotedbudgetTABLEHeaderLeftcol">
    <w:name w:val="(PPO) Voted budget TABLE Header Left col"/>
    <w:basedOn w:val="BASE-STYLE-TEXT"/>
    <w:semiHidden/>
    <w:qFormat/>
    <w:pPr>
      <w:framePr w:hSpace="181" w:wrap="around" w:vAnchor="page" w:hAnchor="page" w:x="3448" w:y="13530"/>
      <w:spacing w:after="100" w:afterAutospacing="1"/>
      <w:ind w:left="190" w:right="227"/>
      <w:suppressOverlap/>
      <w:jc w:val="right"/>
    </w:pPr>
    <w:rPr>
      <w:rFonts w:cstheme="minorBidi"/>
      <w:bCs/>
      <w:color w:val="FFFFFF" w:themeColor="background1"/>
      <w:szCs w:val="22"/>
    </w:rPr>
  </w:style>
  <w:style w:type="paragraph" w:customStyle="1" w:styleId="PPOVotedbudgetTABLEHeaderRightcol">
    <w:name w:val="(PPO) Voted budget TABLE Header Right col"/>
    <w:basedOn w:val="PPOVotedbudgetTABLEHeaderLeftcol"/>
    <w:semiHidden/>
    <w:qFormat/>
    <w:pPr>
      <w:framePr w:wrap="around"/>
      <w:ind w:left="227" w:right="0"/>
      <w:jc w:val="left"/>
    </w:pPr>
  </w:style>
  <w:style w:type="paragraph" w:customStyle="1" w:styleId="PPO1AsidebarchartCenterText">
    <w:name w:val="(PPO_1A) sidebar chart Center Text"/>
    <w:basedOn w:val="BASE-STYLE-TEXT"/>
    <w:semiHidden/>
    <w:qFormat/>
    <w:pPr>
      <w:spacing w:after="120" w:line="240" w:lineRule="auto"/>
      <w:jc w:val="center"/>
    </w:pPr>
    <w:rPr>
      <w:rFonts w:cstheme="minorBidi"/>
      <w:bCs/>
      <w:color w:val="00ADDC"/>
      <w:sz w:val="22"/>
      <w:szCs w:val="22"/>
    </w:rPr>
  </w:style>
  <w:style w:type="paragraph" w:customStyle="1" w:styleId="PPO1AsidebarTablecaption">
    <w:name w:val="(PPO_1A)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00ADDC"/>
      <w:sz w:val="16"/>
      <w:shd w:val="clear" w:color="auto" w:fill="FFFFFF"/>
    </w:rPr>
  </w:style>
  <w:style w:type="paragraph" w:customStyle="1" w:styleId="PPO1AsidebarTitleBlue">
    <w:name w:val="(PPO_1A) sidebar Title Blue"/>
    <w:basedOn w:val="BASE-STYLE-TEXT"/>
    <w:semiHidden/>
    <w:qFormat/>
    <w:pPr>
      <w:autoSpaceDE w:val="0"/>
      <w:autoSpaceDN w:val="0"/>
      <w:adjustRightInd w:val="0"/>
      <w:spacing w:before="340" w:after="40" w:line="240" w:lineRule="auto"/>
      <w:jc w:val="right"/>
    </w:pPr>
    <w:rPr>
      <w:rFonts w:ascii="EC Square Sans Cond Pro" w:hAnsi="EC Square Sans Cond Pro"/>
      <w:b/>
      <w:color w:val="28296E"/>
      <w:sz w:val="16"/>
    </w:rPr>
  </w:style>
  <w:style w:type="paragraph" w:customStyle="1" w:styleId="PPO1AsidebarTitleLightBlue">
    <w:name w:val="(PPO_1A) sidebar Title Light Blue"/>
    <w:basedOn w:val="BASE-STYLE-TEXT"/>
    <w:semiHidden/>
    <w:qFormat/>
    <w:pPr>
      <w:autoSpaceDE w:val="0"/>
      <w:autoSpaceDN w:val="0"/>
      <w:adjustRightInd w:val="0"/>
      <w:spacing w:before="440" w:after="60" w:line="241" w:lineRule="atLeast"/>
      <w:jc w:val="right"/>
    </w:pPr>
    <w:rPr>
      <w:rFonts w:ascii="EC Square Sans Cond Pro" w:hAnsi="EC Square Sans Cond Pro"/>
      <w:b/>
      <w:color w:val="00ADDC"/>
      <w:sz w:val="21"/>
    </w:rPr>
  </w:style>
  <w:style w:type="paragraph" w:customStyle="1" w:styleId="PPO1ASpecificobjectivesBOX-BulletLightBlue">
    <w:name w:val="(PPO_1A) Specific objectives BOX - Bullet Light Blue"/>
    <w:basedOn w:val="BASE-STYLE-TEXT"/>
    <w:semiHidden/>
    <w:qFormat/>
    <w:pPr>
      <w:numPr>
        <w:numId w:val="31"/>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semiHidden/>
    <w:qFormat/>
    <w:pPr>
      <w:spacing w:before="140" w:after="120"/>
      <w:ind w:left="-119" w:right="-16" w:firstLine="9"/>
      <w:jc w:val="left"/>
    </w:pPr>
    <w:rPr>
      <w:rFonts w:ascii="EC Square Sans Cond Pro" w:hAnsi="EC Square Sans Cond Pro"/>
      <w:b/>
      <w:color w:val="00ADDC"/>
      <w:sz w:val="21"/>
    </w:rPr>
  </w:style>
  <w:style w:type="numbering" w:customStyle="1" w:styleId="PPO1ASpecificObjectivesBulletsLIST">
    <w:name w:val="(PPO_1A) Specific Objectives Bullets (LIST)"/>
    <w:uiPriority w:val="99"/>
    <w:pPr>
      <w:numPr>
        <w:numId w:val="31"/>
      </w:numPr>
    </w:pPr>
  </w:style>
  <w:style w:type="paragraph" w:customStyle="1" w:styleId="PPO1ATitle1">
    <w:name w:val="(PPO_1A)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semiHidden/>
    <w:qFormat/>
    <w:pPr>
      <w:spacing w:before="60" w:after="60" w:line="240" w:lineRule="auto"/>
      <w:jc w:val="left"/>
    </w:pPr>
    <w:rPr>
      <w:rFonts w:cstheme="minorBidi"/>
      <w:bCs/>
      <w:color w:val="00ADDC"/>
      <w:sz w:val="22"/>
      <w:szCs w:val="22"/>
    </w:rPr>
  </w:style>
  <w:style w:type="paragraph" w:customStyle="1" w:styleId="PPO1AVotedbudgetTABLEtextBlue">
    <w:name w:val="(PPO_1A)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1BsidebarchartCenterText">
    <w:name w:val="(PPO_1B) sidebar chart Center Text"/>
    <w:basedOn w:val="BASE-STYLE-TEXT"/>
    <w:semiHidden/>
    <w:qFormat/>
    <w:pPr>
      <w:spacing w:after="120" w:line="240" w:lineRule="auto"/>
      <w:jc w:val="center"/>
    </w:pPr>
    <w:rPr>
      <w:rFonts w:cstheme="minorBidi"/>
      <w:bCs/>
      <w:color w:val="18BAA8"/>
      <w:sz w:val="22"/>
      <w:szCs w:val="22"/>
    </w:rPr>
  </w:style>
  <w:style w:type="paragraph" w:customStyle="1" w:styleId="PPO1BsidebarTablecaption">
    <w:name w:val="(PPO_1B)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18BAA8"/>
      <w:sz w:val="16"/>
      <w:shd w:val="clear" w:color="auto" w:fill="FFFFFF"/>
    </w:rPr>
  </w:style>
  <w:style w:type="paragraph" w:customStyle="1" w:styleId="PPO1BsidebarTitleDarkGreen">
    <w:name w:val="(PPO_1B) sidebar Title DarkGreen"/>
    <w:basedOn w:val="BASE-STYLE-TEXT"/>
    <w:semiHidden/>
    <w:qFormat/>
    <w:pPr>
      <w:autoSpaceDE w:val="0"/>
      <w:autoSpaceDN w:val="0"/>
      <w:adjustRightInd w:val="0"/>
      <w:spacing w:before="340" w:after="40" w:line="240" w:lineRule="auto"/>
      <w:jc w:val="right"/>
    </w:pPr>
    <w:rPr>
      <w:rFonts w:ascii="EC Square Sans Cond Pro" w:hAnsi="EC Square Sans Cond Pro"/>
      <w:b/>
      <w:color w:val="128C7D"/>
      <w:sz w:val="16"/>
    </w:rPr>
  </w:style>
  <w:style w:type="paragraph" w:customStyle="1" w:styleId="PPO1BsidebarTitleTurquoise">
    <w:name w:val="(PPO_1B) sidebar Title Turquoise"/>
    <w:basedOn w:val="BASE-STYLE-TEXT"/>
    <w:semiHidden/>
    <w:qFormat/>
    <w:pPr>
      <w:autoSpaceDE w:val="0"/>
      <w:autoSpaceDN w:val="0"/>
      <w:adjustRightInd w:val="0"/>
      <w:spacing w:before="440" w:after="60" w:line="241" w:lineRule="atLeast"/>
      <w:jc w:val="right"/>
    </w:pPr>
    <w:rPr>
      <w:rFonts w:ascii="EC Square Sans Cond Pro" w:hAnsi="EC Square Sans Cond Pro"/>
      <w:b/>
      <w:color w:val="18BAA8"/>
      <w:sz w:val="21"/>
    </w:rPr>
  </w:style>
  <w:style w:type="paragraph" w:customStyle="1" w:styleId="PPO1BSpecificobjectivesBOX-BulletTurquoise">
    <w:name w:val="(PPO_1B) Specific objectives BOX - Bullet Turquoise"/>
    <w:basedOn w:val="BASE-STYLE-TEXT"/>
    <w:semiHidden/>
    <w:qFormat/>
    <w:pPr>
      <w:numPr>
        <w:numId w:val="32"/>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semiHidden/>
    <w:qFormat/>
    <w:pPr>
      <w:spacing w:before="140" w:after="120"/>
      <w:ind w:left="-119" w:right="-16" w:firstLine="9"/>
      <w:jc w:val="left"/>
    </w:pPr>
    <w:rPr>
      <w:rFonts w:ascii="EC Square Sans Cond Pro" w:hAnsi="EC Square Sans Cond Pro"/>
      <w:b/>
      <w:color w:val="18BAA8"/>
      <w:sz w:val="21"/>
    </w:rPr>
  </w:style>
  <w:style w:type="numbering" w:customStyle="1" w:styleId="PPO1BSpecificObjectivesBulletsLIST">
    <w:name w:val="(PPO_1B) Specific Objectives Bullets (LIST)"/>
    <w:uiPriority w:val="99"/>
    <w:pPr>
      <w:numPr>
        <w:numId w:val="32"/>
      </w:numPr>
    </w:pPr>
  </w:style>
  <w:style w:type="paragraph" w:customStyle="1" w:styleId="PPO1BTitle1">
    <w:name w:val="(PPO_1B) Title 1"/>
    <w:basedOn w:val="BASE-STYLE-HEADINGS"/>
    <w:semiHidden/>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semiHidden/>
    <w:qFormat/>
    <w:pPr>
      <w:spacing w:before="60" w:after="60" w:line="240" w:lineRule="auto"/>
      <w:jc w:val="left"/>
    </w:pPr>
    <w:rPr>
      <w:rFonts w:cstheme="minorBidi"/>
      <w:bCs/>
      <w:color w:val="18BAA8"/>
      <w:sz w:val="22"/>
      <w:szCs w:val="22"/>
    </w:rPr>
  </w:style>
  <w:style w:type="paragraph" w:customStyle="1" w:styleId="PPO1BVotedbudgetTABLEtextTurquoise">
    <w:name w:val="(PPO_1B) Voted budget TABLE text Turquois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18BAA8"/>
      <w:sz w:val="22"/>
      <w:szCs w:val="22"/>
    </w:rPr>
  </w:style>
  <w:style w:type="paragraph" w:customStyle="1" w:styleId="PPO2sidebarchartCenterText">
    <w:name w:val="(PPO_2) sidebar chart Center Text"/>
    <w:basedOn w:val="BASE-STYLE-TEXT"/>
    <w:semiHidden/>
    <w:qFormat/>
    <w:pPr>
      <w:spacing w:after="120" w:line="240" w:lineRule="auto"/>
      <w:jc w:val="center"/>
    </w:pPr>
    <w:rPr>
      <w:rFonts w:cstheme="minorBidi"/>
      <w:bCs/>
      <w:color w:val="9ACA3C"/>
      <w:sz w:val="22"/>
      <w:szCs w:val="22"/>
    </w:rPr>
  </w:style>
  <w:style w:type="paragraph" w:customStyle="1" w:styleId="PPO2sidebarTablecaption">
    <w:name w:val="(PPO_2)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9ACA3C"/>
      <w:sz w:val="16"/>
      <w:shd w:val="clear" w:color="auto" w:fill="FFFFFF"/>
    </w:rPr>
  </w:style>
  <w:style w:type="paragraph" w:customStyle="1" w:styleId="PPO2sidebarTitleOlive">
    <w:name w:val="(PPO_2) sidebar Title Olive"/>
    <w:basedOn w:val="BASE-STYLE-TEXT"/>
    <w:semiHidden/>
    <w:qFormat/>
    <w:pPr>
      <w:autoSpaceDE w:val="0"/>
      <w:autoSpaceDN w:val="0"/>
      <w:adjustRightInd w:val="0"/>
      <w:spacing w:before="340" w:after="40" w:line="240" w:lineRule="auto"/>
      <w:jc w:val="right"/>
    </w:pPr>
    <w:rPr>
      <w:rFonts w:ascii="EC Square Sans Cond Pro" w:hAnsi="EC Square Sans Cond Pro"/>
      <w:b/>
      <w:color w:val="668725"/>
      <w:sz w:val="16"/>
    </w:rPr>
  </w:style>
  <w:style w:type="paragraph" w:customStyle="1" w:styleId="PPO2sidebarTitleSpringGreen">
    <w:name w:val="(PPO_2) sidebar Title SpringGreen"/>
    <w:basedOn w:val="BASE-STYLE-TEXT"/>
    <w:semiHidden/>
    <w:qFormat/>
    <w:pPr>
      <w:autoSpaceDE w:val="0"/>
      <w:autoSpaceDN w:val="0"/>
      <w:adjustRightInd w:val="0"/>
      <w:spacing w:before="440" w:after="60" w:line="241" w:lineRule="atLeast"/>
      <w:jc w:val="right"/>
    </w:pPr>
    <w:rPr>
      <w:rFonts w:ascii="EC Square Sans Cond Pro" w:hAnsi="EC Square Sans Cond Pro"/>
      <w:b/>
      <w:color w:val="9ACA3C"/>
      <w:sz w:val="21"/>
    </w:rPr>
  </w:style>
  <w:style w:type="paragraph" w:customStyle="1" w:styleId="PPO2SpecificobjectivesBOX-BulletSpringGreen">
    <w:name w:val="(PPO_2) Specific objectives BOX - Bullet SpringGreen"/>
    <w:basedOn w:val="BASE-STYLE-TEXT"/>
    <w:semiHidden/>
    <w:qFormat/>
    <w:pPr>
      <w:numPr>
        <w:numId w:val="33"/>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semiHidden/>
    <w:qFormat/>
    <w:pPr>
      <w:spacing w:before="140" w:after="120"/>
      <w:ind w:left="-119" w:right="-16" w:firstLine="9"/>
      <w:jc w:val="left"/>
    </w:pPr>
    <w:rPr>
      <w:rFonts w:ascii="EC Square Sans Cond Pro" w:hAnsi="EC Square Sans Cond Pro"/>
      <w:b/>
      <w:color w:val="9ACA3C"/>
      <w:sz w:val="21"/>
    </w:rPr>
  </w:style>
  <w:style w:type="numbering" w:customStyle="1" w:styleId="PPO2SpecificObjectivesBulletsLIST">
    <w:name w:val="(PPO_2) Specific Objectives Bullets (LIST)"/>
    <w:uiPriority w:val="99"/>
    <w:pPr>
      <w:numPr>
        <w:numId w:val="33"/>
      </w:numPr>
    </w:pPr>
  </w:style>
  <w:style w:type="paragraph" w:customStyle="1" w:styleId="PPO2Title1">
    <w:name w:val="(PPO_2) Title 1"/>
    <w:basedOn w:val="BASE-STYLE-HEADINGS"/>
    <w:semiHidden/>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semiHidden/>
    <w:qFormat/>
    <w:pPr>
      <w:spacing w:before="60" w:after="60" w:line="240" w:lineRule="auto"/>
      <w:jc w:val="left"/>
    </w:pPr>
    <w:rPr>
      <w:rFonts w:cstheme="minorBidi"/>
      <w:bCs/>
      <w:color w:val="9ACA3C"/>
      <w:sz w:val="22"/>
      <w:szCs w:val="22"/>
    </w:rPr>
  </w:style>
  <w:style w:type="paragraph" w:customStyle="1" w:styleId="PPO2VotedbudgetTABLEtextSpringGreen">
    <w:name w:val="(PPO_2) Voted budget TABLE text SpringGree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9ACA3C"/>
      <w:sz w:val="22"/>
      <w:szCs w:val="22"/>
    </w:rPr>
  </w:style>
  <w:style w:type="paragraph" w:customStyle="1" w:styleId="PPO3sidebarchartCenterText">
    <w:name w:val="(PPO_3) sidebar chart Center Text"/>
    <w:basedOn w:val="BASE-STYLE-TEXT"/>
    <w:semiHidden/>
    <w:qFormat/>
    <w:pPr>
      <w:spacing w:after="120" w:line="240" w:lineRule="auto"/>
      <w:jc w:val="center"/>
    </w:pPr>
    <w:rPr>
      <w:rFonts w:cstheme="minorBidi"/>
      <w:bCs/>
      <w:color w:val="585EAA"/>
      <w:sz w:val="22"/>
      <w:szCs w:val="22"/>
    </w:rPr>
  </w:style>
  <w:style w:type="paragraph" w:customStyle="1" w:styleId="PPO3sidebarTablecaption">
    <w:name w:val="(PPO_3)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585EAA"/>
      <w:sz w:val="16"/>
      <w:shd w:val="clear" w:color="auto" w:fill="FFFFFF"/>
    </w:rPr>
  </w:style>
  <w:style w:type="paragraph" w:customStyle="1" w:styleId="PPO3sidebarTitleDarkBlue">
    <w:name w:val="(PPO_3) sidebar Title DarkBlue"/>
    <w:basedOn w:val="BASE-STYLE-TEXT"/>
    <w:semiHidden/>
    <w:qFormat/>
    <w:pPr>
      <w:autoSpaceDE w:val="0"/>
      <w:autoSpaceDN w:val="0"/>
      <w:adjustRightInd w:val="0"/>
      <w:spacing w:before="340" w:after="40" w:line="240" w:lineRule="auto"/>
      <w:jc w:val="right"/>
    </w:pPr>
    <w:rPr>
      <w:rFonts w:ascii="EC Square Sans Cond Pro" w:hAnsi="EC Square Sans Cond Pro"/>
      <w:b/>
      <w:color w:val="333663"/>
      <w:sz w:val="16"/>
    </w:rPr>
  </w:style>
  <w:style w:type="paragraph" w:customStyle="1" w:styleId="PPO3sidebarTitlePurple">
    <w:name w:val="(PPO_3) sidebar Title Purple"/>
    <w:basedOn w:val="BASE-STYLE-TEXT"/>
    <w:semiHidden/>
    <w:qFormat/>
    <w:pPr>
      <w:autoSpaceDE w:val="0"/>
      <w:autoSpaceDN w:val="0"/>
      <w:adjustRightInd w:val="0"/>
      <w:spacing w:before="440" w:after="60" w:line="241" w:lineRule="atLeast"/>
      <w:jc w:val="right"/>
    </w:pPr>
    <w:rPr>
      <w:rFonts w:ascii="EC Square Sans Cond Pro" w:hAnsi="EC Square Sans Cond Pro"/>
      <w:b/>
      <w:color w:val="585EAA"/>
      <w:sz w:val="21"/>
    </w:rPr>
  </w:style>
  <w:style w:type="paragraph" w:customStyle="1" w:styleId="PPO3SpecificobjectivesBOX-BulletPurple">
    <w:name w:val="(PPO_3) Specific objectives BOX - Bullet Purple"/>
    <w:basedOn w:val="BASE-STYLE-TEXT"/>
    <w:semiHidden/>
    <w:qFormat/>
    <w:pPr>
      <w:numPr>
        <w:numId w:val="34"/>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semiHidden/>
    <w:qFormat/>
    <w:pPr>
      <w:spacing w:before="140" w:after="120"/>
      <w:ind w:left="-119" w:right="-16" w:firstLine="9"/>
      <w:jc w:val="left"/>
    </w:pPr>
    <w:rPr>
      <w:rFonts w:ascii="EC Square Sans Cond Pro" w:hAnsi="EC Square Sans Cond Pro"/>
      <w:b/>
      <w:color w:val="585EAA"/>
      <w:sz w:val="21"/>
    </w:rPr>
  </w:style>
  <w:style w:type="numbering" w:customStyle="1" w:styleId="PPO3SpecificObjectivesBulletsLIST">
    <w:name w:val="(PPO_3) Specific Objectives Bullets (LIST)"/>
    <w:uiPriority w:val="99"/>
    <w:pPr>
      <w:numPr>
        <w:numId w:val="34"/>
      </w:numPr>
    </w:pPr>
  </w:style>
  <w:style w:type="paragraph" w:customStyle="1" w:styleId="PPO3Title1">
    <w:name w:val="(PPO_3) Title 1"/>
    <w:basedOn w:val="BASE-STYLE-HEADINGS"/>
    <w:semiHidden/>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semiHidden/>
    <w:qFormat/>
    <w:pPr>
      <w:spacing w:before="60" w:after="60" w:line="240" w:lineRule="auto"/>
      <w:jc w:val="left"/>
    </w:pPr>
    <w:rPr>
      <w:rFonts w:cstheme="minorBidi"/>
      <w:bCs/>
      <w:color w:val="585EAA"/>
      <w:sz w:val="22"/>
      <w:szCs w:val="22"/>
    </w:rPr>
  </w:style>
  <w:style w:type="paragraph" w:customStyle="1" w:styleId="PPO3VotedbudgetTABLEtextBlue">
    <w:name w:val="(PPO_3) Voted budget TABLE text 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0070C0"/>
      <w:sz w:val="22"/>
      <w:szCs w:val="22"/>
    </w:rPr>
  </w:style>
  <w:style w:type="paragraph" w:customStyle="1" w:styleId="PPO4sidebarchartCenterText">
    <w:name w:val="(PPO_4) sidebar chart Center Text"/>
    <w:basedOn w:val="BASE-STYLE-TEXT"/>
    <w:semiHidden/>
    <w:qFormat/>
    <w:pPr>
      <w:spacing w:after="120" w:line="240" w:lineRule="auto"/>
      <w:jc w:val="center"/>
    </w:pPr>
    <w:rPr>
      <w:rFonts w:cstheme="minorBidi"/>
      <w:bCs/>
      <w:color w:val="F68A42"/>
      <w:sz w:val="22"/>
      <w:szCs w:val="22"/>
    </w:rPr>
  </w:style>
  <w:style w:type="paragraph" w:customStyle="1" w:styleId="PPO4sidebarTablecaption">
    <w:name w:val="(PPO_4)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F68A42"/>
      <w:sz w:val="16"/>
      <w:shd w:val="clear" w:color="auto" w:fill="FFFFFF"/>
    </w:rPr>
  </w:style>
  <w:style w:type="paragraph" w:customStyle="1" w:styleId="PPO4sidebarTitleBrown">
    <w:name w:val="(PPO_4) sidebar Title Brown"/>
    <w:basedOn w:val="BASE-STYLE-TEXT"/>
    <w:semiHidden/>
    <w:qFormat/>
    <w:pPr>
      <w:autoSpaceDE w:val="0"/>
      <w:autoSpaceDN w:val="0"/>
      <w:adjustRightInd w:val="0"/>
      <w:spacing w:before="340" w:after="40" w:line="240" w:lineRule="auto"/>
      <w:jc w:val="right"/>
    </w:pPr>
    <w:rPr>
      <w:rFonts w:ascii="EC Square Sans Cond Pro" w:hAnsi="EC Square Sans Cond Pro"/>
      <w:b/>
      <w:color w:val="B74F09"/>
      <w:sz w:val="16"/>
    </w:rPr>
  </w:style>
  <w:style w:type="paragraph" w:customStyle="1" w:styleId="PPO4sidebarTitleLightBrown">
    <w:name w:val="(PPO_4) sidebar Title Light Brown"/>
    <w:basedOn w:val="BASE-STYLE-TEXT"/>
    <w:semiHidden/>
    <w:qFormat/>
    <w:pPr>
      <w:autoSpaceDE w:val="0"/>
      <w:autoSpaceDN w:val="0"/>
      <w:adjustRightInd w:val="0"/>
      <w:spacing w:before="440" w:after="60" w:line="241" w:lineRule="atLeast"/>
      <w:jc w:val="right"/>
    </w:pPr>
    <w:rPr>
      <w:rFonts w:ascii="EC Square Sans Cond Pro" w:hAnsi="EC Square Sans Cond Pro"/>
      <w:b/>
      <w:color w:val="F68A42"/>
      <w:sz w:val="21"/>
    </w:rPr>
  </w:style>
  <w:style w:type="paragraph" w:customStyle="1" w:styleId="PPO4SpecificobjectivesBOX-BulletLightBrown">
    <w:name w:val="(PPO_4) Specific objectives BOX - Bullet LightBrown"/>
    <w:basedOn w:val="BASE-STYLE-TEXT"/>
    <w:semiHidden/>
    <w:qFormat/>
    <w:pPr>
      <w:numPr>
        <w:numId w:val="35"/>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semiHidden/>
    <w:qFormat/>
    <w:pPr>
      <w:spacing w:before="140" w:after="120"/>
      <w:ind w:left="-119" w:right="-16" w:firstLine="9"/>
      <w:jc w:val="left"/>
    </w:pPr>
    <w:rPr>
      <w:rFonts w:ascii="EC Square Sans Cond Pro" w:hAnsi="EC Square Sans Cond Pro"/>
      <w:b/>
      <w:color w:val="F68A42"/>
      <w:sz w:val="21"/>
    </w:rPr>
  </w:style>
  <w:style w:type="numbering" w:customStyle="1" w:styleId="PPO4SpecificObjectivesBulletsLIST">
    <w:name w:val="(PPO_4) Specific Objectives Bullets (LIST)"/>
    <w:uiPriority w:val="99"/>
    <w:pPr>
      <w:numPr>
        <w:numId w:val="35"/>
      </w:numPr>
    </w:pPr>
  </w:style>
  <w:style w:type="paragraph" w:customStyle="1" w:styleId="PPO4Title1">
    <w:name w:val="(PPO_4) Title 1"/>
    <w:basedOn w:val="BASE-STYLE-HEADINGS"/>
    <w:semiHidden/>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semiHidden/>
    <w:qFormat/>
    <w:pPr>
      <w:spacing w:before="60" w:after="60" w:line="240" w:lineRule="auto"/>
      <w:jc w:val="left"/>
    </w:pPr>
    <w:rPr>
      <w:rFonts w:cstheme="minorBidi"/>
      <w:bCs/>
      <w:color w:val="F68A42"/>
      <w:sz w:val="22"/>
      <w:szCs w:val="22"/>
    </w:rPr>
  </w:style>
  <w:style w:type="paragraph" w:customStyle="1" w:styleId="PPO4VotedbudgetTABLEtextLightBrown">
    <w:name w:val="(PPO_4) Voted budget TABLE text Light Brown"/>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F68A42"/>
      <w:sz w:val="22"/>
      <w:szCs w:val="22"/>
    </w:rPr>
  </w:style>
  <w:style w:type="paragraph" w:customStyle="1" w:styleId="PPOSIsidebarchartCenterText">
    <w:name w:val="(PPO_SI) sidebar chart Center Text"/>
    <w:basedOn w:val="BASE-STYLE-TEXT"/>
    <w:semiHidden/>
    <w:qFormat/>
    <w:pPr>
      <w:spacing w:after="120" w:line="240" w:lineRule="auto"/>
      <w:jc w:val="center"/>
    </w:pPr>
    <w:rPr>
      <w:rFonts w:cstheme="minorBidi"/>
      <w:bCs/>
      <w:color w:val="4BACC6"/>
      <w:sz w:val="22"/>
      <w:szCs w:val="22"/>
    </w:rPr>
  </w:style>
  <w:style w:type="paragraph" w:customStyle="1" w:styleId="PPOSIsidebarTablecaption">
    <w:name w:val="(PPO_SI) sidebar Table caption"/>
    <w:basedOn w:val="BASE-STYLE-TEXT"/>
    <w:semiHidden/>
    <w:qFormat/>
    <w:pPr>
      <w:widowControl w:val="0"/>
      <w:tabs>
        <w:tab w:val="right" w:pos="2181"/>
      </w:tabs>
      <w:spacing w:after="120" w:line="192" w:lineRule="exact"/>
      <w:jc w:val="right"/>
    </w:pPr>
    <w:rPr>
      <w:rFonts w:eastAsia="EC Square Sans Cond Pro Medium" w:cs="EC Square Sans Cond Pro Medium"/>
      <w:bCs/>
      <w:color w:val="4BACC6"/>
      <w:sz w:val="16"/>
      <w:shd w:val="clear" w:color="auto" w:fill="FFFFFF"/>
    </w:rPr>
  </w:style>
  <w:style w:type="paragraph" w:customStyle="1" w:styleId="PPOSIsidebarTitleElectricBlue">
    <w:name w:val="(PPO_SI) sidebar Title ElectricBlue"/>
    <w:basedOn w:val="BASE-STYLE-TEXT"/>
    <w:semiHidden/>
    <w:qFormat/>
    <w:pPr>
      <w:autoSpaceDE w:val="0"/>
      <w:autoSpaceDN w:val="0"/>
      <w:adjustRightInd w:val="0"/>
      <w:spacing w:before="440" w:after="60" w:line="241" w:lineRule="atLeast"/>
      <w:jc w:val="right"/>
    </w:pPr>
    <w:rPr>
      <w:rFonts w:ascii="EC Square Sans Cond Pro" w:hAnsi="EC Square Sans Cond Pro"/>
      <w:b/>
      <w:color w:val="4BACC6"/>
      <w:sz w:val="21"/>
    </w:rPr>
  </w:style>
  <w:style w:type="paragraph" w:customStyle="1" w:styleId="PPOSIsidebarTitlePeacockBlue">
    <w:name w:val="(PPO_SI) sidebar Title PeacockBlue"/>
    <w:basedOn w:val="BASE-STYLE-TEXT"/>
    <w:semiHidden/>
    <w:qFormat/>
    <w:pPr>
      <w:autoSpaceDE w:val="0"/>
      <w:autoSpaceDN w:val="0"/>
      <w:adjustRightInd w:val="0"/>
      <w:spacing w:before="340" w:after="40" w:line="240" w:lineRule="auto"/>
      <w:jc w:val="right"/>
    </w:pPr>
    <w:rPr>
      <w:rFonts w:ascii="EC Square Sans Cond Pro" w:hAnsi="EC Square Sans Cond Pro"/>
      <w:b/>
      <w:color w:val="215968"/>
      <w:sz w:val="16"/>
    </w:rPr>
  </w:style>
  <w:style w:type="paragraph" w:customStyle="1" w:styleId="PPOSISpecificobjectivesBOX-BulletElectricBlue">
    <w:name w:val="(PPO_SI) Specific objectives BOX - Bullet ElectricBlue"/>
    <w:basedOn w:val="BASE-STYLE-TEXT"/>
    <w:semiHidden/>
    <w:qFormat/>
    <w:pPr>
      <w:numPr>
        <w:numId w:val="36"/>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semiHidden/>
    <w:qFormat/>
    <w:pPr>
      <w:spacing w:before="140" w:after="120"/>
      <w:ind w:left="-119" w:right="-16" w:firstLine="9"/>
      <w:jc w:val="left"/>
    </w:pPr>
    <w:rPr>
      <w:rFonts w:ascii="EC Square Sans Cond Pro" w:hAnsi="EC Square Sans Cond Pro"/>
      <w:b/>
      <w:color w:val="4BACC6"/>
      <w:sz w:val="21"/>
    </w:rPr>
  </w:style>
  <w:style w:type="numbering" w:customStyle="1" w:styleId="PPOSISpecificObjectivesBulletsLIST">
    <w:name w:val="(PPO_SI) Specific Objectives Bullets (LIST)"/>
    <w:uiPriority w:val="99"/>
    <w:pPr>
      <w:numPr>
        <w:numId w:val="36"/>
      </w:numPr>
    </w:pPr>
  </w:style>
  <w:style w:type="paragraph" w:customStyle="1" w:styleId="PPOSITitle1">
    <w:name w:val="(PPO_SI) Title 1"/>
    <w:basedOn w:val="BASE-STYLE-HEADINGS"/>
    <w:semiHidden/>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semiHidden/>
    <w:qFormat/>
    <w:pPr>
      <w:spacing w:before="60" w:after="60" w:line="240" w:lineRule="auto"/>
      <w:jc w:val="left"/>
    </w:pPr>
    <w:rPr>
      <w:rFonts w:cstheme="minorBidi"/>
      <w:bCs/>
      <w:color w:val="4BACC6"/>
      <w:sz w:val="22"/>
      <w:szCs w:val="22"/>
    </w:rPr>
  </w:style>
  <w:style w:type="paragraph" w:customStyle="1" w:styleId="PPOSIVotedbudgetTABLEElectricBlue">
    <w:name w:val="(PPO_SI) Voted budget TABLE ElectricBlue"/>
    <w:basedOn w:val="BASE-STYLE-TEXT"/>
    <w:semiHidden/>
    <w:qFormat/>
    <w:pPr>
      <w:framePr w:hSpace="181" w:wrap="around" w:vAnchor="page" w:hAnchor="page" w:x="3448" w:y="13530"/>
      <w:spacing w:after="60" w:line="240" w:lineRule="auto"/>
      <w:suppressOverlap/>
      <w:jc w:val="center"/>
    </w:pPr>
    <w:rPr>
      <w:rFonts w:asciiTheme="minorHAnsi" w:hAnsiTheme="minorHAnsi" w:cstheme="minorBidi"/>
      <w:bCs/>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color w:val="000000"/>
      <w:sz w:val="24"/>
      <w:szCs w:val="24"/>
    </w:rPr>
  </w:style>
  <w:style w:type="paragraph" w:customStyle="1" w:styleId="AMPRAnnexesTITLE3-Numbered">
    <w:name w:val="(AMPR_Annexes) TITLE 3 - Numbered"/>
    <w:basedOn w:val="BASE-STYLE-HEADINGS"/>
    <w:next w:val="AMPRBodyText"/>
    <w:qFormat/>
    <w:pPr>
      <w:keepNext/>
      <w:keepLines/>
      <w:numPr>
        <w:numId w:val="38"/>
      </w:numPr>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Numbered">
    <w:name w:val="(AMPR_Annexes) TITLE 4 - Numbered"/>
    <w:basedOn w:val="BASE-STYLE-HEADINGS"/>
    <w:next w:val="AMPRBodyText"/>
    <w:qFormat/>
    <w:pPr>
      <w:keepNext/>
      <w:keepLines/>
      <w:numPr>
        <w:ilvl w:val="1"/>
        <w:numId w:val="38"/>
      </w:numPr>
      <w:spacing w:before="360" w:after="240" w:line="240" w:lineRule="auto"/>
      <w:jc w:val="left"/>
      <w:outlineLvl w:val="2"/>
    </w:pPr>
    <w:rPr>
      <w:rFonts w:eastAsiaTheme="minorHAnsi"/>
      <w:b/>
      <w:color w:val="5B9BD5" w:themeColor="accent1"/>
      <w:sz w:val="28"/>
      <w:szCs w:val="22"/>
    </w:rPr>
  </w:style>
  <w:style w:type="paragraph" w:customStyle="1" w:styleId="AMPRAnnexesTITLE5">
    <w:name w:val="(AMPR_Annexes) TITLE 5"/>
    <w:basedOn w:val="BASE-STYLE-HEADINGS"/>
    <w:next w:val="AMPRBodyText"/>
    <w:qFormat/>
    <w:pPr>
      <w:keepNext/>
      <w:keepLines/>
      <w:spacing w:before="240" w:after="240" w:line="240" w:lineRule="auto"/>
      <w:ind w:left="340"/>
      <w:jc w:val="left"/>
    </w:pPr>
    <w:rPr>
      <w:rFonts w:eastAsiaTheme="minorHAnsi"/>
      <w:b/>
      <w:color w:val="FFC000" w:themeColor="accent4"/>
      <w:sz w:val="24"/>
      <w:szCs w:val="22"/>
    </w:rPr>
  </w:style>
  <w:style w:type="paragraph" w:customStyle="1" w:styleId="AMPRTABLEA-HEADERText-WHITE">
    <w:name w:val="(AMPR) TABLE A - HEADER Text - WHITE"/>
    <w:basedOn w:val="BASE-STYLE-TEXT"/>
    <w:qFormat/>
    <w:pPr>
      <w:spacing w:before="60" w:after="60" w:line="240" w:lineRule="auto"/>
      <w:jc w:val="center"/>
    </w:pPr>
    <w:rPr>
      <w:rFonts w:cs="Arial"/>
      <w:b/>
      <w:bCs/>
      <w:color w:val="FFFFFF"/>
      <w:szCs w:val="16"/>
      <w:lang w:eastAsia="en-US"/>
    </w:rPr>
  </w:style>
  <w:style w:type="table" w:customStyle="1" w:styleId="AMPRTABLEA-Template">
    <w:name w:val="(AMPR) TABLE A - Template"/>
    <w:basedOn w:val="TableNormal"/>
    <w:uiPriority w:val="99"/>
    <w:pPr>
      <w:keepLines/>
      <w:spacing w:before="60" w:after="60" w:line="240" w:lineRule="auto"/>
      <w:jc w:val="right"/>
    </w:pPr>
    <w:rPr>
      <w:rFonts w:ascii="EC Square Sans Pro" w:hAnsi="EC Square Sans Pro"/>
      <w:sz w:val="18"/>
      <w:lang w:val="fr-BE"/>
    </w:rPr>
    <w:tblPr>
      <w:tblInd w:w="108" w:type="dxa"/>
      <w:tblBorders>
        <w:bottom w:val="single" w:sz="4" w:space="0" w:color="F68A42"/>
        <w:insideH w:val="single" w:sz="4" w:space="0" w:color="F68A42"/>
        <w:insideV w:val="single" w:sz="4" w:space="0" w:color="F68A42"/>
      </w:tblBorders>
    </w:tblPr>
    <w:trPr>
      <w:cantSplit/>
    </w:trPr>
    <w:tblStylePr w:type="firstRow">
      <w:pPr>
        <w:wordWrap/>
        <w:spacing w:beforeLines="60" w:before="60" w:beforeAutospacing="0" w:afterLines="60" w:after="60" w:afterAutospacing="0" w:line="240" w:lineRule="auto"/>
        <w:jc w:val="center"/>
        <w:outlineLvl w:val="9"/>
      </w:pPr>
      <w:rPr>
        <w:rFonts w:ascii="EC Square Sans Pro" w:hAnsi="EC Square Sans Pro"/>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203F79"/>
        <w:vAlign w:val="center"/>
      </w:tcPr>
    </w:tblStylePr>
    <w:tblStylePr w:type="lastRow">
      <w:rPr>
        <w:b w:val="0"/>
        <w:i w:val="0"/>
      </w:rPr>
      <w:tblPr/>
      <w:tcPr>
        <w:shd w:val="clear" w:color="auto" w:fill="DEEAF6" w:themeFill="accent1" w:themeFillTint="33"/>
      </w:tcPr>
    </w:tblStylePr>
    <w:tblStylePr w:type="firstCol">
      <w:pPr>
        <w:wordWrap/>
        <w:jc w:val="left"/>
      </w:pPr>
    </w:tblStylePr>
  </w:style>
  <w:style w:type="paragraph" w:customStyle="1" w:styleId="AMPRTABLEA-TextJUSTIFIED-BLACK">
    <w:name w:val="(AMPR) TABLE A - Text JUSTIFIED - BLACK"/>
    <w:basedOn w:val="BASE-STYLE-TEXT"/>
    <w:qFormat/>
    <w:pPr>
      <w:spacing w:before="60" w:after="60" w:line="240" w:lineRule="auto"/>
    </w:pPr>
    <w:rPr>
      <w:rFonts w:asciiTheme="minorHAnsi" w:hAnsiTheme="minorHAnsi" w:cs="Arial"/>
      <w:color w:val="000000"/>
      <w:szCs w:val="18"/>
      <w:lang w:eastAsia="en-US"/>
    </w:rPr>
  </w:style>
  <w:style w:type="paragraph" w:customStyle="1" w:styleId="AMPRTABLEA-TextLEFTalligned-BLACK">
    <w:name w:val="(AMPR) TABLE A - Text LEFT_alligned - BLACK"/>
    <w:basedOn w:val="BASE-STYLE-TEXT"/>
    <w:qFormat/>
    <w:pPr>
      <w:spacing w:before="60" w:after="60" w:line="240" w:lineRule="auto"/>
      <w:jc w:val="left"/>
    </w:pPr>
    <w:rPr>
      <w:rFonts w:asciiTheme="minorHAnsi" w:hAnsiTheme="minorHAnsi" w:cs="Arial"/>
      <w:color w:val="000000"/>
      <w:szCs w:val="18"/>
      <w:lang w:eastAsia="en-US"/>
    </w:rPr>
  </w:style>
  <w:style w:type="paragraph" w:customStyle="1" w:styleId="AMPRTABLEA-TextLEFTallignedindented-BLACK">
    <w:name w:val="(AMPR) TABLE A - Text LEFT_alligned_indented - BLACK"/>
    <w:basedOn w:val="AMPRTABLEA-TextLEFTalligned-BLACK"/>
    <w:qFormat/>
    <w:pPr>
      <w:ind w:left="142"/>
    </w:pPr>
  </w:style>
  <w:style w:type="paragraph" w:customStyle="1" w:styleId="AMPRTABLEA-TextRIGHTalligned-BLACK">
    <w:name w:val="(AMPR) TABLE A - Text RIGHT_alligned - BLACK"/>
    <w:basedOn w:val="BASE-STYLE-TEXT"/>
    <w:qFormat/>
    <w:pPr>
      <w:spacing w:before="60" w:after="60" w:line="240" w:lineRule="auto"/>
      <w:jc w:val="right"/>
    </w:pPr>
    <w:rPr>
      <w:rFonts w:asciiTheme="minorHAnsi" w:eastAsia="Times New Roman" w:hAnsiTheme="minorHAnsi" w:cs="Arial"/>
      <w:color w:val="000000"/>
      <w:szCs w:val="18"/>
      <w:lang w:eastAsia="en-US"/>
    </w:rPr>
  </w:style>
  <w:style w:type="paragraph" w:customStyle="1" w:styleId="AMPRTABLEA-TOTALLEFTalligned-BLACK">
    <w:name w:val="(AMPR) TABLE A - TOTAL LEFT_alligned - BLACK"/>
    <w:basedOn w:val="BASE-STYLE-TEXT"/>
    <w:qFormat/>
    <w:pPr>
      <w:spacing w:before="60" w:after="60" w:line="240" w:lineRule="auto"/>
      <w:jc w:val="left"/>
    </w:pPr>
    <w:rPr>
      <w:rFonts w:asciiTheme="minorHAnsi" w:eastAsia="Times New Roman" w:hAnsiTheme="minorHAnsi" w:cs="Arial"/>
      <w:b/>
      <w:color w:val="000000"/>
      <w:szCs w:val="18"/>
      <w:lang w:eastAsia="en-US"/>
    </w:rPr>
  </w:style>
  <w:style w:type="paragraph" w:customStyle="1" w:styleId="AMPRTABLEA-TOTALRIGHTalligned-BLACK">
    <w:name w:val="(AMPR) TABLE A - TOTAL RIGHT_alligned - BLACK"/>
    <w:basedOn w:val="BASE-STYLE-TEXT"/>
    <w:qFormat/>
    <w:pPr>
      <w:spacing w:before="60" w:after="60" w:line="240" w:lineRule="auto"/>
      <w:jc w:val="right"/>
    </w:pPr>
    <w:rPr>
      <w:rFonts w:asciiTheme="minorHAnsi" w:eastAsiaTheme="minorHAnsi" w:hAnsiTheme="minorHAnsi" w:cs="Arial"/>
      <w:b/>
      <w:color w:val="000000"/>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1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7.png"/><Relationship Id="rId44" Type="http://schemas.openxmlformats.org/officeDocument/2006/relationships/header" Target="header12.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1.xml"/><Relationship Id="rId48" Type="http://schemas.openxmlformats.org/officeDocument/2006/relationships/footer" Target="footer13.xml"/><Relationship Id="rId8" Type="http://schemas.openxmlformats.org/officeDocument/2006/relationships/header" Target="header1.xml"/><Relationship Id="rId51" Type="http://schemas.openxmlformats.org/officeDocument/2006/relationships/footer" Target="footer1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publications/annual-activity-reports_en" TargetMode="External"/><Relationship Id="rId2" Type="http://schemas.openxmlformats.org/officeDocument/2006/relationships/hyperlink" Target="https://ec.europa.eu/anti-fraud/about-us/reports/olaf-report_en" TargetMode="External"/><Relationship Id="rId1" Type="http://schemas.openxmlformats.org/officeDocument/2006/relationships/hyperlink" Target="https://ec.europa.eu/anti-fraud/sites/antifraud/files/pif_2018_30_years_brochure_en.pdf"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myintracomm-collab.ec.europa.eu/networks/AMPR/Document%20Library/File%20B%20source%20files%20for%20visuals/AMPR2019_ICF_CONSOLIDAT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AMPR_STATS!$A$52</c:f>
              <c:strCache>
                <c:ptCount val="1"/>
                <c:pt idx="0">
                  <c:v>Present and functioning well</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AMPR_STATS!$B$51:$S$51</c:f>
              <c:strCache>
                <c:ptCount val="18"/>
                <c:pt idx="1">
                  <c:v>1. Commitment to integrity and ethical values</c:v>
                </c:pt>
                <c:pt idx="2">
                  <c:v>2. Oversight responsibility</c:v>
                </c:pt>
                <c:pt idx="3">
                  <c:v>3. Structures, authorities and responsibilities</c:v>
                </c:pt>
                <c:pt idx="4">
                  <c:v>4. Demonstrates commitment to competence</c:v>
                </c:pt>
                <c:pt idx="5">
                  <c:v>5. Enforce accountability</c:v>
                </c:pt>
                <c:pt idx="6">
                  <c:v>6. Specifies suitable objectives</c:v>
                </c:pt>
                <c:pt idx="7">
                  <c:v>7. Identifies and analyses risks</c:v>
                </c:pt>
                <c:pt idx="8">
                  <c:v>8. Assesses fraud risks</c:v>
                </c:pt>
                <c:pt idx="9">
                  <c:v>9. Identifies and analyses significant change</c:v>
                </c:pt>
                <c:pt idx="10">
                  <c:v>10. Selects and develops control activities</c:v>
                </c:pt>
                <c:pt idx="11">
                  <c:v>11. Deploys control over technology</c:v>
                </c:pt>
                <c:pt idx="12">
                  <c:v>12. Deploys through policies and procedures</c:v>
                </c:pt>
                <c:pt idx="13">
                  <c:v>13. Uses relevant information</c:v>
                </c:pt>
                <c:pt idx="14">
                  <c:v>14. Communicates internally</c:v>
                </c:pt>
                <c:pt idx="15">
                  <c:v>15. Communicates externally</c:v>
                </c:pt>
                <c:pt idx="16">
                  <c:v>16. Conducts ongoing or separate assessments</c:v>
                </c:pt>
                <c:pt idx="17">
                  <c:v>17. Assesses and communicates deficiencies</c:v>
                </c:pt>
              </c:strCache>
            </c:strRef>
          </c:cat>
          <c:val>
            <c:numRef>
              <c:f>AMPR_STATS!$B$52:$S$52</c:f>
              <c:numCache>
                <c:formatCode>General</c:formatCode>
                <c:ptCount val="18"/>
                <c:pt idx="1">
                  <c:v>38</c:v>
                </c:pt>
                <c:pt idx="2">
                  <c:v>45</c:v>
                </c:pt>
                <c:pt idx="3">
                  <c:v>41</c:v>
                </c:pt>
                <c:pt idx="4">
                  <c:v>29</c:v>
                </c:pt>
                <c:pt idx="5">
                  <c:v>40</c:v>
                </c:pt>
                <c:pt idx="6">
                  <c:v>36</c:v>
                </c:pt>
                <c:pt idx="7">
                  <c:v>46</c:v>
                </c:pt>
                <c:pt idx="8">
                  <c:v>40</c:v>
                </c:pt>
                <c:pt idx="9">
                  <c:v>46</c:v>
                </c:pt>
                <c:pt idx="10">
                  <c:v>28</c:v>
                </c:pt>
                <c:pt idx="11">
                  <c:v>38</c:v>
                </c:pt>
                <c:pt idx="12">
                  <c:v>34</c:v>
                </c:pt>
                <c:pt idx="13">
                  <c:v>40</c:v>
                </c:pt>
                <c:pt idx="14">
                  <c:v>43</c:v>
                </c:pt>
                <c:pt idx="15">
                  <c:v>46</c:v>
                </c:pt>
                <c:pt idx="16">
                  <c:v>44</c:v>
                </c:pt>
                <c:pt idx="17">
                  <c:v>46</c:v>
                </c:pt>
              </c:numCache>
            </c:numRef>
          </c:val>
          <c:extLst>
            <c:ext xmlns:c16="http://schemas.microsoft.com/office/drawing/2014/chart" uri="{C3380CC4-5D6E-409C-BE32-E72D297353CC}">
              <c16:uniqueId val="{00000000-BB07-4C4C-9DF9-995132A49A5B}"/>
            </c:ext>
          </c:extLst>
        </c:ser>
        <c:ser>
          <c:idx val="1"/>
          <c:order val="1"/>
          <c:tx>
            <c:strRef>
              <c:f>AMPR_STATS!$A$53</c:f>
              <c:strCache>
                <c:ptCount val="1"/>
                <c:pt idx="0">
                  <c:v>Present and functioning but some improvements needed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AMPR_STATS!$B$51:$S$51</c:f>
              <c:strCache>
                <c:ptCount val="18"/>
                <c:pt idx="1">
                  <c:v>1. Commitment to integrity and ethical values</c:v>
                </c:pt>
                <c:pt idx="2">
                  <c:v>2. Oversight responsibility</c:v>
                </c:pt>
                <c:pt idx="3">
                  <c:v>3. Structures, authorities and responsibilities</c:v>
                </c:pt>
                <c:pt idx="4">
                  <c:v>4. Demonstrates commitment to competence</c:v>
                </c:pt>
                <c:pt idx="5">
                  <c:v>5. Enforce accountability</c:v>
                </c:pt>
                <c:pt idx="6">
                  <c:v>6. Specifies suitable objectives</c:v>
                </c:pt>
                <c:pt idx="7">
                  <c:v>7. Identifies and analyses risks</c:v>
                </c:pt>
                <c:pt idx="8">
                  <c:v>8. Assesses fraud risks</c:v>
                </c:pt>
                <c:pt idx="9">
                  <c:v>9. Identifies and analyses significant change</c:v>
                </c:pt>
                <c:pt idx="10">
                  <c:v>10. Selects and develops control activities</c:v>
                </c:pt>
                <c:pt idx="11">
                  <c:v>11. Deploys control over technology</c:v>
                </c:pt>
                <c:pt idx="12">
                  <c:v>12. Deploys through policies and procedures</c:v>
                </c:pt>
                <c:pt idx="13">
                  <c:v>13. Uses relevant information</c:v>
                </c:pt>
                <c:pt idx="14">
                  <c:v>14. Communicates internally</c:v>
                </c:pt>
                <c:pt idx="15">
                  <c:v>15. Communicates externally</c:v>
                </c:pt>
                <c:pt idx="16">
                  <c:v>16. Conducts ongoing or separate assessments</c:v>
                </c:pt>
                <c:pt idx="17">
                  <c:v>17. Assesses and communicates deficiencies</c:v>
                </c:pt>
              </c:strCache>
            </c:strRef>
          </c:cat>
          <c:val>
            <c:numRef>
              <c:f>AMPR_STATS!$B$53:$S$53</c:f>
              <c:numCache>
                <c:formatCode>General</c:formatCode>
                <c:ptCount val="18"/>
                <c:pt idx="1">
                  <c:v>10</c:v>
                </c:pt>
                <c:pt idx="2">
                  <c:v>4</c:v>
                </c:pt>
                <c:pt idx="3">
                  <c:v>8</c:v>
                </c:pt>
                <c:pt idx="4">
                  <c:v>19</c:v>
                </c:pt>
                <c:pt idx="5">
                  <c:v>9</c:v>
                </c:pt>
                <c:pt idx="6">
                  <c:v>13</c:v>
                </c:pt>
                <c:pt idx="7">
                  <c:v>3</c:v>
                </c:pt>
                <c:pt idx="8">
                  <c:v>9</c:v>
                </c:pt>
                <c:pt idx="9">
                  <c:v>3</c:v>
                </c:pt>
                <c:pt idx="10">
                  <c:v>20</c:v>
                </c:pt>
                <c:pt idx="11">
                  <c:v>10</c:v>
                </c:pt>
                <c:pt idx="12">
                  <c:v>14</c:v>
                </c:pt>
                <c:pt idx="13">
                  <c:v>9</c:v>
                </c:pt>
                <c:pt idx="14">
                  <c:v>6</c:v>
                </c:pt>
                <c:pt idx="15">
                  <c:v>3</c:v>
                </c:pt>
                <c:pt idx="16">
                  <c:v>4</c:v>
                </c:pt>
                <c:pt idx="17">
                  <c:v>3</c:v>
                </c:pt>
              </c:numCache>
            </c:numRef>
          </c:val>
          <c:extLst>
            <c:ext xmlns:c16="http://schemas.microsoft.com/office/drawing/2014/chart" uri="{C3380CC4-5D6E-409C-BE32-E72D297353CC}">
              <c16:uniqueId val="{00000001-BB07-4C4C-9DF9-995132A49A5B}"/>
            </c:ext>
          </c:extLst>
        </c:ser>
        <c:ser>
          <c:idx val="2"/>
          <c:order val="2"/>
          <c:tx>
            <c:strRef>
              <c:f>AMPR_STATS!$A$54</c:f>
              <c:strCache>
                <c:ptCount val="1"/>
                <c:pt idx="0">
                  <c:v>Present and functioning, major improvements needed</c:v>
                </c:pt>
              </c:strCache>
            </c:strRef>
          </c:tx>
          <c:spPr>
            <a:solidFill>
              <a:schemeClr val="accent4"/>
            </a:solidFill>
            <a:ln>
              <a:noFill/>
            </a:ln>
            <a:effectLst/>
          </c:spPr>
          <c:invertIfNegative val="0"/>
          <c:dLbls>
            <c:dLbl>
              <c:idx val="0"/>
              <c:layout>
                <c:manualLayout>
                  <c:x val="1.7636684303350969E-2"/>
                  <c:y val="-3.17762948840162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07-4C4C-9DF9-995132A49A5B}"/>
                </c:ext>
              </c:extLst>
            </c:dLbl>
            <c:dLbl>
              <c:idx val="1"/>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07-4C4C-9DF9-995132A49A5B}"/>
                </c:ext>
              </c:extLst>
            </c:dLbl>
            <c:dLbl>
              <c:idx val="2"/>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B07-4C4C-9DF9-995132A49A5B}"/>
                </c:ext>
              </c:extLst>
            </c:dLbl>
            <c:dLbl>
              <c:idx val="3"/>
              <c:layout>
                <c:manualLayout>
                  <c:x val="1.763668430335096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07-4C4C-9DF9-995132A49A5B}"/>
                </c:ext>
              </c:extLst>
            </c:dLbl>
            <c:dLbl>
              <c:idx val="4"/>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07-4C4C-9DF9-995132A49A5B}"/>
                </c:ext>
              </c:extLst>
            </c:dLbl>
            <c:dLbl>
              <c:idx val="5"/>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07-4C4C-9DF9-995132A49A5B}"/>
                </c:ext>
              </c:extLst>
            </c:dLbl>
            <c:dLbl>
              <c:idx val="6"/>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07-4C4C-9DF9-995132A49A5B}"/>
                </c:ext>
              </c:extLst>
            </c:dLbl>
            <c:dLbl>
              <c:idx val="7"/>
              <c:layout>
                <c:manualLayout>
                  <c:x val="1.3227513227513227E-2"/>
                  <c:y val="2.5020704633083878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07-4C4C-9DF9-995132A49A5B}"/>
                </c:ext>
              </c:extLst>
            </c:dLbl>
            <c:dLbl>
              <c:idx val="8"/>
              <c:layout>
                <c:manualLayout>
                  <c:x val="1.3227513227513227E-2"/>
                  <c:y val="5.8255867643942773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B07-4C4C-9DF9-995132A49A5B}"/>
                </c:ext>
              </c:extLst>
            </c:dLbl>
            <c:dLbl>
              <c:idx val="9"/>
              <c:layout>
                <c:manualLayout>
                  <c:x val="1.7636684303350969E-2"/>
                  <c:y val="5.8255867643942773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B07-4C4C-9DF9-995132A49A5B}"/>
                </c:ext>
              </c:extLst>
            </c:dLbl>
            <c:dLbl>
              <c:idx val="10"/>
              <c:layout>
                <c:manualLayout>
                  <c:x val="1.763668430335096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B07-4C4C-9DF9-995132A49A5B}"/>
                </c:ext>
              </c:extLst>
            </c:dLbl>
            <c:dLbl>
              <c:idx val="11"/>
              <c:layout>
                <c:manualLayout>
                  <c:x val="1.7636684303350969E-2"/>
                  <c:y val="2.5020704633083878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B07-4C4C-9DF9-995132A49A5B}"/>
                </c:ext>
              </c:extLst>
            </c:dLbl>
            <c:dLbl>
              <c:idx val="12"/>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B07-4C4C-9DF9-995132A49A5B}"/>
                </c:ext>
              </c:extLst>
            </c:dLbl>
            <c:dLbl>
              <c:idx val="13"/>
              <c:layout>
                <c:manualLayout>
                  <c:x val="1.3227513227513227E-2"/>
                  <c:y val="2.502070464473504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B07-4C4C-9DF9-995132A49A5B}"/>
                </c:ext>
              </c:extLst>
            </c:dLbl>
            <c:dLbl>
              <c:idx val="14"/>
              <c:layout>
                <c:manualLayout>
                  <c:x val="1.3227513227513227E-2"/>
                  <c:y val="2.502070464473504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B07-4C4C-9DF9-995132A49A5B}"/>
                </c:ext>
              </c:extLst>
            </c:dLbl>
            <c:dLbl>
              <c:idx val="15"/>
              <c:layout>
                <c:manualLayout>
                  <c:x val="1.7636684303350969E-2"/>
                  <c:y val="1.1651173528788555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B07-4C4C-9DF9-995132A49A5B}"/>
                </c:ext>
              </c:extLst>
            </c:dLbl>
            <c:dLbl>
              <c:idx val="16"/>
              <c:layout>
                <c:manualLayout>
                  <c:x val="1.322751322751322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B07-4C4C-9DF9-995132A49A5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AMPR_STATS!$B$51:$S$51</c:f>
              <c:strCache>
                <c:ptCount val="18"/>
                <c:pt idx="1">
                  <c:v>1. Commitment to integrity and ethical values</c:v>
                </c:pt>
                <c:pt idx="2">
                  <c:v>2. Oversight responsibility</c:v>
                </c:pt>
                <c:pt idx="3">
                  <c:v>3. Structures, authorities and responsibilities</c:v>
                </c:pt>
                <c:pt idx="4">
                  <c:v>4. Demonstrates commitment to competence</c:v>
                </c:pt>
                <c:pt idx="5">
                  <c:v>5. Enforce accountability</c:v>
                </c:pt>
                <c:pt idx="6">
                  <c:v>6. Specifies suitable objectives</c:v>
                </c:pt>
                <c:pt idx="7">
                  <c:v>7. Identifies and analyses risks</c:v>
                </c:pt>
                <c:pt idx="8">
                  <c:v>8. Assesses fraud risks</c:v>
                </c:pt>
                <c:pt idx="9">
                  <c:v>9. Identifies and analyses significant change</c:v>
                </c:pt>
                <c:pt idx="10">
                  <c:v>10. Selects and develops control activities</c:v>
                </c:pt>
                <c:pt idx="11">
                  <c:v>11. Deploys control over technology</c:v>
                </c:pt>
                <c:pt idx="12">
                  <c:v>12. Deploys through policies and procedures</c:v>
                </c:pt>
                <c:pt idx="13">
                  <c:v>13. Uses relevant information</c:v>
                </c:pt>
                <c:pt idx="14">
                  <c:v>14. Communicates internally</c:v>
                </c:pt>
                <c:pt idx="15">
                  <c:v>15. Communicates externally</c:v>
                </c:pt>
                <c:pt idx="16">
                  <c:v>16. Conducts ongoing or separate assessments</c:v>
                </c:pt>
                <c:pt idx="17">
                  <c:v>17. Assesses and communicates deficiencies</c:v>
                </c:pt>
              </c:strCache>
            </c:strRef>
          </c:cat>
          <c:val>
            <c:numRef>
              <c:f>AMPR_STATS!$B$54:$S$54</c:f>
              <c:numCache>
                <c:formatCode>General</c:formatCode>
                <c:ptCount val="18"/>
                <c:pt idx="1">
                  <c:v>1</c:v>
                </c:pt>
                <c:pt idx="2">
                  <c:v>0</c:v>
                </c:pt>
                <c:pt idx="3">
                  <c:v>0</c:v>
                </c:pt>
                <c:pt idx="4">
                  <c:v>1</c:v>
                </c:pt>
                <c:pt idx="5">
                  <c:v>0</c:v>
                </c:pt>
                <c:pt idx="6">
                  <c:v>0</c:v>
                </c:pt>
                <c:pt idx="7">
                  <c:v>0</c:v>
                </c:pt>
                <c:pt idx="8">
                  <c:v>0</c:v>
                </c:pt>
                <c:pt idx="9">
                  <c:v>0</c:v>
                </c:pt>
                <c:pt idx="10">
                  <c:v>1</c:v>
                </c:pt>
                <c:pt idx="11">
                  <c:v>1</c:v>
                </c:pt>
                <c:pt idx="12">
                  <c:v>1</c:v>
                </c:pt>
                <c:pt idx="13">
                  <c:v>0</c:v>
                </c:pt>
                <c:pt idx="14">
                  <c:v>0</c:v>
                </c:pt>
                <c:pt idx="15">
                  <c:v>0</c:v>
                </c:pt>
                <c:pt idx="16">
                  <c:v>1</c:v>
                </c:pt>
                <c:pt idx="17">
                  <c:v>0</c:v>
                </c:pt>
              </c:numCache>
            </c:numRef>
          </c:val>
          <c:extLst>
            <c:ext xmlns:c16="http://schemas.microsoft.com/office/drawing/2014/chart" uri="{C3380CC4-5D6E-409C-BE32-E72D297353CC}">
              <c16:uniqueId val="{00000013-BB07-4C4C-9DF9-995132A49A5B}"/>
            </c:ext>
          </c:extLst>
        </c:ser>
        <c:ser>
          <c:idx val="3"/>
          <c:order val="3"/>
          <c:tx>
            <c:strRef>
              <c:f>AMPR_STATS!$A$55</c:f>
              <c:strCache>
                <c:ptCount val="1"/>
                <c:pt idx="0">
                  <c:v>Not present and functioning</c:v>
                </c:pt>
              </c:strCache>
            </c:strRef>
          </c:tx>
          <c:spPr>
            <a:solidFill>
              <a:srgbClr val="7030A0"/>
            </a:solidFill>
            <a:ln>
              <a:solidFill>
                <a:schemeClr val="tx1">
                  <a:lumMod val="15000"/>
                  <a:lumOff val="85000"/>
                </a:schemeClr>
              </a:solidFill>
            </a:ln>
            <a:effectLst>
              <a:softEdge rad="25400"/>
            </a:effectLst>
          </c:spPr>
          <c:invertIfNegative val="0"/>
          <c:cat>
            <c:strRef>
              <c:f>AMPR_STATS!$B$51:$S$51</c:f>
              <c:strCache>
                <c:ptCount val="18"/>
                <c:pt idx="1">
                  <c:v>1. Commitment to integrity and ethical values</c:v>
                </c:pt>
                <c:pt idx="2">
                  <c:v>2. Oversight responsibility</c:v>
                </c:pt>
                <c:pt idx="3">
                  <c:v>3. Structures, authorities and responsibilities</c:v>
                </c:pt>
                <c:pt idx="4">
                  <c:v>4. Demonstrates commitment to competence</c:v>
                </c:pt>
                <c:pt idx="5">
                  <c:v>5. Enforce accountability</c:v>
                </c:pt>
                <c:pt idx="6">
                  <c:v>6. Specifies suitable objectives</c:v>
                </c:pt>
                <c:pt idx="7">
                  <c:v>7. Identifies and analyses risks</c:v>
                </c:pt>
                <c:pt idx="8">
                  <c:v>8. Assesses fraud risks</c:v>
                </c:pt>
                <c:pt idx="9">
                  <c:v>9. Identifies and analyses significant change</c:v>
                </c:pt>
                <c:pt idx="10">
                  <c:v>10. Selects and develops control activities</c:v>
                </c:pt>
                <c:pt idx="11">
                  <c:v>11. Deploys control over technology</c:v>
                </c:pt>
                <c:pt idx="12">
                  <c:v>12. Deploys through policies and procedures</c:v>
                </c:pt>
                <c:pt idx="13">
                  <c:v>13. Uses relevant information</c:v>
                </c:pt>
                <c:pt idx="14">
                  <c:v>14. Communicates internally</c:v>
                </c:pt>
                <c:pt idx="15">
                  <c:v>15. Communicates externally</c:v>
                </c:pt>
                <c:pt idx="16">
                  <c:v>16. Conducts ongoing or separate assessments</c:v>
                </c:pt>
                <c:pt idx="17">
                  <c:v>17. Assesses and communicates deficiencies</c:v>
                </c:pt>
              </c:strCache>
            </c:strRef>
          </c:cat>
          <c:val>
            <c:numRef>
              <c:f>AMPR_STATS!$B$55:$S$55</c:f>
              <c:numCache>
                <c:formatCode>General</c:formatCode>
                <c:ptCount val="18"/>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14-BB07-4C4C-9DF9-995132A49A5B}"/>
            </c:ext>
          </c:extLst>
        </c:ser>
        <c:dLbls>
          <c:showLegendKey val="0"/>
          <c:showVal val="0"/>
          <c:showCatName val="0"/>
          <c:showSerName val="0"/>
          <c:showPercent val="0"/>
          <c:showBubbleSize val="0"/>
        </c:dLbls>
        <c:gapWidth val="75"/>
        <c:overlap val="100"/>
        <c:axId val="109680512"/>
        <c:axId val="109682048"/>
      </c:barChart>
      <c:catAx>
        <c:axId val="109680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682048"/>
        <c:crosses val="autoZero"/>
        <c:auto val="0"/>
        <c:lblAlgn val="ctr"/>
        <c:lblOffset val="100"/>
        <c:noMultiLvlLbl val="0"/>
      </c:catAx>
      <c:valAx>
        <c:axId val="109682048"/>
        <c:scaling>
          <c:orientation val="minMax"/>
          <c:max val="50"/>
        </c:scaling>
        <c:delete val="0"/>
        <c:axPos val="t"/>
        <c:majorGridlines>
          <c:spPr>
            <a:ln w="9525" cap="rnd"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9680512"/>
        <c:crosses val="autoZero"/>
        <c:crossBetween val="between"/>
      </c:valAx>
      <c:spPr>
        <a:noFill/>
        <a:ln>
          <a:noFill/>
        </a:ln>
        <a:effectLst/>
      </c:spPr>
    </c:plotArea>
    <c:legend>
      <c:legendPos val="b"/>
      <c:layout>
        <c:manualLayout>
          <c:xMode val="edge"/>
          <c:yMode val="edge"/>
          <c:x val="2.6164284208999414E-2"/>
          <c:y val="0.91180797167795891"/>
          <c:w val="0.95045199642015554"/>
          <c:h val="7.65641213452969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sz="900"/>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11480</Words>
  <Characters>64863</Characters>
  <Application>Microsoft Office Word</Application>
  <DocSecurity>0</DocSecurity>
  <Lines>1118</Lines>
  <Paragraphs>360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HEILEMANN Stefanie (SG)</dc:creator>
  <cp:keywords/>
  <dc:description/>
  <cp:lastModifiedBy>HEILEMANN Stefanie (SG)</cp:lastModifiedBy>
  <cp:revision>3</cp:revision>
  <cp:lastPrinted>2020-06-18T06:54:00Z</cp:lastPrinted>
  <dcterms:created xsi:type="dcterms:W3CDTF">2020-06-24T06:13:00Z</dcterms:created>
  <dcterms:modified xsi:type="dcterms:W3CDTF">2020-06-24T09:57:00Z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7.0.1, Build 20190916</vt:lpwstr>
  </property>
  <property fmtid="{D5CDD505-2E9C-101B-9397-08002B2CF9AE}" pid="8" name="Created using">
    <vt:lpwstr>LW 7.0.1, Build 20190916</vt:lpwstr>
  </property>
</Properties>
</file>