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BB8" w:rsidRDefault="00F82B5C" w:rsidP="00F82B5C">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ADDF0B23-AA23-427C-A6C2-295B6660F7CB" style="width:451.25pt;height:420.3pt">
            <v:imagedata r:id="rId7" o:title=""/>
          </v:shape>
        </w:pict>
      </w:r>
    </w:p>
    <w:bookmarkEnd w:id="0"/>
    <w:p w:rsidR="00311BB8" w:rsidRDefault="00311BB8">
      <w:pPr>
        <w:rPr>
          <w:noProof/>
        </w:rPr>
        <w:sectPr w:rsidR="00311BB8" w:rsidSect="00F82B5C">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0"/>
          <w:cols w:space="720"/>
          <w:docGrid w:linePitch="360"/>
        </w:sectPr>
      </w:pPr>
    </w:p>
    <w:p w:rsidR="00311BB8" w:rsidRDefault="00D91061">
      <w:pPr>
        <w:pStyle w:val="AMPRAnnexesTITLE2"/>
        <w:rPr>
          <w:noProof/>
        </w:rPr>
      </w:pPr>
      <w:bookmarkStart w:id="1" w:name="_Toc2592144"/>
      <w:bookmarkStart w:id="2" w:name="_Toc6304468"/>
      <w:bookmarkStart w:id="3" w:name="_Toc8386191"/>
      <w:bookmarkStart w:id="4" w:name="_Toc11679100"/>
      <w:bookmarkStart w:id="5" w:name="_GoBack"/>
      <w:bookmarkEnd w:id="5"/>
      <w:r>
        <w:rPr>
          <w:noProof/>
        </w:rPr>
        <w:lastRenderedPageBreak/>
        <w:t>Annex</w:t>
      </w:r>
      <w:r>
        <w:rPr>
          <w:rFonts w:ascii="Calibri" w:hAnsi="Calibri" w:cs="Calibri"/>
          <w:noProof/>
        </w:rPr>
        <w:t> </w:t>
      </w:r>
      <w:r>
        <w:rPr>
          <w:noProof/>
        </w:rPr>
        <w:t xml:space="preserve">2: </w:t>
      </w:r>
      <w:r>
        <w:rPr>
          <w:noProof/>
        </w:rPr>
        <w:br/>
        <w:t>Mainstreaming and tracking of cross-cutting priorities</w:t>
      </w:r>
    </w:p>
    <w:p w:rsidR="00311BB8" w:rsidRDefault="00D91061">
      <w:pPr>
        <w:pStyle w:val="AMPRBodyText"/>
        <w:rPr>
          <w:noProof/>
        </w:rPr>
      </w:pPr>
      <w:r>
        <w:rPr>
          <w:noProof/>
        </w:rPr>
        <w:t>The EU budget addresses specific policy needs through one or several programmes. The horizontal nature of some policy objectives, however, requires their deeper integration throughout the budget. This is particularly true for climate mainstreaming and biodiversity tracking.</w:t>
      </w:r>
    </w:p>
    <w:p w:rsidR="00311BB8" w:rsidRDefault="00D91061">
      <w:pPr>
        <w:pStyle w:val="AMPRAnnexesTITLE3"/>
        <w:rPr>
          <w:noProof/>
        </w:rPr>
      </w:pPr>
      <w:r>
        <w:rPr>
          <w:noProof/>
        </w:rPr>
        <w:t>Climate mainstreaming</w:t>
      </w:r>
    </w:p>
    <w:p w:rsidR="00311BB8" w:rsidRDefault="00D91061">
      <w:pPr>
        <w:pStyle w:val="AMPRAnnexesTITLE4"/>
        <w:rPr>
          <w:noProof/>
        </w:rPr>
      </w:pPr>
      <w:r>
        <w:rPr>
          <w:noProof/>
        </w:rPr>
        <w:t>Why do we do it?</w:t>
      </w:r>
    </w:p>
    <w:p w:rsidR="00311BB8" w:rsidRDefault="00D91061">
      <w:pPr>
        <w:pStyle w:val="AMPRBodyText"/>
        <w:rPr>
          <w:noProof/>
        </w:rPr>
      </w:pPr>
      <w:r>
        <w:rPr>
          <w:noProof/>
        </w:rPr>
        <w:t>The fight against climate change is, by its very nature, a fight that transcends national boundaries. In order to develop new clean technology, deploy the best solutions and adapt our economies in favour of a more sustainable path, action at EU level is needed. EU action enjoys significant economies of scale, pulling together the resources to reach critical mass and building a stronger position in the international arena.</w:t>
      </w:r>
    </w:p>
    <w:p w:rsidR="00311BB8" w:rsidRDefault="00D91061">
      <w:pPr>
        <w:pStyle w:val="AMPRAnnexesTITLE4"/>
        <w:rPr>
          <w:noProof/>
        </w:rPr>
      </w:pPr>
      <w:r>
        <w:rPr>
          <w:noProof/>
        </w:rPr>
        <w:t>What do we do?</w:t>
      </w:r>
    </w:p>
    <w:p w:rsidR="00311BB8" w:rsidRDefault="00D91061">
      <w:pPr>
        <w:pStyle w:val="AMPRBodyText"/>
        <w:rPr>
          <w:noProof/>
        </w:rPr>
      </w:pPr>
      <w:r>
        <w:rPr>
          <w:noProof/>
        </w:rPr>
        <w:t xml:space="preserve">In the 2014-2020 multiannual financial framework, the Commission implemented an innovative approach to dedicating resources to the fight against climate change: ‘climate mainstreaming’. This means that programmes in all policy areas must consider climate priorities in their design, implementation and evaluation phases. With a target of ensuring 20% of the EU budget expenditure is contributing to climate goals, all programmes are designed to implement the following two types of measures. </w:t>
      </w:r>
    </w:p>
    <w:p w:rsidR="00311BB8" w:rsidRDefault="00D91061">
      <w:pPr>
        <w:pStyle w:val="AMPRListOrange-L1"/>
        <w:rPr>
          <w:noProof/>
        </w:rPr>
      </w:pPr>
      <w:r>
        <w:rPr>
          <w:rStyle w:val="AMPRcharBoldBlue"/>
          <w:noProof/>
        </w:rPr>
        <w:t>Adaptation.</w:t>
      </w:r>
      <w:r>
        <w:rPr>
          <w:noProof/>
        </w:rPr>
        <w:t xml:space="preserve"> This is about finding solutions and ensuring preparedness for the adverse effects of climate change, taking appropriate action to prevent or minimise the damage they can cause or taking advantage of any opportunities that may arise. </w:t>
      </w:r>
    </w:p>
    <w:p w:rsidR="00311BB8" w:rsidRDefault="00D91061">
      <w:pPr>
        <w:pStyle w:val="AMPRListOrange-L1"/>
        <w:rPr>
          <w:noProof/>
        </w:rPr>
      </w:pPr>
      <w:r>
        <w:rPr>
          <w:rStyle w:val="AMPRcharBoldBlue"/>
          <w:noProof/>
        </w:rPr>
        <w:t>Mitigation.</w:t>
      </w:r>
      <w:r>
        <w:rPr>
          <w:noProof/>
        </w:rPr>
        <w:t xml:space="preserve"> This consists of actions that limit the magnitude of long-term climate change. Climate change mitigation generally involves reductions in emissions of greenhouse gases.</w:t>
      </w:r>
    </w:p>
    <w:p w:rsidR="00311BB8" w:rsidRDefault="00D91061">
      <w:pPr>
        <w:pStyle w:val="AMPRBodyText"/>
        <w:spacing w:after="200"/>
        <w:rPr>
          <w:noProof/>
        </w:rPr>
      </w:pPr>
      <w:r>
        <w:rPr>
          <w:noProof/>
        </w:rPr>
        <w:t xml:space="preserve">In this context, </w:t>
      </w:r>
      <w:r>
        <w:rPr>
          <w:rStyle w:val="AMPRcharBoldBlue"/>
          <w:noProof/>
        </w:rPr>
        <w:t>‘climate proofing’</w:t>
      </w:r>
      <w:r>
        <w:rPr>
          <w:noProof/>
        </w:rPr>
        <w:t xml:space="preserve"> is the practice of making sure that buildings and infrastructure are well adapted to the changes in the environment. It is applied across the EU budget in the programmes supporting infrastructures. In addition, to guarantee that the EU budget financing does not have a harmful effect on the environment, an </w:t>
      </w:r>
      <w:r>
        <w:rPr>
          <w:rStyle w:val="AMPRcharBoldBlue"/>
          <w:noProof/>
        </w:rPr>
        <w:t>‘exclusion list’</w:t>
      </w:r>
      <w:r>
        <w:rPr>
          <w:noProof/>
        </w:rPr>
        <w:t xml:space="preserve"> of projects that cannot be financed is also included in the common provisions regulation. </w:t>
      </w:r>
    </w:p>
    <w:p w:rsidR="00311BB8" w:rsidRDefault="00D91061">
      <w:pPr>
        <w:pStyle w:val="AMPRAnnexesTITLE4"/>
        <w:rPr>
          <w:rStyle w:val="fnRefNo"/>
          <w:b w:val="0"/>
          <w:noProof/>
        </w:rPr>
      </w:pPr>
      <w:r>
        <w:rPr>
          <w:noProof/>
        </w:rPr>
        <w:lastRenderedPageBreak/>
        <w:t>How much do we spend?</w:t>
      </w:r>
      <w:r>
        <w:rPr>
          <w:rStyle w:val="fnRefNo"/>
          <w:b w:val="0"/>
          <w:noProof/>
        </w:rPr>
        <w:t xml:space="preserve"> </w:t>
      </w:r>
    </w:p>
    <w:p w:rsidR="00311BB8" w:rsidRDefault="00D91061">
      <w:pPr>
        <w:pStyle w:val="BodyText"/>
        <w:rPr>
          <w:noProof/>
        </w:rPr>
      </w:pPr>
      <w:r>
        <w:rPr>
          <w:noProof/>
          <w:lang w:val="fr-BE" w:eastAsia="fr-BE"/>
        </w:rPr>
        <w:drawing>
          <wp:inline distT="0" distB="0" distL="0" distR="0">
            <wp:extent cx="5608320" cy="38552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9992" cy="3856405"/>
                    </a:xfrm>
                    <a:prstGeom prst="rect">
                      <a:avLst/>
                    </a:prstGeom>
                    <a:noFill/>
                    <a:ln>
                      <a:noFill/>
                    </a:ln>
                  </pic:spPr>
                </pic:pic>
              </a:graphicData>
            </a:graphic>
          </wp:inline>
        </w:drawing>
      </w:r>
    </w:p>
    <w:p w:rsidR="00311BB8" w:rsidRDefault="00D91061">
      <w:pPr>
        <w:pStyle w:val="AMPRSource-Table-Chart-Photo-Caption"/>
        <w:rPr>
          <w:noProof/>
        </w:rPr>
      </w:pPr>
      <w:r>
        <w:rPr>
          <w:noProof/>
        </w:rPr>
        <w:t>NB: All amounts in million EUR.</w:t>
      </w:r>
    </w:p>
    <w:p w:rsidR="00311BB8" w:rsidRDefault="00D91061">
      <w:pPr>
        <w:pStyle w:val="AMPRSource-Table-Chart-Photo-Caption"/>
        <w:rPr>
          <w:noProof/>
        </w:rPr>
      </w:pPr>
      <w:r>
        <w:rPr>
          <w:i/>
          <w:noProof/>
        </w:rPr>
        <w:t>Source:</w:t>
      </w:r>
      <w:r>
        <w:rPr>
          <w:noProof/>
        </w:rPr>
        <w:t xml:space="preserve"> European Commission.</w:t>
      </w:r>
    </w:p>
    <w:p w:rsidR="00311BB8" w:rsidRDefault="00D91061">
      <w:pPr>
        <w:pStyle w:val="AMPRBodyText"/>
        <w:rPr>
          <w:noProof/>
        </w:rPr>
      </w:pPr>
      <w:r>
        <w:rPr>
          <w:noProof/>
        </w:rPr>
        <w:t xml:space="preserve">To track the EU budget expenditure, an internationally recognised methodology is used: the Organisation for Economic Co-operation and Development’s ‘Rio markers’. Under this methodology, for each project/objective/strand/programme a coefficient of either 0%, 40% or 100% is applied to reflect the different degrees to which climate considerations have been integrated into the expenditure. The EU budget mitigates its potential negative impact on the climate by embedding climate considerations in every programme, through climate proofing and the ‘exclusion list’ of projects. </w:t>
      </w:r>
    </w:p>
    <w:p w:rsidR="00311BB8" w:rsidRDefault="00D91061">
      <w:pPr>
        <w:pStyle w:val="AMPRBodyText"/>
        <w:rPr>
          <w:rStyle w:val="AMPRcharBoldOrange"/>
          <w:noProof/>
        </w:rPr>
      </w:pPr>
      <w:r>
        <w:rPr>
          <w:rStyle w:val="AMPRcharBoldOrange"/>
          <w:noProof/>
        </w:rPr>
        <w:t>For the period 2014-2020 the EU budget has dedicated EUR</w:t>
      </w:r>
      <w:r>
        <w:rPr>
          <w:rStyle w:val="AMPRcharBoldOrange"/>
          <w:rFonts w:ascii="Calibri" w:hAnsi="Calibri" w:cs="Calibri"/>
          <w:noProof/>
        </w:rPr>
        <w:t> </w:t>
      </w:r>
      <w:r>
        <w:rPr>
          <w:rStyle w:val="AMPRcharBoldOrange"/>
          <w:noProof/>
        </w:rPr>
        <w:t>211</w:t>
      </w:r>
      <w:r>
        <w:rPr>
          <w:rStyle w:val="AMPRcharBoldOrange"/>
          <w:rFonts w:ascii="Calibri" w:hAnsi="Calibri" w:cs="Calibri"/>
          <w:noProof/>
        </w:rPr>
        <w:t> </w:t>
      </w:r>
      <w:r>
        <w:rPr>
          <w:rStyle w:val="AMPRcharBoldOrange"/>
          <w:noProof/>
        </w:rPr>
        <w:t>billion to the fight against climate change, i.e. 19.83%.</w:t>
      </w:r>
    </w:p>
    <w:p w:rsidR="00311BB8" w:rsidRDefault="00D91061">
      <w:pPr>
        <w:pStyle w:val="AMPRAnnexesTITLE4"/>
        <w:rPr>
          <w:noProof/>
        </w:rPr>
      </w:pPr>
      <w:r>
        <w:rPr>
          <w:noProof/>
        </w:rPr>
        <w:t xml:space="preserve">What have we achieved? </w:t>
      </w:r>
    </w:p>
    <w:tbl>
      <w:tblPr>
        <w:tblStyle w:val="AMPRTABLEA-Template"/>
        <w:tblW w:w="0" w:type="auto"/>
        <w:tblLook w:val="04A0" w:firstRow="1" w:lastRow="0" w:firstColumn="1" w:lastColumn="0" w:noHBand="0" w:noVBand="1"/>
      </w:tblPr>
      <w:tblGrid>
        <w:gridCol w:w="2977"/>
        <w:gridCol w:w="2977"/>
        <w:gridCol w:w="3118"/>
      </w:tblGrid>
      <w:tr w:rsidR="00311BB8" w:rsidTr="00311BB8">
        <w:trPr>
          <w:cnfStyle w:val="100000000000" w:firstRow="1" w:lastRow="0" w:firstColumn="0" w:lastColumn="0" w:oddVBand="0" w:evenVBand="0" w:oddHBand="0" w:evenHBand="0" w:firstRowFirstColumn="0" w:firstRowLastColumn="0" w:lastRowFirstColumn="0" w:lastRowLastColumn="0"/>
          <w:trHeight w:val="637"/>
          <w:tblHeader/>
        </w:trPr>
        <w:tc>
          <w:tcPr>
            <w:cnfStyle w:val="001000000000" w:firstRow="0" w:lastRow="0" w:firstColumn="1" w:lastColumn="0" w:oddVBand="0" w:evenVBand="0" w:oddHBand="0" w:evenHBand="0" w:firstRowFirstColumn="0" w:firstRowLastColumn="0" w:lastRowFirstColumn="0" w:lastRowLastColumn="0"/>
            <w:tcW w:w="2977" w:type="dxa"/>
            <w:hideMark/>
          </w:tcPr>
          <w:p w:rsidR="00311BB8" w:rsidRPr="009A133A" w:rsidRDefault="00202577" w:rsidP="00D91061">
            <w:pPr>
              <w:pStyle w:val="AMPRTABLEA-HEADERText-WHITE"/>
              <w:spacing w:before="144" w:after="144"/>
              <w:rPr>
                <w:noProof/>
                <w:lang w:val="en-IE"/>
              </w:rPr>
            </w:pPr>
            <w:r w:rsidRPr="009A133A">
              <w:rPr>
                <w:noProof/>
                <w:lang w:val="en-IE"/>
              </w:rPr>
              <w:t>1</w:t>
            </w:r>
            <w:r w:rsidR="00D91061" w:rsidRPr="00D91061">
              <w:rPr>
                <w:noProof/>
                <w:lang w:val="en-IE"/>
              </w:rPr>
              <w:t>.</w:t>
            </w:r>
            <w:r w:rsidRPr="00D91061">
              <w:rPr>
                <w:rFonts w:cs="Calibri"/>
                <w:noProof/>
                <w:lang w:val="en-IE"/>
              </w:rPr>
              <w:t>3 million</w:t>
            </w:r>
            <w:r w:rsidR="00D91061" w:rsidRPr="009A133A">
              <w:rPr>
                <w:rFonts w:cs="Calibri"/>
                <w:noProof/>
                <w:lang w:val="en-IE"/>
              </w:rPr>
              <w:t>-</w:t>
            </w:r>
            <w:r w:rsidR="00D91061" w:rsidRPr="009A133A">
              <w:rPr>
                <w:noProof/>
                <w:lang w:val="en-IE"/>
              </w:rPr>
              <w:t>tonne</w:t>
            </w:r>
            <w:r w:rsidR="0056035C">
              <w:rPr>
                <w:noProof/>
                <w:lang w:val="en-IE"/>
              </w:rPr>
              <w:t>s</w:t>
            </w:r>
            <w:r w:rsidR="00D91061" w:rsidRPr="009A133A">
              <w:rPr>
                <w:noProof/>
                <w:lang w:val="en-IE"/>
              </w:rPr>
              <w:t xml:space="preserve"> decrease</w:t>
            </w:r>
          </w:p>
        </w:tc>
        <w:tc>
          <w:tcPr>
            <w:tcW w:w="2977" w:type="dxa"/>
            <w:hideMark/>
          </w:tcPr>
          <w:p w:rsidR="00311BB8" w:rsidRPr="009A133A"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IE"/>
              </w:rPr>
            </w:pPr>
            <w:r w:rsidRPr="009A133A">
              <w:rPr>
                <w:noProof/>
                <w:lang w:val="en-IE"/>
              </w:rPr>
              <w:t>30</w:t>
            </w:r>
            <w:r w:rsidRPr="009A133A">
              <w:rPr>
                <w:rFonts w:ascii="Calibri" w:hAnsi="Calibri" w:cs="Calibri"/>
                <w:noProof/>
                <w:lang w:val="en-IE"/>
              </w:rPr>
              <w:t> </w:t>
            </w:r>
            <w:r w:rsidRPr="009A133A">
              <w:rPr>
                <w:noProof/>
                <w:lang w:val="en-IE"/>
              </w:rPr>
              <w:t>000 registered users</w:t>
            </w:r>
          </w:p>
        </w:tc>
        <w:tc>
          <w:tcPr>
            <w:tcW w:w="3118"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79% of total EU agricultural area</w:t>
            </w:r>
          </w:p>
        </w:tc>
      </w:tr>
      <w:tr w:rsidR="00311BB8" w:rsidTr="00311BB8">
        <w:trPr>
          <w:trHeight w:val="712"/>
        </w:trPr>
        <w:tc>
          <w:tcPr>
            <w:cnfStyle w:val="001000000000" w:firstRow="0" w:lastRow="0" w:firstColumn="1" w:lastColumn="0" w:oddVBand="0" w:evenVBand="0" w:oddHBand="0" w:evenHBand="0" w:firstRowFirstColumn="0" w:firstRowLastColumn="0" w:lastRowFirstColumn="0" w:lastRowLastColumn="0"/>
            <w:tcW w:w="2977" w:type="dxa"/>
            <w:hideMark/>
          </w:tcPr>
          <w:p w:rsidR="00311BB8" w:rsidRDefault="00D91061">
            <w:pPr>
              <w:pStyle w:val="AMPRTABLEA-TextJUSTIFIED-BLACK"/>
              <w:rPr>
                <w:noProof/>
                <w:lang w:val="en-GB"/>
              </w:rPr>
            </w:pPr>
            <w:r>
              <w:rPr>
                <w:noProof/>
                <w:lang w:val="en-GB"/>
              </w:rPr>
              <w:t>in CO</w:t>
            </w:r>
            <w:r>
              <w:rPr>
                <w:noProof/>
                <w:vertAlign w:val="subscript"/>
                <w:lang w:val="en-GB"/>
              </w:rPr>
              <w:t>2</w:t>
            </w:r>
            <w:r>
              <w:rPr>
                <w:noProof/>
                <w:lang w:val="en-GB"/>
              </w:rPr>
              <w:t xml:space="preserve"> equivalent thanks to Cohesion Fund investments.</w:t>
            </w:r>
          </w:p>
        </w:tc>
        <w:tc>
          <w:tcPr>
            <w:tcW w:w="2977" w:type="dxa"/>
            <w:hideMark/>
          </w:tcPr>
          <w:p w:rsidR="00311BB8" w:rsidRDefault="00D91061">
            <w:pPr>
              <w:pStyle w:val="AMPRTABLEA-TextJUSTIFIED-BLACK"/>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of Copernicus Climate Change Service.</w:t>
            </w:r>
          </w:p>
        </w:tc>
        <w:tc>
          <w:tcPr>
            <w:tcW w:w="3118" w:type="dxa"/>
            <w:hideMark/>
          </w:tcPr>
          <w:p w:rsidR="00311BB8" w:rsidRDefault="00D91061">
            <w:pPr>
              <w:pStyle w:val="AMPRTABLEA-TextJUSTIFIED-BLACK"/>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subject to at least one ‘greening’ obligation, increasing the environmental impact of the measure.</w:t>
            </w:r>
          </w:p>
        </w:tc>
      </w:tr>
    </w:tbl>
    <w:p w:rsidR="00311BB8" w:rsidRDefault="00D91061">
      <w:pPr>
        <w:pStyle w:val="AMPRListOrange-L1"/>
        <w:spacing w:before="240"/>
        <w:rPr>
          <w:noProof/>
        </w:rPr>
      </w:pPr>
      <w:r>
        <w:rPr>
          <w:noProof/>
        </w:rPr>
        <w:t xml:space="preserve">Horizon 2020 projects address technology development and market barriers, and accelerate the uptake of renewable energy technologies. On a regional basis, CoolHeating supported the implementation of small modular heating and cooling grids in south-eastern Europe using improved business strategies and innovative financing schemes. The project ‘best practices and implementation of innovative business models for renewable energy aggregators’ explored the aggregation of various distributed renewable energy sources. WinWind project partners drafted a number of good-practice measures based on those from their own countries to improve social acceptance of wind energy in the target regions. Biomass is also a valuable source of renewable energy, and so </w:t>
      </w:r>
      <w:r>
        <w:rPr>
          <w:noProof/>
        </w:rPr>
        <w:lastRenderedPageBreak/>
        <w:t>Securechain ensured optimal management of the EU’s woody biomass supply chain. LIFES 50plus focused on floating 5-10</w:t>
      </w:r>
      <w:r>
        <w:rPr>
          <w:rFonts w:ascii="Calibri" w:hAnsi="Calibri" w:cs="Calibri"/>
          <w:noProof/>
        </w:rPr>
        <w:t> </w:t>
      </w:r>
      <w:r>
        <w:rPr>
          <w:noProof/>
        </w:rPr>
        <w:t>MW wind turbines installed at water depths ranging from 50</w:t>
      </w:r>
      <w:r>
        <w:rPr>
          <w:rFonts w:ascii="Calibri" w:hAnsi="Calibri" w:cs="Calibri"/>
          <w:noProof/>
        </w:rPr>
        <w:t> </w:t>
      </w:r>
      <w:r>
        <w:rPr>
          <w:noProof/>
        </w:rPr>
        <w:t>metres to about 200</w:t>
      </w:r>
      <w:r>
        <w:rPr>
          <w:rFonts w:ascii="Calibri" w:hAnsi="Calibri" w:cs="Calibri"/>
          <w:noProof/>
        </w:rPr>
        <w:t> </w:t>
      </w:r>
      <w:r>
        <w:rPr>
          <w:noProof/>
        </w:rPr>
        <w:t xml:space="preserve">metres. In a climate-neutral EU, power generation should be fully decarbonised by 2050, with more than 80% of the EU’s electricity produced by renewable energy. </w:t>
      </w:r>
    </w:p>
    <w:p w:rsidR="00311BB8" w:rsidRDefault="00D91061">
      <w:pPr>
        <w:pStyle w:val="AMPRListOrange-L1"/>
        <w:rPr>
          <w:noProof/>
          <w:lang w:eastAsia="fr-BE"/>
        </w:rPr>
      </w:pPr>
      <w:r>
        <w:rPr>
          <w:noProof/>
          <w:lang w:eastAsia="fr-BE"/>
        </w:rPr>
        <w:t xml:space="preserve">Thanks to the European </w:t>
      </w:r>
      <w:r w:rsidR="00632393">
        <w:rPr>
          <w:noProof/>
          <w:lang w:eastAsia="fr-BE"/>
        </w:rPr>
        <w:t>Regional Development Fund and the Cohesion</w:t>
      </w:r>
      <w:r>
        <w:rPr>
          <w:noProof/>
          <w:lang w:eastAsia="fr-BE"/>
        </w:rPr>
        <w:t xml:space="preserve"> Fund, </w:t>
      </w:r>
      <w:r w:rsidR="00632393">
        <w:rPr>
          <w:noProof/>
          <w:lang w:eastAsia="fr-BE"/>
        </w:rPr>
        <w:t>by end</w:t>
      </w:r>
      <w:r>
        <w:rPr>
          <w:noProof/>
          <w:lang w:eastAsia="fr-BE"/>
        </w:rPr>
        <w:t xml:space="preserve"> 2018</w:t>
      </w:r>
      <w:r w:rsidR="00632393">
        <w:rPr>
          <w:noProof/>
          <w:lang w:eastAsia="fr-BE"/>
        </w:rPr>
        <w:t>,</w:t>
      </w:r>
      <w:r>
        <w:rPr>
          <w:noProof/>
          <w:lang w:eastAsia="fr-BE"/>
        </w:rPr>
        <w:t xml:space="preserve"> an estimated annual decrease in greenhouse gas emissions of </w:t>
      </w:r>
      <w:r w:rsidR="00632393">
        <w:rPr>
          <w:noProof/>
          <w:lang w:eastAsia="fr-BE"/>
        </w:rPr>
        <w:t xml:space="preserve">1.3 million </w:t>
      </w:r>
      <w:r>
        <w:rPr>
          <w:noProof/>
          <w:lang w:eastAsia="fr-BE"/>
        </w:rPr>
        <w:t>tonnes of CO</w:t>
      </w:r>
      <w:r>
        <w:rPr>
          <w:noProof/>
          <w:vertAlign w:val="subscript"/>
          <w:lang w:eastAsia="fr-BE"/>
        </w:rPr>
        <w:t>2</w:t>
      </w:r>
      <w:r>
        <w:rPr>
          <w:noProof/>
          <w:lang w:eastAsia="fr-BE"/>
        </w:rPr>
        <w:t xml:space="preserve"> equivalent was achieved, and the energy consumption classification for </w:t>
      </w:r>
      <w:r w:rsidR="00632393">
        <w:rPr>
          <w:noProof/>
          <w:lang w:eastAsia="fr-BE"/>
        </w:rPr>
        <w:t>174 000</w:t>
      </w:r>
      <w:r>
        <w:rPr>
          <w:noProof/>
          <w:lang w:eastAsia="fr-BE"/>
        </w:rPr>
        <w:t xml:space="preserve"> households was improved. </w:t>
      </w:r>
    </w:p>
    <w:p w:rsidR="00311BB8" w:rsidRDefault="00D91061">
      <w:pPr>
        <w:pStyle w:val="AMPRListOrange-L1"/>
        <w:rPr>
          <w:noProof/>
          <w:lang w:eastAsia="fr-BE"/>
        </w:rPr>
      </w:pPr>
      <w:r>
        <w:rPr>
          <w:noProof/>
          <w:lang w:eastAsia="fr-BE"/>
        </w:rPr>
        <w:t>The European Social Fund also contributes to climate objectives, notably through greater support for training and labour market measures linked to green jobs. For example, in Czechia, the European Social Fund supported 111 projects in the coal regions with a total allocation of EUR</w:t>
      </w:r>
      <w:r>
        <w:rPr>
          <w:rFonts w:ascii="Calibri" w:hAnsi="Calibri" w:cs="Calibri"/>
          <w:noProof/>
          <w:lang w:eastAsia="fr-BE"/>
        </w:rPr>
        <w:t> </w:t>
      </w:r>
      <w:r>
        <w:rPr>
          <w:noProof/>
          <w:lang w:eastAsia="fr-BE"/>
        </w:rPr>
        <w:t>21.3</w:t>
      </w:r>
      <w:r>
        <w:rPr>
          <w:rFonts w:ascii="Calibri" w:hAnsi="Calibri" w:cs="Calibri"/>
          <w:noProof/>
          <w:lang w:eastAsia="fr-BE"/>
        </w:rPr>
        <w:t> </w:t>
      </w:r>
      <w:r>
        <w:rPr>
          <w:noProof/>
          <w:lang w:eastAsia="fr-BE"/>
        </w:rPr>
        <w:t xml:space="preserve">million. More concretely, in North Moravia, the public employment service implemented a European Social Fund-supported project called ‘Outplacement’, which supported 265 miners by providing them with training in welding, driving or gaining a professional licence and other skills. </w:t>
      </w:r>
    </w:p>
    <w:p w:rsidR="00311BB8" w:rsidRDefault="00D91061">
      <w:pPr>
        <w:pStyle w:val="AMPRListOrange-L1"/>
        <w:rPr>
          <w:noProof/>
          <w:lang w:eastAsia="fr-BE"/>
        </w:rPr>
      </w:pPr>
      <w:r>
        <w:rPr>
          <w:noProof/>
          <w:lang w:eastAsia="fr-BE"/>
        </w:rPr>
        <w:t xml:space="preserve">Under the common agricultural policy, the ‘greening’ layer of direct payments accounts for 30% of Member States’ annual direct payment ceilings and covers annual obligations that are beneficial for the environment and climate (e.g. crop diversification, maintenance of permanent grassland), and the dedication of 5% of arable land to ecologically beneficial areas (‘ecological focus areas’). As of 2018, 79% of the total EU agricultural area was subject to at least one ‘greening’ obligation, increasing the environmental impact of the measure. </w:t>
      </w:r>
    </w:p>
    <w:p w:rsidR="00311BB8" w:rsidRDefault="00D91061">
      <w:pPr>
        <w:pStyle w:val="AMPRListOrange-L1"/>
        <w:rPr>
          <w:noProof/>
          <w:lang w:eastAsia="fr-BE"/>
        </w:rPr>
      </w:pPr>
      <w:r>
        <w:rPr>
          <w:noProof/>
          <w:lang w:eastAsia="fr-BE"/>
        </w:rPr>
        <w:t>In 2018, a total of 3.4</w:t>
      </w:r>
      <w:r>
        <w:rPr>
          <w:rFonts w:ascii="Calibri" w:hAnsi="Calibri" w:cs="Calibri"/>
          <w:noProof/>
          <w:lang w:eastAsia="fr-BE"/>
        </w:rPr>
        <w:t> </w:t>
      </w:r>
      <w:r>
        <w:rPr>
          <w:noProof/>
          <w:lang w:eastAsia="fr-BE"/>
        </w:rPr>
        <w:t>million</w:t>
      </w:r>
      <w:r>
        <w:rPr>
          <w:rFonts w:ascii="Calibri" w:hAnsi="Calibri" w:cs="Calibri"/>
          <w:noProof/>
          <w:lang w:eastAsia="fr-BE"/>
        </w:rPr>
        <w:t> </w:t>
      </w:r>
      <w:r>
        <w:rPr>
          <w:noProof/>
          <w:lang w:eastAsia="fr-BE"/>
        </w:rPr>
        <w:t>hectares of agricultural and forest land was covered by management contracts contributing to carbon sequestration or conservation. This equals 89.5% of the 2023 target of 4</w:t>
      </w:r>
      <w:r>
        <w:rPr>
          <w:rFonts w:ascii="Calibri" w:hAnsi="Calibri" w:cs="Calibri"/>
          <w:noProof/>
          <w:lang w:eastAsia="fr-BE"/>
        </w:rPr>
        <w:t> </w:t>
      </w:r>
      <w:r>
        <w:rPr>
          <w:noProof/>
          <w:lang w:eastAsia="fr-BE"/>
        </w:rPr>
        <w:t>million</w:t>
      </w:r>
      <w:r>
        <w:rPr>
          <w:rFonts w:ascii="Calibri" w:hAnsi="Calibri" w:cs="Calibri"/>
          <w:noProof/>
          <w:lang w:eastAsia="fr-BE"/>
        </w:rPr>
        <w:t> </w:t>
      </w:r>
      <w:r>
        <w:rPr>
          <w:noProof/>
          <w:lang w:eastAsia="fr-BE"/>
        </w:rPr>
        <w:t xml:space="preserve">hectares. </w:t>
      </w:r>
    </w:p>
    <w:p w:rsidR="00311BB8" w:rsidRDefault="00D91061">
      <w:pPr>
        <w:pStyle w:val="AMPRListOrange-L1"/>
        <w:rPr>
          <w:noProof/>
          <w:lang w:eastAsia="fr-BE"/>
        </w:rPr>
      </w:pPr>
      <w:r>
        <w:rPr>
          <w:noProof/>
          <w:lang w:eastAsia="fr-BE"/>
        </w:rPr>
        <w:t>The LIFE ‘agri adapt’ project aims to increase the resilience of EU agriculture to climate change by demonstrating sustainable best-practice adaptation measures with an ecosystem-based approach at farm level. The project aims to adapt 120 farms by its end.</w:t>
      </w:r>
    </w:p>
    <w:p w:rsidR="00311BB8" w:rsidRDefault="00D91061">
      <w:pPr>
        <w:pStyle w:val="AMPRListOrange-L1"/>
        <w:rPr>
          <w:noProof/>
        </w:rPr>
      </w:pPr>
      <w:r>
        <w:rPr>
          <w:noProof/>
        </w:rPr>
        <w:t xml:space="preserve">Under the Development Cooperation Instrument, the global climate change alliance plus initiative, as a thematic flagship initiative, will continue to enhance vulnerable partner countries’ resilience to the effects of climate change and to enable them to engage in low-carbon development processes by supporting them. </w:t>
      </w:r>
    </w:p>
    <w:p w:rsidR="00311BB8" w:rsidRDefault="00D91061">
      <w:pPr>
        <w:pStyle w:val="AMPRListOrange-L1"/>
        <w:rPr>
          <w:noProof/>
        </w:rPr>
      </w:pPr>
      <w:r>
        <w:rPr>
          <w:noProof/>
        </w:rPr>
        <w:t>Climate-related administrative expenditure is not accounted for in the mainstreaming estimates. The European Commission is committed to sustainability. Thus, through the eco-management and audit scheme system, the Commission implements a monitoring programme to assess, measure, monitor and reduce the environmental impact of its daily activities. The Commission has achieved significant results, such as the following (results refer to the Brussels site during the period 2005-2018)</w:t>
      </w:r>
      <w:r>
        <w:rPr>
          <w:rStyle w:val="fnRef"/>
          <w:rFonts w:ascii="Arial" w:hAnsi="Arial" w:cs="Arial"/>
          <w:noProof/>
        </w:rPr>
        <w:t> </w:t>
      </w:r>
      <w:r>
        <w:rPr>
          <w:rStyle w:val="fnRef"/>
          <w:noProof/>
        </w:rPr>
        <w:t>(</w:t>
      </w:r>
      <w:r>
        <w:rPr>
          <w:rStyle w:val="fnRefNo"/>
          <w:noProof/>
        </w:rPr>
        <w:footnoteReference w:id="1"/>
      </w:r>
      <w:r>
        <w:rPr>
          <w:rStyle w:val="fnRef"/>
          <w:noProof/>
        </w:rPr>
        <w:t>)</w:t>
      </w:r>
      <w:r>
        <w:rPr>
          <w:noProof/>
        </w:rPr>
        <w:t xml:space="preserve">: </w:t>
      </w:r>
    </w:p>
    <w:p w:rsidR="00311BB8" w:rsidRDefault="00D91061">
      <w:pPr>
        <w:pStyle w:val="AMPRListOrange-L2"/>
        <w:rPr>
          <w:noProof/>
        </w:rPr>
      </w:pPr>
      <w:r>
        <w:rPr>
          <w:noProof/>
        </w:rPr>
        <w:t>energy for buildings</w:t>
      </w:r>
      <w:r>
        <w:rPr>
          <w:rFonts w:ascii="Calibri" w:hAnsi="Calibri" w:cs="Calibri"/>
          <w:noProof/>
        </w:rPr>
        <w:t> </w:t>
      </w:r>
      <w:r>
        <w:rPr>
          <w:noProof/>
        </w:rPr>
        <w:t>= –</w:t>
      </w:r>
      <w:r>
        <w:rPr>
          <w:rFonts w:ascii="Calibri" w:hAnsi="Calibri" w:cs="Calibri"/>
          <w:noProof/>
        </w:rPr>
        <w:t> </w:t>
      </w:r>
      <w:r>
        <w:rPr>
          <w:noProof/>
        </w:rPr>
        <w:t xml:space="preserve">65% (MWh/person); </w:t>
      </w:r>
    </w:p>
    <w:p w:rsidR="00311BB8" w:rsidRDefault="00D91061">
      <w:pPr>
        <w:pStyle w:val="AMPRListOrange-L2"/>
        <w:rPr>
          <w:noProof/>
        </w:rPr>
      </w:pPr>
      <w:r>
        <w:rPr>
          <w:noProof/>
        </w:rPr>
        <w:t>CO</w:t>
      </w:r>
      <w:r>
        <w:rPr>
          <w:noProof/>
          <w:vertAlign w:val="subscript"/>
        </w:rPr>
        <w:t>2</w:t>
      </w:r>
      <w:r>
        <w:rPr>
          <w:noProof/>
        </w:rPr>
        <w:t xml:space="preserve"> emissions for buildings</w:t>
      </w:r>
      <w:r>
        <w:rPr>
          <w:rFonts w:ascii="Calibri" w:hAnsi="Calibri" w:cs="Calibri"/>
          <w:noProof/>
        </w:rPr>
        <w:t> </w:t>
      </w:r>
      <w:r>
        <w:rPr>
          <w:noProof/>
        </w:rPr>
        <w:t>= –</w:t>
      </w:r>
      <w:r>
        <w:rPr>
          <w:rFonts w:ascii="Calibri" w:hAnsi="Calibri" w:cs="Calibri"/>
          <w:noProof/>
        </w:rPr>
        <w:t> </w:t>
      </w:r>
      <w:r>
        <w:rPr>
          <w:noProof/>
        </w:rPr>
        <w:t xml:space="preserve">87% (tonnes/person); </w:t>
      </w:r>
    </w:p>
    <w:p w:rsidR="00311BB8" w:rsidRDefault="00D91061">
      <w:pPr>
        <w:pStyle w:val="AMPRListOrange-L2"/>
        <w:rPr>
          <w:noProof/>
        </w:rPr>
      </w:pPr>
      <w:r>
        <w:rPr>
          <w:noProof/>
        </w:rPr>
        <w:t>since August 2009, 95% of the Commission’s total electricity consumption in Brussels has come from 100%-renewable sources.</w:t>
      </w:r>
    </w:p>
    <w:p w:rsidR="00311BB8" w:rsidRDefault="00311BB8">
      <w:pPr>
        <w:pStyle w:val="AMPRListOrange-L1"/>
        <w:numPr>
          <w:ilvl w:val="0"/>
          <w:numId w:val="0"/>
        </w:numPr>
        <w:ind w:left="714" w:hanging="357"/>
        <w:rPr>
          <w:noProof/>
        </w:rPr>
      </w:pPr>
    </w:p>
    <w:p w:rsidR="00311BB8" w:rsidRDefault="00D91061">
      <w:pPr>
        <w:pStyle w:val="AMPRAnnexesTITLE3"/>
        <w:rPr>
          <w:noProof/>
        </w:rPr>
      </w:pPr>
      <w:r>
        <w:rPr>
          <w:noProof/>
        </w:rPr>
        <w:t>Biodiversity tracking</w:t>
      </w:r>
    </w:p>
    <w:p w:rsidR="00311BB8" w:rsidRDefault="00D91061">
      <w:pPr>
        <w:pStyle w:val="AMPRAnnexesTITLE4"/>
        <w:rPr>
          <w:noProof/>
        </w:rPr>
      </w:pPr>
      <w:r>
        <w:rPr>
          <w:noProof/>
        </w:rPr>
        <w:t xml:space="preserve">Why do we do it? </w:t>
      </w:r>
    </w:p>
    <w:p w:rsidR="00311BB8" w:rsidRDefault="00D91061">
      <w:pPr>
        <w:pStyle w:val="AMPRBodyText"/>
        <w:rPr>
          <w:noProof/>
        </w:rPr>
      </w:pPr>
      <w:r>
        <w:rPr>
          <w:noProof/>
        </w:rPr>
        <w:t xml:space="preserve">To halt and reverse the decline of biodiversity in the EU is a major objective of the EU, as also provided for in the political guidelines from Commission President von der Leyen. Protecting biodiversity is a global issue that requires transnational intervention and coordination. The preservation of biodiversity ensures the long-term stability of ecosystems and enables sustainable preservation of natural resources for future generations. Tackling biodiversity loss and restoring ecosystems requires significant investments, including ones to ensure a more resilient society and combat the emergence of diseases linked to ecosystem degradation and wildlife trade. Nature-based solutions – including ecosystem restoration – have the potential to provide a significant proportion of the mitigation potential needed to meet our international climate objectives in a very cost-effective way. </w:t>
      </w:r>
    </w:p>
    <w:p w:rsidR="00311BB8" w:rsidRDefault="00D91061">
      <w:pPr>
        <w:pStyle w:val="AMPRAnnexesTITLE4"/>
        <w:rPr>
          <w:noProof/>
        </w:rPr>
      </w:pPr>
      <w:r>
        <w:rPr>
          <w:noProof/>
        </w:rPr>
        <w:t xml:space="preserve">What do we do? </w:t>
      </w:r>
    </w:p>
    <w:p w:rsidR="00311BB8" w:rsidRDefault="00D91061">
      <w:pPr>
        <w:pStyle w:val="AMPRBodyText"/>
        <w:rPr>
          <w:noProof/>
        </w:rPr>
      </w:pPr>
      <w:r>
        <w:rPr>
          <w:noProof/>
        </w:rPr>
        <w:t xml:space="preserve">This important strategic political ambition is also reflected in the European Green Deal and the European Green Deal investment plan (2020). </w:t>
      </w:r>
    </w:p>
    <w:p w:rsidR="00311BB8" w:rsidRDefault="00D91061">
      <w:pPr>
        <w:pStyle w:val="AMPRBodyText"/>
        <w:rPr>
          <w:noProof/>
        </w:rPr>
      </w:pPr>
      <w:r>
        <w:rPr>
          <w:noProof/>
        </w:rPr>
        <w:t xml:space="preserve">The upcoming </w:t>
      </w:r>
      <w:r>
        <w:rPr>
          <w:rStyle w:val="AMPRcharBoldBlue"/>
          <w:noProof/>
        </w:rPr>
        <w:t xml:space="preserve">EU 2030 biodiversity strategy </w:t>
      </w:r>
      <w:r>
        <w:rPr>
          <w:noProof/>
        </w:rPr>
        <w:t xml:space="preserve">and the post-2020 global biodiversity framework provide further orientation for financing and resource mobilisation to support biodiversity. The EU finances the protection of biodiversity by integrating the objectives of the EU 2030 biodiversity strategy into the whole of the EU budget, both within the EU via the main funding instruments and outside the EU through external action funding. </w:t>
      </w:r>
    </w:p>
    <w:p w:rsidR="00311BB8" w:rsidRDefault="00D91061">
      <w:pPr>
        <w:pStyle w:val="AMPRAnnexesTITLE4"/>
        <w:rPr>
          <w:noProof/>
        </w:rPr>
      </w:pPr>
      <w:r>
        <w:rPr>
          <w:noProof/>
        </w:rPr>
        <w:t>How much do we spend?</w:t>
      </w:r>
    </w:p>
    <w:p w:rsidR="00311BB8" w:rsidRDefault="00D91061">
      <w:pPr>
        <w:pStyle w:val="AMPRSource-Table-Chart-Photo-Caption"/>
        <w:rPr>
          <w:noProof/>
        </w:rPr>
      </w:pPr>
      <w:r>
        <w:rPr>
          <w:noProof/>
          <w:lang w:val="fr-BE"/>
        </w:rPr>
        <w:drawing>
          <wp:inline distT="0" distB="0" distL="0" distR="0">
            <wp:extent cx="5676900" cy="39023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7598" cy="3902879"/>
                    </a:xfrm>
                    <a:prstGeom prst="rect">
                      <a:avLst/>
                    </a:prstGeom>
                    <a:noFill/>
                    <a:ln>
                      <a:noFill/>
                    </a:ln>
                  </pic:spPr>
                </pic:pic>
              </a:graphicData>
            </a:graphic>
          </wp:inline>
        </w:drawing>
      </w:r>
      <w:r>
        <w:rPr>
          <w:noProof/>
        </w:rPr>
        <w:t>NB: All amounts in million EUR.</w:t>
      </w:r>
    </w:p>
    <w:p w:rsidR="00311BB8" w:rsidRDefault="00D91061">
      <w:pPr>
        <w:pStyle w:val="AMPRSource-Table-Chart-Photo-Caption"/>
        <w:rPr>
          <w:noProof/>
        </w:rPr>
      </w:pPr>
      <w:r>
        <w:rPr>
          <w:i/>
          <w:noProof/>
        </w:rPr>
        <w:t>Source:</w:t>
      </w:r>
      <w:r>
        <w:rPr>
          <w:noProof/>
        </w:rPr>
        <w:t xml:space="preserve"> European Commission.</w:t>
      </w:r>
    </w:p>
    <w:p w:rsidR="00311BB8" w:rsidRDefault="00D91061">
      <w:pPr>
        <w:pStyle w:val="AMPRBodyText"/>
        <w:rPr>
          <w:noProof/>
        </w:rPr>
      </w:pPr>
      <w:r>
        <w:rPr>
          <w:noProof/>
        </w:rPr>
        <w:t xml:space="preserve">To track the EU budget expenditure, an internationally recognised methodology is used: the Organisation for Economic Co-operation and Development’s ‘Rio markers’. Under this methodology, for each project/objective/strand/programme a coefficient of 0%, 40% or 100% is applied to reflect the different degrees to which biodiversity considerations are integrated into the expenditure. </w:t>
      </w:r>
    </w:p>
    <w:p w:rsidR="00311BB8" w:rsidRDefault="00D91061">
      <w:pPr>
        <w:pStyle w:val="AMPRBodyText"/>
        <w:rPr>
          <w:rStyle w:val="AMPRcharBoldOrange"/>
          <w:noProof/>
        </w:rPr>
      </w:pPr>
      <w:r>
        <w:rPr>
          <w:rStyle w:val="AMPRcharBoldOrange"/>
          <w:noProof/>
        </w:rPr>
        <w:t>For the period 2014-2020 the EU budget has dedicated EUR</w:t>
      </w:r>
      <w:r>
        <w:rPr>
          <w:rStyle w:val="AMPRcharBoldOrange"/>
          <w:rFonts w:ascii="Calibri" w:hAnsi="Calibri" w:cs="Calibri"/>
          <w:noProof/>
        </w:rPr>
        <w:t> </w:t>
      </w:r>
      <w:r>
        <w:rPr>
          <w:rStyle w:val="AMPRcharBoldOrange"/>
          <w:noProof/>
        </w:rPr>
        <w:t>85</w:t>
      </w:r>
      <w:r>
        <w:rPr>
          <w:rStyle w:val="AMPRcharBoldOrange"/>
          <w:rFonts w:ascii="Calibri" w:hAnsi="Calibri" w:cs="Calibri"/>
          <w:noProof/>
        </w:rPr>
        <w:t> </w:t>
      </w:r>
      <w:r>
        <w:rPr>
          <w:rStyle w:val="AMPRcharBoldOrange"/>
          <w:noProof/>
        </w:rPr>
        <w:t xml:space="preserve">billion, or 8% of the multiannual financial framework, to the fight against biodiversity loss. </w:t>
      </w:r>
    </w:p>
    <w:p w:rsidR="00311BB8" w:rsidRDefault="00D91061">
      <w:pPr>
        <w:pStyle w:val="AMPRAnnexesTITLE4"/>
        <w:rPr>
          <w:noProof/>
        </w:rPr>
      </w:pPr>
      <w:r>
        <w:rPr>
          <w:noProof/>
        </w:rPr>
        <w:t xml:space="preserve">What have we achieved? </w:t>
      </w:r>
    </w:p>
    <w:tbl>
      <w:tblPr>
        <w:tblStyle w:val="AMPRTABLEA-Template"/>
        <w:tblW w:w="0" w:type="auto"/>
        <w:tblLook w:val="04A0" w:firstRow="1" w:lastRow="0" w:firstColumn="1" w:lastColumn="0" w:noHBand="0" w:noVBand="1"/>
      </w:tblPr>
      <w:tblGrid>
        <w:gridCol w:w="2977"/>
        <w:gridCol w:w="2977"/>
        <w:gridCol w:w="3118"/>
      </w:tblGrid>
      <w:tr w:rsidR="00311BB8" w:rsidTr="00311BB8">
        <w:trPr>
          <w:cnfStyle w:val="100000000000" w:firstRow="1" w:lastRow="0" w:firstColumn="0" w:lastColumn="0" w:oddVBand="0" w:evenVBand="0" w:oddHBand="0" w:evenHBand="0" w:firstRowFirstColumn="0" w:firstRowLastColumn="0" w:lastRowFirstColumn="0" w:lastRowLastColumn="0"/>
          <w:trHeight w:val="637"/>
          <w:tblHeader/>
        </w:trPr>
        <w:tc>
          <w:tcPr>
            <w:cnfStyle w:val="001000000000" w:firstRow="0" w:lastRow="0" w:firstColumn="1" w:lastColumn="0" w:oddVBand="0" w:evenVBand="0" w:oddHBand="0" w:evenHBand="0" w:firstRowFirstColumn="0" w:firstRowLastColumn="0" w:lastRowFirstColumn="0" w:lastRowLastColumn="0"/>
            <w:tcW w:w="2977" w:type="dxa"/>
            <w:hideMark/>
          </w:tcPr>
          <w:p w:rsidR="00311BB8" w:rsidRDefault="00D91061">
            <w:pPr>
              <w:pStyle w:val="AMPRTABLEA-HEADERText-WHITE"/>
              <w:spacing w:before="144" w:after="144"/>
              <w:rPr>
                <w:noProof/>
                <w:lang w:val="en-GB"/>
              </w:rPr>
            </w:pPr>
            <w:r>
              <w:rPr>
                <w:noProof/>
                <w:lang w:val="en-GB"/>
              </w:rPr>
              <w:t>Improving conditions of 186 different species</w:t>
            </w:r>
          </w:p>
        </w:tc>
        <w:tc>
          <w:tcPr>
            <w:tcW w:w="2977" w:type="dxa"/>
            <w:hideMark/>
          </w:tcPr>
          <w:p w:rsidR="00311BB8" w:rsidRDefault="00D91061" w:rsidP="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Almost 3</w:t>
            </w:r>
            <w:r>
              <w:rPr>
                <w:rFonts w:ascii="Calibri" w:hAnsi="Calibri" w:cs="Calibri"/>
                <w:noProof/>
                <w:lang w:val="en-GB"/>
              </w:rPr>
              <w:t> </w:t>
            </w:r>
            <w:r>
              <w:rPr>
                <w:noProof/>
                <w:lang w:val="en-GB"/>
              </w:rPr>
              <w:t>million</w:t>
            </w:r>
            <w:r>
              <w:rPr>
                <w:rFonts w:ascii="Calibri" w:hAnsi="Calibri" w:cs="Calibri"/>
                <w:noProof/>
                <w:lang w:val="en-GB"/>
              </w:rPr>
              <w:t> </w:t>
            </w:r>
            <w:r>
              <w:rPr>
                <w:noProof/>
                <w:lang w:val="en-GB"/>
              </w:rPr>
              <w:t>hectares of natural habitats</w:t>
            </w:r>
          </w:p>
        </w:tc>
        <w:tc>
          <w:tcPr>
            <w:tcW w:w="3118"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16% of agricultural land contributing to biodiversity</w:t>
            </w:r>
          </w:p>
        </w:tc>
      </w:tr>
      <w:tr w:rsidR="00311BB8" w:rsidTr="00311BB8">
        <w:trPr>
          <w:trHeight w:val="712"/>
        </w:trPr>
        <w:tc>
          <w:tcPr>
            <w:cnfStyle w:val="001000000000" w:firstRow="0" w:lastRow="0" w:firstColumn="1" w:lastColumn="0" w:oddVBand="0" w:evenVBand="0" w:oddHBand="0" w:evenHBand="0" w:firstRowFirstColumn="0" w:firstRowLastColumn="0" w:lastRowFirstColumn="0" w:lastRowLastColumn="0"/>
            <w:tcW w:w="2977" w:type="dxa"/>
            <w:hideMark/>
          </w:tcPr>
          <w:p w:rsidR="00311BB8" w:rsidRDefault="00D91061">
            <w:pPr>
              <w:pStyle w:val="AMPRTABLEA-TextJUSTIFIED-BLACK"/>
              <w:rPr>
                <w:noProof/>
                <w:lang w:val="en-GB"/>
              </w:rPr>
            </w:pPr>
            <w:r>
              <w:rPr>
                <w:noProof/>
                <w:lang w:val="en-GB"/>
              </w:rPr>
              <w:t>is the aim of 262 LIFE actions.</w:t>
            </w:r>
          </w:p>
        </w:tc>
        <w:tc>
          <w:tcPr>
            <w:tcW w:w="2977" w:type="dxa"/>
            <w:hideMark/>
          </w:tcPr>
          <w:p w:rsidR="00311BB8" w:rsidRPr="009A133A" w:rsidRDefault="00D91061">
            <w:pPr>
              <w:pStyle w:val="AMPRTABLEA-TextJUSTIFIED-BLACK"/>
              <w:cnfStyle w:val="000000000000" w:firstRow="0" w:lastRow="0" w:firstColumn="0" w:lastColumn="0" w:oddVBand="0" w:evenVBand="0" w:oddHBand="0" w:evenHBand="0" w:firstRowFirstColumn="0" w:firstRowLastColumn="0" w:lastRowFirstColumn="0" w:lastRowLastColumn="0"/>
              <w:rPr>
                <w:noProof/>
                <w:lang w:val="en-IE"/>
              </w:rPr>
            </w:pPr>
            <w:r w:rsidRPr="009A133A">
              <w:rPr>
                <w:noProof/>
                <w:lang w:val="en-IE"/>
              </w:rPr>
              <w:t>supported under EU cohesion policy.</w:t>
            </w:r>
          </w:p>
        </w:tc>
        <w:tc>
          <w:tcPr>
            <w:tcW w:w="3118" w:type="dxa"/>
            <w:hideMark/>
          </w:tcPr>
          <w:p w:rsidR="00311BB8" w:rsidRDefault="00D91061">
            <w:pPr>
              <w:pStyle w:val="AMPRTABLEA-TextJUSTIFIED-BLACK"/>
              <w:cnfStyle w:val="000000000000" w:firstRow="0" w:lastRow="0" w:firstColumn="0" w:lastColumn="0" w:oddVBand="0" w:evenVBand="0" w:oddHBand="0" w:evenHBand="0" w:firstRowFirstColumn="0" w:firstRowLastColumn="0" w:lastRowFirstColumn="0" w:lastRowLastColumn="0"/>
              <w:rPr>
                <w:noProof/>
              </w:rPr>
            </w:pPr>
            <w:r>
              <w:rPr>
                <w:noProof/>
                <w:lang w:val="en-GB"/>
              </w:rPr>
              <w:t xml:space="preserve">in 2018, thanks to the requirements of their management contracts. </w:t>
            </w:r>
            <w:r>
              <w:rPr>
                <w:noProof/>
              </w:rPr>
              <w:t>This is very close to the 2023 target of 17%.</w:t>
            </w:r>
          </w:p>
        </w:tc>
      </w:tr>
    </w:tbl>
    <w:p w:rsidR="00311BB8" w:rsidRDefault="00311BB8">
      <w:pPr>
        <w:pStyle w:val="AMPRBodyText"/>
        <w:rPr>
          <w:noProof/>
        </w:rPr>
        <w:sectPr w:rsidR="00311BB8">
          <w:headerReference w:type="even" r:id="rId16"/>
          <w:headerReference w:type="default" r:id="rId17"/>
          <w:footerReference w:type="even" r:id="rId18"/>
          <w:footerReference w:type="default" r:id="rId19"/>
          <w:headerReference w:type="first" r:id="rId20"/>
          <w:footerReference w:type="first" r:id="rId21"/>
          <w:footnotePr>
            <w:numStart w:val="94"/>
          </w:footnotePr>
          <w:pgSz w:w="11906" w:h="16838" w:code="9"/>
          <w:pgMar w:top="1417" w:right="1417" w:bottom="1134" w:left="1417" w:header="567" w:footer="454" w:gutter="0"/>
          <w:pgNumType w:start="220"/>
          <w:cols w:space="720"/>
          <w:docGrid w:linePitch="360"/>
        </w:sectPr>
      </w:pPr>
    </w:p>
    <w:p w:rsidR="00311BB8" w:rsidRDefault="00311BB8">
      <w:pPr>
        <w:pStyle w:val="AMPRBodyText"/>
        <w:rPr>
          <w:noProof/>
        </w:rPr>
      </w:pPr>
    </w:p>
    <w:p w:rsidR="00311BB8" w:rsidRDefault="00311BB8">
      <w:pPr>
        <w:rPr>
          <w:noProof/>
        </w:rPr>
      </w:pPr>
    </w:p>
    <w:p w:rsidR="00311BB8" w:rsidRDefault="00D91061">
      <w:pPr>
        <w:rPr>
          <w:noProof/>
        </w:rPr>
      </w:pPr>
      <w:r>
        <w:rPr>
          <w:noProof/>
        </w:rPr>
        <w:br w:type="page"/>
      </w:r>
    </w:p>
    <w:p w:rsidR="00311BB8" w:rsidRDefault="00311BB8">
      <w:pPr>
        <w:rPr>
          <w:noProof/>
        </w:rPr>
      </w:pPr>
    </w:p>
    <w:p w:rsidR="00311BB8" w:rsidRDefault="00311BB8">
      <w:pPr>
        <w:pStyle w:val="AMPRBodyText"/>
        <w:rPr>
          <w:noProof/>
        </w:rPr>
        <w:sectPr w:rsidR="00311BB8">
          <w:headerReference w:type="even" r:id="rId22"/>
          <w:headerReference w:type="default" r:id="rId23"/>
          <w:footerReference w:type="even" r:id="rId24"/>
          <w:footerReference w:type="default" r:id="rId25"/>
          <w:headerReference w:type="first" r:id="rId26"/>
          <w:footerReference w:type="first" r:id="rId27"/>
          <w:footnotePr>
            <w:numStart w:val="94"/>
          </w:footnotePr>
          <w:type w:val="continuous"/>
          <w:pgSz w:w="11906" w:h="16838" w:code="9"/>
          <w:pgMar w:top="1417" w:right="1417" w:bottom="1134" w:left="1417" w:header="567" w:footer="454" w:gutter="0"/>
          <w:cols w:space="720"/>
          <w:docGrid w:linePitch="360"/>
        </w:sectPr>
      </w:pPr>
    </w:p>
    <w:p w:rsidR="00311BB8" w:rsidRDefault="00D91061">
      <w:pPr>
        <w:pStyle w:val="AMPRAnnexesTITLE2"/>
        <w:rPr>
          <w:noProof/>
        </w:rPr>
      </w:pPr>
      <w:r>
        <w:rPr>
          <w:noProof/>
        </w:rPr>
        <w:t>Annex</w:t>
      </w:r>
      <w:r>
        <w:rPr>
          <w:rFonts w:ascii="Calibri" w:hAnsi="Calibri" w:cs="Calibri"/>
          <w:noProof/>
        </w:rPr>
        <w:t> </w:t>
      </w:r>
      <w:r>
        <w:rPr>
          <w:noProof/>
        </w:rPr>
        <w:t xml:space="preserve">3: </w:t>
      </w:r>
      <w:r>
        <w:rPr>
          <w:noProof/>
        </w:rPr>
        <w:br/>
        <w:t>Risk at payment/closure reported in the 2019 annual activity reports</w:t>
      </w:r>
      <w:bookmarkEnd w:id="1"/>
      <w:bookmarkEnd w:id="2"/>
      <w:bookmarkEnd w:id="3"/>
      <w:bookmarkEnd w:id="4"/>
    </w:p>
    <w:p w:rsidR="00311BB8" w:rsidRDefault="00D91061">
      <w:pPr>
        <w:pStyle w:val="AMPRAnnexesTITLE3"/>
        <w:rPr>
          <w:noProof/>
        </w:rPr>
      </w:pPr>
      <w:bookmarkStart w:id="6" w:name="_Toc511118105"/>
      <w:bookmarkEnd w:id="6"/>
      <w:r>
        <w:rPr>
          <w:noProof/>
        </w:rPr>
        <w:t>Main concepts</w:t>
      </w:r>
    </w:p>
    <w:p w:rsidR="00311BB8" w:rsidRDefault="00D91061">
      <w:pPr>
        <w:pStyle w:val="AMPRBodyText"/>
        <w:rPr>
          <w:noProof/>
        </w:rPr>
      </w:pPr>
      <w:r>
        <w:rPr>
          <w:noProof/>
        </w:rPr>
        <w:t xml:space="preserve">The Commission’s multiannual control strategies involve both preventive and corrective measures to ensure the sound financial management of EU funds (see </w:t>
      </w:r>
      <w:r>
        <w:rPr>
          <w:rStyle w:val="AMPRcharBoldOrange"/>
          <w:noProof/>
        </w:rPr>
        <w:t>chart</w:t>
      </w:r>
      <w:r>
        <w:rPr>
          <w:rFonts w:ascii="Calibri" w:hAnsi="Calibri" w:cs="Calibri"/>
          <w:b/>
          <w:bCs/>
          <w:i/>
          <w:iCs/>
          <w:noProof/>
        </w:rPr>
        <w:t> </w:t>
      </w:r>
      <w:r>
        <w:rPr>
          <w:noProof/>
        </w:rPr>
        <w:t>below).</w:t>
      </w:r>
    </w:p>
    <w:p w:rsidR="00311BB8" w:rsidRDefault="00423EB7">
      <w:pPr>
        <w:pStyle w:val="AMPRAnnexesTITLE4"/>
        <w:rPr>
          <w:noProof/>
        </w:rPr>
      </w:pPr>
      <w:r>
        <w:rPr>
          <w:noProof/>
          <w:lang w:val="fr-BE" w:eastAsia="fr-BE"/>
        </w:rPr>
        <mc:AlternateContent>
          <mc:Choice Requires="wps">
            <w:drawing>
              <wp:anchor distT="0" distB="0" distL="114300" distR="114300" simplePos="0" relativeHeight="251650560" behindDoc="0" locked="0" layoutInCell="1" allowOverlap="1">
                <wp:simplePos x="0" y="0"/>
                <wp:positionH relativeFrom="margin">
                  <wp:posOffset>1562100</wp:posOffset>
                </wp:positionH>
                <wp:positionV relativeFrom="paragraph">
                  <wp:posOffset>326694</wp:posOffset>
                </wp:positionV>
                <wp:extent cx="2607310" cy="297815"/>
                <wp:effectExtent l="0" t="0" r="0" b="6985"/>
                <wp:wrapNone/>
                <wp:docPr id="29" name="Text Box 29"/>
                <wp:cNvGraphicFramePr/>
                <a:graphic xmlns:a="http://schemas.openxmlformats.org/drawingml/2006/main">
                  <a:graphicData uri="http://schemas.microsoft.com/office/word/2010/wordprocessingShape">
                    <wps:wsp>
                      <wps:cNvSpPr txBox="1"/>
                      <wps:spPr>
                        <a:xfrm>
                          <a:off x="0" y="0"/>
                          <a:ext cx="2607310" cy="297815"/>
                        </a:xfrm>
                        <a:prstGeom prst="rect">
                          <a:avLst/>
                        </a:prstGeom>
                        <a:noFill/>
                        <a:ln w="6350">
                          <a:noFill/>
                        </a:ln>
                      </wps:spPr>
                      <wps:txbx>
                        <w:txbxContent>
                          <w:p w:rsidR="00311BB8" w:rsidRDefault="00D91061">
                            <w:pPr>
                              <w:pStyle w:val="BasicParagraph"/>
                              <w:suppressAutoHyphens/>
                              <w:jc w:val="center"/>
                              <w:rPr>
                                <w:b/>
                                <w:bCs/>
                                <w:caps/>
                                <w:color w:val="005D95"/>
                                <w:sz w:val="27"/>
                                <w:szCs w:val="27"/>
                              </w:rPr>
                            </w:pPr>
                            <w:r>
                              <w:rPr>
                                <w:b/>
                                <w:bCs/>
                                <w:caps/>
                                <w:color w:val="005D95"/>
                                <w:sz w:val="27"/>
                                <w:szCs w:val="27"/>
                              </w:rPr>
                              <w:t>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123pt;margin-top:25.7pt;width:205.3pt;height:23.45pt;z-index:251650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" filled="f" stroked="f" strokeweight=".5pt">
                <v:textbox>
                  <w:txbxContent>
                    <w:p w:rsidR="00311BB8" w:rsidRDefault="00D91061">
                      <w:pPr>
                        <w:pStyle w:val="BasicParagraph"/>
                        <w:suppressAutoHyphens/>
                        <w:jc w:val="center"/>
                        <w:rPr>
                          <w:b/>
                          <w:bCs/>
                          <w:caps/>
                          <w:color w:val="005D95"/>
                          <w:sz w:val="27"/>
                          <w:szCs w:val="27"/>
                        </w:rPr>
                      </w:pPr>
                      <w:r>
                        <w:rPr>
                          <w:b/>
                          <w:bCs/>
                          <w:caps/>
                          <w:color w:val="005D95"/>
                          <w:sz w:val="27"/>
                          <w:szCs w:val="27"/>
                        </w:rPr>
                        <w:t>Objectives</w:t>
                      </w:r>
                    </w:p>
                  </w:txbxContent>
                </v:textbox>
                <w10:wrap anchorx="margin"/>
              </v:shape>
            </w:pict>
          </mc:Fallback>
        </mc:AlternateContent>
      </w:r>
      <w:r w:rsidR="00D91061">
        <w:rPr>
          <w:noProof/>
        </w:rPr>
        <w:t>Preventive and corrective measures</w:t>
      </w:r>
    </w:p>
    <w:p w:rsidR="00311BB8" w:rsidRDefault="00423EB7">
      <w:pPr>
        <w:jc w:val="both"/>
        <w:rPr>
          <w:noProof/>
        </w:rPr>
      </w:pPr>
      <w:r>
        <w:rPr>
          <w:noProof/>
          <w:lang w:val="fr-BE" w:eastAsia="fr-BE"/>
        </w:rPr>
        <mc:AlternateContent>
          <mc:Choice Requires="wpg">
            <w:drawing>
              <wp:anchor distT="0" distB="0" distL="114300" distR="114300" simplePos="0" relativeHeight="251654656" behindDoc="0" locked="0" layoutInCell="1" allowOverlap="1">
                <wp:simplePos x="0" y="0"/>
                <wp:positionH relativeFrom="column">
                  <wp:posOffset>-87630</wp:posOffset>
                </wp:positionH>
                <wp:positionV relativeFrom="paragraph">
                  <wp:posOffset>233984</wp:posOffset>
                </wp:positionV>
                <wp:extent cx="6155690" cy="687705"/>
                <wp:effectExtent l="0" t="0" r="0" b="0"/>
                <wp:wrapNone/>
                <wp:docPr id="227" name="Group 227"/>
                <wp:cNvGraphicFramePr/>
                <a:graphic xmlns:a="http://schemas.openxmlformats.org/drawingml/2006/main">
                  <a:graphicData uri="http://schemas.microsoft.com/office/word/2010/wordprocessingGroup">
                    <wpg:wgp>
                      <wpg:cNvGrpSpPr/>
                      <wpg:grpSpPr>
                        <a:xfrm>
                          <a:off x="0" y="0"/>
                          <a:ext cx="6155690" cy="687705"/>
                          <a:chOff x="0" y="0"/>
                          <a:chExt cx="6155772" cy="687754"/>
                        </a:xfrm>
                      </wpg:grpSpPr>
                      <wpg:grpSp>
                        <wpg:cNvPr id="228" name="Group 228"/>
                        <wpg:cNvGrpSpPr/>
                        <wpg:grpSpPr>
                          <a:xfrm>
                            <a:off x="0" y="0"/>
                            <a:ext cx="1172210" cy="687754"/>
                            <a:chOff x="0" y="0"/>
                            <a:chExt cx="1172817" cy="687754"/>
                          </a:xfrm>
                        </wpg:grpSpPr>
                        <wps:wsp>
                          <wps:cNvPr id="229" name="Text Box 229"/>
                          <wps:cNvSpPr txBox="1"/>
                          <wps:spPr>
                            <a:xfrm>
                              <a:off x="225287" y="0"/>
                              <a:ext cx="947530" cy="687754"/>
                            </a:xfrm>
                            <a:prstGeom prst="rect">
                              <a:avLst/>
                            </a:prstGeom>
                            <a:noFill/>
                            <a:ln w="6350">
                              <a:noFill/>
                            </a:ln>
                          </wps:spPr>
                          <wps:txbx>
                            <w:txbxContent>
                              <w:p w:rsidR="00311BB8" w:rsidRDefault="00D91061">
                                <w:pPr>
                                  <w:pStyle w:val="BasicParagraph"/>
                                  <w:suppressAutoHyphens/>
                                  <w:ind w:left="90"/>
                                  <w:rPr>
                                    <w:rFonts w:cs="EC Square Sans Pro Medium"/>
                                    <w:color w:val="203F79"/>
                                    <w:sz w:val="18"/>
                                    <w:szCs w:val="18"/>
                                  </w:rPr>
                                </w:pPr>
                                <w:r>
                                  <w:rPr>
                                    <w:rFonts w:cs="EC Square Sans Pro Medium"/>
                                    <w:color w:val="203F79"/>
                                    <w:sz w:val="18"/>
                                    <w:szCs w:val="18"/>
                                  </w:rPr>
                                  <w:t xml:space="preserve">Ensure legality and </w:t>
                                </w:r>
                                <w:r>
                                  <w:rPr>
                                    <w:rFonts w:cs="EC Square Sans Pro Medium"/>
                                    <w:color w:val="203F79"/>
                                    <w:sz w:val="18"/>
                                    <w:szCs w:val="18"/>
                                  </w:rPr>
                                  <w:br/>
                                  <w:t xml:space="preserve">regularity of </w:t>
                                </w:r>
                                <w:r>
                                  <w:rPr>
                                    <w:rFonts w:cs="EC Square Sans Pro Medium"/>
                                    <w:color w:val="203F79"/>
                                    <w:sz w:val="18"/>
                                    <w:szCs w:val="18"/>
                                  </w:rPr>
                                  <w:br/>
                                  <w:t>transactions</w:t>
                                </w:r>
                              </w:p>
                              <w:p w:rsidR="00311BB8" w:rsidRDefault="00311BB8">
                                <w:pPr>
                                  <w:pStyle w:val="BasicParagraph"/>
                                  <w:suppressAutoHyphens/>
                                  <w:jc w:val="center"/>
                                  <w:rPr>
                                    <w:b/>
                                    <w:bCs/>
                                    <w:caps/>
                                    <w:color w:val="203F79"/>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0" name="Group 230"/>
                          <wpg:cNvGrpSpPr/>
                          <wpg:grpSpPr>
                            <a:xfrm>
                              <a:off x="0" y="66260"/>
                              <a:ext cx="316230" cy="251460"/>
                              <a:chOff x="0" y="0"/>
                              <a:chExt cx="316394" cy="252000"/>
                            </a:xfrm>
                          </wpg:grpSpPr>
                          <wps:wsp>
                            <wps:cNvPr id="235" name="Text Box 235"/>
                            <wps:cNvSpPr txBox="1"/>
                            <wps:spPr>
                              <a:xfrm>
                                <a:off x="64394" y="0"/>
                                <a:ext cx="252000" cy="252000"/>
                              </a:xfrm>
                              <a:prstGeom prst="roundRect">
                                <a:avLst/>
                              </a:prstGeom>
                              <a:solidFill>
                                <a:srgbClr val="005D95"/>
                              </a:solidFill>
                              <a:ln w="6350">
                                <a:noFill/>
                              </a:ln>
                            </wps:spPr>
                            <wps:txbx>
                              <w:txbxContent>
                                <w:p w:rsidR="00311BB8" w:rsidRDefault="00311BB8">
                                  <w:pPr>
                                    <w:pStyle w:val="BasicParagraph"/>
                                    <w:suppressAutoHyphens/>
                                    <w:rPr>
                                      <w:b/>
                                      <w:bCs/>
                                      <w:caps/>
                                      <w:color w:val="FFFFFF" w:themeColor="background1"/>
                                      <w:sz w:val="27"/>
                                      <w:szCs w:val="2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xt Box 238"/>
                            <wps:cNvSpPr txBox="1"/>
                            <wps:spPr>
                              <a:xfrm>
                                <a:off x="0" y="0"/>
                                <a:ext cx="298873" cy="251460"/>
                              </a:xfrm>
                              <a:prstGeom prst="rect">
                                <a:avLst/>
                              </a:prstGeom>
                              <a:noFill/>
                              <a:ln w="6350">
                                <a:noFill/>
                              </a:ln>
                            </wps:spPr>
                            <wps:txbx>
                              <w:txbxContent>
                                <w:p w:rsidR="00311BB8" w:rsidRDefault="00D91061">
                                  <w:pPr>
                                    <w:pStyle w:val="BasicParagraph"/>
                                    <w:suppressAutoHyphens/>
                                    <w:ind w:left="90"/>
                                    <w:rPr>
                                      <w:rFonts w:ascii="EC Square Sans Pro Medium" w:hAnsi="EC Square Sans Pro Medium" w:cs="EC Square Sans Pro Medium"/>
                                      <w:b/>
                                      <w:color w:val="FFFFFF" w:themeColor="background1"/>
                                      <w:sz w:val="20"/>
                                      <w:szCs w:val="18"/>
                                    </w:rPr>
                                  </w:pPr>
                                  <w:r>
                                    <w:rPr>
                                      <w:rFonts w:ascii="EC Square Sans Pro Medium" w:hAnsi="EC Square Sans Pro Medium" w:cs="EC Square Sans Pro Medium"/>
                                      <w:b/>
                                      <w:color w:val="FFFFFF" w:themeColor="background1"/>
                                      <w:sz w:val="20"/>
                                      <w:szCs w:val="18"/>
                                    </w:rPr>
                                    <w:t>1</w:t>
                                  </w:r>
                                </w:p>
                                <w:p w:rsidR="00311BB8" w:rsidRDefault="00311BB8">
                                  <w:pPr>
                                    <w:pStyle w:val="BasicParagraph"/>
                                    <w:suppressAutoHyphens/>
                                    <w:jc w:val="center"/>
                                    <w:rPr>
                                      <w:b/>
                                      <w:bCs/>
                                      <w:caps/>
                                      <w:color w:val="203F79"/>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45" name="Group 245"/>
                        <wpg:cNvGrpSpPr/>
                        <wpg:grpSpPr>
                          <a:xfrm>
                            <a:off x="1264257" y="0"/>
                            <a:ext cx="1245235" cy="687754"/>
                            <a:chOff x="0" y="0"/>
                            <a:chExt cx="1245677" cy="687754"/>
                          </a:xfrm>
                        </wpg:grpSpPr>
                        <wps:wsp>
                          <wps:cNvPr id="246" name="Text Box 246"/>
                          <wps:cNvSpPr txBox="1"/>
                          <wps:spPr>
                            <a:xfrm>
                              <a:off x="284922" y="0"/>
                              <a:ext cx="960755" cy="687754"/>
                            </a:xfrm>
                            <a:prstGeom prst="rect">
                              <a:avLst/>
                            </a:prstGeom>
                            <a:noFill/>
                            <a:ln w="6350">
                              <a:noFill/>
                            </a:ln>
                          </wps:spPr>
                          <wps:txbx>
                            <w:txbxContent>
                              <w:p w:rsidR="00311BB8" w:rsidRDefault="00D91061">
                                <w:pPr>
                                  <w:pStyle w:val="BasicParagraph"/>
                                  <w:suppressAutoHyphens/>
                                  <w:rPr>
                                    <w:rFonts w:cs="EC Square Sans Pro Medium"/>
                                    <w:color w:val="203F79"/>
                                    <w:sz w:val="18"/>
                                    <w:szCs w:val="18"/>
                                  </w:rPr>
                                </w:pPr>
                                <w:r>
                                  <w:rPr>
                                    <w:rFonts w:cs="EC Square Sans Pro Medium"/>
                                    <w:color w:val="203F79"/>
                                    <w:sz w:val="18"/>
                                    <w:szCs w:val="18"/>
                                  </w:rPr>
                                  <w:t xml:space="preserve">Ensure an anti-fraud </w:t>
                                </w:r>
                              </w:p>
                              <w:p w:rsidR="00311BB8" w:rsidRDefault="00D91061">
                                <w:pPr>
                                  <w:pStyle w:val="BasicParagraph"/>
                                  <w:suppressAutoHyphens/>
                                  <w:rPr>
                                    <w:rFonts w:cs="EC Square Sans Pro Medium"/>
                                    <w:color w:val="203F79"/>
                                    <w:sz w:val="18"/>
                                    <w:szCs w:val="18"/>
                                  </w:rPr>
                                </w:pPr>
                                <w:r>
                                  <w:rPr>
                                    <w:rFonts w:cs="EC Square Sans Pro Medium"/>
                                    <w:color w:val="203F79"/>
                                    <w:sz w:val="18"/>
                                    <w:szCs w:val="18"/>
                                  </w:rPr>
                                  <w:t xml:space="preserve">strategy and </w:t>
                                </w:r>
                              </w:p>
                              <w:p w:rsidR="00311BB8" w:rsidRDefault="00D91061">
                                <w:pPr>
                                  <w:pStyle w:val="BasicParagraph"/>
                                  <w:suppressAutoHyphens/>
                                  <w:rPr>
                                    <w:b/>
                                    <w:bCs/>
                                    <w:caps/>
                                    <w:color w:val="203F79"/>
                                    <w:sz w:val="27"/>
                                    <w:szCs w:val="27"/>
                                  </w:rPr>
                                </w:pPr>
                                <w:r>
                                  <w:rPr>
                                    <w:rFonts w:cs="EC Square Sans Pro Medium"/>
                                    <w:color w:val="203F79"/>
                                    <w:sz w:val="18"/>
                                    <w:szCs w:val="18"/>
                                  </w:rPr>
                                  <w:t>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7" name="Group 247"/>
                          <wpg:cNvGrpSpPr/>
                          <wpg:grpSpPr>
                            <a:xfrm>
                              <a:off x="0" y="66260"/>
                              <a:ext cx="316230" cy="251460"/>
                              <a:chOff x="0" y="0"/>
                              <a:chExt cx="316394" cy="252000"/>
                            </a:xfrm>
                          </wpg:grpSpPr>
                          <wps:wsp>
                            <wps:cNvPr id="248" name="Text Box 248"/>
                            <wps:cNvSpPr txBox="1"/>
                            <wps:spPr>
                              <a:xfrm>
                                <a:off x="64394" y="0"/>
                                <a:ext cx="252000" cy="252000"/>
                              </a:xfrm>
                              <a:prstGeom prst="roundRect">
                                <a:avLst/>
                              </a:prstGeom>
                              <a:solidFill>
                                <a:srgbClr val="005D95"/>
                              </a:solidFill>
                              <a:ln w="6350">
                                <a:noFill/>
                              </a:ln>
                            </wps:spPr>
                            <wps:txbx>
                              <w:txbxContent>
                                <w:p w:rsidR="00311BB8" w:rsidRDefault="00311BB8">
                                  <w:pPr>
                                    <w:pStyle w:val="BasicParagraph"/>
                                    <w:suppressAutoHyphens/>
                                    <w:rPr>
                                      <w:b/>
                                      <w:bCs/>
                                      <w:caps/>
                                      <w:color w:val="FFFFFF" w:themeColor="background1"/>
                                      <w:sz w:val="27"/>
                                      <w:szCs w:val="2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ext Box 249"/>
                            <wps:cNvSpPr txBox="1"/>
                            <wps:spPr>
                              <a:xfrm>
                                <a:off x="0" y="0"/>
                                <a:ext cx="298873" cy="251460"/>
                              </a:xfrm>
                              <a:prstGeom prst="rect">
                                <a:avLst/>
                              </a:prstGeom>
                              <a:noFill/>
                              <a:ln w="6350">
                                <a:noFill/>
                              </a:ln>
                            </wps:spPr>
                            <wps:txbx>
                              <w:txbxContent>
                                <w:p w:rsidR="00311BB8" w:rsidRDefault="00D91061">
                                  <w:pPr>
                                    <w:pStyle w:val="BasicParagraph"/>
                                    <w:suppressAutoHyphens/>
                                    <w:ind w:left="90"/>
                                    <w:rPr>
                                      <w:rFonts w:ascii="EC Square Sans Pro Medium" w:hAnsi="EC Square Sans Pro Medium" w:cs="EC Square Sans Pro Medium"/>
                                      <w:b/>
                                      <w:color w:val="FFFFFF" w:themeColor="background1"/>
                                      <w:sz w:val="20"/>
                                      <w:szCs w:val="18"/>
                                    </w:rPr>
                                  </w:pPr>
                                  <w:r>
                                    <w:rPr>
                                      <w:rFonts w:ascii="EC Square Sans Pro Medium" w:hAnsi="EC Square Sans Pro Medium" w:cs="EC Square Sans Pro Medium"/>
                                      <w:b/>
                                      <w:color w:val="FFFFFF" w:themeColor="background1"/>
                                      <w:sz w:val="20"/>
                                      <w:szCs w:val="18"/>
                                    </w:rPr>
                                    <w:t>2</w:t>
                                  </w:r>
                                </w:p>
                                <w:p w:rsidR="00311BB8" w:rsidRDefault="00311BB8">
                                  <w:pPr>
                                    <w:pStyle w:val="BasicParagraph"/>
                                    <w:suppressAutoHyphens/>
                                    <w:jc w:val="center"/>
                                    <w:rPr>
                                      <w:b/>
                                      <w:bCs/>
                                      <w:caps/>
                                      <w:color w:val="203F79"/>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50" name="Group 250"/>
                        <wpg:cNvGrpSpPr/>
                        <wpg:grpSpPr>
                          <a:xfrm>
                            <a:off x="2488758" y="0"/>
                            <a:ext cx="1409065" cy="670560"/>
                            <a:chOff x="0" y="0"/>
                            <a:chExt cx="1409231" cy="670560"/>
                          </a:xfrm>
                        </wpg:grpSpPr>
                        <wps:wsp>
                          <wps:cNvPr id="251" name="Text Box 251"/>
                          <wps:cNvSpPr txBox="1"/>
                          <wps:spPr>
                            <a:xfrm>
                              <a:off x="278296" y="0"/>
                              <a:ext cx="1130935" cy="670560"/>
                            </a:xfrm>
                            <a:prstGeom prst="rect">
                              <a:avLst/>
                            </a:prstGeom>
                            <a:noFill/>
                            <a:ln w="6350">
                              <a:noFill/>
                            </a:ln>
                          </wps:spPr>
                          <wps:txbx>
                            <w:txbxContent>
                              <w:p w:rsidR="00311BB8" w:rsidRDefault="00D91061">
                                <w:pPr>
                                  <w:pStyle w:val="BasicParagraph"/>
                                  <w:suppressAutoHyphens/>
                                  <w:rPr>
                                    <w:rFonts w:cs="EC Square Sans Pro Medium"/>
                                    <w:color w:val="203F79"/>
                                    <w:sz w:val="18"/>
                                    <w:szCs w:val="18"/>
                                  </w:rPr>
                                </w:pPr>
                                <w:r>
                                  <w:rPr>
                                    <w:rFonts w:cs="EC Square Sans Pro Medium"/>
                                    <w:color w:val="203F79"/>
                                    <w:sz w:val="18"/>
                                    <w:szCs w:val="18"/>
                                  </w:rPr>
                                  <w:t xml:space="preserve">Ensure economy, </w:t>
                                </w:r>
                              </w:p>
                              <w:p w:rsidR="00311BB8" w:rsidRDefault="00D91061">
                                <w:pPr>
                                  <w:pStyle w:val="BasicParagraph"/>
                                  <w:suppressAutoHyphens/>
                                  <w:rPr>
                                    <w:rFonts w:cs="EC Square Sans Pro Medium"/>
                                    <w:color w:val="203F79"/>
                                    <w:sz w:val="18"/>
                                    <w:szCs w:val="18"/>
                                  </w:rPr>
                                </w:pPr>
                                <w:r>
                                  <w:rPr>
                                    <w:rFonts w:cs="EC Square Sans Pro Medium"/>
                                    <w:color w:val="203F79"/>
                                    <w:sz w:val="18"/>
                                    <w:szCs w:val="18"/>
                                  </w:rPr>
                                  <w:t xml:space="preserve">efficiency and </w:t>
                                </w:r>
                              </w:p>
                              <w:p w:rsidR="00311BB8" w:rsidRDefault="00D91061">
                                <w:pPr>
                                  <w:pStyle w:val="BasicParagraph"/>
                                  <w:suppressAutoHyphens/>
                                  <w:rPr>
                                    <w:b/>
                                    <w:bCs/>
                                    <w:caps/>
                                    <w:color w:val="203F79"/>
                                    <w:sz w:val="27"/>
                                    <w:szCs w:val="27"/>
                                  </w:rPr>
                                </w:pPr>
                                <w:r>
                                  <w:rPr>
                                    <w:rFonts w:cs="EC Square Sans Pro Medium"/>
                                    <w:color w:val="203F79"/>
                                    <w:sz w:val="18"/>
                                    <w:szCs w:val="18"/>
                                  </w:rPr>
                                  <w:t>effectiveness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 name="Group 252"/>
                          <wpg:cNvGrpSpPr/>
                          <wpg:grpSpPr>
                            <a:xfrm>
                              <a:off x="0" y="66260"/>
                              <a:ext cx="316230" cy="251460"/>
                              <a:chOff x="0" y="0"/>
                              <a:chExt cx="316394" cy="252000"/>
                            </a:xfrm>
                          </wpg:grpSpPr>
                          <wps:wsp>
                            <wps:cNvPr id="253" name="Text Box 253"/>
                            <wps:cNvSpPr txBox="1"/>
                            <wps:spPr>
                              <a:xfrm>
                                <a:off x="64394" y="0"/>
                                <a:ext cx="252000" cy="252000"/>
                              </a:xfrm>
                              <a:prstGeom prst="roundRect">
                                <a:avLst/>
                              </a:prstGeom>
                              <a:solidFill>
                                <a:srgbClr val="005D95"/>
                              </a:solidFill>
                              <a:ln w="6350">
                                <a:noFill/>
                              </a:ln>
                            </wps:spPr>
                            <wps:txbx>
                              <w:txbxContent>
                                <w:p w:rsidR="00311BB8" w:rsidRDefault="00311BB8">
                                  <w:pPr>
                                    <w:pStyle w:val="BasicParagraph"/>
                                    <w:suppressAutoHyphens/>
                                    <w:rPr>
                                      <w:b/>
                                      <w:bCs/>
                                      <w:caps/>
                                      <w:color w:val="FFFFFF" w:themeColor="background1"/>
                                      <w:sz w:val="27"/>
                                      <w:szCs w:val="2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254"/>
                            <wps:cNvSpPr txBox="1"/>
                            <wps:spPr>
                              <a:xfrm>
                                <a:off x="0" y="0"/>
                                <a:ext cx="298873" cy="251460"/>
                              </a:xfrm>
                              <a:prstGeom prst="rect">
                                <a:avLst/>
                              </a:prstGeom>
                              <a:noFill/>
                              <a:ln w="6350">
                                <a:noFill/>
                              </a:ln>
                            </wps:spPr>
                            <wps:txbx>
                              <w:txbxContent>
                                <w:p w:rsidR="00311BB8" w:rsidRDefault="00D91061">
                                  <w:pPr>
                                    <w:pStyle w:val="BasicParagraph"/>
                                    <w:suppressAutoHyphens/>
                                    <w:ind w:left="90"/>
                                    <w:rPr>
                                      <w:rFonts w:ascii="EC Square Sans Pro Medium" w:hAnsi="EC Square Sans Pro Medium" w:cs="EC Square Sans Pro Medium"/>
                                      <w:b/>
                                      <w:color w:val="FFFFFF" w:themeColor="background1"/>
                                      <w:sz w:val="20"/>
                                      <w:szCs w:val="18"/>
                                    </w:rPr>
                                  </w:pPr>
                                  <w:r>
                                    <w:rPr>
                                      <w:rFonts w:ascii="EC Square Sans Pro Medium" w:hAnsi="EC Square Sans Pro Medium" w:cs="EC Square Sans Pro Medium"/>
                                      <w:b/>
                                      <w:color w:val="FFFFFF" w:themeColor="background1"/>
                                      <w:sz w:val="20"/>
                                      <w:szCs w:val="18"/>
                                    </w:rPr>
                                    <w:t>3</w:t>
                                  </w:r>
                                </w:p>
                                <w:p w:rsidR="00311BB8" w:rsidRDefault="00311BB8">
                                  <w:pPr>
                                    <w:pStyle w:val="BasicParagraph"/>
                                    <w:suppressAutoHyphens/>
                                    <w:jc w:val="center"/>
                                    <w:rPr>
                                      <w:b/>
                                      <w:bCs/>
                                      <w:caps/>
                                      <w:color w:val="203F79"/>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55" name="Group 255"/>
                        <wpg:cNvGrpSpPr/>
                        <wpg:grpSpPr>
                          <a:xfrm>
                            <a:off x="3737113" y="0"/>
                            <a:ext cx="1409065" cy="670560"/>
                            <a:chOff x="0" y="0"/>
                            <a:chExt cx="1409231" cy="670560"/>
                          </a:xfrm>
                        </wpg:grpSpPr>
                        <wps:wsp>
                          <wps:cNvPr id="7174" name="Text Box 7174"/>
                          <wps:cNvSpPr txBox="1"/>
                          <wps:spPr>
                            <a:xfrm>
                              <a:off x="278296" y="0"/>
                              <a:ext cx="1130935" cy="670560"/>
                            </a:xfrm>
                            <a:prstGeom prst="rect">
                              <a:avLst/>
                            </a:prstGeom>
                            <a:noFill/>
                            <a:ln w="6350">
                              <a:noFill/>
                            </a:ln>
                          </wps:spPr>
                          <wps:txbx>
                            <w:txbxContent>
                              <w:p w:rsidR="00311BB8" w:rsidRDefault="00D91061">
                                <w:pPr>
                                  <w:pStyle w:val="BasicParagraph"/>
                                  <w:suppressAutoHyphens/>
                                  <w:rPr>
                                    <w:rFonts w:cs="EC Square Sans Pro Medium"/>
                                    <w:color w:val="203F79"/>
                                    <w:sz w:val="18"/>
                                    <w:szCs w:val="18"/>
                                  </w:rPr>
                                </w:pPr>
                                <w:r>
                                  <w:rPr>
                                    <w:rFonts w:cs="EC Square Sans Pro Medium"/>
                                    <w:color w:val="203F79"/>
                                    <w:sz w:val="18"/>
                                    <w:szCs w:val="18"/>
                                  </w:rPr>
                                  <w:t xml:space="preserve">Safeguard </w:t>
                                </w:r>
                              </w:p>
                              <w:p w:rsidR="00311BB8" w:rsidRDefault="00D91061">
                                <w:pPr>
                                  <w:pStyle w:val="BasicParagraph"/>
                                  <w:suppressAutoHyphens/>
                                  <w:rPr>
                                    <w:rFonts w:cs="EC Square Sans Pro Medium"/>
                                    <w:color w:val="203F79"/>
                                    <w:sz w:val="18"/>
                                    <w:szCs w:val="18"/>
                                  </w:rPr>
                                </w:pPr>
                                <w:r>
                                  <w:rPr>
                                    <w:rFonts w:cs="EC Square Sans Pro Medium"/>
                                    <w:color w:val="203F79"/>
                                    <w:sz w:val="18"/>
                                    <w:szCs w:val="18"/>
                                  </w:rPr>
                                  <w:t xml:space="preserve">assets and </w:t>
                                </w:r>
                              </w:p>
                              <w:p w:rsidR="00311BB8" w:rsidRDefault="00D91061">
                                <w:pPr>
                                  <w:pStyle w:val="BasicParagraph"/>
                                  <w:suppressAutoHyphens/>
                                  <w:rPr>
                                    <w:b/>
                                    <w:bCs/>
                                    <w:caps/>
                                    <w:color w:val="203F79"/>
                                    <w:sz w:val="27"/>
                                    <w:szCs w:val="27"/>
                                  </w:rPr>
                                </w:pPr>
                                <w:r>
                                  <w:rPr>
                                    <w:rFonts w:cs="EC Square Sans Pro Medium"/>
                                    <w:color w:val="203F79"/>
                                    <w:sz w:val="18"/>
                                    <w:szCs w:val="18"/>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187" name="Group 7187"/>
                          <wpg:cNvGrpSpPr/>
                          <wpg:grpSpPr>
                            <a:xfrm>
                              <a:off x="0" y="66260"/>
                              <a:ext cx="316230" cy="251460"/>
                              <a:chOff x="0" y="0"/>
                              <a:chExt cx="316394" cy="252000"/>
                            </a:xfrm>
                          </wpg:grpSpPr>
                          <wps:wsp>
                            <wps:cNvPr id="7190" name="Text Box 7190"/>
                            <wps:cNvSpPr txBox="1"/>
                            <wps:spPr>
                              <a:xfrm>
                                <a:off x="64394" y="0"/>
                                <a:ext cx="252000" cy="252000"/>
                              </a:xfrm>
                              <a:prstGeom prst="roundRect">
                                <a:avLst/>
                              </a:prstGeom>
                              <a:solidFill>
                                <a:srgbClr val="005D95"/>
                              </a:solidFill>
                              <a:ln w="6350">
                                <a:noFill/>
                              </a:ln>
                            </wps:spPr>
                            <wps:txbx>
                              <w:txbxContent>
                                <w:p w:rsidR="00311BB8" w:rsidRDefault="00311BB8">
                                  <w:pPr>
                                    <w:pStyle w:val="BasicParagraph"/>
                                    <w:suppressAutoHyphens/>
                                    <w:rPr>
                                      <w:b/>
                                      <w:bCs/>
                                      <w:caps/>
                                      <w:color w:val="FFFFFF" w:themeColor="background1"/>
                                      <w:sz w:val="27"/>
                                      <w:szCs w:val="2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1" name="Text Box 7191"/>
                            <wps:cNvSpPr txBox="1"/>
                            <wps:spPr>
                              <a:xfrm>
                                <a:off x="0" y="0"/>
                                <a:ext cx="298873" cy="251460"/>
                              </a:xfrm>
                              <a:prstGeom prst="rect">
                                <a:avLst/>
                              </a:prstGeom>
                              <a:noFill/>
                              <a:ln w="6350">
                                <a:noFill/>
                              </a:ln>
                            </wps:spPr>
                            <wps:txbx>
                              <w:txbxContent>
                                <w:p w:rsidR="00311BB8" w:rsidRDefault="00D91061">
                                  <w:pPr>
                                    <w:pStyle w:val="BasicParagraph"/>
                                    <w:suppressAutoHyphens/>
                                    <w:ind w:left="90"/>
                                    <w:rPr>
                                      <w:rFonts w:ascii="EC Square Sans Pro Medium" w:hAnsi="EC Square Sans Pro Medium" w:cs="EC Square Sans Pro Medium"/>
                                      <w:b/>
                                      <w:color w:val="FFFFFF" w:themeColor="background1"/>
                                      <w:sz w:val="20"/>
                                      <w:szCs w:val="18"/>
                                    </w:rPr>
                                  </w:pPr>
                                  <w:r>
                                    <w:rPr>
                                      <w:rFonts w:ascii="EC Square Sans Pro Medium" w:hAnsi="EC Square Sans Pro Medium" w:cs="EC Square Sans Pro Medium"/>
                                      <w:b/>
                                      <w:color w:val="FFFFFF" w:themeColor="background1"/>
                                      <w:sz w:val="20"/>
                                      <w:szCs w:val="18"/>
                                    </w:rPr>
                                    <w:t>4</w:t>
                                  </w:r>
                                </w:p>
                                <w:p w:rsidR="00311BB8" w:rsidRDefault="00311BB8">
                                  <w:pPr>
                                    <w:pStyle w:val="BasicParagraph"/>
                                    <w:suppressAutoHyphens/>
                                    <w:jc w:val="center"/>
                                    <w:rPr>
                                      <w:b/>
                                      <w:bCs/>
                                      <w:caps/>
                                      <w:color w:val="203F79"/>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192" name="Group 7192"/>
                        <wpg:cNvGrpSpPr/>
                        <wpg:grpSpPr>
                          <a:xfrm>
                            <a:off x="4985467" y="0"/>
                            <a:ext cx="1170305" cy="670560"/>
                            <a:chOff x="0" y="0"/>
                            <a:chExt cx="1170692" cy="670560"/>
                          </a:xfrm>
                        </wpg:grpSpPr>
                        <wps:wsp>
                          <wps:cNvPr id="7194" name="Text Box 7194"/>
                          <wps:cNvSpPr txBox="1"/>
                          <wps:spPr>
                            <a:xfrm>
                              <a:off x="284922" y="0"/>
                              <a:ext cx="885770" cy="670560"/>
                            </a:xfrm>
                            <a:prstGeom prst="rect">
                              <a:avLst/>
                            </a:prstGeom>
                            <a:noFill/>
                            <a:ln w="6350">
                              <a:noFill/>
                            </a:ln>
                          </wps:spPr>
                          <wps:txbx>
                            <w:txbxContent>
                              <w:p w:rsidR="00311BB8" w:rsidRDefault="00D91061">
                                <w:pPr>
                                  <w:pStyle w:val="BasicParagraph"/>
                                  <w:suppressAutoHyphens/>
                                  <w:rPr>
                                    <w:rFonts w:cs="EC Square Sans Pro Medium"/>
                                    <w:color w:val="203F79"/>
                                    <w:sz w:val="18"/>
                                    <w:szCs w:val="18"/>
                                  </w:rPr>
                                </w:pPr>
                                <w:r>
                                  <w:rPr>
                                    <w:rFonts w:cs="EC Square Sans Pro Medium"/>
                                    <w:color w:val="203F79"/>
                                    <w:sz w:val="18"/>
                                    <w:szCs w:val="18"/>
                                  </w:rPr>
                                  <w:t>Produce reliable</w:t>
                                </w:r>
                              </w:p>
                              <w:p w:rsidR="00311BB8" w:rsidRDefault="00D91061">
                                <w:pPr>
                                  <w:pStyle w:val="BasicParagraph"/>
                                  <w:suppressAutoHyphens/>
                                  <w:rPr>
                                    <w:b/>
                                    <w:bCs/>
                                    <w:caps/>
                                    <w:color w:val="203F79"/>
                                    <w:sz w:val="27"/>
                                    <w:szCs w:val="27"/>
                                  </w:rPr>
                                </w:pPr>
                                <w:r>
                                  <w:rPr>
                                    <w:rFonts w:cs="EC Square Sans Pro Medium"/>
                                    <w:color w:val="203F79"/>
                                    <w:sz w:val="18"/>
                                    <w:szCs w:val="18"/>
                                  </w:rPr>
                                  <w:t>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198" name="Group 7198"/>
                          <wpg:cNvGrpSpPr/>
                          <wpg:grpSpPr>
                            <a:xfrm>
                              <a:off x="0" y="66260"/>
                              <a:ext cx="316230" cy="251460"/>
                              <a:chOff x="0" y="0"/>
                              <a:chExt cx="316394" cy="252000"/>
                            </a:xfrm>
                          </wpg:grpSpPr>
                          <wps:wsp>
                            <wps:cNvPr id="7199" name="Text Box 7199"/>
                            <wps:cNvSpPr txBox="1"/>
                            <wps:spPr>
                              <a:xfrm>
                                <a:off x="64394" y="0"/>
                                <a:ext cx="252000" cy="252000"/>
                              </a:xfrm>
                              <a:prstGeom prst="roundRect">
                                <a:avLst/>
                              </a:prstGeom>
                              <a:solidFill>
                                <a:srgbClr val="005D95"/>
                              </a:solidFill>
                              <a:ln w="6350">
                                <a:noFill/>
                              </a:ln>
                            </wps:spPr>
                            <wps:txbx>
                              <w:txbxContent>
                                <w:p w:rsidR="00311BB8" w:rsidRDefault="00311BB8">
                                  <w:pPr>
                                    <w:pStyle w:val="BasicParagraph"/>
                                    <w:suppressAutoHyphens/>
                                    <w:rPr>
                                      <w:b/>
                                      <w:bCs/>
                                      <w:caps/>
                                      <w:color w:val="FFFFFF" w:themeColor="background1"/>
                                      <w:sz w:val="27"/>
                                      <w:szCs w:val="2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0" y="0"/>
                                <a:ext cx="298873" cy="251460"/>
                              </a:xfrm>
                              <a:prstGeom prst="rect">
                                <a:avLst/>
                              </a:prstGeom>
                              <a:noFill/>
                              <a:ln w="6350">
                                <a:noFill/>
                              </a:ln>
                            </wps:spPr>
                            <wps:txbx>
                              <w:txbxContent>
                                <w:p w:rsidR="00311BB8" w:rsidRDefault="00D91061">
                                  <w:pPr>
                                    <w:pStyle w:val="BasicParagraph"/>
                                    <w:suppressAutoHyphens/>
                                    <w:ind w:left="90"/>
                                    <w:rPr>
                                      <w:rFonts w:ascii="EC Square Sans Pro Medium" w:hAnsi="EC Square Sans Pro Medium" w:cs="EC Square Sans Pro Medium"/>
                                      <w:b/>
                                      <w:color w:val="FFFFFF" w:themeColor="background1"/>
                                      <w:sz w:val="20"/>
                                      <w:szCs w:val="18"/>
                                    </w:rPr>
                                  </w:pPr>
                                  <w:r>
                                    <w:rPr>
                                      <w:rFonts w:ascii="EC Square Sans Pro Medium" w:hAnsi="EC Square Sans Pro Medium" w:cs="EC Square Sans Pro Medium"/>
                                      <w:b/>
                                      <w:color w:val="FFFFFF" w:themeColor="background1"/>
                                      <w:sz w:val="20"/>
                                      <w:szCs w:val="18"/>
                                    </w:rPr>
                                    <w:t>5</w:t>
                                  </w:r>
                                </w:p>
                                <w:p w:rsidR="00311BB8" w:rsidRDefault="00311BB8">
                                  <w:pPr>
                                    <w:pStyle w:val="BasicParagraph"/>
                                    <w:suppressAutoHyphens/>
                                    <w:jc w:val="center"/>
                                    <w:rPr>
                                      <w:b/>
                                      <w:bCs/>
                                      <w:caps/>
                                      <w:color w:val="203F79"/>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Group 227" o:spid="_x0000_s1027" style="position:absolute;left:0;text-align:left;margin-left:-6.9pt;margin-top:18.4pt;width:484.7pt;height:54.15pt;z-index:251654656;mso-height-relative:margin" coordsize="61557,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">
                <v:group id="Group 228" o:spid="_x0000_s1028" style="position:absolute;width:11722;height:6877" coordsize="11728,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Text Box 229" o:spid="_x0000_s1029" type="#_x0000_t202" style="position:absolute;left:2252;width:9476;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rsidR="00311BB8" w:rsidRDefault="00D91061">
                          <w:pPr>
                            <w:pStyle w:val="BasicParagraph"/>
                            <w:suppressAutoHyphens/>
                            <w:ind w:left="90"/>
                            <w:rPr>
                              <w:rFonts w:cs="EC Square Sans Pro Medium"/>
                              <w:color w:val="203F79"/>
                              <w:sz w:val="18"/>
                              <w:szCs w:val="18"/>
                            </w:rPr>
                          </w:pPr>
                          <w:r>
                            <w:rPr>
                              <w:rFonts w:cs="EC Square Sans Pro Medium"/>
                              <w:color w:val="203F79"/>
                              <w:sz w:val="18"/>
                              <w:szCs w:val="18"/>
                            </w:rPr>
                            <w:t xml:space="preserve">Ensure legality and </w:t>
                          </w:r>
                          <w:r>
                            <w:rPr>
                              <w:rFonts w:cs="EC Square Sans Pro Medium"/>
                              <w:color w:val="203F79"/>
                              <w:sz w:val="18"/>
                              <w:szCs w:val="18"/>
                            </w:rPr>
                            <w:br/>
                            <w:t xml:space="preserve">regularity of </w:t>
                          </w:r>
                          <w:r>
                            <w:rPr>
                              <w:rFonts w:cs="EC Square Sans Pro Medium"/>
                              <w:color w:val="203F79"/>
                              <w:sz w:val="18"/>
                              <w:szCs w:val="18"/>
                            </w:rPr>
                            <w:br/>
                            <w:t>transactions</w:t>
                          </w:r>
                        </w:p>
                        <w:p w:rsidR="00311BB8" w:rsidRDefault="00311BB8">
                          <w:pPr>
                            <w:pStyle w:val="BasicParagraph"/>
                            <w:suppressAutoHyphens/>
                            <w:jc w:val="center"/>
                            <w:rPr>
                              <w:b/>
                              <w:bCs/>
                              <w:caps/>
                              <w:color w:val="203F79"/>
                              <w:sz w:val="27"/>
                              <w:szCs w:val="27"/>
                            </w:rPr>
                          </w:pPr>
                        </w:p>
                      </w:txbxContent>
                    </v:textbox>
                  </v:shape>
                  <v:group id="Group 230" o:spid="_x0000_s1030" style="position:absolute;top:662;width:3162;height:2515" coordsize="316394,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oundrect id="Text Box 235" o:spid="_x0000_s1031" style="position:absolute;left:64394;width:252000;height:252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" fillcolor="#005d95" stroked="f" strokeweight=".5pt">
                      <v:textbox>
                        <w:txbxContent>
                          <w:p w:rsidR="00311BB8" w:rsidRDefault="00311BB8">
                            <w:pPr>
                              <w:pStyle w:val="BasicParagraph"/>
                              <w:suppressAutoHyphens/>
                              <w:rPr>
                                <w:b/>
                                <w:bCs/>
                                <w:caps/>
                                <w:color w:val="FFFFFF" w:themeColor="background1"/>
                                <w:sz w:val="27"/>
                                <w:szCs w:val="27"/>
                              </w:rPr>
                            </w:pPr>
                          </w:p>
                        </w:txbxContent>
                      </v:textbox>
                    </v:roundrect>
                    <v:shape id="Text Box 238" o:spid="_x0000_s1032" type="#_x0000_t202" style="position:absolute;width:298873;height:25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rsidR="00311BB8" w:rsidRDefault="00D91061">
                            <w:pPr>
                              <w:pStyle w:val="BasicParagraph"/>
                              <w:suppressAutoHyphens/>
                              <w:ind w:left="90"/>
                              <w:rPr>
                                <w:rFonts w:ascii="EC Square Sans Pro Medium" w:hAnsi="EC Square Sans Pro Medium" w:cs="EC Square Sans Pro Medium"/>
                                <w:b/>
                                <w:color w:val="FFFFFF" w:themeColor="background1"/>
                                <w:sz w:val="20"/>
                                <w:szCs w:val="18"/>
                              </w:rPr>
                            </w:pPr>
                            <w:r>
                              <w:rPr>
                                <w:rFonts w:ascii="EC Square Sans Pro Medium" w:hAnsi="EC Square Sans Pro Medium" w:cs="EC Square Sans Pro Medium"/>
                                <w:b/>
                                <w:color w:val="FFFFFF" w:themeColor="background1"/>
                                <w:sz w:val="20"/>
                                <w:szCs w:val="18"/>
                              </w:rPr>
                              <w:t>1</w:t>
                            </w:r>
                          </w:p>
                          <w:p w:rsidR="00311BB8" w:rsidRDefault="00311BB8">
                            <w:pPr>
                              <w:pStyle w:val="BasicParagraph"/>
                              <w:suppressAutoHyphens/>
                              <w:jc w:val="center"/>
                              <w:rPr>
                                <w:b/>
                                <w:bCs/>
                                <w:caps/>
                                <w:color w:val="203F79"/>
                                <w:sz w:val="27"/>
                                <w:szCs w:val="27"/>
                              </w:rPr>
                            </w:pPr>
                          </w:p>
                        </w:txbxContent>
                      </v:textbox>
                    </v:shape>
                  </v:group>
                </v:group>
                <v:group id="Group 245" o:spid="_x0000_s1033" style="position:absolute;left:12642;width:12452;height:6877" coordsize="12456,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Text Box 246" o:spid="_x0000_s1034" type="#_x0000_t202" style="position:absolute;left:2849;width:9607;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rsidR="00311BB8" w:rsidRDefault="00D91061">
                          <w:pPr>
                            <w:pStyle w:val="BasicParagraph"/>
                            <w:suppressAutoHyphens/>
                            <w:rPr>
                              <w:rFonts w:cs="EC Square Sans Pro Medium"/>
                              <w:color w:val="203F79"/>
                              <w:sz w:val="18"/>
                              <w:szCs w:val="18"/>
                            </w:rPr>
                          </w:pPr>
                          <w:r>
                            <w:rPr>
                              <w:rFonts w:cs="EC Square Sans Pro Medium"/>
                              <w:color w:val="203F79"/>
                              <w:sz w:val="18"/>
                              <w:szCs w:val="18"/>
                            </w:rPr>
                            <w:t xml:space="preserve">Ensure an anti-fraud </w:t>
                          </w:r>
                        </w:p>
                        <w:p w:rsidR="00311BB8" w:rsidRDefault="00D91061">
                          <w:pPr>
                            <w:pStyle w:val="BasicParagraph"/>
                            <w:suppressAutoHyphens/>
                            <w:rPr>
                              <w:rFonts w:cs="EC Square Sans Pro Medium"/>
                              <w:color w:val="203F79"/>
                              <w:sz w:val="18"/>
                              <w:szCs w:val="18"/>
                            </w:rPr>
                          </w:pPr>
                          <w:r>
                            <w:rPr>
                              <w:rFonts w:cs="EC Square Sans Pro Medium"/>
                              <w:color w:val="203F79"/>
                              <w:sz w:val="18"/>
                              <w:szCs w:val="18"/>
                            </w:rPr>
                            <w:t xml:space="preserve">strategy and </w:t>
                          </w:r>
                        </w:p>
                        <w:p w:rsidR="00311BB8" w:rsidRDefault="00D91061">
                          <w:pPr>
                            <w:pStyle w:val="BasicParagraph"/>
                            <w:suppressAutoHyphens/>
                            <w:rPr>
                              <w:b/>
                              <w:bCs/>
                              <w:caps/>
                              <w:color w:val="203F79"/>
                              <w:sz w:val="27"/>
                              <w:szCs w:val="27"/>
                            </w:rPr>
                          </w:pPr>
                          <w:r>
                            <w:rPr>
                              <w:rFonts w:cs="EC Square Sans Pro Medium"/>
                              <w:color w:val="203F79"/>
                              <w:sz w:val="18"/>
                              <w:szCs w:val="18"/>
                            </w:rPr>
                            <w:t>measures</w:t>
                          </w:r>
                        </w:p>
                      </w:txbxContent>
                    </v:textbox>
                  </v:shape>
                  <v:group id="Group 247" o:spid="_x0000_s1035" style="position:absolute;top:662;width:3162;height:2515" coordsize="316394,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oundrect id="Text Box 248" o:spid="_x0000_s1036" style="position:absolute;left:64394;width:252000;height:252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" fillcolor="#005d95" stroked="f" strokeweight=".5pt">
                      <v:textbox>
                        <w:txbxContent>
                          <w:p w:rsidR="00311BB8" w:rsidRDefault="00311BB8">
                            <w:pPr>
                              <w:pStyle w:val="BasicParagraph"/>
                              <w:suppressAutoHyphens/>
                              <w:rPr>
                                <w:b/>
                                <w:bCs/>
                                <w:caps/>
                                <w:color w:val="FFFFFF" w:themeColor="background1"/>
                                <w:sz w:val="27"/>
                                <w:szCs w:val="27"/>
                              </w:rPr>
                            </w:pPr>
                          </w:p>
                        </w:txbxContent>
                      </v:textbox>
                    </v:roundrect>
                    <v:shape id="Text Box 249" o:spid="_x0000_s1037" type="#_x0000_t202" style="position:absolute;width:298873;height:25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rsidR="00311BB8" w:rsidRDefault="00D91061">
                            <w:pPr>
                              <w:pStyle w:val="BasicParagraph"/>
                              <w:suppressAutoHyphens/>
                              <w:ind w:left="90"/>
                              <w:rPr>
                                <w:rFonts w:ascii="EC Square Sans Pro Medium" w:hAnsi="EC Square Sans Pro Medium" w:cs="EC Square Sans Pro Medium"/>
                                <w:b/>
                                <w:color w:val="FFFFFF" w:themeColor="background1"/>
                                <w:sz w:val="20"/>
                                <w:szCs w:val="18"/>
                              </w:rPr>
                            </w:pPr>
                            <w:r>
                              <w:rPr>
                                <w:rFonts w:ascii="EC Square Sans Pro Medium" w:hAnsi="EC Square Sans Pro Medium" w:cs="EC Square Sans Pro Medium"/>
                                <w:b/>
                                <w:color w:val="FFFFFF" w:themeColor="background1"/>
                                <w:sz w:val="20"/>
                                <w:szCs w:val="18"/>
                              </w:rPr>
                              <w:t>2</w:t>
                            </w:r>
                          </w:p>
                          <w:p w:rsidR="00311BB8" w:rsidRDefault="00311BB8">
                            <w:pPr>
                              <w:pStyle w:val="BasicParagraph"/>
                              <w:suppressAutoHyphens/>
                              <w:jc w:val="center"/>
                              <w:rPr>
                                <w:b/>
                                <w:bCs/>
                                <w:caps/>
                                <w:color w:val="203F79"/>
                                <w:sz w:val="27"/>
                                <w:szCs w:val="27"/>
                              </w:rPr>
                            </w:pPr>
                          </w:p>
                        </w:txbxContent>
                      </v:textbox>
                    </v:shape>
                  </v:group>
                </v:group>
                <v:group id="Group 250" o:spid="_x0000_s1038" style="position:absolute;left:24887;width:14091;height:6705" coordsize="14092,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Text Box 251" o:spid="_x0000_s1039" type="#_x0000_t202" style="position:absolute;left:2782;width:11310;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rsidR="00311BB8" w:rsidRDefault="00D91061">
                          <w:pPr>
                            <w:pStyle w:val="BasicParagraph"/>
                            <w:suppressAutoHyphens/>
                            <w:rPr>
                              <w:rFonts w:cs="EC Square Sans Pro Medium"/>
                              <w:color w:val="203F79"/>
                              <w:sz w:val="18"/>
                              <w:szCs w:val="18"/>
                            </w:rPr>
                          </w:pPr>
                          <w:r>
                            <w:rPr>
                              <w:rFonts w:cs="EC Square Sans Pro Medium"/>
                              <w:color w:val="203F79"/>
                              <w:sz w:val="18"/>
                              <w:szCs w:val="18"/>
                            </w:rPr>
                            <w:t xml:space="preserve">Ensure economy, </w:t>
                          </w:r>
                        </w:p>
                        <w:p w:rsidR="00311BB8" w:rsidRDefault="00D91061">
                          <w:pPr>
                            <w:pStyle w:val="BasicParagraph"/>
                            <w:suppressAutoHyphens/>
                            <w:rPr>
                              <w:rFonts w:cs="EC Square Sans Pro Medium"/>
                              <w:color w:val="203F79"/>
                              <w:sz w:val="18"/>
                              <w:szCs w:val="18"/>
                            </w:rPr>
                          </w:pPr>
                          <w:r>
                            <w:rPr>
                              <w:rFonts w:cs="EC Square Sans Pro Medium"/>
                              <w:color w:val="203F79"/>
                              <w:sz w:val="18"/>
                              <w:szCs w:val="18"/>
                            </w:rPr>
                            <w:t xml:space="preserve">efficiency and </w:t>
                          </w:r>
                        </w:p>
                        <w:p w:rsidR="00311BB8" w:rsidRDefault="00D91061">
                          <w:pPr>
                            <w:pStyle w:val="BasicParagraph"/>
                            <w:suppressAutoHyphens/>
                            <w:rPr>
                              <w:b/>
                              <w:bCs/>
                              <w:caps/>
                              <w:color w:val="203F79"/>
                              <w:sz w:val="27"/>
                              <w:szCs w:val="27"/>
                            </w:rPr>
                          </w:pPr>
                          <w:r>
                            <w:rPr>
                              <w:rFonts w:cs="EC Square Sans Pro Medium"/>
                              <w:color w:val="203F79"/>
                              <w:sz w:val="18"/>
                              <w:szCs w:val="18"/>
                            </w:rPr>
                            <w:t>effectiveness</w:t>
                          </w:r>
                        </w:p>
                      </w:txbxContent>
                    </v:textbox>
                  </v:shape>
                  <v:group id="Group 252" o:spid="_x0000_s1040" style="position:absolute;top:662;width:3162;height:2515" coordsize="316394,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oundrect id="Text Box 253" o:spid="_x0000_s1041" style="position:absolute;left:64394;width:252000;height:252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" fillcolor="#005d95" stroked="f" strokeweight=".5pt">
                      <v:textbox>
                        <w:txbxContent>
                          <w:p w:rsidR="00311BB8" w:rsidRDefault="00311BB8">
                            <w:pPr>
                              <w:pStyle w:val="BasicParagraph"/>
                              <w:suppressAutoHyphens/>
                              <w:rPr>
                                <w:b/>
                                <w:bCs/>
                                <w:caps/>
                                <w:color w:val="FFFFFF" w:themeColor="background1"/>
                                <w:sz w:val="27"/>
                                <w:szCs w:val="27"/>
                              </w:rPr>
                            </w:pPr>
                          </w:p>
                        </w:txbxContent>
                      </v:textbox>
                    </v:roundrect>
                    <v:shape id="Text Box 254" o:spid="_x0000_s1042" type="#_x0000_t202" style="position:absolute;width:298873;height:25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rsidR="00311BB8" w:rsidRDefault="00D91061">
                            <w:pPr>
                              <w:pStyle w:val="BasicParagraph"/>
                              <w:suppressAutoHyphens/>
                              <w:ind w:left="90"/>
                              <w:rPr>
                                <w:rFonts w:ascii="EC Square Sans Pro Medium" w:hAnsi="EC Square Sans Pro Medium" w:cs="EC Square Sans Pro Medium"/>
                                <w:b/>
                                <w:color w:val="FFFFFF" w:themeColor="background1"/>
                                <w:sz w:val="20"/>
                                <w:szCs w:val="18"/>
                              </w:rPr>
                            </w:pPr>
                            <w:r>
                              <w:rPr>
                                <w:rFonts w:ascii="EC Square Sans Pro Medium" w:hAnsi="EC Square Sans Pro Medium" w:cs="EC Square Sans Pro Medium"/>
                                <w:b/>
                                <w:color w:val="FFFFFF" w:themeColor="background1"/>
                                <w:sz w:val="20"/>
                                <w:szCs w:val="18"/>
                              </w:rPr>
                              <w:t>3</w:t>
                            </w:r>
                          </w:p>
                          <w:p w:rsidR="00311BB8" w:rsidRDefault="00311BB8">
                            <w:pPr>
                              <w:pStyle w:val="BasicParagraph"/>
                              <w:suppressAutoHyphens/>
                              <w:jc w:val="center"/>
                              <w:rPr>
                                <w:b/>
                                <w:bCs/>
                                <w:caps/>
                                <w:color w:val="203F79"/>
                                <w:sz w:val="27"/>
                                <w:szCs w:val="27"/>
                              </w:rPr>
                            </w:pPr>
                          </w:p>
                        </w:txbxContent>
                      </v:textbox>
                    </v:shape>
                  </v:group>
                </v:group>
                <v:group id="Group 255" o:spid="_x0000_s1043" style="position:absolute;left:37371;width:14090;height:6705" coordsize="14092,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Text Box 7174" o:spid="_x0000_s1044" type="#_x0000_t202" style="position:absolute;left:2782;width:11310;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" filled="f" stroked="f" strokeweight=".5pt">
                    <v:textbox>
                      <w:txbxContent>
                        <w:p w:rsidR="00311BB8" w:rsidRDefault="00D91061">
                          <w:pPr>
                            <w:pStyle w:val="BasicParagraph"/>
                            <w:suppressAutoHyphens/>
                            <w:rPr>
                              <w:rFonts w:cs="EC Square Sans Pro Medium"/>
                              <w:color w:val="203F79"/>
                              <w:sz w:val="18"/>
                              <w:szCs w:val="18"/>
                            </w:rPr>
                          </w:pPr>
                          <w:r>
                            <w:rPr>
                              <w:rFonts w:cs="EC Square Sans Pro Medium"/>
                              <w:color w:val="203F79"/>
                              <w:sz w:val="18"/>
                              <w:szCs w:val="18"/>
                            </w:rPr>
                            <w:t xml:space="preserve">Safeguard </w:t>
                          </w:r>
                        </w:p>
                        <w:p w:rsidR="00311BB8" w:rsidRDefault="00D91061">
                          <w:pPr>
                            <w:pStyle w:val="BasicParagraph"/>
                            <w:suppressAutoHyphens/>
                            <w:rPr>
                              <w:rFonts w:cs="EC Square Sans Pro Medium"/>
                              <w:color w:val="203F79"/>
                              <w:sz w:val="18"/>
                              <w:szCs w:val="18"/>
                            </w:rPr>
                          </w:pPr>
                          <w:r>
                            <w:rPr>
                              <w:rFonts w:cs="EC Square Sans Pro Medium"/>
                              <w:color w:val="203F79"/>
                              <w:sz w:val="18"/>
                              <w:szCs w:val="18"/>
                            </w:rPr>
                            <w:t xml:space="preserve">assets and </w:t>
                          </w:r>
                        </w:p>
                        <w:p w:rsidR="00311BB8" w:rsidRDefault="00D91061">
                          <w:pPr>
                            <w:pStyle w:val="BasicParagraph"/>
                            <w:suppressAutoHyphens/>
                            <w:rPr>
                              <w:b/>
                              <w:bCs/>
                              <w:caps/>
                              <w:color w:val="203F79"/>
                              <w:sz w:val="27"/>
                              <w:szCs w:val="27"/>
                            </w:rPr>
                          </w:pPr>
                          <w:r>
                            <w:rPr>
                              <w:rFonts w:cs="EC Square Sans Pro Medium"/>
                              <w:color w:val="203F79"/>
                              <w:sz w:val="18"/>
                              <w:szCs w:val="18"/>
                            </w:rPr>
                            <w:t>information</w:t>
                          </w:r>
                        </w:p>
                      </w:txbxContent>
                    </v:textbox>
                  </v:shape>
                  <v:group id="Group 7187" o:spid="_x0000_s1045" style="position:absolute;top:662;width:3162;height:2515" coordsize="316394,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">
                    <v:roundrect id="Text Box 7190" o:spid="_x0000_s1046" style="position:absolute;left:64394;width:252000;height:252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" fillcolor="#005d95" stroked="f" strokeweight=".5pt">
                      <v:textbox>
                        <w:txbxContent>
                          <w:p w:rsidR="00311BB8" w:rsidRDefault="00311BB8">
                            <w:pPr>
                              <w:pStyle w:val="BasicParagraph"/>
                              <w:suppressAutoHyphens/>
                              <w:rPr>
                                <w:b/>
                                <w:bCs/>
                                <w:caps/>
                                <w:color w:val="FFFFFF" w:themeColor="background1"/>
                                <w:sz w:val="27"/>
                                <w:szCs w:val="27"/>
                              </w:rPr>
                            </w:pPr>
                          </w:p>
                        </w:txbxContent>
                      </v:textbox>
                    </v:roundrect>
                    <v:shape id="Text Box 7191" o:spid="_x0000_s1047" type="#_x0000_t202" style="position:absolute;width:298873;height:25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" filled="f" stroked="f" strokeweight=".5pt">
                      <v:textbox>
                        <w:txbxContent>
                          <w:p w:rsidR="00311BB8" w:rsidRDefault="00D91061">
                            <w:pPr>
                              <w:pStyle w:val="BasicParagraph"/>
                              <w:suppressAutoHyphens/>
                              <w:ind w:left="90"/>
                              <w:rPr>
                                <w:rFonts w:ascii="EC Square Sans Pro Medium" w:hAnsi="EC Square Sans Pro Medium" w:cs="EC Square Sans Pro Medium"/>
                                <w:b/>
                                <w:color w:val="FFFFFF" w:themeColor="background1"/>
                                <w:sz w:val="20"/>
                                <w:szCs w:val="18"/>
                              </w:rPr>
                            </w:pPr>
                            <w:r>
                              <w:rPr>
                                <w:rFonts w:ascii="EC Square Sans Pro Medium" w:hAnsi="EC Square Sans Pro Medium" w:cs="EC Square Sans Pro Medium"/>
                                <w:b/>
                                <w:color w:val="FFFFFF" w:themeColor="background1"/>
                                <w:sz w:val="20"/>
                                <w:szCs w:val="18"/>
                              </w:rPr>
                              <w:t>4</w:t>
                            </w:r>
                          </w:p>
                          <w:p w:rsidR="00311BB8" w:rsidRDefault="00311BB8">
                            <w:pPr>
                              <w:pStyle w:val="BasicParagraph"/>
                              <w:suppressAutoHyphens/>
                              <w:jc w:val="center"/>
                              <w:rPr>
                                <w:b/>
                                <w:bCs/>
                                <w:caps/>
                                <w:color w:val="203F79"/>
                                <w:sz w:val="27"/>
                                <w:szCs w:val="27"/>
                              </w:rPr>
                            </w:pPr>
                          </w:p>
                        </w:txbxContent>
                      </v:textbox>
                    </v:shape>
                  </v:group>
                </v:group>
                <v:group id="Group 7192" o:spid="_x0000_s1048" style="position:absolute;left:49854;width:11703;height:6705" coordsize="11706,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">
                  <v:shape id="Text Box 7194" o:spid="_x0000_s1049" type="#_x0000_t202" style="position:absolute;left:2849;width:8857;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" filled="f" stroked="f" strokeweight=".5pt">
                    <v:textbox>
                      <w:txbxContent>
                        <w:p w:rsidR="00311BB8" w:rsidRDefault="00D91061">
                          <w:pPr>
                            <w:pStyle w:val="BasicParagraph"/>
                            <w:suppressAutoHyphens/>
                            <w:rPr>
                              <w:rFonts w:cs="EC Square Sans Pro Medium"/>
                              <w:color w:val="203F79"/>
                              <w:sz w:val="18"/>
                              <w:szCs w:val="18"/>
                            </w:rPr>
                          </w:pPr>
                          <w:r>
                            <w:rPr>
                              <w:rFonts w:cs="EC Square Sans Pro Medium"/>
                              <w:color w:val="203F79"/>
                              <w:sz w:val="18"/>
                              <w:szCs w:val="18"/>
                            </w:rPr>
                            <w:t>Produce reliable</w:t>
                          </w:r>
                        </w:p>
                        <w:p w:rsidR="00311BB8" w:rsidRDefault="00D91061">
                          <w:pPr>
                            <w:pStyle w:val="BasicParagraph"/>
                            <w:suppressAutoHyphens/>
                            <w:rPr>
                              <w:b/>
                              <w:bCs/>
                              <w:caps/>
                              <w:color w:val="203F79"/>
                              <w:sz w:val="27"/>
                              <w:szCs w:val="27"/>
                            </w:rPr>
                          </w:pPr>
                          <w:r>
                            <w:rPr>
                              <w:rFonts w:cs="EC Square Sans Pro Medium"/>
                              <w:color w:val="203F79"/>
                              <w:sz w:val="18"/>
                              <w:szCs w:val="18"/>
                            </w:rPr>
                            <w:t>reporting</w:t>
                          </w:r>
                        </w:p>
                      </w:txbxContent>
                    </v:textbox>
                  </v:shape>
                  <v:group id="Group 7198" o:spid="_x0000_s1050" style="position:absolute;top:662;width:3162;height:2515" coordsize="316394,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">
                    <v:roundrect id="Text Box 7199" o:spid="_x0000_s1051" style="position:absolute;left:64394;width:252000;height:252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" fillcolor="#005d95" stroked="f" strokeweight=".5pt">
                      <v:textbox>
                        <w:txbxContent>
                          <w:p w:rsidR="00311BB8" w:rsidRDefault="00311BB8">
                            <w:pPr>
                              <w:pStyle w:val="BasicParagraph"/>
                              <w:suppressAutoHyphens/>
                              <w:rPr>
                                <w:b/>
                                <w:bCs/>
                                <w:caps/>
                                <w:color w:val="FFFFFF" w:themeColor="background1"/>
                                <w:sz w:val="27"/>
                                <w:szCs w:val="27"/>
                              </w:rPr>
                            </w:pPr>
                          </w:p>
                        </w:txbxContent>
                      </v:textbox>
                    </v:roundrect>
                    <v:shape id="Text Box 58" o:spid="_x0000_s1052" type="#_x0000_t202" style="position:absolute;width:298873;height:25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311BB8" w:rsidRDefault="00D91061">
                            <w:pPr>
                              <w:pStyle w:val="BasicParagraph"/>
                              <w:suppressAutoHyphens/>
                              <w:ind w:left="90"/>
                              <w:rPr>
                                <w:rFonts w:ascii="EC Square Sans Pro Medium" w:hAnsi="EC Square Sans Pro Medium" w:cs="EC Square Sans Pro Medium"/>
                                <w:b/>
                                <w:color w:val="FFFFFF" w:themeColor="background1"/>
                                <w:sz w:val="20"/>
                                <w:szCs w:val="18"/>
                              </w:rPr>
                            </w:pPr>
                            <w:r>
                              <w:rPr>
                                <w:rFonts w:ascii="EC Square Sans Pro Medium" w:hAnsi="EC Square Sans Pro Medium" w:cs="EC Square Sans Pro Medium"/>
                                <w:b/>
                                <w:color w:val="FFFFFF" w:themeColor="background1"/>
                                <w:sz w:val="20"/>
                                <w:szCs w:val="18"/>
                              </w:rPr>
                              <w:t>5</w:t>
                            </w:r>
                          </w:p>
                          <w:p w:rsidR="00311BB8" w:rsidRDefault="00311BB8">
                            <w:pPr>
                              <w:pStyle w:val="BasicParagraph"/>
                              <w:suppressAutoHyphens/>
                              <w:jc w:val="center"/>
                              <w:rPr>
                                <w:b/>
                                <w:bCs/>
                                <w:caps/>
                                <w:color w:val="203F79"/>
                                <w:sz w:val="27"/>
                                <w:szCs w:val="27"/>
                              </w:rPr>
                            </w:pPr>
                          </w:p>
                        </w:txbxContent>
                      </v:textbox>
                    </v:shape>
                  </v:group>
                </v:group>
              </v:group>
            </w:pict>
          </mc:Fallback>
        </mc:AlternateContent>
      </w:r>
    </w:p>
    <w:p w:rsidR="00311BB8" w:rsidRDefault="00311BB8">
      <w:pPr>
        <w:rPr>
          <w:noProof/>
        </w:rPr>
      </w:pPr>
    </w:p>
    <w:p w:rsidR="00311BB8" w:rsidRDefault="00311BB8">
      <w:pPr>
        <w:rPr>
          <w:noProof/>
        </w:rPr>
      </w:pPr>
    </w:p>
    <w:p w:rsidR="00311BB8" w:rsidRDefault="00423EB7">
      <w:pPr>
        <w:rPr>
          <w:noProof/>
        </w:rPr>
      </w:pPr>
      <w:r>
        <w:rPr>
          <w:noProof/>
          <w:lang w:val="fr-BE" w:eastAsia="fr-BE"/>
        </w:rPr>
        <mc:AlternateContent>
          <mc:Choice Requires="wps">
            <w:drawing>
              <wp:anchor distT="0" distB="0" distL="114300" distR="114300" simplePos="0" relativeHeight="251648512" behindDoc="0" locked="0" layoutInCell="1" allowOverlap="1">
                <wp:simplePos x="0" y="0"/>
                <wp:positionH relativeFrom="column">
                  <wp:posOffset>2188210</wp:posOffset>
                </wp:positionH>
                <wp:positionV relativeFrom="paragraph">
                  <wp:posOffset>70789</wp:posOffset>
                </wp:positionV>
                <wp:extent cx="1354455" cy="297180"/>
                <wp:effectExtent l="0" t="0" r="0" b="7620"/>
                <wp:wrapNone/>
                <wp:docPr id="7172" name="Text Box 7172"/>
                <wp:cNvGraphicFramePr/>
                <a:graphic xmlns:a="http://schemas.openxmlformats.org/drawingml/2006/main">
                  <a:graphicData uri="http://schemas.microsoft.com/office/word/2010/wordprocessingShape">
                    <wps:wsp>
                      <wps:cNvSpPr txBox="1"/>
                      <wps:spPr>
                        <a:xfrm>
                          <a:off x="0" y="0"/>
                          <a:ext cx="1354455" cy="297180"/>
                        </a:xfrm>
                        <a:prstGeom prst="rect">
                          <a:avLst/>
                        </a:prstGeom>
                        <a:noFill/>
                        <a:ln w="6350">
                          <a:noFill/>
                        </a:ln>
                      </wps:spPr>
                      <wps:txbx>
                        <w:txbxContent>
                          <w:p w:rsidR="00311BB8" w:rsidRDefault="00D91061">
                            <w:pPr>
                              <w:pStyle w:val="BasicParagraph"/>
                              <w:suppressAutoHyphens/>
                              <w:jc w:val="center"/>
                              <w:rPr>
                                <w:b/>
                                <w:bCs/>
                                <w:caps/>
                                <w:color w:val="005D95"/>
                                <w:sz w:val="27"/>
                                <w:szCs w:val="27"/>
                              </w:rPr>
                            </w:pPr>
                            <w:r>
                              <w:rPr>
                                <w:b/>
                                <w:bCs/>
                                <w:caps/>
                                <w:color w:val="005D95"/>
                                <w:sz w:val="27"/>
                                <w:szCs w:val="27"/>
                              </w:rPr>
                              <w:t>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72" o:spid="_x0000_s1053" type="#_x0000_t202" style="position:absolute;margin-left:172.3pt;margin-top:5.55pt;width:106.65pt;height:23.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" filled="f" stroked="f" strokeweight=".5pt">
                <v:textbox>
                  <w:txbxContent>
                    <w:p w:rsidR="00311BB8" w:rsidRDefault="00D91061">
                      <w:pPr>
                        <w:pStyle w:val="BasicParagraph"/>
                        <w:suppressAutoHyphens/>
                        <w:jc w:val="center"/>
                        <w:rPr>
                          <w:b/>
                          <w:bCs/>
                          <w:caps/>
                          <w:color w:val="005D95"/>
                          <w:sz w:val="27"/>
                          <w:szCs w:val="27"/>
                        </w:rPr>
                      </w:pPr>
                      <w:r>
                        <w:rPr>
                          <w:b/>
                          <w:bCs/>
                          <w:caps/>
                          <w:color w:val="005D95"/>
                          <w:sz w:val="27"/>
                          <w:szCs w:val="27"/>
                        </w:rPr>
                        <w:t>Controls</w:t>
                      </w:r>
                    </w:p>
                  </w:txbxContent>
                </v:textbox>
              </v:shape>
            </w:pict>
          </mc:Fallback>
        </mc:AlternateContent>
      </w:r>
    </w:p>
    <w:p w:rsidR="00311BB8" w:rsidRDefault="00423EB7">
      <w:pPr>
        <w:rPr>
          <w:noProof/>
        </w:rPr>
      </w:pPr>
      <w:r>
        <w:rPr>
          <w:noProof/>
          <w:lang w:val="fr-BE" w:eastAsia="fr-BE"/>
        </w:rPr>
        <mc:AlternateContent>
          <mc:Choice Requires="wpg">
            <w:drawing>
              <wp:anchor distT="0" distB="0" distL="114300" distR="114300" simplePos="0" relativeHeight="251661824" behindDoc="0" locked="0" layoutInCell="1" allowOverlap="1">
                <wp:simplePos x="0" y="0"/>
                <wp:positionH relativeFrom="column">
                  <wp:posOffset>1341755</wp:posOffset>
                </wp:positionH>
                <wp:positionV relativeFrom="paragraph">
                  <wp:posOffset>133681</wp:posOffset>
                </wp:positionV>
                <wp:extent cx="3048000" cy="170180"/>
                <wp:effectExtent l="0" t="0" r="38100" b="20320"/>
                <wp:wrapNone/>
                <wp:docPr id="49" name="Group 49"/>
                <wp:cNvGraphicFramePr/>
                <a:graphic xmlns:a="http://schemas.openxmlformats.org/drawingml/2006/main">
                  <a:graphicData uri="http://schemas.microsoft.com/office/word/2010/wordprocessingGroup">
                    <wpg:wgp>
                      <wpg:cNvGrpSpPr/>
                      <wpg:grpSpPr>
                        <a:xfrm>
                          <a:off x="0" y="0"/>
                          <a:ext cx="3048000" cy="170180"/>
                          <a:chOff x="0" y="0"/>
                          <a:chExt cx="3048538" cy="170815"/>
                        </a:xfrm>
                      </wpg:grpSpPr>
                      <wps:wsp>
                        <wps:cNvPr id="44" name="Straight Connector 44"/>
                        <wps:cNvCnPr/>
                        <wps:spPr>
                          <a:xfrm>
                            <a:off x="2546253" y="0"/>
                            <a:ext cx="502285" cy="170815"/>
                          </a:xfrm>
                          <a:prstGeom prst="line">
                            <a:avLst/>
                          </a:prstGeom>
                          <a:ln w="12700">
                            <a:solidFill>
                              <a:srgbClr val="005D95"/>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499403" y="0"/>
                            <a:ext cx="2058817" cy="0"/>
                          </a:xfrm>
                          <a:prstGeom prst="line">
                            <a:avLst/>
                          </a:prstGeom>
                          <a:ln w="12700">
                            <a:solidFill>
                              <a:srgbClr val="005D95"/>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a:off x="0" y="0"/>
                            <a:ext cx="502285" cy="170815"/>
                          </a:xfrm>
                          <a:prstGeom prst="line">
                            <a:avLst/>
                          </a:prstGeom>
                          <a:ln w="12700">
                            <a:solidFill>
                              <a:srgbClr val="005D95"/>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6E578A" id="Group 49" o:spid="_x0000_s1026" style="position:absolute;margin-left:105.65pt;margin-top:10.55pt;width:240pt;height:13.4pt;z-index:251661824" coordsize="30485,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">
                <v:line id="Straight Connector 44" o:spid="_x0000_s1027" style="position:absolute;visibility:visible;mso-wrap-style:square" from="25462,0" to="30485,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" strokecolor="#005d95" strokeweight="1pt">
                  <v:stroke joinstyle="miter"/>
                </v:line>
                <v:line id="Straight Connector 46" o:spid="_x0000_s1028" style="position:absolute;visibility:visible;mso-wrap-style:square" from="4994,0" to="25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" strokecolor="#005d95" strokeweight="1pt">
                  <v:stroke joinstyle="miter"/>
                </v:line>
                <v:line id="Straight Connector 48" o:spid="_x0000_s1029" style="position:absolute;flip:x;visibility:visible;mso-wrap-style:square" from="0,0" to="5022,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" strokecolor="#005d95" strokeweight="1pt">
                  <v:stroke joinstyle="miter"/>
                </v:line>
              </v:group>
            </w:pict>
          </mc:Fallback>
        </mc:AlternateContent>
      </w:r>
    </w:p>
    <w:p w:rsidR="00311BB8" w:rsidRDefault="00423EB7">
      <w:pPr>
        <w:rPr>
          <w:noProof/>
        </w:rPr>
      </w:pPr>
      <w:r>
        <w:rPr>
          <w:noProof/>
          <w:lang w:val="fr-BE" w:eastAsia="fr-BE"/>
        </w:rPr>
        <mc:AlternateContent>
          <mc:Choice Requires="wpg">
            <w:drawing>
              <wp:anchor distT="0" distB="0" distL="114300" distR="114300" simplePos="0" relativeHeight="251679232" behindDoc="0" locked="0" layoutInCell="1" allowOverlap="1">
                <wp:simplePos x="0" y="0"/>
                <wp:positionH relativeFrom="column">
                  <wp:posOffset>3146425</wp:posOffset>
                </wp:positionH>
                <wp:positionV relativeFrom="paragraph">
                  <wp:posOffset>116536</wp:posOffset>
                </wp:positionV>
                <wp:extent cx="2630805" cy="3395345"/>
                <wp:effectExtent l="0" t="0" r="0" b="0"/>
                <wp:wrapNone/>
                <wp:docPr id="60" name="Group 60"/>
                <wp:cNvGraphicFramePr/>
                <a:graphic xmlns:a="http://schemas.openxmlformats.org/drawingml/2006/main">
                  <a:graphicData uri="http://schemas.microsoft.com/office/word/2010/wordprocessingGroup">
                    <wpg:wgp>
                      <wpg:cNvGrpSpPr/>
                      <wpg:grpSpPr>
                        <a:xfrm>
                          <a:off x="0" y="0"/>
                          <a:ext cx="2630805" cy="3395345"/>
                          <a:chOff x="42390" y="0"/>
                          <a:chExt cx="2631168" cy="2588773"/>
                        </a:xfrm>
                      </wpg:grpSpPr>
                      <wps:wsp>
                        <wps:cNvPr id="61" name="Text Box 61"/>
                        <wps:cNvSpPr txBox="1"/>
                        <wps:spPr>
                          <a:xfrm>
                            <a:off x="72668" y="0"/>
                            <a:ext cx="2550160" cy="481965"/>
                          </a:xfrm>
                          <a:prstGeom prst="rect">
                            <a:avLst/>
                          </a:prstGeom>
                          <a:noFill/>
                          <a:ln w="6350">
                            <a:noFill/>
                          </a:ln>
                        </wps:spPr>
                        <wps:txbx>
                          <w:txbxContent>
                            <w:p w:rsidR="00311BB8" w:rsidRDefault="00D91061">
                              <w:pPr>
                                <w:pStyle w:val="BasicParagraph"/>
                                <w:suppressAutoHyphens/>
                                <w:jc w:val="center"/>
                                <w:rPr>
                                  <w:b/>
                                  <w:bCs/>
                                  <w:i/>
                                  <w:caps/>
                                  <w:color w:val="4E9DD6"/>
                                  <w:sz w:val="18"/>
                                  <w:szCs w:val="18"/>
                                </w:rPr>
                              </w:pPr>
                              <w:r>
                                <w:rPr>
                                  <w:b/>
                                  <w:bCs/>
                                  <w:color w:val="4E9DD6"/>
                                  <w:sz w:val="27"/>
                                  <w:szCs w:val="27"/>
                                </w:rPr>
                                <w:t>Corrective measures</w:t>
                              </w:r>
                              <w:r>
                                <w:rPr>
                                  <w:b/>
                                  <w:bCs/>
                                  <w:color w:val="4E9DD6"/>
                                  <w:sz w:val="27"/>
                                  <w:szCs w:val="27"/>
                                </w:rPr>
                                <w:br/>
                              </w:r>
                              <w:r>
                                <w:rPr>
                                  <w:b/>
                                  <w:bCs/>
                                  <w:i/>
                                  <w:caps/>
                                  <w:color w:val="4E9DD6"/>
                                  <w:sz w:val="18"/>
                                  <w:szCs w:val="18"/>
                                </w:rPr>
                                <w:t>Ex post</w:t>
                              </w:r>
                            </w:p>
                            <w:p w:rsidR="00311BB8" w:rsidRDefault="00311BB8">
                              <w:pPr>
                                <w:pStyle w:val="BasicParagraph"/>
                                <w:suppressAutoHyphens/>
                                <w:jc w:val="center"/>
                                <w:rPr>
                                  <w:b/>
                                  <w:bCs/>
                                  <w:caps/>
                                  <w:color w:val="005D95"/>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 name="Group 62"/>
                        <wpg:cNvGrpSpPr/>
                        <wpg:grpSpPr>
                          <a:xfrm>
                            <a:off x="42390" y="546156"/>
                            <a:ext cx="2581910" cy="562576"/>
                            <a:chOff x="0" y="7205"/>
                            <a:chExt cx="2581910" cy="562576"/>
                          </a:xfrm>
                        </wpg:grpSpPr>
                        <wps:wsp>
                          <wps:cNvPr id="63" name="Rounded Rectangle 63"/>
                          <wps:cNvSpPr/>
                          <wps:spPr>
                            <a:xfrm>
                              <a:off x="0" y="72932"/>
                              <a:ext cx="2581910" cy="496849"/>
                            </a:xfrm>
                            <a:prstGeom prst="roundRect">
                              <a:avLst/>
                            </a:prstGeom>
                            <a:solidFill>
                              <a:srgbClr val="4E9D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0" name="Text Box 7200"/>
                          <wps:cNvSpPr txBox="1"/>
                          <wps:spPr>
                            <a:xfrm>
                              <a:off x="211947" y="7205"/>
                              <a:ext cx="2149475" cy="562413"/>
                            </a:xfrm>
                            <a:prstGeom prst="rect">
                              <a:avLst/>
                            </a:prstGeom>
                            <a:noFill/>
                            <a:ln w="6350">
                              <a:noFill/>
                            </a:ln>
                          </wps:spPr>
                          <wps:txbx>
                            <w:txbxContent>
                              <w:p w:rsidR="00311BB8" w:rsidRDefault="00D91061">
                                <w:pPr>
                                  <w:spacing w:line="260" w:lineRule="exact"/>
                                  <w:jc w:val="center"/>
                                  <w:rPr>
                                    <w:b/>
                                    <w:color w:val="FFFFFF" w:themeColor="background1"/>
                                    <w:sz w:val="18"/>
                                    <w:szCs w:val="18"/>
                                  </w:rPr>
                                </w:pPr>
                                <w:r>
                                  <w:rPr>
                                    <w:b/>
                                    <w:color w:val="FFFFFF" w:themeColor="background1"/>
                                    <w:sz w:val="18"/>
                                    <w:szCs w:val="18"/>
                                  </w:rPr>
                                  <w:t>Problem detection; financial recoveries or corrections</w:t>
                                </w:r>
                              </w:p>
                              <w:p w:rsidR="00311BB8" w:rsidRDefault="00D91061">
                                <w:pPr>
                                  <w:spacing w:line="260" w:lineRule="exact"/>
                                  <w:jc w:val="center"/>
                                  <w:rPr>
                                    <w:color w:val="FFFFFF" w:themeColor="background1"/>
                                    <w:sz w:val="18"/>
                                    <w:szCs w:val="18"/>
                                  </w:rPr>
                                </w:pPr>
                                <w:r>
                                  <w:rPr>
                                    <w:color w:val="FFFFFF" w:themeColor="background1"/>
                                    <w:sz w:val="18"/>
                                    <w:szCs w:val="18"/>
                                  </w:rPr>
                                  <w:t>E.g. audits of beneficiaries</w:t>
                                </w:r>
                                <w:r>
                                  <w:rPr>
                                    <w:color w:val="FFFFFF" w:themeColor="background1"/>
                                    <w:sz w:val="18"/>
                                    <w:szCs w:val="18"/>
                                  </w:rPr>
                                  <w:br/>
                                  <w:t xml:space="preserve"> or of Member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01" name="Group 7201"/>
                        <wpg:cNvGrpSpPr/>
                        <wpg:grpSpPr>
                          <a:xfrm>
                            <a:off x="48445" y="1195697"/>
                            <a:ext cx="2581910" cy="720421"/>
                            <a:chOff x="0" y="154128"/>
                            <a:chExt cx="2581910" cy="720421"/>
                          </a:xfrm>
                        </wpg:grpSpPr>
                        <wps:wsp>
                          <wps:cNvPr id="7202" name="Rounded Rectangle 7202"/>
                          <wps:cNvSpPr/>
                          <wps:spPr>
                            <a:xfrm>
                              <a:off x="0" y="154477"/>
                              <a:ext cx="2581910" cy="720072"/>
                            </a:xfrm>
                            <a:prstGeom prst="roundRect">
                              <a:avLst>
                                <a:gd name="adj" fmla="val 11865"/>
                              </a:avLst>
                            </a:prstGeom>
                            <a:solidFill>
                              <a:srgbClr val="4E9D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4" name="Text Box 7204"/>
                          <wps:cNvSpPr txBox="1"/>
                          <wps:spPr>
                            <a:xfrm>
                              <a:off x="169558" y="154128"/>
                              <a:ext cx="2225675" cy="713023"/>
                            </a:xfrm>
                            <a:prstGeom prst="rect">
                              <a:avLst/>
                            </a:prstGeom>
                            <a:noFill/>
                            <a:ln w="6350">
                              <a:noFill/>
                            </a:ln>
                          </wps:spPr>
                          <wps:txbx>
                            <w:txbxContent>
                              <w:p w:rsidR="00311BB8" w:rsidRDefault="00D91061">
                                <w:pPr>
                                  <w:spacing w:line="260" w:lineRule="exact"/>
                                  <w:jc w:val="center"/>
                                  <w:rPr>
                                    <w:b/>
                                    <w:color w:val="FFFFFF" w:themeColor="background1"/>
                                    <w:sz w:val="18"/>
                                    <w:szCs w:val="18"/>
                                  </w:rPr>
                                </w:pPr>
                                <w:r>
                                  <w:rPr>
                                    <w:b/>
                                    <w:color w:val="FFFFFF" w:themeColor="background1"/>
                                    <w:sz w:val="18"/>
                                    <w:szCs w:val="18"/>
                                  </w:rPr>
                                  <w:t>Simplification of future programmes (based on lessons learnt)</w:t>
                                </w:r>
                              </w:p>
                              <w:p w:rsidR="00311BB8" w:rsidRDefault="00D91061">
                                <w:pPr>
                                  <w:spacing w:line="260" w:lineRule="exact"/>
                                  <w:jc w:val="center"/>
                                  <w:rPr>
                                    <w:color w:val="FFFFFF" w:themeColor="background1"/>
                                    <w:sz w:val="18"/>
                                    <w:szCs w:val="18"/>
                                  </w:rPr>
                                </w:pPr>
                                <w:r>
                                  <w:rPr>
                                    <w:color w:val="FFFFFF" w:themeColor="background1"/>
                                    <w:sz w:val="18"/>
                                    <w:szCs w:val="18"/>
                                  </w:rPr>
                                  <w:t>E.g. fixed amounts for 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05" name="Group 7205"/>
                        <wpg:cNvGrpSpPr/>
                        <wpg:grpSpPr>
                          <a:xfrm>
                            <a:off x="48445" y="2003771"/>
                            <a:ext cx="2625113" cy="585002"/>
                            <a:chOff x="0" y="253694"/>
                            <a:chExt cx="2625113" cy="585002"/>
                          </a:xfrm>
                        </wpg:grpSpPr>
                        <wps:wsp>
                          <wps:cNvPr id="7206" name="Rounded Rectangle 7206"/>
                          <wps:cNvSpPr/>
                          <wps:spPr>
                            <a:xfrm>
                              <a:off x="0" y="254319"/>
                              <a:ext cx="2581910" cy="496849"/>
                            </a:xfrm>
                            <a:prstGeom prst="roundRect">
                              <a:avLst/>
                            </a:prstGeom>
                            <a:solidFill>
                              <a:srgbClr val="4E9D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2" name="Text Box 7212"/>
                          <wps:cNvSpPr txBox="1"/>
                          <wps:spPr>
                            <a:xfrm>
                              <a:off x="24216" y="253694"/>
                              <a:ext cx="2600897" cy="585002"/>
                            </a:xfrm>
                            <a:prstGeom prst="rect">
                              <a:avLst/>
                            </a:prstGeom>
                            <a:noFill/>
                            <a:ln w="6350">
                              <a:noFill/>
                            </a:ln>
                          </wps:spPr>
                          <wps:txbx>
                            <w:txbxContent>
                              <w:p w:rsidR="00311BB8" w:rsidRDefault="00D91061">
                                <w:pPr>
                                  <w:spacing w:line="260" w:lineRule="exact"/>
                                  <w:jc w:val="center"/>
                                  <w:rPr>
                                    <w:b/>
                                    <w:color w:val="FFFFFF" w:themeColor="background1"/>
                                    <w:sz w:val="18"/>
                                    <w:szCs w:val="18"/>
                                  </w:rPr>
                                </w:pPr>
                                <w:r>
                                  <w:rPr>
                                    <w:b/>
                                    <w:color w:val="FFFFFF" w:themeColor="background1"/>
                                    <w:sz w:val="18"/>
                                    <w:szCs w:val="18"/>
                                  </w:rPr>
                                  <w:t>Fraud investigation; recoveries or corrections</w:t>
                                </w:r>
                              </w:p>
                              <w:p w:rsidR="00311BB8" w:rsidRDefault="00D91061">
                                <w:pPr>
                                  <w:spacing w:line="260" w:lineRule="exact"/>
                                  <w:jc w:val="center"/>
                                  <w:rPr>
                                    <w:color w:val="FFFFFF" w:themeColor="background1"/>
                                    <w:sz w:val="18"/>
                                    <w:szCs w:val="18"/>
                                  </w:rPr>
                                </w:pPr>
                                <w:r>
                                  <w:rPr>
                                    <w:color w:val="FFFFFF" w:themeColor="background1"/>
                                    <w:sz w:val="18"/>
                                    <w:szCs w:val="18"/>
                                  </w:rPr>
                                  <w:t>E.g. European Anti-Fraud Office pursuing fraud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60" o:spid="_x0000_s1054" style="position:absolute;margin-left:247.75pt;margin-top:9.2pt;width:207.15pt;height:267.35pt;z-index:251679232;mso-width-relative:margin;mso-height-relative:margin" coordorigin="423" coordsize="26311,2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">
                <v:shape id="Text Box 61" o:spid="_x0000_s1055" type="#_x0000_t202" style="position:absolute;left:726;width:25502;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311BB8" w:rsidRDefault="00D91061">
                        <w:pPr>
                          <w:pStyle w:val="BasicParagraph"/>
                          <w:suppressAutoHyphens/>
                          <w:jc w:val="center"/>
                          <w:rPr>
                            <w:b/>
                            <w:bCs/>
                            <w:i/>
                            <w:caps/>
                            <w:color w:val="4E9DD6"/>
                            <w:sz w:val="18"/>
                            <w:szCs w:val="18"/>
                          </w:rPr>
                        </w:pPr>
                        <w:r>
                          <w:rPr>
                            <w:b/>
                            <w:bCs/>
                            <w:color w:val="4E9DD6"/>
                            <w:sz w:val="27"/>
                            <w:szCs w:val="27"/>
                          </w:rPr>
                          <w:t>Corrective measures</w:t>
                        </w:r>
                        <w:r>
                          <w:rPr>
                            <w:b/>
                            <w:bCs/>
                            <w:color w:val="4E9DD6"/>
                            <w:sz w:val="27"/>
                            <w:szCs w:val="27"/>
                          </w:rPr>
                          <w:br/>
                        </w:r>
                        <w:r>
                          <w:rPr>
                            <w:b/>
                            <w:bCs/>
                            <w:i/>
                            <w:caps/>
                            <w:color w:val="4E9DD6"/>
                            <w:sz w:val="18"/>
                            <w:szCs w:val="18"/>
                          </w:rPr>
                          <w:t>Ex post</w:t>
                        </w:r>
                      </w:p>
                      <w:p w:rsidR="00311BB8" w:rsidRDefault="00311BB8">
                        <w:pPr>
                          <w:pStyle w:val="BasicParagraph"/>
                          <w:suppressAutoHyphens/>
                          <w:jc w:val="center"/>
                          <w:rPr>
                            <w:b/>
                            <w:bCs/>
                            <w:caps/>
                            <w:color w:val="005D95"/>
                            <w:sz w:val="27"/>
                            <w:szCs w:val="27"/>
                          </w:rPr>
                        </w:pPr>
                      </w:p>
                    </w:txbxContent>
                  </v:textbox>
                </v:shape>
                <v:group id="Group 62" o:spid="_x0000_s1056" style="position:absolute;left:423;top:5461;width:25820;height:5626" coordorigin=",72" coordsize="25819,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oundrect id="Rounded Rectangle 63" o:spid="_x0000_s1057" style="position:absolute;top:729;width:25819;height:49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" fillcolor="#4e9dd6" stroked="f" strokeweight="1pt">
                    <v:stroke joinstyle="miter"/>
                  </v:roundrect>
                  <v:shape id="Text Box 7200" o:spid="_x0000_s1058" type="#_x0000_t202" style="position:absolute;left:2119;top:72;width:21495;height:5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" filled="f" stroked="f" strokeweight=".5pt">
                    <v:textbox>
                      <w:txbxContent>
                        <w:p w:rsidR="00311BB8" w:rsidRDefault="00D91061">
                          <w:pPr>
                            <w:spacing w:line="260" w:lineRule="exact"/>
                            <w:jc w:val="center"/>
                            <w:rPr>
                              <w:b/>
                              <w:color w:val="FFFFFF" w:themeColor="background1"/>
                              <w:sz w:val="18"/>
                              <w:szCs w:val="18"/>
                            </w:rPr>
                          </w:pPr>
                          <w:r>
                            <w:rPr>
                              <w:b/>
                              <w:color w:val="FFFFFF" w:themeColor="background1"/>
                              <w:sz w:val="18"/>
                              <w:szCs w:val="18"/>
                            </w:rPr>
                            <w:t>Problem detection; financial recoveries or corrections</w:t>
                          </w:r>
                        </w:p>
                        <w:p w:rsidR="00311BB8" w:rsidRDefault="00D91061">
                          <w:pPr>
                            <w:spacing w:line="260" w:lineRule="exact"/>
                            <w:jc w:val="center"/>
                            <w:rPr>
                              <w:color w:val="FFFFFF" w:themeColor="background1"/>
                              <w:sz w:val="18"/>
                              <w:szCs w:val="18"/>
                            </w:rPr>
                          </w:pPr>
                          <w:r>
                            <w:rPr>
                              <w:color w:val="FFFFFF" w:themeColor="background1"/>
                              <w:sz w:val="18"/>
                              <w:szCs w:val="18"/>
                            </w:rPr>
                            <w:t>E.g. audits of beneficiaries</w:t>
                          </w:r>
                          <w:r>
                            <w:rPr>
                              <w:color w:val="FFFFFF" w:themeColor="background1"/>
                              <w:sz w:val="18"/>
                              <w:szCs w:val="18"/>
                            </w:rPr>
                            <w:br/>
                            <w:t xml:space="preserve"> or of Member States</w:t>
                          </w:r>
                        </w:p>
                      </w:txbxContent>
                    </v:textbox>
                  </v:shape>
                </v:group>
                <v:group id="Group 7201" o:spid="_x0000_s1059" style="position:absolute;left:484;top:11956;width:25819;height:7205" coordorigin=",1541" coordsize="25819,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">
                  <v:roundrect id="Rounded Rectangle 7202" o:spid="_x0000_s1060" style="position:absolute;top:1544;width:25819;height:7201;visibility:visible;mso-wrap-style:square;v-text-anchor:middle" arcsize="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" fillcolor="#4e9dd6" stroked="f" strokeweight="1pt">
                    <v:stroke joinstyle="miter"/>
                  </v:roundrect>
                  <v:shape id="Text Box 7204" o:spid="_x0000_s1061" type="#_x0000_t202" style="position:absolute;left:1695;top:1541;width:22257;height:7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" filled="f" stroked="f" strokeweight=".5pt">
                    <v:textbox>
                      <w:txbxContent>
                        <w:p w:rsidR="00311BB8" w:rsidRDefault="00D91061">
                          <w:pPr>
                            <w:spacing w:line="260" w:lineRule="exact"/>
                            <w:jc w:val="center"/>
                            <w:rPr>
                              <w:b/>
                              <w:color w:val="FFFFFF" w:themeColor="background1"/>
                              <w:sz w:val="18"/>
                              <w:szCs w:val="18"/>
                            </w:rPr>
                          </w:pPr>
                          <w:r>
                            <w:rPr>
                              <w:b/>
                              <w:color w:val="FFFFFF" w:themeColor="background1"/>
                              <w:sz w:val="18"/>
                              <w:szCs w:val="18"/>
                            </w:rPr>
                            <w:t>Simplification of future programmes (based on lessons learnt)</w:t>
                          </w:r>
                        </w:p>
                        <w:p w:rsidR="00311BB8" w:rsidRDefault="00D91061">
                          <w:pPr>
                            <w:spacing w:line="260" w:lineRule="exact"/>
                            <w:jc w:val="center"/>
                            <w:rPr>
                              <w:color w:val="FFFFFF" w:themeColor="background1"/>
                              <w:sz w:val="18"/>
                              <w:szCs w:val="18"/>
                            </w:rPr>
                          </w:pPr>
                          <w:r>
                            <w:rPr>
                              <w:color w:val="FFFFFF" w:themeColor="background1"/>
                              <w:sz w:val="18"/>
                              <w:szCs w:val="18"/>
                            </w:rPr>
                            <w:t>E.g. fixed amounts for grants</w:t>
                          </w:r>
                        </w:p>
                      </w:txbxContent>
                    </v:textbox>
                  </v:shape>
                </v:group>
                <v:group id="Group 7205" o:spid="_x0000_s1062" style="position:absolute;left:484;top:20037;width:26251;height:5850" coordorigin=",2536" coordsize="26251,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">
                  <v:roundrect id="Rounded Rectangle 7206" o:spid="_x0000_s1063" style="position:absolute;top:2543;width:25819;height:49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" fillcolor="#4e9dd6" stroked="f" strokeweight="1pt">
                    <v:stroke joinstyle="miter"/>
                  </v:roundrect>
                  <v:shape id="Text Box 7212" o:spid="_x0000_s1064" type="#_x0000_t202" style="position:absolute;left:242;top:2536;width:26009;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" filled="f" stroked="f" strokeweight=".5pt">
                    <v:textbox>
                      <w:txbxContent>
                        <w:p w:rsidR="00311BB8" w:rsidRDefault="00D91061">
                          <w:pPr>
                            <w:spacing w:line="260" w:lineRule="exact"/>
                            <w:jc w:val="center"/>
                            <w:rPr>
                              <w:b/>
                              <w:color w:val="FFFFFF" w:themeColor="background1"/>
                              <w:sz w:val="18"/>
                              <w:szCs w:val="18"/>
                            </w:rPr>
                          </w:pPr>
                          <w:r>
                            <w:rPr>
                              <w:b/>
                              <w:color w:val="FFFFFF" w:themeColor="background1"/>
                              <w:sz w:val="18"/>
                              <w:szCs w:val="18"/>
                            </w:rPr>
                            <w:t>Fraud investigation; recoveries or corrections</w:t>
                          </w:r>
                        </w:p>
                        <w:p w:rsidR="00311BB8" w:rsidRDefault="00D91061">
                          <w:pPr>
                            <w:spacing w:line="260" w:lineRule="exact"/>
                            <w:jc w:val="center"/>
                            <w:rPr>
                              <w:color w:val="FFFFFF" w:themeColor="background1"/>
                              <w:sz w:val="18"/>
                              <w:szCs w:val="18"/>
                            </w:rPr>
                          </w:pPr>
                          <w:r>
                            <w:rPr>
                              <w:color w:val="FFFFFF" w:themeColor="background1"/>
                              <w:sz w:val="18"/>
                              <w:szCs w:val="18"/>
                            </w:rPr>
                            <w:t>E.g. European Anti-Fraud Office pursuing fraud cases</w:t>
                          </w:r>
                        </w:p>
                      </w:txbxContent>
                    </v:textbox>
                  </v:shape>
                </v:group>
              </v:group>
            </w:pict>
          </mc:Fallback>
        </mc:AlternateContent>
      </w:r>
      <w:r>
        <w:rPr>
          <w:noProof/>
          <w:lang w:val="fr-BE" w:eastAsia="fr-BE"/>
        </w:rPr>
        <mc:AlternateContent>
          <mc:Choice Requires="wpg">
            <w:drawing>
              <wp:anchor distT="0" distB="0" distL="114300" distR="114300" simplePos="0" relativeHeight="251670016" behindDoc="0" locked="0" layoutInCell="1" allowOverlap="1">
                <wp:simplePos x="0" y="0"/>
                <wp:positionH relativeFrom="column">
                  <wp:posOffset>-182245</wp:posOffset>
                </wp:positionH>
                <wp:positionV relativeFrom="paragraph">
                  <wp:posOffset>72086</wp:posOffset>
                </wp:positionV>
                <wp:extent cx="3116580" cy="4480560"/>
                <wp:effectExtent l="0" t="0" r="0" b="0"/>
                <wp:wrapNone/>
                <wp:docPr id="7231" name="Group 7231"/>
                <wp:cNvGraphicFramePr/>
                <a:graphic xmlns:a="http://schemas.openxmlformats.org/drawingml/2006/main">
                  <a:graphicData uri="http://schemas.microsoft.com/office/word/2010/wordprocessingGroup">
                    <wpg:wgp>
                      <wpg:cNvGrpSpPr/>
                      <wpg:grpSpPr>
                        <a:xfrm>
                          <a:off x="0" y="0"/>
                          <a:ext cx="3116580" cy="4480560"/>
                          <a:chOff x="-174929" y="0"/>
                          <a:chExt cx="2941983" cy="3393003"/>
                        </a:xfrm>
                      </wpg:grpSpPr>
                      <wps:wsp>
                        <wps:cNvPr id="35" name="Text Box 35"/>
                        <wps:cNvSpPr txBox="1"/>
                        <wps:spPr>
                          <a:xfrm>
                            <a:off x="0" y="0"/>
                            <a:ext cx="2588260" cy="481965"/>
                          </a:xfrm>
                          <a:prstGeom prst="rect">
                            <a:avLst/>
                          </a:prstGeom>
                          <a:noFill/>
                          <a:ln w="6350">
                            <a:noFill/>
                          </a:ln>
                        </wps:spPr>
                        <wps:txbx>
                          <w:txbxContent>
                            <w:p w:rsidR="00311BB8" w:rsidRDefault="00D91061">
                              <w:pPr>
                                <w:pStyle w:val="BasicParagraph"/>
                                <w:suppressAutoHyphens/>
                                <w:jc w:val="center"/>
                                <w:rPr>
                                  <w:b/>
                                  <w:bCs/>
                                  <w:i/>
                                  <w:caps/>
                                  <w:color w:val="F68A42"/>
                                  <w:sz w:val="18"/>
                                  <w:szCs w:val="18"/>
                                </w:rPr>
                              </w:pPr>
                              <w:r>
                                <w:rPr>
                                  <w:b/>
                                  <w:bCs/>
                                  <w:color w:val="F68A42"/>
                                  <w:sz w:val="27"/>
                                  <w:szCs w:val="27"/>
                                </w:rPr>
                                <w:t>Preventive measures</w:t>
                              </w:r>
                              <w:r>
                                <w:rPr>
                                  <w:b/>
                                  <w:bCs/>
                                  <w:color w:val="F68A42"/>
                                  <w:sz w:val="27"/>
                                  <w:szCs w:val="27"/>
                                </w:rPr>
                                <w:br/>
                              </w:r>
                              <w:r>
                                <w:rPr>
                                  <w:b/>
                                  <w:bCs/>
                                  <w:i/>
                                  <w:caps/>
                                  <w:color w:val="F68A42"/>
                                  <w:sz w:val="18"/>
                                  <w:szCs w:val="18"/>
                                </w:rPr>
                                <w:t>Ex ante</w:t>
                              </w:r>
                            </w:p>
                            <w:p w:rsidR="00311BB8" w:rsidRDefault="00311BB8">
                              <w:pPr>
                                <w:pStyle w:val="BasicParagraph"/>
                                <w:suppressAutoHyphens/>
                                <w:jc w:val="center"/>
                                <w:rPr>
                                  <w:b/>
                                  <w:bCs/>
                                  <w:caps/>
                                  <w:color w:val="005D95"/>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23" name="Group 7223"/>
                        <wpg:cNvGrpSpPr/>
                        <wpg:grpSpPr>
                          <a:xfrm>
                            <a:off x="6055" y="538951"/>
                            <a:ext cx="2581910" cy="432000"/>
                            <a:chOff x="0" y="0"/>
                            <a:chExt cx="2581910" cy="432000"/>
                          </a:xfrm>
                        </wpg:grpSpPr>
                        <wps:wsp>
                          <wps:cNvPr id="37" name="Rounded Rectangle 37"/>
                          <wps:cNvSpPr/>
                          <wps:spPr>
                            <a:xfrm>
                              <a:off x="0" y="0"/>
                              <a:ext cx="2581910" cy="432000"/>
                            </a:xfrm>
                            <a:prstGeom prst="roundRect">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1BB8" w:rsidRDefault="00311BB8">
                                <w:pPr>
                                  <w:spacing w:line="26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121113" y="0"/>
                              <a:ext cx="2336800" cy="431800"/>
                            </a:xfrm>
                            <a:prstGeom prst="rect">
                              <a:avLst/>
                            </a:prstGeom>
                            <a:noFill/>
                            <a:ln w="6350">
                              <a:noFill/>
                            </a:ln>
                          </wps:spPr>
                          <wps:txbx>
                            <w:txbxContent>
                              <w:p w:rsidR="00311BB8" w:rsidRDefault="00D91061">
                                <w:pPr>
                                  <w:spacing w:line="260" w:lineRule="exact"/>
                                  <w:jc w:val="center"/>
                                  <w:rPr>
                                    <w:b/>
                                    <w:color w:val="FFFFFF" w:themeColor="background1"/>
                                    <w:sz w:val="18"/>
                                  </w:rPr>
                                </w:pPr>
                                <w:r>
                                  <w:rPr>
                                    <w:b/>
                                    <w:color w:val="FFFFFF" w:themeColor="background1"/>
                                    <w:sz w:val="18"/>
                                  </w:rPr>
                                  <w:t>Simplification of programmes</w:t>
                                </w:r>
                              </w:p>
                              <w:p w:rsidR="00311BB8" w:rsidRDefault="00D91061">
                                <w:pPr>
                                  <w:spacing w:line="260" w:lineRule="exact"/>
                                  <w:jc w:val="center"/>
                                  <w:rPr>
                                    <w:color w:val="FFFFFF" w:themeColor="background1"/>
                                    <w:sz w:val="18"/>
                                  </w:rPr>
                                </w:pPr>
                                <w:r>
                                  <w:rPr>
                                    <w:color w:val="FFFFFF" w:themeColor="background1"/>
                                    <w:sz w:val="18"/>
                                  </w:rPr>
                                  <w:t>E.g. fixed-amount grants</w:t>
                                </w:r>
                              </w:p>
                              <w:p w:rsidR="00311BB8" w:rsidRDefault="00311BB8">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24" name="Group 7224"/>
                        <wpg:cNvGrpSpPr/>
                        <wpg:grpSpPr>
                          <a:xfrm>
                            <a:off x="6055" y="1047624"/>
                            <a:ext cx="2581910" cy="625475"/>
                            <a:chOff x="0" y="0"/>
                            <a:chExt cx="2581910" cy="625475"/>
                          </a:xfrm>
                        </wpg:grpSpPr>
                        <wps:wsp>
                          <wps:cNvPr id="39" name="Rounded Rectangle 39"/>
                          <wps:cNvSpPr/>
                          <wps:spPr>
                            <a:xfrm>
                              <a:off x="0" y="0"/>
                              <a:ext cx="2581910" cy="625475"/>
                            </a:xfrm>
                            <a:prstGeom prst="roundRect">
                              <a:avLst>
                                <a:gd name="adj" fmla="val 11865"/>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66612" y="0"/>
                              <a:ext cx="2447290" cy="551486"/>
                            </a:xfrm>
                            <a:prstGeom prst="rect">
                              <a:avLst/>
                            </a:prstGeom>
                            <a:noFill/>
                            <a:ln w="6350">
                              <a:noFill/>
                            </a:ln>
                          </wps:spPr>
                          <wps:txbx>
                            <w:txbxContent>
                              <w:p w:rsidR="00311BB8" w:rsidRDefault="00D91061">
                                <w:pPr>
                                  <w:spacing w:line="260" w:lineRule="exact"/>
                                  <w:jc w:val="center"/>
                                  <w:rPr>
                                    <w:b/>
                                    <w:color w:val="FFFFFF" w:themeColor="background1"/>
                                    <w:sz w:val="18"/>
                                  </w:rPr>
                                </w:pPr>
                                <w:r>
                                  <w:rPr>
                                    <w:b/>
                                    <w:color w:val="FFFFFF" w:themeColor="background1"/>
                                    <w:sz w:val="18"/>
                                  </w:rPr>
                                  <w:t>Prevention of double funding</w:t>
                                </w:r>
                              </w:p>
                              <w:p w:rsidR="00311BB8" w:rsidRDefault="00D91061">
                                <w:pPr>
                                  <w:spacing w:line="260" w:lineRule="exact"/>
                                  <w:jc w:val="center"/>
                                  <w:rPr>
                                    <w:sz w:val="18"/>
                                  </w:rPr>
                                </w:pPr>
                                <w:r>
                                  <w:rPr>
                                    <w:color w:val="FFFFFF" w:themeColor="background1"/>
                                    <w:sz w:val="18"/>
                                  </w:rPr>
                                  <w:t>E.g. each beneficiary cannot receive more than one grant (per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25" name="Group 7225"/>
                        <wpg:cNvGrpSpPr/>
                        <wpg:grpSpPr>
                          <a:xfrm>
                            <a:off x="6054" y="1693317"/>
                            <a:ext cx="2595557" cy="607397"/>
                            <a:chOff x="-1" y="-56760"/>
                            <a:chExt cx="2595557" cy="607397"/>
                          </a:xfrm>
                        </wpg:grpSpPr>
                        <wps:wsp>
                          <wps:cNvPr id="7203" name="Rounded Rectangle 7203"/>
                          <wps:cNvSpPr/>
                          <wps:spPr>
                            <a:xfrm>
                              <a:off x="-1" y="0"/>
                              <a:ext cx="2595557" cy="494614"/>
                            </a:xfrm>
                            <a:prstGeom prst="roundRect">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1BB8" w:rsidRDefault="00311BB8">
                                <w:pPr>
                                  <w:spacing w:line="26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7" name="Text Box 7207"/>
                          <wps:cNvSpPr txBox="1"/>
                          <wps:spPr>
                            <a:xfrm>
                              <a:off x="118507" y="-56760"/>
                              <a:ext cx="2336800" cy="607397"/>
                            </a:xfrm>
                            <a:prstGeom prst="rect">
                              <a:avLst/>
                            </a:prstGeom>
                            <a:noFill/>
                            <a:ln w="6350">
                              <a:noFill/>
                            </a:ln>
                          </wps:spPr>
                          <wps:txbx>
                            <w:txbxContent>
                              <w:p w:rsidR="00311BB8" w:rsidRDefault="00D91061">
                                <w:pPr>
                                  <w:spacing w:line="260" w:lineRule="exact"/>
                                  <w:jc w:val="center"/>
                                  <w:rPr>
                                    <w:b/>
                                    <w:color w:val="FFFFFF" w:themeColor="background1"/>
                                    <w:sz w:val="18"/>
                                  </w:rPr>
                                </w:pPr>
                                <w:r>
                                  <w:rPr>
                                    <w:b/>
                                    <w:color w:val="FFFFFF" w:themeColor="background1"/>
                                    <w:sz w:val="18"/>
                                  </w:rPr>
                                  <w:t>Problem detection; funding suspension and corrections</w:t>
                                </w:r>
                              </w:p>
                              <w:p w:rsidR="00311BB8" w:rsidRDefault="00D91061">
                                <w:pPr>
                                  <w:spacing w:line="260" w:lineRule="exact"/>
                                  <w:jc w:val="center"/>
                                  <w:rPr>
                                    <w:color w:val="FFFFFF" w:themeColor="background1"/>
                                    <w:sz w:val="18"/>
                                  </w:rPr>
                                </w:pPr>
                                <w:r>
                                  <w:rPr>
                                    <w:color w:val="FFFFFF" w:themeColor="background1"/>
                                    <w:sz w:val="18"/>
                                  </w:rPr>
                                  <w:t>E.g. desk checks of cost claims and invoices</w:t>
                                </w:r>
                              </w:p>
                              <w:p w:rsidR="00311BB8" w:rsidRDefault="00D91061">
                                <w:pPr>
                                  <w:rPr>
                                    <w:color w:val="FFFFFF" w:themeColor="background1"/>
                                    <w:sz w:val="18"/>
                                  </w:rPr>
                                </w:pPr>
                                <w:r>
                                  <w:rPr>
                                    <w:color w:val="FFFFFF" w:themeColor="background1"/>
                                    <w:sz w:val="18"/>
                                  </w:rPr>
                                  <w:t>E.g. actions to remedy Member States’ systems</w:t>
                                </w:r>
                              </w:p>
                              <w:p w:rsidR="00311BB8" w:rsidRDefault="00311BB8">
                                <w:pPr>
                                  <w:spacing w:line="260" w:lineRule="exact"/>
                                  <w:jc w:val="center"/>
                                  <w:rPr>
                                    <w:color w:val="FFFFFF" w:themeColor="background1"/>
                                    <w:sz w:val="18"/>
                                  </w:rPr>
                                </w:pPr>
                              </w:p>
                              <w:p w:rsidR="00311BB8" w:rsidRDefault="00311BB8">
                                <w:pPr>
                                  <w:spacing w:line="260" w:lineRule="exact"/>
                                  <w:jc w:val="center"/>
                                  <w:rPr>
                                    <w:color w:val="FFFFFF" w:themeColor="background1"/>
                                    <w:sz w:val="18"/>
                                  </w:rPr>
                                </w:pPr>
                              </w:p>
                              <w:p w:rsidR="00311BB8" w:rsidRDefault="00311BB8">
                                <w:pPr>
                                  <w:spacing w:line="26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26" name="Group 7226"/>
                        <wpg:cNvGrpSpPr/>
                        <wpg:grpSpPr>
                          <a:xfrm>
                            <a:off x="-174929" y="2256040"/>
                            <a:ext cx="2941983" cy="662862"/>
                            <a:chOff x="-180984" y="-2710"/>
                            <a:chExt cx="2941983" cy="662862"/>
                          </a:xfrm>
                        </wpg:grpSpPr>
                        <wps:wsp>
                          <wps:cNvPr id="7208" name="Rounded Rectangle 7208"/>
                          <wps:cNvSpPr/>
                          <wps:spPr>
                            <a:xfrm>
                              <a:off x="0" y="0"/>
                              <a:ext cx="2581910" cy="626110"/>
                            </a:xfrm>
                            <a:prstGeom prst="roundRect">
                              <a:avLst>
                                <a:gd name="adj" fmla="val 11839"/>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1BB8" w:rsidRDefault="00311BB8">
                                <w:pPr>
                                  <w:spacing w:line="26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9" name="Text Box 7209"/>
                          <wps:cNvSpPr txBox="1"/>
                          <wps:spPr>
                            <a:xfrm>
                              <a:off x="-180984" y="-2710"/>
                              <a:ext cx="2941983" cy="662862"/>
                            </a:xfrm>
                            <a:prstGeom prst="rect">
                              <a:avLst/>
                            </a:prstGeom>
                            <a:noFill/>
                            <a:ln w="6350">
                              <a:noFill/>
                            </a:ln>
                          </wps:spPr>
                          <wps:txbx>
                            <w:txbxContent>
                              <w:p w:rsidR="00311BB8" w:rsidRDefault="00D91061">
                                <w:pPr>
                                  <w:spacing w:line="260" w:lineRule="exact"/>
                                  <w:jc w:val="center"/>
                                  <w:rPr>
                                    <w:b/>
                                    <w:color w:val="FFFFFF" w:themeColor="background1"/>
                                    <w:sz w:val="18"/>
                                  </w:rPr>
                                </w:pPr>
                                <w:r>
                                  <w:rPr>
                                    <w:b/>
                                    <w:color w:val="FFFFFF" w:themeColor="background1"/>
                                    <w:sz w:val="18"/>
                                  </w:rPr>
                                  <w:t>Fraud proofing</w:t>
                                </w:r>
                              </w:p>
                              <w:p w:rsidR="00311BB8" w:rsidRDefault="00D91061">
                                <w:pPr>
                                  <w:spacing w:line="260" w:lineRule="exact"/>
                                  <w:jc w:val="center"/>
                                  <w:rPr>
                                    <w:b/>
                                    <w:color w:val="FFFFFF" w:themeColor="background1"/>
                                    <w:sz w:val="18"/>
                                  </w:rPr>
                                </w:pPr>
                                <w:r>
                                  <w:rPr>
                                    <w:color w:val="FFFFFF" w:themeColor="background1"/>
                                    <w:sz w:val="18"/>
                                  </w:rPr>
                                  <w:t>E.g. European Anti-Fraud Office reviewing programmes</w:t>
                                </w:r>
                              </w:p>
                              <w:p w:rsidR="00311BB8" w:rsidRDefault="00D91061">
                                <w:pPr>
                                  <w:spacing w:line="260" w:lineRule="exact"/>
                                  <w:jc w:val="center"/>
                                  <w:rPr>
                                    <w:i/>
                                    <w:sz w:val="18"/>
                                  </w:rPr>
                                </w:pPr>
                                <w:r>
                                  <w:rPr>
                                    <w:i/>
                                    <w:color w:val="FFFFFF" w:themeColor="background1"/>
                                    <w:sz w:val="18"/>
                                  </w:rPr>
                                  <w:t>Avoiding fraud-prone provisions in legislation and programmes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27" name="Group 7227"/>
                        <wpg:cNvGrpSpPr/>
                        <wpg:grpSpPr>
                          <a:xfrm>
                            <a:off x="6055" y="2961203"/>
                            <a:ext cx="2581910" cy="431800"/>
                            <a:chOff x="0" y="0"/>
                            <a:chExt cx="2581910" cy="431800"/>
                          </a:xfrm>
                        </wpg:grpSpPr>
                        <wps:wsp>
                          <wps:cNvPr id="7210" name="Rounded Rectangle 7210"/>
                          <wps:cNvSpPr/>
                          <wps:spPr>
                            <a:xfrm>
                              <a:off x="0" y="0"/>
                              <a:ext cx="2581910" cy="431800"/>
                            </a:xfrm>
                            <a:prstGeom prst="roundRect">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1BB8" w:rsidRDefault="00311BB8">
                                <w:pPr>
                                  <w:spacing w:line="26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1" name="Text Box 7211"/>
                          <wps:cNvSpPr txBox="1"/>
                          <wps:spPr>
                            <a:xfrm>
                              <a:off x="121113" y="0"/>
                              <a:ext cx="2336800" cy="431800"/>
                            </a:xfrm>
                            <a:prstGeom prst="rect">
                              <a:avLst/>
                            </a:prstGeom>
                            <a:noFill/>
                            <a:ln w="6350">
                              <a:noFill/>
                            </a:ln>
                          </wps:spPr>
                          <wps:txbx>
                            <w:txbxContent>
                              <w:p w:rsidR="00311BB8" w:rsidRDefault="00D91061">
                                <w:pPr>
                                  <w:spacing w:line="260" w:lineRule="exact"/>
                                  <w:jc w:val="center"/>
                                  <w:rPr>
                                    <w:b/>
                                    <w:color w:val="FFFFFF" w:themeColor="background1"/>
                                    <w:sz w:val="18"/>
                                  </w:rPr>
                                </w:pPr>
                                <w:r>
                                  <w:rPr>
                                    <w:b/>
                                    <w:color w:val="FFFFFF" w:themeColor="background1"/>
                                    <w:sz w:val="18"/>
                                  </w:rPr>
                                  <w:t>Awareness</w:t>
                                </w:r>
                              </w:p>
                              <w:p w:rsidR="00311BB8" w:rsidRDefault="00D91061">
                                <w:pPr>
                                  <w:spacing w:line="260" w:lineRule="exact"/>
                                  <w:jc w:val="center"/>
                                  <w:rPr>
                                    <w:sz w:val="18"/>
                                  </w:rPr>
                                </w:pPr>
                                <w:r>
                                  <w:rPr>
                                    <w:color w:val="FFFFFF" w:themeColor="background1"/>
                                    <w:sz w:val="18"/>
                                  </w:rPr>
                                  <w:t>E.g. anti-fraud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7231" o:spid="_x0000_s1065" style="position:absolute;margin-left:-14.35pt;margin-top:5.7pt;width:245.4pt;height:352.8pt;z-index:251670016;mso-width-relative:margin;mso-height-relative:margin" coordorigin="-1749" coordsize="29419,3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">
                <v:shape id="Text Box 35" o:spid="_x0000_s1066" type="#_x0000_t202" style="position:absolute;width:25882;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311BB8" w:rsidRDefault="00D91061">
                        <w:pPr>
                          <w:pStyle w:val="BasicParagraph"/>
                          <w:suppressAutoHyphens/>
                          <w:jc w:val="center"/>
                          <w:rPr>
                            <w:b/>
                            <w:bCs/>
                            <w:i/>
                            <w:caps/>
                            <w:color w:val="F68A42"/>
                            <w:sz w:val="18"/>
                            <w:szCs w:val="18"/>
                          </w:rPr>
                        </w:pPr>
                        <w:r>
                          <w:rPr>
                            <w:b/>
                            <w:bCs/>
                            <w:color w:val="F68A42"/>
                            <w:sz w:val="27"/>
                            <w:szCs w:val="27"/>
                          </w:rPr>
                          <w:t>Preventive measures</w:t>
                        </w:r>
                        <w:r>
                          <w:rPr>
                            <w:b/>
                            <w:bCs/>
                            <w:color w:val="F68A42"/>
                            <w:sz w:val="27"/>
                            <w:szCs w:val="27"/>
                          </w:rPr>
                          <w:br/>
                        </w:r>
                        <w:r>
                          <w:rPr>
                            <w:b/>
                            <w:bCs/>
                            <w:i/>
                            <w:caps/>
                            <w:color w:val="F68A42"/>
                            <w:sz w:val="18"/>
                            <w:szCs w:val="18"/>
                          </w:rPr>
                          <w:t>Ex ante</w:t>
                        </w:r>
                      </w:p>
                      <w:p w:rsidR="00311BB8" w:rsidRDefault="00311BB8">
                        <w:pPr>
                          <w:pStyle w:val="BasicParagraph"/>
                          <w:suppressAutoHyphens/>
                          <w:jc w:val="center"/>
                          <w:rPr>
                            <w:b/>
                            <w:bCs/>
                            <w:caps/>
                            <w:color w:val="005D95"/>
                            <w:sz w:val="27"/>
                            <w:szCs w:val="27"/>
                          </w:rPr>
                        </w:pPr>
                      </w:p>
                    </w:txbxContent>
                  </v:textbox>
                </v:shape>
                <v:group id="Group 7223" o:spid="_x0000_s1067" style="position:absolute;left:60;top:5389;width:25819;height:4320" coordsize="25819,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">
                  <v:roundrect id="Rounded Rectangle 37" o:spid="_x0000_s1068" style="position:absolute;width:25819;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" fillcolor="#f68a42" stroked="f" strokeweight="1pt">
                    <v:stroke joinstyle="miter"/>
                    <v:textbox>
                      <w:txbxContent>
                        <w:p w:rsidR="00311BB8" w:rsidRDefault="00311BB8">
                          <w:pPr>
                            <w:spacing w:line="260" w:lineRule="exact"/>
                            <w:jc w:val="center"/>
                          </w:pPr>
                        </w:p>
                      </w:txbxContent>
                    </v:textbox>
                  </v:roundrect>
                  <v:shape id="Text Box 50" o:spid="_x0000_s1069" type="#_x0000_t202" style="position:absolute;left:1211;width:2336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311BB8" w:rsidRDefault="00D91061">
                          <w:pPr>
                            <w:spacing w:line="260" w:lineRule="exact"/>
                            <w:jc w:val="center"/>
                            <w:rPr>
                              <w:b/>
                              <w:color w:val="FFFFFF" w:themeColor="background1"/>
                              <w:sz w:val="18"/>
                            </w:rPr>
                          </w:pPr>
                          <w:r>
                            <w:rPr>
                              <w:b/>
                              <w:color w:val="FFFFFF" w:themeColor="background1"/>
                              <w:sz w:val="18"/>
                            </w:rPr>
                            <w:t>Simplification of programmes</w:t>
                          </w:r>
                        </w:p>
                        <w:p w:rsidR="00311BB8" w:rsidRDefault="00D91061">
                          <w:pPr>
                            <w:spacing w:line="260" w:lineRule="exact"/>
                            <w:jc w:val="center"/>
                            <w:rPr>
                              <w:color w:val="FFFFFF" w:themeColor="background1"/>
                              <w:sz w:val="18"/>
                            </w:rPr>
                          </w:pPr>
                          <w:r>
                            <w:rPr>
                              <w:color w:val="FFFFFF" w:themeColor="background1"/>
                              <w:sz w:val="18"/>
                            </w:rPr>
                            <w:t>E.g. fixed-amount grants</w:t>
                          </w:r>
                        </w:p>
                        <w:p w:rsidR="00311BB8" w:rsidRDefault="00311BB8">
                          <w:pPr>
                            <w:rPr>
                              <w:sz w:val="18"/>
                            </w:rPr>
                          </w:pPr>
                        </w:p>
                      </w:txbxContent>
                    </v:textbox>
                  </v:shape>
                </v:group>
                <v:group id="Group 7224" o:spid="_x0000_s1070" style="position:absolute;left:60;top:10476;width:25819;height:6254" coordsize="25819,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">
                  <v:roundrect id="Rounded Rectangle 39" o:spid="_x0000_s1071" style="position:absolute;width:25819;height:6254;visibility:visible;mso-wrap-style:square;v-text-anchor:middle" arcsize="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" fillcolor="#f68a42" stroked="f" strokeweight="1pt">
                    <v:stroke joinstyle="miter"/>
                  </v:roundrect>
                  <v:shape id="Text Box 57" o:spid="_x0000_s1072" type="#_x0000_t202" style="position:absolute;left:666;width:24473;height:5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311BB8" w:rsidRDefault="00D91061">
                          <w:pPr>
                            <w:spacing w:line="260" w:lineRule="exact"/>
                            <w:jc w:val="center"/>
                            <w:rPr>
                              <w:b/>
                              <w:color w:val="FFFFFF" w:themeColor="background1"/>
                              <w:sz w:val="18"/>
                            </w:rPr>
                          </w:pPr>
                          <w:r>
                            <w:rPr>
                              <w:b/>
                              <w:color w:val="FFFFFF" w:themeColor="background1"/>
                              <w:sz w:val="18"/>
                            </w:rPr>
                            <w:t>Prevention of double funding</w:t>
                          </w:r>
                        </w:p>
                        <w:p w:rsidR="00311BB8" w:rsidRDefault="00D91061">
                          <w:pPr>
                            <w:spacing w:line="260" w:lineRule="exact"/>
                            <w:jc w:val="center"/>
                            <w:rPr>
                              <w:sz w:val="18"/>
                            </w:rPr>
                          </w:pPr>
                          <w:r>
                            <w:rPr>
                              <w:color w:val="FFFFFF" w:themeColor="background1"/>
                              <w:sz w:val="18"/>
                            </w:rPr>
                            <w:t>E.g. each beneficiary cannot receive more than one grant (per project)</w:t>
                          </w:r>
                        </w:p>
                      </w:txbxContent>
                    </v:textbox>
                  </v:shape>
                </v:group>
                <v:group id="Group 7225" o:spid="_x0000_s1073" style="position:absolute;left:60;top:16933;width:25956;height:6074" coordorigin=",-567" coordsize="25955,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">
                  <v:roundrect id="Rounded Rectangle 7203" o:spid="_x0000_s1074" style="position:absolute;width:25955;height:49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" fillcolor="#f68a42" stroked="f" strokeweight="1pt">
                    <v:stroke joinstyle="miter"/>
                    <v:textbox>
                      <w:txbxContent>
                        <w:p w:rsidR="00311BB8" w:rsidRDefault="00311BB8">
                          <w:pPr>
                            <w:spacing w:line="260" w:lineRule="exact"/>
                            <w:jc w:val="center"/>
                          </w:pPr>
                        </w:p>
                      </w:txbxContent>
                    </v:textbox>
                  </v:roundrect>
                  <v:shape id="Text Box 7207" o:spid="_x0000_s1075" type="#_x0000_t202" style="position:absolute;left:1185;top:-567;width:23368;height:6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" filled="f" stroked="f" strokeweight=".5pt">
                    <v:textbox>
                      <w:txbxContent>
                        <w:p w:rsidR="00311BB8" w:rsidRDefault="00D91061">
                          <w:pPr>
                            <w:spacing w:line="260" w:lineRule="exact"/>
                            <w:jc w:val="center"/>
                            <w:rPr>
                              <w:b/>
                              <w:color w:val="FFFFFF" w:themeColor="background1"/>
                              <w:sz w:val="18"/>
                            </w:rPr>
                          </w:pPr>
                          <w:r>
                            <w:rPr>
                              <w:b/>
                              <w:color w:val="FFFFFF" w:themeColor="background1"/>
                              <w:sz w:val="18"/>
                            </w:rPr>
                            <w:t>Problem detection; funding suspension and corrections</w:t>
                          </w:r>
                        </w:p>
                        <w:p w:rsidR="00311BB8" w:rsidRDefault="00D91061">
                          <w:pPr>
                            <w:spacing w:line="260" w:lineRule="exact"/>
                            <w:jc w:val="center"/>
                            <w:rPr>
                              <w:color w:val="FFFFFF" w:themeColor="background1"/>
                              <w:sz w:val="18"/>
                            </w:rPr>
                          </w:pPr>
                          <w:r>
                            <w:rPr>
                              <w:color w:val="FFFFFF" w:themeColor="background1"/>
                              <w:sz w:val="18"/>
                            </w:rPr>
                            <w:t>E.g. desk checks of cost claims and invoices</w:t>
                          </w:r>
                        </w:p>
                        <w:p w:rsidR="00311BB8" w:rsidRDefault="00D91061">
                          <w:pPr>
                            <w:rPr>
                              <w:color w:val="FFFFFF" w:themeColor="background1"/>
                              <w:sz w:val="18"/>
                            </w:rPr>
                          </w:pPr>
                          <w:r>
                            <w:rPr>
                              <w:color w:val="FFFFFF" w:themeColor="background1"/>
                              <w:sz w:val="18"/>
                            </w:rPr>
                            <w:t>E.g. actions to remedy Member States’ systems</w:t>
                          </w:r>
                        </w:p>
                        <w:p w:rsidR="00311BB8" w:rsidRDefault="00311BB8">
                          <w:pPr>
                            <w:spacing w:line="260" w:lineRule="exact"/>
                            <w:jc w:val="center"/>
                            <w:rPr>
                              <w:color w:val="FFFFFF" w:themeColor="background1"/>
                              <w:sz w:val="18"/>
                            </w:rPr>
                          </w:pPr>
                        </w:p>
                        <w:p w:rsidR="00311BB8" w:rsidRDefault="00311BB8">
                          <w:pPr>
                            <w:spacing w:line="260" w:lineRule="exact"/>
                            <w:jc w:val="center"/>
                            <w:rPr>
                              <w:color w:val="FFFFFF" w:themeColor="background1"/>
                              <w:sz w:val="18"/>
                            </w:rPr>
                          </w:pPr>
                        </w:p>
                        <w:p w:rsidR="00311BB8" w:rsidRDefault="00311BB8">
                          <w:pPr>
                            <w:spacing w:line="260" w:lineRule="exact"/>
                            <w:jc w:val="center"/>
                            <w:rPr>
                              <w:sz w:val="18"/>
                            </w:rPr>
                          </w:pPr>
                        </w:p>
                      </w:txbxContent>
                    </v:textbox>
                  </v:shape>
                </v:group>
                <v:group id="Group 7226" o:spid="_x0000_s1076" style="position:absolute;left:-1749;top:22560;width:29419;height:6629" coordorigin="-1809,-27" coordsize="29419,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">
                  <v:roundrect id="Rounded Rectangle 7208" o:spid="_x0000_s1077" style="position:absolute;width:25819;height:6261;visibility:visible;mso-wrap-style:square;v-text-anchor:middle" arcsize="77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" fillcolor="#f68a42" stroked="f" strokeweight="1pt">
                    <v:stroke joinstyle="miter"/>
                    <v:textbox>
                      <w:txbxContent>
                        <w:p w:rsidR="00311BB8" w:rsidRDefault="00311BB8">
                          <w:pPr>
                            <w:spacing w:line="260" w:lineRule="exact"/>
                            <w:jc w:val="center"/>
                          </w:pPr>
                        </w:p>
                      </w:txbxContent>
                    </v:textbox>
                  </v:roundrect>
                  <v:shape id="Text Box 7209" o:spid="_x0000_s1078" type="#_x0000_t202" style="position:absolute;left:-1809;top:-27;width:29418;height:6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" filled="f" stroked="f" strokeweight=".5pt">
                    <v:textbox>
                      <w:txbxContent>
                        <w:p w:rsidR="00311BB8" w:rsidRDefault="00D91061">
                          <w:pPr>
                            <w:spacing w:line="260" w:lineRule="exact"/>
                            <w:jc w:val="center"/>
                            <w:rPr>
                              <w:b/>
                              <w:color w:val="FFFFFF" w:themeColor="background1"/>
                              <w:sz w:val="18"/>
                            </w:rPr>
                          </w:pPr>
                          <w:r>
                            <w:rPr>
                              <w:b/>
                              <w:color w:val="FFFFFF" w:themeColor="background1"/>
                              <w:sz w:val="18"/>
                            </w:rPr>
                            <w:t>Fraud proofing</w:t>
                          </w:r>
                        </w:p>
                        <w:p w:rsidR="00311BB8" w:rsidRDefault="00D91061">
                          <w:pPr>
                            <w:spacing w:line="260" w:lineRule="exact"/>
                            <w:jc w:val="center"/>
                            <w:rPr>
                              <w:b/>
                              <w:color w:val="FFFFFF" w:themeColor="background1"/>
                              <w:sz w:val="18"/>
                            </w:rPr>
                          </w:pPr>
                          <w:r>
                            <w:rPr>
                              <w:color w:val="FFFFFF" w:themeColor="background1"/>
                              <w:sz w:val="18"/>
                            </w:rPr>
                            <w:t>E.g. European Anti-Fraud Office reviewing programmes</w:t>
                          </w:r>
                        </w:p>
                        <w:p w:rsidR="00311BB8" w:rsidRDefault="00D91061">
                          <w:pPr>
                            <w:spacing w:line="260" w:lineRule="exact"/>
                            <w:jc w:val="center"/>
                            <w:rPr>
                              <w:i/>
                              <w:sz w:val="18"/>
                            </w:rPr>
                          </w:pPr>
                          <w:r>
                            <w:rPr>
                              <w:i/>
                              <w:color w:val="FFFFFF" w:themeColor="background1"/>
                              <w:sz w:val="18"/>
                            </w:rPr>
                            <w:t>Avoiding fraud-prone provisions in legislation and programmes</w:t>
                          </w:r>
                        </w:p>
                      </w:txbxContent>
                    </v:textbox>
                  </v:shape>
                </v:group>
                <v:group id="Group 7227" o:spid="_x0000_s1079" style="position:absolute;left:60;top:29612;width:25819;height:4318" coordsize="2581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">
                  <v:roundrect id="Rounded Rectangle 7210" o:spid="_x0000_s1080" style="position:absolute;width:25819;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" fillcolor="#f68a42" stroked="f" strokeweight="1pt">
                    <v:stroke joinstyle="miter"/>
                    <v:textbox>
                      <w:txbxContent>
                        <w:p w:rsidR="00311BB8" w:rsidRDefault="00311BB8">
                          <w:pPr>
                            <w:spacing w:line="260" w:lineRule="exact"/>
                            <w:jc w:val="center"/>
                          </w:pPr>
                        </w:p>
                      </w:txbxContent>
                    </v:textbox>
                  </v:roundrect>
                  <v:shape id="Text Box 7211" o:spid="_x0000_s1081" type="#_x0000_t202" style="position:absolute;left:1211;width:2336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" filled="f" stroked="f" strokeweight=".5pt">
                    <v:textbox>
                      <w:txbxContent>
                        <w:p w:rsidR="00311BB8" w:rsidRDefault="00D91061">
                          <w:pPr>
                            <w:spacing w:line="260" w:lineRule="exact"/>
                            <w:jc w:val="center"/>
                            <w:rPr>
                              <w:b/>
                              <w:color w:val="FFFFFF" w:themeColor="background1"/>
                              <w:sz w:val="18"/>
                            </w:rPr>
                          </w:pPr>
                          <w:r>
                            <w:rPr>
                              <w:b/>
                              <w:color w:val="FFFFFF" w:themeColor="background1"/>
                              <w:sz w:val="18"/>
                            </w:rPr>
                            <w:t>Awareness</w:t>
                          </w:r>
                        </w:p>
                        <w:p w:rsidR="00311BB8" w:rsidRDefault="00D91061">
                          <w:pPr>
                            <w:spacing w:line="260" w:lineRule="exact"/>
                            <w:jc w:val="center"/>
                            <w:rPr>
                              <w:sz w:val="18"/>
                            </w:rPr>
                          </w:pPr>
                          <w:r>
                            <w:rPr>
                              <w:color w:val="FFFFFF" w:themeColor="background1"/>
                              <w:sz w:val="18"/>
                            </w:rPr>
                            <w:t>E.g. anti-fraud training</w:t>
                          </w:r>
                        </w:p>
                      </w:txbxContent>
                    </v:textbox>
                  </v:shape>
                </v:group>
              </v:group>
            </w:pict>
          </mc:Fallback>
        </mc:AlternateContent>
      </w:r>
    </w:p>
    <w:p w:rsidR="00311BB8" w:rsidRDefault="00311BB8">
      <w:pPr>
        <w:rPr>
          <w:noProof/>
        </w:rPr>
      </w:pPr>
    </w:p>
    <w:p w:rsidR="00311BB8" w:rsidRDefault="00311BB8">
      <w:pPr>
        <w:rPr>
          <w:noProof/>
        </w:rPr>
      </w:pPr>
    </w:p>
    <w:p w:rsidR="00311BB8" w:rsidRDefault="00311BB8">
      <w:pPr>
        <w:rPr>
          <w:noProof/>
        </w:rPr>
      </w:pPr>
    </w:p>
    <w:p w:rsidR="00311BB8" w:rsidRDefault="00311BB8">
      <w:pPr>
        <w:rPr>
          <w:noProof/>
        </w:rPr>
      </w:pPr>
    </w:p>
    <w:p w:rsidR="00311BB8" w:rsidRDefault="00311BB8">
      <w:pPr>
        <w:rPr>
          <w:noProof/>
        </w:rPr>
      </w:pPr>
    </w:p>
    <w:p w:rsidR="00311BB8" w:rsidRDefault="00311BB8">
      <w:pPr>
        <w:rPr>
          <w:noProof/>
        </w:rPr>
      </w:pPr>
    </w:p>
    <w:p w:rsidR="00311BB8" w:rsidRDefault="00311BB8">
      <w:pPr>
        <w:rPr>
          <w:noProof/>
        </w:rPr>
      </w:pPr>
    </w:p>
    <w:p w:rsidR="00311BB8" w:rsidRDefault="00311BB8">
      <w:pPr>
        <w:rPr>
          <w:noProof/>
        </w:rPr>
      </w:pPr>
    </w:p>
    <w:p w:rsidR="00311BB8" w:rsidRDefault="00311BB8">
      <w:pPr>
        <w:rPr>
          <w:noProof/>
        </w:rPr>
      </w:pPr>
    </w:p>
    <w:p w:rsidR="00311BB8" w:rsidRDefault="00311BB8">
      <w:pPr>
        <w:rPr>
          <w:noProof/>
        </w:rPr>
      </w:pPr>
    </w:p>
    <w:p w:rsidR="00311BB8" w:rsidRDefault="00311BB8">
      <w:pPr>
        <w:rPr>
          <w:noProof/>
        </w:rPr>
      </w:pPr>
    </w:p>
    <w:p w:rsidR="00311BB8" w:rsidRDefault="00311BB8">
      <w:pPr>
        <w:rPr>
          <w:noProof/>
        </w:rPr>
      </w:pPr>
    </w:p>
    <w:p w:rsidR="00311BB8" w:rsidRDefault="00311BB8">
      <w:pPr>
        <w:rPr>
          <w:noProof/>
        </w:rPr>
      </w:pPr>
    </w:p>
    <w:p w:rsidR="00311BB8" w:rsidRDefault="00311BB8">
      <w:pPr>
        <w:pStyle w:val="Annex4-subheading1"/>
        <w:rPr>
          <w:b w:val="0"/>
          <w:noProof/>
          <w:color w:val="000000" w:themeColor="text1"/>
          <w:sz w:val="20"/>
          <w:lang w:eastAsia="en-US"/>
        </w:rPr>
      </w:pPr>
    </w:p>
    <w:p w:rsidR="00311BB8" w:rsidRDefault="00D91061">
      <w:pPr>
        <w:pStyle w:val="AMPRChart-Tabletitle"/>
        <w:spacing w:before="240"/>
        <w:ind w:left="4320" w:firstLine="720"/>
        <w:rPr>
          <w:noProof/>
        </w:rPr>
      </w:pPr>
      <w:r>
        <w:rPr>
          <w:noProof/>
        </w:rPr>
        <w:t>Main features of the Commission’s control strategies</w:t>
      </w:r>
    </w:p>
    <w:p w:rsidR="00311BB8" w:rsidRDefault="00D91061">
      <w:pPr>
        <w:pStyle w:val="AMPRSource-Table-Chart-Photo-Caption"/>
        <w:ind w:left="4320" w:firstLine="720"/>
        <w:rPr>
          <w:noProof/>
        </w:rPr>
      </w:pPr>
      <w:r>
        <w:rPr>
          <w:i/>
          <w:noProof/>
        </w:rPr>
        <w:t>Source:</w:t>
      </w:r>
      <w:r>
        <w:rPr>
          <w:noProof/>
        </w:rPr>
        <w:t xml:space="preserve"> European Commission.</w:t>
      </w:r>
    </w:p>
    <w:p w:rsidR="00311BB8" w:rsidRDefault="00D91061">
      <w:pPr>
        <w:pStyle w:val="AMPRBodyText"/>
        <w:rPr>
          <w:noProof/>
        </w:rPr>
      </w:pPr>
      <w:r>
        <w:rPr>
          <w:rStyle w:val="AMPRcharBoldOrange"/>
          <w:noProof/>
        </w:rPr>
        <w:t>Preventive measures</w:t>
      </w:r>
      <w:r>
        <w:rPr>
          <w:noProof/>
        </w:rPr>
        <w:t xml:space="preserve"> take place before the Commission makes the payment. They result mostly from controls (called </w:t>
      </w:r>
      <w:r>
        <w:rPr>
          <w:i/>
          <w:iCs/>
          <w:noProof/>
        </w:rPr>
        <w:t>ex ante</w:t>
      </w:r>
      <w:r>
        <w:rPr>
          <w:noProof/>
        </w:rPr>
        <w:t xml:space="preserve"> controls) carried out by the Member States and entrusted entities before submitting expenditure to the Commission, and by the Commission before accepting and reimbursing expenditure, clearing pre-financing (i.e. transferring its ownership to the beneficiary) and making interim/final payments. As required by Article</w:t>
      </w:r>
      <w:r>
        <w:rPr>
          <w:rFonts w:ascii="Calibri" w:hAnsi="Calibri" w:cs="Calibri"/>
          <w:noProof/>
        </w:rPr>
        <w:t> </w:t>
      </w:r>
      <w:r>
        <w:rPr>
          <w:noProof/>
        </w:rPr>
        <w:t>74(5) of the financial regulation, all financial operations are subject to controls before payment, under all management modes.</w:t>
      </w:r>
    </w:p>
    <w:p w:rsidR="00311BB8" w:rsidRDefault="00D91061">
      <w:pPr>
        <w:pStyle w:val="AMPRBodyText"/>
        <w:rPr>
          <w:noProof/>
        </w:rPr>
      </w:pPr>
      <w:r>
        <w:rPr>
          <w:noProof/>
        </w:rPr>
        <w:t>Examples of such preventive measures are the recovery of unused pre-financing, the (partial) rejection of costs claimed, and the financial corrections made by Member States before declaring the expenditure to the Commission.</w:t>
      </w:r>
    </w:p>
    <w:p w:rsidR="00311BB8" w:rsidRDefault="00D91061">
      <w:pPr>
        <w:pStyle w:val="AMPRBodyText"/>
        <w:rPr>
          <w:noProof/>
        </w:rPr>
      </w:pPr>
      <w:r>
        <w:rPr>
          <w:noProof/>
        </w:rPr>
        <w:t xml:space="preserve">The intensity, in terms of frequency and/or depth, of these controls depends on the risks and costs involved. Consequently, for low-risk transactions </w:t>
      </w:r>
      <w:r>
        <w:rPr>
          <w:i/>
          <w:iCs/>
          <w:noProof/>
        </w:rPr>
        <w:t>ex ante</w:t>
      </w:r>
      <w:r>
        <w:rPr>
          <w:noProof/>
        </w:rPr>
        <w:t xml:space="preserve"> controls usually take the form of desk reviews rather than on-site controls at the premises of the beneficiary. Indeed, for such transactions, on-site controls would entail a prohibitive cost compared to the expected benefit. </w:t>
      </w:r>
    </w:p>
    <w:p w:rsidR="00311BB8" w:rsidRDefault="00D91061">
      <w:pPr>
        <w:pStyle w:val="AMPRBodyText"/>
        <w:rPr>
          <w:noProof/>
        </w:rPr>
      </w:pPr>
      <w:r>
        <w:rPr>
          <w:noProof/>
        </w:rPr>
        <w:t xml:space="preserve">In shared management, the possibility of interruptions/suspensions of payments to Member States in the event of serious deficiencies detected by national or EU audits in the management and control systems has a preventive character. In addition, the Commission provides training and guidance to Member State authorities on the eligibility aspects of grants and procurement. </w:t>
      </w:r>
    </w:p>
    <w:p w:rsidR="00311BB8" w:rsidRDefault="00D91061">
      <w:pPr>
        <w:pStyle w:val="AMPRBodyText"/>
        <w:rPr>
          <w:noProof/>
        </w:rPr>
      </w:pPr>
      <w:r>
        <w:rPr>
          <w:rStyle w:val="AMPRcharBoldOrange"/>
          <w:noProof/>
        </w:rPr>
        <w:t>Corrective measures</w:t>
      </w:r>
      <w:r>
        <w:rPr>
          <w:noProof/>
        </w:rPr>
        <w:t xml:space="preserve"> take place after the Commission has made the payment or accepted the expenditure. In line with Article</w:t>
      </w:r>
      <w:r>
        <w:rPr>
          <w:rFonts w:ascii="Calibri" w:hAnsi="Calibri" w:cs="Calibri"/>
          <w:noProof/>
        </w:rPr>
        <w:t> </w:t>
      </w:r>
      <w:r>
        <w:rPr>
          <w:noProof/>
        </w:rPr>
        <w:t xml:space="preserve">74(6) of the financial regulation, these result from controls (called </w:t>
      </w:r>
      <w:r>
        <w:rPr>
          <w:i/>
          <w:iCs/>
          <w:noProof/>
        </w:rPr>
        <w:t>ex post</w:t>
      </w:r>
      <w:r>
        <w:rPr>
          <w:noProof/>
        </w:rPr>
        <w:t xml:space="preserve"> controls) that are typically performed on-site, on a sample basis, and are either representative or based on a risk assessment. In shared management, the Commission will perform system audits of Member States’ controls and/or the work of the audit bodies after a risk analysis. These audits may lead to financial corrections and recoveries of irregular expenditure</w:t>
      </w:r>
      <w:r>
        <w:rPr>
          <w:rFonts w:ascii="Calibri" w:hAnsi="Calibri" w:cs="Calibri"/>
          <w:noProof/>
        </w:rPr>
        <w:t> </w:t>
      </w:r>
      <w:r>
        <w:rPr>
          <w:noProof/>
        </w:rPr>
        <w:t>(</w:t>
      </w:r>
      <w:r>
        <w:rPr>
          <w:noProof/>
          <w:vertAlign w:val="superscript"/>
        </w:rPr>
        <w:footnoteReference w:id="2"/>
      </w:r>
      <w:r>
        <w:rPr>
          <w:noProof/>
        </w:rPr>
        <w:t xml:space="preserve">). </w:t>
      </w:r>
    </w:p>
    <w:p w:rsidR="00311BB8" w:rsidRDefault="00D91061">
      <w:pPr>
        <w:pStyle w:val="AMPRBOXB-bgWHITElnBLUE-BLACKtext"/>
        <w:rPr>
          <w:noProof/>
        </w:rPr>
      </w:pPr>
      <w:r>
        <w:rPr>
          <w:noProof/>
        </w:rPr>
        <w:t>For an analysis of the actual financial corrections and recoveries made during the 2019 reporting year itself, see Annex</w:t>
      </w:r>
      <w:r>
        <w:rPr>
          <w:rFonts w:ascii="Calibri" w:hAnsi="Calibri" w:cs="Calibri"/>
          <w:noProof/>
        </w:rPr>
        <w:t> </w:t>
      </w:r>
      <w:r>
        <w:rPr>
          <w:noProof/>
        </w:rPr>
        <w:t>5, ‘Key considerations for the protection of the EU budget’.</w:t>
      </w:r>
    </w:p>
    <w:p w:rsidR="00311BB8" w:rsidRDefault="00D91061">
      <w:pPr>
        <w:pStyle w:val="AMPRBodyText"/>
        <w:rPr>
          <w:noProof/>
        </w:rPr>
      </w:pPr>
      <w:r>
        <w:rPr>
          <w:noProof/>
        </w:rPr>
        <w:t>Sources and root causes of errors detected by the Commission or by the Member States are also taken into account when preparing future (simplified) legislation and when (re)designing controls in order to further reduce the level of error in the next generation of funding programmes.</w:t>
      </w:r>
    </w:p>
    <w:p w:rsidR="00311BB8" w:rsidRDefault="00D91061">
      <w:pPr>
        <w:pStyle w:val="AMPRAnnexesTITLE4"/>
        <w:rPr>
          <w:noProof/>
        </w:rPr>
      </w:pPr>
      <w:r>
        <w:rPr>
          <w:noProof/>
        </w:rPr>
        <w:t>Risk at payment</w:t>
      </w:r>
    </w:p>
    <w:p w:rsidR="00311BB8" w:rsidRDefault="00D91061">
      <w:pPr>
        <w:pStyle w:val="AMPRBodyText"/>
        <w:rPr>
          <w:noProof/>
        </w:rPr>
      </w:pPr>
      <w:r>
        <w:rPr>
          <w:noProof/>
        </w:rPr>
        <w:t>The risk at payment quantifies any errors that remain after preventive controls have been applied and payments have been made</w:t>
      </w:r>
      <w:r>
        <w:rPr>
          <w:rFonts w:ascii="Calibri" w:hAnsi="Calibri" w:cs="Calibri"/>
          <w:noProof/>
        </w:rPr>
        <w:t> </w:t>
      </w:r>
      <w:r>
        <w:rPr>
          <w:noProof/>
        </w:rPr>
        <w:t>(</w:t>
      </w:r>
      <w:r>
        <w:rPr>
          <w:noProof/>
          <w:vertAlign w:val="superscript"/>
        </w:rPr>
        <w:footnoteReference w:id="3"/>
      </w:r>
      <w:r>
        <w:rPr>
          <w:noProof/>
        </w:rPr>
        <w:t>), but before corrective measures have been applied. These errors are typically detected by Commission departments through audits or surveys. Measurement at this stage allows for the errors to be corrected and for additional preventive measures (e.g. additional guidance for Member States, entrusted entities or beneficiaries) to be taken, if necessary, and to gauge the effectiveness of the (</w:t>
      </w:r>
      <w:r>
        <w:rPr>
          <w:i/>
          <w:iCs/>
          <w:noProof/>
        </w:rPr>
        <w:t>ex ante</w:t>
      </w:r>
      <w:r>
        <w:rPr>
          <w:noProof/>
        </w:rPr>
        <w:t>) controls and to adapt them if needed.</w:t>
      </w:r>
    </w:p>
    <w:p w:rsidR="00311BB8" w:rsidRDefault="00D91061">
      <w:pPr>
        <w:pStyle w:val="AMPRBodyText"/>
        <w:rPr>
          <w:noProof/>
        </w:rPr>
      </w:pPr>
      <w:r>
        <w:rPr>
          <w:noProof/>
        </w:rPr>
        <w:t xml:space="preserve">Each department estimates its error rate per programme or other segment of payments. Some departments may use different terminology in their annual activity reports: ‘adjusted error rates’ is used by DG Agriculture and Rural Development and ‘residual total error rates’ is used by DG Regional and Urban Policy, DG Employment, Social Affairs and Inclusion and DG Maritime Affairs and Fisheries. Nevertheless, the departments use a consistent methodology to assess the risk of error in their financial operations based on the institutional framework in place. This is typically done through audits of sampled financial transactions, taking place after the payments, taking into account and assessing the results of audits carried out by programme authorities in the first instance under shared management. These reveal any errors that may have remained after the </w:t>
      </w:r>
      <w:r>
        <w:rPr>
          <w:i/>
          <w:iCs/>
          <w:noProof/>
        </w:rPr>
        <w:t>ex ante</w:t>
      </w:r>
      <w:r>
        <w:rPr>
          <w:noProof/>
        </w:rPr>
        <w:t xml:space="preserve"> controls had been applied and make it possible to estimate those parts of expenditure or revenue likely to be in breach of applicable regulatory and contractual provisions before any correction has taken place. This corresponds to the risk at payment for an individual programme or segment, as a percentage.</w:t>
      </w:r>
    </w:p>
    <w:p w:rsidR="00311BB8" w:rsidRDefault="00D91061">
      <w:pPr>
        <w:pStyle w:val="AMPRBOXE-bgBLUE-WHITEtext"/>
        <w:spacing w:before="480" w:after="480"/>
        <w:rPr>
          <w:noProof/>
        </w:rPr>
      </w:pPr>
      <w:r>
        <w:rPr>
          <w:noProof/>
        </w:rPr>
        <w:t>All types of error, either formal or material, are duly considered and may lead to further enhancements of the control systems in place. Furthermore, in terms of consequences for the EU budget, the Commission calculates the actual financial impact of the errors. This is not necessarily equal to the total value of the EU funding involved: for example it may only be equal to the amount of overpayment where a grant beneficiary has declared an amount above the reimbursement ceiling, to a pro rata amount of the EU funding where the</w:t>
      </w:r>
      <w:r>
        <w:rPr>
          <w:rFonts w:ascii="Calibri" w:hAnsi="Calibri" w:cs="Calibri"/>
          <w:noProof/>
        </w:rPr>
        <w:t> </w:t>
      </w:r>
      <w:r>
        <w:rPr>
          <w:noProof/>
        </w:rPr>
        <w:t>EU only co-funds a grant, or even zero in the case of merely formal errors that have no financial impact. A special case of the latter is where formal errors occur in procurement procedures that do not necessarily preclude the possibility that the best offer was selected, that the output has been delivered in accordance with the contract and that the payments have been regular (</w:t>
      </w:r>
      <w:r>
        <w:rPr>
          <w:rStyle w:val="FootnoteReference"/>
          <w:noProof/>
          <w:vertAlign w:val="superscript"/>
        </w:rPr>
        <w:footnoteReference w:id="4"/>
      </w:r>
      <w:r>
        <w:rPr>
          <w:noProof/>
        </w:rPr>
        <w:t>).</w:t>
      </w:r>
    </w:p>
    <w:p w:rsidR="00311BB8" w:rsidRDefault="00D91061">
      <w:pPr>
        <w:pStyle w:val="AMPRBodyText"/>
        <w:rPr>
          <w:noProof/>
        </w:rPr>
      </w:pPr>
      <w:r>
        <w:rPr>
          <w:noProof/>
        </w:rPr>
        <w:t>On the other hand, two departments (DG International Cooperation and Development and DG Neighbourhood and Enlargement Negotiations) carry out specific studies to determine their error rates, including all corrections until the end of the programmes. This is called the ‘residual error rate’ and corresponds in this case to a risk at closure. The departments obtain the error rate at payment by adding the estimated future corrections to the estimated risk at closure.</w:t>
      </w:r>
    </w:p>
    <w:p w:rsidR="00311BB8" w:rsidRDefault="00D91061">
      <w:pPr>
        <w:pStyle w:val="AMPRBodyText"/>
        <w:rPr>
          <w:noProof/>
        </w:rPr>
      </w:pPr>
      <w:r>
        <w:rPr>
          <w:noProof/>
        </w:rPr>
        <w:t>The risk at payment value is obtained by multiplying the relevant expenditure per programme or segment by the corresponding error rate.</w:t>
      </w:r>
    </w:p>
    <w:p w:rsidR="00311BB8" w:rsidRDefault="00D91061">
      <w:pPr>
        <w:pStyle w:val="AMPRBodyText"/>
        <w:rPr>
          <w:noProof/>
        </w:rPr>
      </w:pPr>
      <w:r>
        <w:rPr>
          <w:noProof/>
        </w:rPr>
        <w:t>For low-risk expenditure, where there are indications that the error rate might be close to zero (e.g. administrative expenditure, operating subsidies for agencies), it is nevertheless recommended to use an error rate of 0.5% as a conservative estimate.</w:t>
      </w:r>
    </w:p>
    <w:p w:rsidR="00311BB8" w:rsidRDefault="00D91061">
      <w:pPr>
        <w:pStyle w:val="AMPRBodyText"/>
        <w:rPr>
          <w:noProof/>
        </w:rPr>
      </w:pPr>
      <w:r>
        <w:rPr>
          <w:noProof/>
        </w:rPr>
        <w:t>The results per programme or segment are aggregated to provide, at the level of the department, the policy area and the Commission, the overall risk at payment value, which is the sum of all the amounts of risk at payment, and its percentage, which is the overall weighted average of the risk at payment as a percentage.</w:t>
      </w:r>
    </w:p>
    <w:p w:rsidR="00311BB8" w:rsidRDefault="00D91061">
      <w:pPr>
        <w:pStyle w:val="AMPRAnnexesTITLE4"/>
        <w:rPr>
          <w:noProof/>
        </w:rPr>
      </w:pPr>
      <w:r>
        <w:rPr>
          <w:noProof/>
        </w:rPr>
        <w:t>Estimated future corrections</w:t>
      </w:r>
    </w:p>
    <w:p w:rsidR="00311BB8" w:rsidRDefault="00D91061">
      <w:pPr>
        <w:pStyle w:val="AMPRBodyText"/>
        <w:rPr>
          <w:noProof/>
        </w:rPr>
      </w:pPr>
      <w:r>
        <w:rPr>
          <w:noProof/>
        </w:rPr>
        <w:t>Once an error is detected, it will subsequently be corrected</w:t>
      </w:r>
      <w:r>
        <w:rPr>
          <w:rFonts w:ascii="Calibri" w:hAnsi="Calibri" w:cs="Calibri"/>
          <w:noProof/>
        </w:rPr>
        <w:t> </w:t>
      </w:r>
      <w:r>
        <w:rPr>
          <w:noProof/>
        </w:rPr>
        <w:t xml:space="preserve">– either via recovery or by being offset against future payments. However, as both detection and remedy may not be immediate, corrections will often not be made in the same financial year as the payment. Nevertheless, the multiannual control systems and corrective mechanisms ensure that any necessary corrections are made within the relevant programme’s life cycle. </w:t>
      </w:r>
    </w:p>
    <w:p w:rsidR="00311BB8" w:rsidRDefault="00D91061">
      <w:pPr>
        <w:pStyle w:val="AMPRBodyText"/>
        <w:rPr>
          <w:noProof/>
        </w:rPr>
      </w:pPr>
      <w:r>
        <w:rPr>
          <w:noProof/>
        </w:rPr>
        <w:t xml:space="preserve">Because the majority of the programmes and control strategies are multiannual, the risk at payment determined in the first instance may therefore provide an incomplete picture, as errors can still be corrected over the course of a number of years after the payments have taken place, until the closure of the programme. In addition, corrections resulting from </w:t>
      </w:r>
      <w:r>
        <w:rPr>
          <w:i/>
          <w:iCs/>
          <w:noProof/>
        </w:rPr>
        <w:t>ex post</w:t>
      </w:r>
      <w:r>
        <w:rPr>
          <w:noProof/>
        </w:rPr>
        <w:t xml:space="preserve"> controls rarely take place within the same financial year as the payment.</w:t>
      </w:r>
    </w:p>
    <w:p w:rsidR="00311BB8" w:rsidRDefault="00D91061">
      <w:pPr>
        <w:pStyle w:val="AMPRBodyText"/>
        <w:rPr>
          <w:noProof/>
        </w:rPr>
      </w:pPr>
      <w:r>
        <w:rPr>
          <w:noProof/>
        </w:rPr>
        <w:t>Therefore, in a second stage, departments estimate the percentage of future corrections they could still apply. These are the conservative and forward-looking estimates of the corrections that they will implement as a result of (</w:t>
      </w:r>
      <w:r>
        <w:rPr>
          <w:i/>
          <w:iCs/>
          <w:noProof/>
        </w:rPr>
        <w:t>ex post</w:t>
      </w:r>
      <w:r>
        <w:rPr>
          <w:noProof/>
        </w:rPr>
        <w:t>) controls in subsequent years.</w:t>
      </w:r>
    </w:p>
    <w:p w:rsidR="00311BB8" w:rsidRDefault="00D91061">
      <w:pPr>
        <w:pStyle w:val="AMPRBOXB-bgWHITElnBLUE-BLACKtext"/>
        <w:rPr>
          <w:noProof/>
        </w:rPr>
      </w:pPr>
      <w:r>
        <w:rPr>
          <w:noProof/>
        </w:rPr>
        <w:t>The estimates of future corrections described here must not be confused with the actual financial corrections and recoveries made during 2019 (presented in Annex</w:t>
      </w:r>
      <w:r>
        <w:rPr>
          <w:rFonts w:ascii="Calibri" w:hAnsi="Calibri" w:cs="Calibri"/>
          <w:noProof/>
        </w:rPr>
        <w:t> </w:t>
      </w:r>
      <w:r>
        <w:rPr>
          <w:noProof/>
        </w:rPr>
        <w:t xml:space="preserve">5). Firstly, the scope of the actuals is broader as they include both preventive and corrective measures to protect the EU budget, not just </w:t>
      </w:r>
      <w:r>
        <w:rPr>
          <w:rStyle w:val="AMPRcharItalic"/>
          <w:noProof/>
        </w:rPr>
        <w:t>ex post</w:t>
      </w:r>
      <w:r>
        <w:rPr>
          <w:noProof/>
        </w:rPr>
        <w:t xml:space="preserve"> corrections. Secondly, the timing is different as the actuals relate to expenditure from previous years (during which errors may have been higher) as opposed to the estimated future corrections, which are calculated to relate only to 2019 expenditure. </w:t>
      </w:r>
    </w:p>
    <w:p w:rsidR="00311BB8" w:rsidRDefault="00D91061">
      <w:pPr>
        <w:pStyle w:val="AMPRBodyText"/>
        <w:rPr>
          <w:noProof/>
        </w:rPr>
      </w:pPr>
      <w:r>
        <w:rPr>
          <w:noProof/>
        </w:rPr>
        <w:t>For programmes with no set closure point (e.g. the European Agricultural Guarantee Fund) and for some multiannual programmes for which corrections are still possible after the end of the programmes (e.g. the European Structural and Investment Funds, including the European Agricultural Fund for Rural Development), all the corrections that remain possible are considered for this estimate.</w:t>
      </w:r>
    </w:p>
    <w:p w:rsidR="00311BB8" w:rsidRDefault="00D91061">
      <w:pPr>
        <w:pStyle w:val="AMPRBodyText"/>
        <w:rPr>
          <w:noProof/>
        </w:rPr>
      </w:pPr>
      <w:r>
        <w:rPr>
          <w:noProof/>
        </w:rPr>
        <w:t xml:space="preserve">To some extent, this estimate is based on the 7-year historical average of recoveries and financial corrections. However, where the departments are of the opinion that this is not the best available estimate of their </w:t>
      </w:r>
      <w:r>
        <w:rPr>
          <w:i/>
          <w:iCs/>
          <w:noProof/>
        </w:rPr>
        <w:t>ex post</w:t>
      </w:r>
      <w:r>
        <w:rPr>
          <w:noProof/>
        </w:rPr>
        <w:t xml:space="preserve"> corrective capacity for their current activities, they adjust or replace their historical average. Any </w:t>
      </w:r>
      <w:r>
        <w:rPr>
          <w:i/>
          <w:iCs/>
          <w:noProof/>
        </w:rPr>
        <w:t>ex ante</w:t>
      </w:r>
      <w:r>
        <w:rPr>
          <w:noProof/>
        </w:rPr>
        <w:t xml:space="preserve"> elements (e.g. recovery of unused pre-financing), one-off events, (partially) cancelled or waived recovery orders or other factors from the past years that would no longer be relevant for current programmes (e.g. higher </w:t>
      </w:r>
      <w:r>
        <w:rPr>
          <w:i/>
          <w:iCs/>
          <w:noProof/>
        </w:rPr>
        <w:t>ex post</w:t>
      </w:r>
      <w:r>
        <w:rPr>
          <w:noProof/>
        </w:rPr>
        <w:t xml:space="preserve"> corrections of previously higher errors in earlier generations of grant programmes; current programmes with only </w:t>
      </w:r>
      <w:r>
        <w:rPr>
          <w:i/>
          <w:iCs/>
          <w:noProof/>
        </w:rPr>
        <w:t>ex ante</w:t>
      </w:r>
      <w:r>
        <w:rPr>
          <w:noProof/>
        </w:rPr>
        <w:t xml:space="preserve"> control systems) may be taken out in order to arrive at the best and most conservative estimate of future corrections to be applied for the expenditure of the current programmes. </w:t>
      </w:r>
    </w:p>
    <w:p w:rsidR="00311BB8" w:rsidRDefault="00D91061">
      <w:pPr>
        <w:pStyle w:val="AMPRBOXB-bgWHITElnBLUE-BLACKtext"/>
        <w:rPr>
          <w:noProof/>
        </w:rPr>
      </w:pPr>
      <w:r>
        <w:rPr>
          <w:noProof/>
        </w:rPr>
        <w:t xml:space="preserve">In 2019, most departments adjusted or replaced their historical average of corrections in order to arrive at their best conservative estimate of the future corrections to be applied to their relevant expenditure for the reporting year. </w:t>
      </w:r>
    </w:p>
    <w:p w:rsidR="00311BB8" w:rsidRDefault="00D91061">
      <w:pPr>
        <w:pStyle w:val="AMPRBOXB-bgWHITElnBLUE-BLACKtext"/>
        <w:rPr>
          <w:noProof/>
        </w:rPr>
      </w:pPr>
      <w:r>
        <w:rPr>
          <w:noProof/>
        </w:rPr>
        <w:t>The types of adjustments made include reducing the 7-year period (e.g. for DG Agriculture and Rural Development, DG Maritime Affairs and Fisheries, DG International Cooperation and Development and DG Neighbourhood and Enlargement Negotiations), using an alternative estimation basis (e.g. for DG Agriculture and Rural Development, DG Maritime Affairs and Fisheries, DG Regional and Urban Policy and DG Employment, Social Affairs and Inclusion</w:t>
      </w:r>
      <w:r>
        <w:rPr>
          <w:rFonts w:ascii="Calibri" w:hAnsi="Calibri" w:cs="Calibri"/>
          <w:noProof/>
        </w:rPr>
        <w:t> </w:t>
      </w:r>
      <w:r>
        <w:rPr>
          <w:noProof/>
        </w:rPr>
        <w:t>(</w:t>
      </w:r>
      <w:r>
        <w:rPr>
          <w:noProof/>
          <w:vertAlign w:val="superscript"/>
        </w:rPr>
        <w:footnoteReference w:id="5"/>
      </w:r>
      <w:r>
        <w:rPr>
          <w:noProof/>
        </w:rPr>
        <w:t xml:space="preserve">), plus the research group of departments), and assuming that future </w:t>
      </w:r>
      <w:r>
        <w:rPr>
          <w:i/>
          <w:iCs/>
          <w:noProof/>
        </w:rPr>
        <w:t>ex post</w:t>
      </w:r>
      <w:r>
        <w:rPr>
          <w:noProof/>
        </w:rPr>
        <w:t xml:space="preserve"> corrections will be zero (e.g. for departments whose control systems consist of predominantly </w:t>
      </w:r>
      <w:r>
        <w:rPr>
          <w:i/>
          <w:iCs/>
          <w:noProof/>
        </w:rPr>
        <w:t>ex ante</w:t>
      </w:r>
      <w:r>
        <w:rPr>
          <w:noProof/>
        </w:rPr>
        <w:t xml:space="preserve"> controls). </w:t>
      </w:r>
    </w:p>
    <w:p w:rsidR="00311BB8" w:rsidRDefault="00D91061">
      <w:pPr>
        <w:pStyle w:val="AMPRBodyText"/>
        <w:rPr>
          <w:noProof/>
        </w:rPr>
      </w:pPr>
      <w:r>
        <w:rPr>
          <w:noProof/>
        </w:rPr>
        <w:t>These future corrections can never be fully equal to the risk at payment. This is due to the fact that some of the errors may be of a formal nature, which, although important to address, does not always result in undue payments and therefore does not always give rise to financial corrections or recovery orders.</w:t>
      </w:r>
    </w:p>
    <w:p w:rsidR="00311BB8" w:rsidRDefault="00D91061">
      <w:pPr>
        <w:pStyle w:val="AMPRAnnexesTITLE4"/>
        <w:rPr>
          <w:noProof/>
        </w:rPr>
      </w:pPr>
      <w:r>
        <w:rPr>
          <w:noProof/>
        </w:rPr>
        <w:t>Risk at closure</w:t>
      </w:r>
    </w:p>
    <w:p w:rsidR="00311BB8" w:rsidRDefault="00D91061">
      <w:pPr>
        <w:pStyle w:val="AMPRBodyText"/>
        <w:rPr>
          <w:noProof/>
        </w:rPr>
      </w:pPr>
      <w:r>
        <w:rPr>
          <w:noProof/>
        </w:rPr>
        <w:t>This risk is estimated at programme closure (</w:t>
      </w:r>
      <w:r>
        <w:rPr>
          <w:rStyle w:val="FootnoteReference"/>
          <w:noProof/>
          <w:vertAlign w:val="superscript"/>
        </w:rPr>
        <w:footnoteReference w:id="6"/>
      </w:r>
      <w:r>
        <w:rPr>
          <w:noProof/>
        </w:rPr>
        <w:t xml:space="preserve">), meaning that when all </w:t>
      </w:r>
      <w:r>
        <w:rPr>
          <w:i/>
          <w:iCs/>
          <w:noProof/>
        </w:rPr>
        <w:t>ex post</w:t>
      </w:r>
      <w:r>
        <w:rPr>
          <w:noProof/>
        </w:rPr>
        <w:t xml:space="preserve"> controls are completed and corrections are applied, legally no further action may be taken.</w:t>
      </w:r>
    </w:p>
    <w:p w:rsidR="00311BB8" w:rsidRDefault="00D91061">
      <w:pPr>
        <w:pStyle w:val="AMPRBodyText"/>
        <w:rPr>
          <w:noProof/>
        </w:rPr>
      </w:pPr>
      <w:r>
        <w:rPr>
          <w:noProof/>
        </w:rPr>
        <w:t>The risk is obtained by deducting the estimated future corrections from the risk at payment, as a value and as a percentage. These amounts and percentages represent the most up-to-date estimation of the outcome to be expected by the closure of each programme. The estimation is forward-looking, anticipating the point when all future corrections have been made. The risk at closure is more representative of the multiannual corrective capacity of the Commission and of the real risk to the expenditure.</w:t>
      </w:r>
    </w:p>
    <w:p w:rsidR="00311BB8" w:rsidRDefault="00D91061">
      <w:pPr>
        <w:pStyle w:val="AMPRBodyText"/>
        <w:rPr>
          <w:noProof/>
        </w:rPr>
      </w:pPr>
      <w:r>
        <w:rPr>
          <w:noProof/>
        </w:rPr>
        <w:t>Similarly to the risk at payment, the results per programme or segment are aggregated to provide, at the level of the department, the policy area and the Commission, the overall risk at closure as a value, which is the sum of all the amounts of risk at closure, and as a percentage, which is the overall weighted average of the risk at closure as a percentage.</w:t>
      </w:r>
    </w:p>
    <w:p w:rsidR="00311BB8" w:rsidRDefault="00D91061">
      <w:pPr>
        <w:pStyle w:val="AMPRAnnexesTITLE3"/>
        <w:rPr>
          <w:noProof/>
        </w:rPr>
      </w:pPr>
      <w:r>
        <w:rPr>
          <w:noProof/>
        </w:rPr>
        <w:t>Main features of the Commission and the Court of Auditors approaches</w:t>
      </w:r>
    </w:p>
    <w:p w:rsidR="00311BB8" w:rsidRDefault="00D91061">
      <w:pPr>
        <w:pStyle w:val="AMPRBodyText"/>
        <w:rPr>
          <w:rStyle w:val="AMPRcharBoldOrange"/>
          <w:noProof/>
        </w:rPr>
      </w:pPr>
      <w:r>
        <w:rPr>
          <w:rStyle w:val="AMPRcharBoldOrange"/>
          <w:noProof/>
        </w:rPr>
        <w:t xml:space="preserve">The concepts above have been developed to fit the Commission’s management context, but they largely converge with those used by the Court of Auditors in its audit approach, as shown by the following (see also the comparison in the table on the following page). </w:t>
      </w:r>
    </w:p>
    <w:p w:rsidR="00311BB8" w:rsidRDefault="00D91061">
      <w:pPr>
        <w:pStyle w:val="AMPRListOrange-L1"/>
        <w:rPr>
          <w:noProof/>
        </w:rPr>
      </w:pPr>
      <w:r>
        <w:rPr>
          <w:noProof/>
        </w:rPr>
        <w:t>The risk at payment is closest (</w:t>
      </w:r>
      <w:r>
        <w:rPr>
          <w:noProof/>
          <w:vertAlign w:val="superscript"/>
        </w:rPr>
        <w:footnoteReference w:id="7"/>
      </w:r>
      <w:r>
        <w:rPr>
          <w:noProof/>
        </w:rPr>
        <w:t>) to the Court of Auditors’ ‘estimated level of error’. In recent years, the Court of Auditors has recognised that the Commission figures are, in most cases, broadly in line with its own estimates and/or range</w:t>
      </w:r>
      <w:r>
        <w:rPr>
          <w:rFonts w:ascii="Calibri" w:hAnsi="Calibri" w:cs="Calibri"/>
          <w:noProof/>
        </w:rPr>
        <w:t> </w:t>
      </w:r>
      <w:r>
        <w:rPr>
          <w:noProof/>
        </w:rPr>
        <w:t>(</w:t>
      </w:r>
      <w:r>
        <w:rPr>
          <w:noProof/>
          <w:vertAlign w:val="superscript"/>
        </w:rPr>
        <w:footnoteReference w:id="8"/>
      </w:r>
      <w:r>
        <w:rPr>
          <w:noProof/>
        </w:rPr>
        <w:t>).</w:t>
      </w:r>
    </w:p>
    <w:p w:rsidR="00311BB8" w:rsidRDefault="00D91061">
      <w:pPr>
        <w:pStyle w:val="AMPRListOrange-L1"/>
        <w:rPr>
          <w:noProof/>
        </w:rPr>
      </w:pPr>
      <w:r>
        <w:rPr>
          <w:noProof/>
        </w:rPr>
        <w:t>As a basis for calculating the amount(s) at risk, ‘relevant expenditure’ corresponds to the payments made, minus new pre-financing paid (still owned by the Commission) plus pre-financing paid in previous years and cleared (ownership transferred to the beneficiaries) during the financial year. This is fully in line with the Court of Auditors’ approach</w:t>
      </w:r>
      <w:r>
        <w:rPr>
          <w:rFonts w:ascii="Calibri" w:hAnsi="Calibri" w:cs="Calibri"/>
          <w:noProof/>
        </w:rPr>
        <w:t> </w:t>
      </w:r>
      <w:r>
        <w:rPr>
          <w:noProof/>
        </w:rPr>
        <w:t>(</w:t>
      </w:r>
      <w:r>
        <w:rPr>
          <w:noProof/>
          <w:vertAlign w:val="superscript"/>
        </w:rPr>
        <w:footnoteReference w:id="9"/>
      </w:r>
      <w:r>
        <w:rPr>
          <w:noProof/>
        </w:rPr>
        <w:t xml:space="preserve">). </w:t>
      </w:r>
    </w:p>
    <w:p w:rsidR="00311BB8" w:rsidRDefault="00D91061">
      <w:pPr>
        <w:pStyle w:val="AMPRListOrange-L1"/>
        <w:rPr>
          <w:noProof/>
        </w:rPr>
      </w:pPr>
      <w:r>
        <w:rPr>
          <w:noProof/>
        </w:rPr>
        <w:t>The ‘materiality threshold’ set, in most cases, at 2% of the relevant expenditure</w:t>
      </w:r>
      <w:r>
        <w:rPr>
          <w:rFonts w:ascii="Calibri" w:hAnsi="Calibri" w:cs="Calibri"/>
          <w:noProof/>
        </w:rPr>
        <w:t> </w:t>
      </w:r>
      <w:r>
        <w:rPr>
          <w:noProof/>
        </w:rPr>
        <w:t>(</w:t>
      </w:r>
      <w:r>
        <w:rPr>
          <w:noProof/>
          <w:vertAlign w:val="superscript"/>
        </w:rPr>
        <w:footnoteReference w:id="10"/>
      </w:r>
      <w:r>
        <w:rPr>
          <w:noProof/>
        </w:rPr>
        <w:t>), is also in line with the Court of Auditors’ methodology</w:t>
      </w:r>
      <w:r>
        <w:rPr>
          <w:rFonts w:ascii="Calibri" w:hAnsi="Calibri" w:cs="Calibri"/>
          <w:noProof/>
        </w:rPr>
        <w:t> </w:t>
      </w:r>
      <w:r>
        <w:rPr>
          <w:noProof/>
        </w:rPr>
        <w:t>(</w:t>
      </w:r>
      <w:r>
        <w:rPr>
          <w:noProof/>
          <w:vertAlign w:val="superscript"/>
        </w:rPr>
        <w:footnoteReference w:id="11"/>
      </w:r>
      <w:r>
        <w:rPr>
          <w:noProof/>
        </w:rPr>
        <w:t xml:space="preserve">). </w:t>
      </w:r>
    </w:p>
    <w:p w:rsidR="00311BB8" w:rsidRDefault="00D91061">
      <w:pPr>
        <w:pStyle w:val="AMPRBodyText"/>
        <w:rPr>
          <w:noProof/>
        </w:rPr>
      </w:pPr>
      <w:r>
        <w:rPr>
          <w:noProof/>
        </w:rPr>
        <w:t>In addition, in order to be able to provide bottom-up management assurance, and to identify and address issues in specific areas, the Commission calculates the error rates per programme (or other relevant segment) for the same accounting year as the one assessed by the Court of Auditors. This means that the Commission’s information on error rates is more detailed than that of the Court of Auditors. Moreover, the Commission’s methodology takes into account the multiannual nature of the spending programmes for the risk at closure, especially the fact that errors not identified at the point of payment for the specific accounting year under assessment can still be detected and corrected in the subsequent year(s).</w:t>
      </w:r>
    </w:p>
    <w:p w:rsidR="00311BB8" w:rsidRDefault="00D91061">
      <w:pPr>
        <w:rPr>
          <w:noProof/>
        </w:rPr>
      </w:pPr>
      <w:r>
        <w:rPr>
          <w:noProof/>
        </w:rPr>
        <w:br w:type="page"/>
      </w:r>
    </w:p>
    <w:tbl>
      <w:tblPr>
        <w:tblStyle w:val="Simpletabl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445"/>
        <w:gridCol w:w="3989"/>
        <w:gridCol w:w="3639"/>
      </w:tblGrid>
      <w:tr w:rsidR="00311BB8">
        <w:trPr>
          <w:jc w:val="center"/>
        </w:trPr>
        <w:tc>
          <w:tcPr>
            <w:tcW w:w="1420" w:type="dxa"/>
            <w:tcBorders>
              <w:top w:val="nil"/>
              <w:left w:val="nil"/>
              <w:bottom w:val="single" w:sz="8" w:space="0" w:color="FFFFFF" w:themeColor="background1"/>
              <w:right w:val="nil"/>
            </w:tcBorders>
          </w:tcPr>
          <w:p w:rsidR="00311BB8" w:rsidRDefault="00311BB8">
            <w:pPr>
              <w:autoSpaceDE w:val="0"/>
              <w:autoSpaceDN w:val="0"/>
              <w:adjustRightInd w:val="0"/>
              <w:rPr>
                <w:rFonts w:eastAsia="Calibri"/>
                <w:noProof/>
                <w:szCs w:val="24"/>
              </w:rPr>
            </w:pPr>
          </w:p>
        </w:tc>
        <w:tc>
          <w:tcPr>
            <w:tcW w:w="3989" w:type="dxa"/>
            <w:tcBorders>
              <w:top w:val="nil"/>
              <w:left w:val="nil"/>
              <w:bottom w:val="single" w:sz="8" w:space="0" w:color="FFFFFF" w:themeColor="background1"/>
              <w:right w:val="nil"/>
            </w:tcBorders>
            <w:shd w:val="clear" w:color="auto" w:fill="5B9BD5" w:themeFill="accent1"/>
            <w:hideMark/>
          </w:tcPr>
          <w:p w:rsidR="00311BB8" w:rsidRDefault="00D91061">
            <w:pPr>
              <w:autoSpaceDE w:val="0"/>
              <w:autoSpaceDN w:val="0"/>
              <w:adjustRightInd w:val="0"/>
              <w:spacing w:before="120"/>
              <w:ind w:left="170" w:right="170"/>
              <w:textAlignment w:val="center"/>
              <w:rPr>
                <w:rFonts w:eastAsia="Calibri" w:cs="EC Square Sans Pro"/>
                <w:noProof/>
                <w:color w:val="FFFFFF" w:themeColor="background1"/>
              </w:rPr>
            </w:pPr>
            <w:r>
              <w:rPr>
                <w:rFonts w:eastAsia="Calibri" w:cs="EC Square Sans Pro"/>
                <w:b/>
                <w:bCs/>
                <w:noProof/>
                <w:color w:val="FFFFFF" w:themeColor="background1"/>
              </w:rPr>
              <w:t xml:space="preserve">European Commission </w:t>
            </w:r>
            <w:r>
              <w:rPr>
                <w:rFonts w:eastAsia="Calibri" w:cs="EC Square Sans Pro"/>
                <w:b/>
                <w:bCs/>
                <w:noProof/>
                <w:color w:val="FFFFFF" w:themeColor="background1"/>
                <w:szCs w:val="18"/>
              </w:rPr>
              <w:br/>
            </w:r>
            <w:r>
              <w:rPr>
                <w:rFonts w:eastAsia="Calibri" w:cs="EC Square Sans Pro"/>
                <w:noProof/>
                <w:color w:val="FFFFFF" w:themeColor="background1"/>
              </w:rPr>
              <w:t>management perspective</w:t>
            </w:r>
          </w:p>
        </w:tc>
        <w:tc>
          <w:tcPr>
            <w:tcW w:w="3639" w:type="dxa"/>
            <w:tcBorders>
              <w:top w:val="nil"/>
              <w:left w:val="nil"/>
              <w:bottom w:val="single" w:sz="8" w:space="0" w:color="FFFFFF" w:themeColor="background1"/>
              <w:right w:val="nil"/>
            </w:tcBorders>
            <w:shd w:val="clear" w:color="auto" w:fill="FFC000" w:themeFill="accent4"/>
            <w:hideMark/>
          </w:tcPr>
          <w:p w:rsidR="00311BB8" w:rsidRDefault="00D91061">
            <w:pPr>
              <w:autoSpaceDE w:val="0"/>
              <w:autoSpaceDN w:val="0"/>
              <w:adjustRightInd w:val="0"/>
              <w:spacing w:before="120"/>
              <w:ind w:left="170" w:right="170"/>
              <w:textAlignment w:val="center"/>
              <w:rPr>
                <w:rFonts w:eastAsia="Calibri" w:cs="EC Square Sans Pro"/>
                <w:b/>
                <w:noProof/>
                <w:color w:val="FFFFFF" w:themeColor="background1"/>
              </w:rPr>
            </w:pPr>
            <w:r>
              <w:rPr>
                <w:rFonts w:eastAsia="Calibri" w:cs="EC Square Sans Pro"/>
                <w:b/>
                <w:bCs/>
                <w:noProof/>
                <w:color w:val="FFFFFF" w:themeColor="background1"/>
              </w:rPr>
              <w:t xml:space="preserve">European Court of Auditors </w:t>
            </w:r>
            <w:r>
              <w:rPr>
                <w:rFonts w:eastAsia="Calibri" w:cs="EC Square Sans Pro"/>
                <w:b/>
                <w:bCs/>
                <w:noProof/>
                <w:color w:val="FFFFFF" w:themeColor="background1"/>
                <w:szCs w:val="18"/>
              </w:rPr>
              <w:br/>
            </w:r>
            <w:r>
              <w:rPr>
                <w:rFonts w:eastAsia="Calibri" w:cs="EC Square Sans Pro"/>
                <w:noProof/>
                <w:color w:val="FFFFFF" w:themeColor="background1"/>
              </w:rPr>
              <w:t>audit perspective</w:t>
            </w:r>
          </w:p>
        </w:tc>
      </w:tr>
      <w:tr w:rsidR="00311BB8">
        <w:trPr>
          <w:jc w:val="center"/>
        </w:trPr>
        <w:tc>
          <w:tcPr>
            <w:tcW w:w="1420" w:type="dxa"/>
            <w:tcBorders>
              <w:top w:val="single" w:sz="8" w:space="0" w:color="FFFFFF" w:themeColor="background1"/>
              <w:left w:val="nil"/>
              <w:bottom w:val="nil"/>
              <w:right w:val="nil"/>
            </w:tcBorders>
            <w:hideMark/>
          </w:tcPr>
          <w:p w:rsidR="00311BB8" w:rsidRDefault="00D91061">
            <w:pPr>
              <w:autoSpaceDE w:val="0"/>
              <w:autoSpaceDN w:val="0"/>
              <w:adjustRightInd w:val="0"/>
              <w:textAlignment w:val="center"/>
              <w:rPr>
                <w:rFonts w:eastAsia="Calibri" w:cs="EC Square Sans Pro"/>
                <w:noProof/>
                <w:color w:val="44546A" w:themeColor="text2"/>
              </w:rPr>
            </w:pPr>
            <w:r>
              <w:rPr>
                <w:rFonts w:eastAsia="Calibri" w:cs="EC Square Sans Pro"/>
                <w:b/>
                <w:bCs/>
                <w:noProof/>
                <w:color w:val="203F79"/>
              </w:rPr>
              <w:t>Roles</w:t>
            </w:r>
          </w:p>
        </w:tc>
        <w:tc>
          <w:tcPr>
            <w:tcW w:w="3989" w:type="dxa"/>
            <w:tcBorders>
              <w:top w:val="single" w:sz="8" w:space="0" w:color="FFFFFF" w:themeColor="background1"/>
              <w:left w:val="nil"/>
              <w:bottom w:val="single" w:sz="8" w:space="0" w:color="FFFFFF" w:themeColor="background1"/>
              <w:right w:val="nil"/>
            </w:tcBorders>
            <w:shd w:val="clear" w:color="auto" w:fill="FAD9C2"/>
            <w:hideMark/>
          </w:tcPr>
          <w:p w:rsidR="00311BB8" w:rsidRDefault="00D91061">
            <w:pPr>
              <w:numPr>
                <w:ilvl w:val="0"/>
                <w:numId w:val="3"/>
              </w:numPr>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Provide annual management assurance</w:t>
            </w:r>
          </w:p>
          <w:p w:rsidR="00311BB8" w:rsidRDefault="00D91061">
            <w:pPr>
              <w:numPr>
                <w:ilvl w:val="0"/>
                <w:numId w:val="3"/>
              </w:numPr>
              <w:autoSpaceDE w:val="0"/>
              <w:autoSpaceDN w:val="0"/>
              <w:adjustRightInd w:val="0"/>
              <w:spacing w:before="60" w:after="60"/>
              <w:ind w:left="340" w:right="170" w:hanging="170"/>
              <w:textAlignment w:val="center"/>
              <w:rPr>
                <w:rFonts w:eastAsia="Calibri" w:cs="EC Square Sans Pro"/>
                <w:noProof/>
                <w:color w:val="44546A" w:themeColor="text2"/>
              </w:rPr>
            </w:pPr>
            <w:r>
              <w:rPr>
                <w:rFonts w:eastAsia="Calibri" w:cs="EC Square Sans Pro"/>
                <w:noProof/>
                <w:color w:val="203F79"/>
              </w:rPr>
              <w:t>Identify weaknesses and take action on a multiannual basis</w:t>
            </w:r>
          </w:p>
          <w:p w:rsidR="00311BB8" w:rsidRDefault="00D91061">
            <w:pPr>
              <w:numPr>
                <w:ilvl w:val="0"/>
                <w:numId w:val="3"/>
              </w:numPr>
              <w:autoSpaceDE w:val="0"/>
              <w:autoSpaceDN w:val="0"/>
              <w:adjustRightInd w:val="0"/>
              <w:spacing w:before="60" w:after="60"/>
              <w:ind w:left="340" w:right="170" w:hanging="170"/>
              <w:textAlignment w:val="center"/>
              <w:rPr>
                <w:rFonts w:eastAsia="Calibri" w:cs="EC Square Sans Pro"/>
                <w:noProof/>
                <w:color w:val="44546A" w:themeColor="text2"/>
              </w:rPr>
            </w:pPr>
            <w:r>
              <w:rPr>
                <w:rFonts w:eastAsia="Calibri" w:cs="EC Square Sans Pro"/>
                <w:noProof/>
                <w:color w:val="203F79"/>
              </w:rPr>
              <w:t xml:space="preserve">Protect the EU budget </w:t>
            </w:r>
          </w:p>
        </w:tc>
        <w:tc>
          <w:tcPr>
            <w:tcW w:w="3639" w:type="dxa"/>
            <w:tcBorders>
              <w:top w:val="single" w:sz="8" w:space="0" w:color="FFFFFF" w:themeColor="background1"/>
              <w:left w:val="nil"/>
              <w:bottom w:val="single" w:sz="8" w:space="0" w:color="FFFFFF" w:themeColor="background1"/>
              <w:right w:val="nil"/>
            </w:tcBorders>
            <w:shd w:val="clear" w:color="auto" w:fill="E7E6E6" w:themeFill="background2"/>
            <w:hideMark/>
          </w:tcPr>
          <w:p w:rsidR="00311BB8" w:rsidRDefault="00D91061">
            <w:pPr>
              <w:numPr>
                <w:ilvl w:val="0"/>
                <w:numId w:val="3"/>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Provide an audit opinion on the legality and regularity of financial transactions of a specific year</w:t>
            </w:r>
          </w:p>
        </w:tc>
      </w:tr>
      <w:tr w:rsidR="00311BB8">
        <w:trPr>
          <w:jc w:val="center"/>
        </w:trPr>
        <w:tc>
          <w:tcPr>
            <w:tcW w:w="1420" w:type="dxa"/>
            <w:hideMark/>
          </w:tcPr>
          <w:p w:rsidR="00311BB8" w:rsidRDefault="00D91061">
            <w:pPr>
              <w:suppressAutoHyphens/>
              <w:autoSpaceDE w:val="0"/>
              <w:autoSpaceDN w:val="0"/>
              <w:adjustRightInd w:val="0"/>
              <w:textAlignment w:val="center"/>
              <w:rPr>
                <w:rFonts w:eastAsia="Calibri" w:cs="EC Square Sans Pro"/>
                <w:noProof/>
                <w:color w:val="44546A" w:themeColor="text2"/>
              </w:rPr>
            </w:pPr>
            <w:r>
              <w:rPr>
                <w:rFonts w:eastAsia="Calibri" w:cs="EC Square Sans Pro"/>
                <w:b/>
                <w:bCs/>
                <w:noProof/>
                <w:color w:val="203F79"/>
              </w:rPr>
              <w:t>Level of granularity</w:t>
            </w:r>
          </w:p>
        </w:tc>
        <w:tc>
          <w:tcPr>
            <w:tcW w:w="3989" w:type="dxa"/>
            <w:tcBorders>
              <w:top w:val="single" w:sz="8" w:space="0" w:color="FFFFFF" w:themeColor="background1"/>
              <w:left w:val="nil"/>
              <w:bottom w:val="single" w:sz="8" w:space="0" w:color="FFFFFF" w:themeColor="background1"/>
              <w:right w:val="nil"/>
            </w:tcBorders>
            <w:shd w:val="clear" w:color="auto" w:fill="FAD9C2"/>
            <w:hideMark/>
          </w:tcPr>
          <w:p w:rsidR="00311BB8" w:rsidRDefault="00D91061">
            <w:pPr>
              <w:numPr>
                <w:ilvl w:val="0"/>
                <w:numId w:val="3"/>
              </w:numPr>
              <w:tabs>
                <w:tab w:val="left" w:pos="135"/>
              </w:tab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Error rate for the EU budget as a whole and individual error rates for each department and policy area under Headings 1 to 5, plus for revenue</w:t>
            </w:r>
          </w:p>
          <w:p w:rsidR="00311BB8" w:rsidRDefault="00D91061">
            <w:pPr>
              <w:keepNext/>
              <w:numPr>
                <w:ilvl w:val="0"/>
                <w:numId w:val="3"/>
              </w:numPr>
              <w:tabs>
                <w:tab w:val="left" w:pos="135"/>
              </w:tab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bCs/>
                <w:noProof/>
                <w:color w:val="203F79"/>
              </w:rPr>
              <w:t>Error rates calculated per policy area, programme and/or relevant (sub)segments</w:t>
            </w:r>
          </w:p>
          <w:p w:rsidR="00311BB8" w:rsidRDefault="00D91061">
            <w:pPr>
              <w:numPr>
                <w:ilvl w:val="0"/>
                <w:numId w:val="3"/>
              </w:numPr>
              <w:tabs>
                <w:tab w:val="left" w:pos="135"/>
              </w:tab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Expenditure and revenue of the year (or 2 years for research) with a multiannual perspective</w:t>
            </w:r>
          </w:p>
        </w:tc>
        <w:tc>
          <w:tcPr>
            <w:tcW w:w="3639" w:type="dxa"/>
            <w:tcBorders>
              <w:top w:val="single" w:sz="8" w:space="0" w:color="FFFFFF" w:themeColor="background1"/>
              <w:left w:val="nil"/>
              <w:bottom w:val="single" w:sz="8" w:space="0" w:color="FFFFFF" w:themeColor="background1"/>
              <w:right w:val="nil"/>
            </w:tcBorders>
            <w:shd w:val="clear" w:color="auto" w:fill="E7E6E6" w:themeFill="background2"/>
            <w:hideMark/>
          </w:tcPr>
          <w:p w:rsidR="00311BB8" w:rsidRDefault="00D91061">
            <w:pPr>
              <w:numPr>
                <w:ilvl w:val="0"/>
                <w:numId w:val="3"/>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Error rate for EU budget as a whole and individual error rates for Headings 1a, 1b, 2 and 5, plus for revenue</w:t>
            </w:r>
          </w:p>
          <w:p w:rsidR="00311BB8" w:rsidRDefault="00D91061">
            <w:pPr>
              <w:numPr>
                <w:ilvl w:val="0"/>
                <w:numId w:val="3"/>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Expenditure and revenues of the year</w:t>
            </w:r>
          </w:p>
        </w:tc>
      </w:tr>
      <w:tr w:rsidR="00311BB8">
        <w:trPr>
          <w:jc w:val="center"/>
        </w:trPr>
        <w:tc>
          <w:tcPr>
            <w:tcW w:w="1420" w:type="dxa"/>
            <w:hideMark/>
          </w:tcPr>
          <w:p w:rsidR="00311BB8" w:rsidRDefault="00D91061">
            <w:pPr>
              <w:autoSpaceDE w:val="0"/>
              <w:autoSpaceDN w:val="0"/>
              <w:adjustRightInd w:val="0"/>
              <w:textAlignment w:val="center"/>
              <w:rPr>
                <w:rFonts w:eastAsia="Calibri" w:cs="EC Square Sans Pro"/>
                <w:noProof/>
                <w:color w:val="44546A" w:themeColor="text2"/>
              </w:rPr>
            </w:pPr>
            <w:r>
              <w:rPr>
                <w:rFonts w:eastAsia="Calibri" w:cs="EC Square Sans Pro"/>
                <w:b/>
                <w:bCs/>
                <w:noProof/>
                <w:color w:val="203F79"/>
                <w:spacing w:val="-9"/>
              </w:rPr>
              <w:t>Multiannuality</w:t>
            </w:r>
          </w:p>
        </w:tc>
        <w:tc>
          <w:tcPr>
            <w:tcW w:w="3989" w:type="dxa"/>
            <w:tcBorders>
              <w:top w:val="single" w:sz="8" w:space="0" w:color="FFFFFF" w:themeColor="background1"/>
              <w:left w:val="nil"/>
              <w:bottom w:val="single" w:sz="8" w:space="0" w:color="FFFFFF" w:themeColor="background1"/>
              <w:right w:val="nil"/>
            </w:tcBorders>
            <w:shd w:val="clear" w:color="auto" w:fill="FAD9C2"/>
            <w:hideMark/>
          </w:tcPr>
          <w:p w:rsidR="00311BB8" w:rsidRDefault="00D91061">
            <w:pPr>
              <w:numPr>
                <w:ilvl w:val="0"/>
                <w:numId w:val="3"/>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bCs/>
                <w:noProof/>
                <w:color w:val="203F79"/>
              </w:rPr>
              <w:t>Two error rates (risk at payment and risk at closure</w:t>
            </w:r>
            <w:r>
              <w:rPr>
                <w:rStyle w:val="fnRef"/>
                <w:rFonts w:ascii="Arial" w:hAnsi="Arial" w:cs="Arial"/>
                <w:noProof/>
                <w:color w:val="44546A" w:themeColor="text2"/>
              </w:rPr>
              <w:t> </w:t>
            </w:r>
            <w:r>
              <w:rPr>
                <w:rStyle w:val="fnRef"/>
                <w:noProof/>
                <w:color w:val="44546A" w:themeColor="text2"/>
              </w:rPr>
              <w:t>(</w:t>
            </w:r>
            <w:r>
              <w:rPr>
                <w:rStyle w:val="fnRefNo"/>
                <w:noProof/>
                <w:color w:val="44546A" w:themeColor="text2"/>
              </w:rPr>
              <w:footnoteReference w:id="12"/>
            </w:r>
            <w:r>
              <w:rPr>
                <w:rStyle w:val="fnRef"/>
                <w:noProof/>
                <w:color w:val="44546A" w:themeColor="text2"/>
              </w:rPr>
              <w:t>)</w:t>
            </w:r>
            <w:r>
              <w:rPr>
                <w:rFonts w:eastAsia="Calibri" w:cs="EC Square Sans Pro"/>
                <w:bCs/>
                <w:noProof/>
                <w:color w:val="44546A" w:themeColor="text2"/>
              </w:rPr>
              <w:t>;</w:t>
            </w:r>
            <w:r>
              <w:rPr>
                <w:rFonts w:eastAsia="Calibri" w:cs="EC Square Sans Pro"/>
                <w:noProof/>
                <w:color w:val="203F79"/>
                <w:szCs w:val="18"/>
              </w:rPr>
              <w:br/>
            </w:r>
            <w:r>
              <w:rPr>
                <w:rFonts w:eastAsia="Calibri" w:cs="EC Square Sans Pro"/>
                <w:bCs/>
                <w:noProof/>
                <w:color w:val="203F79"/>
              </w:rPr>
              <w:t>multiannuality prospectively taken into account for the risk at closure through estimated future corrections for all programmes</w:t>
            </w:r>
          </w:p>
        </w:tc>
        <w:tc>
          <w:tcPr>
            <w:tcW w:w="3639" w:type="dxa"/>
            <w:tcBorders>
              <w:top w:val="single" w:sz="8" w:space="0" w:color="FFFFFF" w:themeColor="background1"/>
              <w:left w:val="nil"/>
              <w:bottom w:val="single" w:sz="8" w:space="0" w:color="FFFFFF" w:themeColor="background1"/>
              <w:right w:val="nil"/>
            </w:tcBorders>
            <w:shd w:val="clear" w:color="auto" w:fill="E7E6E6" w:themeFill="background2"/>
            <w:hideMark/>
          </w:tcPr>
          <w:p w:rsidR="00311BB8" w:rsidRDefault="00D91061">
            <w:pPr>
              <w:numPr>
                <w:ilvl w:val="0"/>
                <w:numId w:val="3"/>
              </w:numPr>
              <w:tabs>
                <w:tab w:val="left" w:pos="135"/>
              </w:tabs>
              <w:suppressAutoHyphens/>
              <w:autoSpaceDE w:val="0"/>
              <w:autoSpaceDN w:val="0"/>
              <w:adjustRightInd w:val="0"/>
              <w:spacing w:before="120"/>
              <w:ind w:left="340" w:right="170" w:hanging="170"/>
              <w:textAlignment w:val="center"/>
              <w:rPr>
                <w:rFonts w:eastAsia="Calibri" w:cs="EC Square Sans Pro"/>
                <w:bCs/>
                <w:noProof/>
                <w:color w:val="203F79"/>
              </w:rPr>
            </w:pPr>
            <w:r>
              <w:rPr>
                <w:rFonts w:eastAsia="Calibri" w:cs="EC Square Sans Pro"/>
                <w:bCs/>
                <w:noProof/>
                <w:color w:val="203F79"/>
              </w:rPr>
              <w:t>One error rate (most likely error)</w:t>
            </w:r>
          </w:p>
          <w:p w:rsidR="00311BB8" w:rsidRDefault="00D91061">
            <w:pPr>
              <w:numPr>
                <w:ilvl w:val="0"/>
                <w:numId w:val="3"/>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bCs/>
                <w:noProof/>
                <w:color w:val="203F79"/>
              </w:rPr>
              <w:t>Multiannuality retroactively taken into account, only through financial corrections implemented for closed programmes</w:t>
            </w:r>
          </w:p>
        </w:tc>
      </w:tr>
      <w:tr w:rsidR="00311BB8">
        <w:trPr>
          <w:jc w:val="center"/>
        </w:trPr>
        <w:tc>
          <w:tcPr>
            <w:tcW w:w="1420" w:type="dxa"/>
            <w:hideMark/>
          </w:tcPr>
          <w:p w:rsidR="00311BB8" w:rsidRDefault="00D91061">
            <w:pPr>
              <w:autoSpaceDE w:val="0"/>
              <w:autoSpaceDN w:val="0"/>
              <w:adjustRightInd w:val="0"/>
              <w:textAlignment w:val="center"/>
              <w:rPr>
                <w:rFonts w:eastAsia="Calibri" w:cs="EC Square Sans Pro"/>
                <w:noProof/>
                <w:color w:val="44546A" w:themeColor="text2"/>
              </w:rPr>
            </w:pPr>
            <w:r>
              <w:rPr>
                <w:rFonts w:eastAsia="Calibri" w:cs="EC Square Sans Pro"/>
                <w:b/>
                <w:bCs/>
                <w:noProof/>
                <w:color w:val="203F79"/>
              </w:rPr>
              <w:t>Materiality threshold</w:t>
            </w:r>
          </w:p>
        </w:tc>
        <w:tc>
          <w:tcPr>
            <w:tcW w:w="3989" w:type="dxa"/>
            <w:tcBorders>
              <w:top w:val="single" w:sz="8" w:space="0" w:color="FFFFFF" w:themeColor="background1"/>
              <w:left w:val="nil"/>
              <w:bottom w:val="single" w:sz="8" w:space="0" w:color="FFFFFF" w:themeColor="background1"/>
              <w:right w:val="nil"/>
            </w:tcBorders>
            <w:shd w:val="clear" w:color="auto" w:fill="FAD9C2"/>
            <w:hideMark/>
          </w:tcPr>
          <w:p w:rsidR="00311BB8" w:rsidRDefault="00D91061">
            <w:pPr>
              <w:numPr>
                <w:ilvl w:val="0"/>
                <w:numId w:val="3"/>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 xml:space="preserve">2% </w:t>
            </w:r>
          </w:p>
          <w:p w:rsidR="00311BB8" w:rsidRDefault="00D91061">
            <w:pPr>
              <w:numPr>
                <w:ilvl w:val="0"/>
                <w:numId w:val="3"/>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Except for revenue (1%) and for Horizon 2020 (between 2% and 5%)</w:t>
            </w:r>
          </w:p>
        </w:tc>
        <w:tc>
          <w:tcPr>
            <w:tcW w:w="3639" w:type="dxa"/>
            <w:tcBorders>
              <w:top w:val="single" w:sz="8" w:space="0" w:color="FFFFFF" w:themeColor="background1"/>
              <w:left w:val="nil"/>
              <w:bottom w:val="single" w:sz="8" w:space="0" w:color="FFFFFF" w:themeColor="background1"/>
              <w:right w:val="nil"/>
            </w:tcBorders>
            <w:shd w:val="clear" w:color="auto" w:fill="E7E6E6" w:themeFill="background2"/>
            <w:hideMark/>
          </w:tcPr>
          <w:p w:rsidR="00311BB8" w:rsidRDefault="00D91061">
            <w:pPr>
              <w:numPr>
                <w:ilvl w:val="0"/>
                <w:numId w:val="3"/>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2%</w:t>
            </w:r>
          </w:p>
        </w:tc>
      </w:tr>
      <w:tr w:rsidR="00311BB8">
        <w:trPr>
          <w:jc w:val="center"/>
        </w:trPr>
        <w:tc>
          <w:tcPr>
            <w:tcW w:w="1420" w:type="dxa"/>
            <w:hideMark/>
          </w:tcPr>
          <w:p w:rsidR="00311BB8" w:rsidRDefault="00D91061">
            <w:pPr>
              <w:autoSpaceDE w:val="0"/>
              <w:autoSpaceDN w:val="0"/>
              <w:adjustRightInd w:val="0"/>
              <w:textAlignment w:val="center"/>
              <w:rPr>
                <w:rFonts w:eastAsia="Calibri" w:cs="EC Square Sans Pro"/>
                <w:b/>
                <w:noProof/>
                <w:color w:val="44546A" w:themeColor="text2"/>
              </w:rPr>
            </w:pPr>
            <w:r>
              <w:rPr>
                <w:rFonts w:eastAsia="Calibri" w:cs="EC Square Sans Pro"/>
                <w:b/>
                <w:bCs/>
                <w:noProof/>
                <w:color w:val="203F79"/>
              </w:rPr>
              <w:t>More information</w:t>
            </w:r>
          </w:p>
        </w:tc>
        <w:tc>
          <w:tcPr>
            <w:tcW w:w="3989" w:type="dxa"/>
            <w:tcBorders>
              <w:top w:val="single" w:sz="8" w:space="0" w:color="FFFFFF" w:themeColor="background1"/>
              <w:left w:val="nil"/>
              <w:bottom w:val="nil"/>
              <w:right w:val="nil"/>
            </w:tcBorders>
            <w:shd w:val="clear" w:color="auto" w:fill="FAD9C2"/>
            <w:hideMark/>
          </w:tcPr>
          <w:p w:rsidR="00311BB8" w:rsidRDefault="00D91061">
            <w:pPr>
              <w:numPr>
                <w:ilvl w:val="0"/>
                <w:numId w:val="3"/>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Annex 3 to this report</w:t>
            </w:r>
          </w:p>
        </w:tc>
        <w:tc>
          <w:tcPr>
            <w:tcW w:w="3639" w:type="dxa"/>
            <w:tcBorders>
              <w:top w:val="single" w:sz="8" w:space="0" w:color="FFFFFF" w:themeColor="background1"/>
              <w:left w:val="nil"/>
              <w:bottom w:val="nil"/>
              <w:right w:val="nil"/>
            </w:tcBorders>
            <w:shd w:val="clear" w:color="auto" w:fill="E7E6E6" w:themeFill="background2"/>
            <w:hideMark/>
          </w:tcPr>
          <w:p w:rsidR="00311BB8" w:rsidRDefault="00D91061">
            <w:pPr>
              <w:numPr>
                <w:ilvl w:val="0"/>
                <w:numId w:val="3"/>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Annex 1.1 to the Court of Auditors’ annual report</w:t>
            </w:r>
          </w:p>
        </w:tc>
      </w:tr>
    </w:tbl>
    <w:p w:rsidR="00311BB8" w:rsidRDefault="00D91061">
      <w:pPr>
        <w:pStyle w:val="AMPRCharttitle"/>
        <w:spacing w:after="240"/>
        <w:rPr>
          <w:noProof/>
        </w:rPr>
      </w:pPr>
      <w:r>
        <w:rPr>
          <w:noProof/>
        </w:rPr>
        <w:t>Comparison between perspectives of the Commission and the European Court of Auditors</w:t>
      </w:r>
    </w:p>
    <w:p w:rsidR="00311BB8" w:rsidRDefault="00D91061">
      <w:pPr>
        <w:pStyle w:val="AMPRBOXB-bgWHITElnBLUE-BLACKHeading"/>
        <w:spacing w:after="100"/>
        <w:rPr>
          <w:noProof/>
        </w:rPr>
      </w:pPr>
      <w:r>
        <w:rPr>
          <w:noProof/>
        </w:rPr>
        <w:t xml:space="preserve">These approaches can lead to differences between the error rates reported by the Court of Auditors and those reported by the Commission. </w:t>
      </w:r>
    </w:p>
    <w:p w:rsidR="00311BB8" w:rsidRDefault="00D91061">
      <w:pPr>
        <w:pStyle w:val="AMPRBOXB-bgWHITElnBLUE-BLACKtext"/>
        <w:spacing w:after="100"/>
        <w:rPr>
          <w:noProof/>
        </w:rPr>
      </w:pPr>
      <w:r>
        <w:rPr>
          <w:noProof/>
        </w:rPr>
        <w:t xml:space="preserve">This is especially true when the Court of Auditors detects procurement errors and/or the late availability of supporting documents for grants, in a (few) sampled transaction(s): it extrapolates the impact to the whole multiannual financial framework heading or to the whole EU budget, which often amplifies the significance of such errors. </w:t>
      </w:r>
    </w:p>
    <w:p w:rsidR="00311BB8" w:rsidRDefault="00D91061">
      <w:pPr>
        <w:pStyle w:val="AMPRBOXB-bgWHITElnBLUE-BLACKtext"/>
        <w:spacing w:after="100"/>
        <w:rPr>
          <w:noProof/>
        </w:rPr>
      </w:pPr>
      <w:r>
        <w:rPr>
          <w:noProof/>
        </w:rPr>
        <w:t>Given its carefully determined segmentation, the Commission, when detecting such errors, is able to extrapolate them more precisely to the areas where they are most likely to appear. It is thus able to give a more nuanced view of the level of error across the payments made and to identify exactly where the errors occurred and, therefore, what remedial actions are needed.</w:t>
      </w:r>
    </w:p>
    <w:p w:rsidR="00311BB8" w:rsidRDefault="00D91061">
      <w:pPr>
        <w:pStyle w:val="AMPRBOXB-bgWHITElnBLUE-BLACKtext"/>
        <w:spacing w:after="100"/>
        <w:rPr>
          <w:noProof/>
        </w:rPr>
      </w:pPr>
      <w:r>
        <w:rPr>
          <w:noProof/>
        </w:rPr>
        <w:t>See some examples per policy area in Section</w:t>
      </w:r>
      <w:r>
        <w:rPr>
          <w:rFonts w:ascii="Calibri" w:hAnsi="Calibri" w:cs="Calibri"/>
          <w:noProof/>
        </w:rPr>
        <w:t> </w:t>
      </w:r>
      <w:r>
        <w:rPr>
          <w:noProof/>
        </w:rPr>
        <w:t>2.3.1 of the report.</w:t>
      </w:r>
    </w:p>
    <w:p w:rsidR="00311BB8" w:rsidRDefault="00D91061">
      <w:pPr>
        <w:pStyle w:val="AMPRAnnexesTITLE3"/>
        <w:rPr>
          <w:noProof/>
        </w:rPr>
      </w:pPr>
      <w:r>
        <w:rPr>
          <w:noProof/>
        </w:rPr>
        <w:t>Main data for 2019</w:t>
      </w:r>
    </w:p>
    <w:p w:rsidR="00311BB8" w:rsidRDefault="00D91061">
      <w:pPr>
        <w:pStyle w:val="AMPRAnnexesTITLE4"/>
        <w:rPr>
          <w:noProof/>
        </w:rPr>
      </w:pPr>
      <w:r>
        <w:rPr>
          <w:noProof/>
        </w:rPr>
        <w:t>Relevant expenditure from the EU budget</w:t>
      </w:r>
    </w:p>
    <w:p w:rsidR="00311BB8" w:rsidRDefault="00D91061">
      <w:pPr>
        <w:pStyle w:val="AMPRBodyText"/>
        <w:rPr>
          <w:noProof/>
        </w:rPr>
      </w:pPr>
      <w:r>
        <w:rPr>
          <w:noProof/>
        </w:rPr>
        <w:t xml:space="preserve">The amount of the Commission’s ‘relevant expenditure’ from the </w:t>
      </w:r>
      <w:r>
        <w:rPr>
          <w:rStyle w:val="AMPRcharBoldOrange"/>
          <w:noProof/>
        </w:rPr>
        <w:t>EU budget</w:t>
      </w:r>
      <w:r>
        <w:rPr>
          <w:noProof/>
        </w:rPr>
        <w:t xml:space="preserve"> is determined to be in line with the Court of Auditors’ scope of transactions reviewed</w:t>
      </w:r>
      <w:r>
        <w:rPr>
          <w:rFonts w:ascii="Calibri" w:hAnsi="Calibri" w:cs="Calibri"/>
          <w:noProof/>
        </w:rPr>
        <w:t> (</w:t>
      </w:r>
      <w:r>
        <w:rPr>
          <w:rStyle w:val="FootnoteReference"/>
          <w:noProof/>
          <w:vertAlign w:val="superscript"/>
        </w:rPr>
        <w:footnoteReference w:id="13"/>
      </w:r>
      <w:r>
        <w:rPr>
          <w:rFonts w:ascii="Calibri" w:hAnsi="Calibri" w:cs="Calibri"/>
          <w:noProof/>
        </w:rPr>
        <w:t>)</w:t>
      </w:r>
      <w:r>
        <w:rPr>
          <w:noProof/>
        </w:rPr>
        <w:t>. In this approach, pre-financing and retentions are only taken into account when the final recipient of EU funds has provided evidence of their use and the Commission (or another institution or body managing EU funds) has accepted the final use of the funds (by clearing the pre-financing or releasing the amount retained), because this is where errors of legality or regularity may occur. Therefore, the risks at payment and at closure are determined against this amount.</w:t>
      </w:r>
    </w:p>
    <w:p w:rsidR="00311BB8" w:rsidRDefault="00D91061">
      <w:pPr>
        <w:pStyle w:val="AMPRAnnexesTITLE4"/>
        <w:rPr>
          <w:noProof/>
        </w:rPr>
      </w:pPr>
      <w:r>
        <w:rPr>
          <w:noProof/>
        </w:rPr>
        <w:t>Other expenditure added to obtain the Commission’s consolidated budget</w:t>
      </w:r>
    </w:p>
    <w:p w:rsidR="00311BB8" w:rsidRDefault="00D91061">
      <w:pPr>
        <w:pStyle w:val="AMPRBodyText"/>
        <w:rPr>
          <w:noProof/>
        </w:rPr>
      </w:pPr>
      <w:r>
        <w:rPr>
          <w:noProof/>
        </w:rPr>
        <w:t xml:space="preserve">In order to show a complete picture of the funds for which the Commission is responsible, the expenditure made under the </w:t>
      </w:r>
      <w:r>
        <w:rPr>
          <w:rStyle w:val="AMPRcharBoldOrange"/>
          <w:noProof/>
        </w:rPr>
        <w:t>European Development Fund</w:t>
      </w:r>
      <w:r>
        <w:rPr>
          <w:rStyle w:val="BOLD-higlightChar"/>
          <w:noProof/>
        </w:rPr>
        <w:t xml:space="preserve"> </w:t>
      </w:r>
      <w:r>
        <w:rPr>
          <w:rStyle w:val="BOLD-higlightChar"/>
          <w:noProof/>
          <w:color w:val="auto"/>
        </w:rPr>
        <w:t>has been added to this report</w:t>
      </w:r>
      <w:r>
        <w:rPr>
          <w:noProof/>
        </w:rPr>
        <w:t xml:space="preserve">. This is a budget separate from the EU budget, currently co-managed by </w:t>
      </w:r>
      <w:r>
        <w:rPr>
          <w:rStyle w:val="AMPRcharBoldOrange"/>
          <w:noProof/>
        </w:rPr>
        <w:t>five departments</w:t>
      </w:r>
      <w:r>
        <w:rPr>
          <w:noProof/>
        </w:rPr>
        <w:t>. In Tables</w:t>
      </w:r>
      <w:r>
        <w:rPr>
          <w:rFonts w:ascii="Calibri" w:hAnsi="Calibri" w:cs="Calibri"/>
          <w:noProof/>
        </w:rPr>
        <w:t> </w:t>
      </w:r>
      <w:r>
        <w:rPr>
          <w:noProof/>
        </w:rPr>
        <w:t>B and C, the corresponding European Development Fund expenditure is included in the policy areas and the departments concerned (still mainly DG International Cooperation and Development, plus DG European Civil Protection and Humanitarian Aid Operations, DG Education, Youth, Sport and Culture, the Education, Audiovisual and Culture Executive Agency, and the Joint Research Centre).</w:t>
      </w:r>
    </w:p>
    <w:p w:rsidR="00311BB8" w:rsidRDefault="00D91061">
      <w:pPr>
        <w:pStyle w:val="AMPRBodyText"/>
        <w:rPr>
          <w:noProof/>
        </w:rPr>
      </w:pPr>
      <w:r>
        <w:rPr>
          <w:noProof/>
        </w:rPr>
        <w:t xml:space="preserve">These tables also show the expenditure related to the four </w:t>
      </w:r>
      <w:r>
        <w:rPr>
          <w:rStyle w:val="AMPRcharBoldOrange"/>
          <w:noProof/>
        </w:rPr>
        <w:t>EU Trust Funds</w:t>
      </w:r>
      <w:r>
        <w:rPr>
          <w:noProof/>
        </w:rPr>
        <w:t>: the EU Trust Fund for the Central African Republic, the EU Regional Trust Fund in Response to the Syrian Crisis, the EU Emergency Trust Fund for Africa and the EU Trust Fund for Colombia (see also Annex</w:t>
      </w:r>
      <w:r>
        <w:rPr>
          <w:rFonts w:ascii="Calibri" w:hAnsi="Calibri" w:cs="Calibri"/>
          <w:noProof/>
        </w:rPr>
        <w:t> </w:t>
      </w:r>
      <w:r>
        <w:rPr>
          <w:rFonts w:asciiTheme="minorHAnsi" w:hAnsiTheme="minorHAnsi" w:cs="Calibri"/>
          <w:noProof/>
        </w:rPr>
        <w:t>11</w:t>
      </w:r>
      <w:r>
        <w:rPr>
          <w:noProof/>
        </w:rPr>
        <w:t>). In Table</w:t>
      </w:r>
      <w:r>
        <w:rPr>
          <w:rFonts w:ascii="Calibri" w:hAnsi="Calibri" w:cs="Calibri"/>
          <w:noProof/>
        </w:rPr>
        <w:t> </w:t>
      </w:r>
      <w:r>
        <w:rPr>
          <w:noProof/>
        </w:rPr>
        <w:t>B, this expenditure is included in the external relations policy area. In Table</w:t>
      </w:r>
      <w:r>
        <w:rPr>
          <w:rFonts w:ascii="Calibri" w:hAnsi="Calibri" w:cs="Calibri"/>
          <w:noProof/>
        </w:rPr>
        <w:t> </w:t>
      </w:r>
      <w:r>
        <w:rPr>
          <w:noProof/>
        </w:rPr>
        <w:t xml:space="preserve">C, it is included in DG International Cooperation and Development, DG Neighbourhood and Enlargement Negotiations and DG European Civil Protection and Humanitarian Aid Operations. These </w:t>
      </w:r>
      <w:r>
        <w:rPr>
          <w:rStyle w:val="AMPRcharBoldOrange"/>
          <w:noProof/>
        </w:rPr>
        <w:t>three departments</w:t>
      </w:r>
      <w:r>
        <w:rPr>
          <w:noProof/>
        </w:rPr>
        <w:t xml:space="preserve"> ensure the transparent and complete coverage of the relevant trust fund(s) in their annual activity reports, based on the reports from the trust fund managers. They make a distinction between their accountability for the contributions from the EU budget and/or the European Development Fund paid into the trust funds, on the one hand, and for the transactions made from the trust funds, i.e. with the funds collected from the EU budget, the European Development Fund and other donors, as a trust fund manager, on the other hand.</w:t>
      </w:r>
    </w:p>
    <w:p w:rsidR="00311BB8" w:rsidRDefault="00D91061">
      <w:pPr>
        <w:pStyle w:val="AMPRBodyText"/>
        <w:rPr>
          <w:noProof/>
        </w:rPr>
      </w:pPr>
      <w:r>
        <w:rPr>
          <w:noProof/>
        </w:rPr>
        <w:t>The following tables show:</w:t>
      </w:r>
    </w:p>
    <w:p w:rsidR="00311BB8" w:rsidRDefault="00D91061">
      <w:pPr>
        <w:pStyle w:val="AMPRListOrange-L1"/>
        <w:rPr>
          <w:noProof/>
        </w:rPr>
      </w:pPr>
      <w:r>
        <w:rPr>
          <w:noProof/>
        </w:rPr>
        <w:t>the amount of relevant expenditure for the whole Commission (see Table</w:t>
      </w:r>
      <w:r>
        <w:rPr>
          <w:rFonts w:ascii="Calibri" w:hAnsi="Calibri" w:cs="Calibri"/>
          <w:noProof/>
        </w:rPr>
        <w:t> </w:t>
      </w:r>
      <w:r>
        <w:rPr>
          <w:noProof/>
        </w:rPr>
        <w:t>A)</w:t>
      </w:r>
      <w:r>
        <w:rPr>
          <w:rFonts w:ascii="Calibri" w:hAnsi="Calibri" w:cs="Calibri"/>
          <w:noProof/>
        </w:rPr>
        <w:t> </w:t>
      </w:r>
      <w:r>
        <w:rPr>
          <w:noProof/>
        </w:rPr>
        <w:t>– this is the basis against which the risk at payment and at closure are determined to be in line with the Court of Auditor</w:t>
      </w:r>
      <w:r>
        <w:rPr>
          <w:rFonts w:cs="EC Square Sans Pro"/>
          <w:noProof/>
        </w:rPr>
        <w:t>’</w:t>
      </w:r>
      <w:r>
        <w:rPr>
          <w:noProof/>
        </w:rPr>
        <w:t xml:space="preserve">s approach; </w:t>
      </w:r>
    </w:p>
    <w:p w:rsidR="00311BB8" w:rsidRDefault="00D91061">
      <w:pPr>
        <w:pStyle w:val="AMPRListOrange-L1"/>
        <w:rPr>
          <w:noProof/>
        </w:rPr>
      </w:pPr>
      <w:r>
        <w:rPr>
          <w:noProof/>
        </w:rPr>
        <w:t>a consolidated overview of the Commission’s risk at payment/closure per policy area (see Table</w:t>
      </w:r>
      <w:r>
        <w:rPr>
          <w:rFonts w:ascii="Calibri" w:hAnsi="Calibri" w:cs="Calibri"/>
          <w:noProof/>
        </w:rPr>
        <w:t> </w:t>
      </w:r>
      <w:r>
        <w:rPr>
          <w:noProof/>
        </w:rPr>
        <w:t>B) and per department (see Table</w:t>
      </w:r>
      <w:r>
        <w:rPr>
          <w:rFonts w:ascii="Calibri" w:hAnsi="Calibri" w:cs="Calibri"/>
          <w:noProof/>
        </w:rPr>
        <w:t> </w:t>
      </w:r>
      <w:r>
        <w:rPr>
          <w:noProof/>
        </w:rPr>
        <w:t xml:space="preserve">C). </w:t>
      </w:r>
    </w:p>
    <w:p w:rsidR="00311BB8" w:rsidRDefault="00D91061">
      <w:pPr>
        <w:pStyle w:val="AMPRBodyText"/>
        <w:rPr>
          <w:rFonts w:eastAsia="Calibri"/>
          <w:noProof/>
          <w:color w:val="000000" w:themeColor="text1"/>
          <w:lang w:eastAsia="fr-BE"/>
        </w:rPr>
      </w:pPr>
      <w:r>
        <w:rPr>
          <w:noProof/>
        </w:rPr>
        <w:br w:type="page"/>
      </w:r>
    </w:p>
    <w:p w:rsidR="00311BB8" w:rsidRDefault="00311BB8">
      <w:pPr>
        <w:pStyle w:val="Hidelastparagraphafterthetable"/>
        <w:rPr>
          <w:b/>
          <w:noProof/>
        </w:rPr>
      </w:pPr>
    </w:p>
    <w:tbl>
      <w:tblPr>
        <w:tblStyle w:val="AMPRTABLEA-Template"/>
        <w:tblW w:w="9070" w:type="dxa"/>
        <w:tblLayout w:type="fixed"/>
        <w:tblLook w:val="04E0" w:firstRow="1" w:lastRow="1" w:firstColumn="1" w:lastColumn="0" w:noHBand="0" w:noVBand="1"/>
      </w:tblPr>
      <w:tblGrid>
        <w:gridCol w:w="1760"/>
        <w:gridCol w:w="1192"/>
        <w:gridCol w:w="1245"/>
        <w:gridCol w:w="1139"/>
        <w:gridCol w:w="1298"/>
        <w:gridCol w:w="1154"/>
        <w:gridCol w:w="1282"/>
      </w:tblGrid>
      <w:tr w:rsidR="00311BB8" w:rsidTr="00311BB8">
        <w:trPr>
          <w:cnfStyle w:val="100000000000" w:firstRow="1" w:lastRow="0" w:firstColumn="0" w:lastColumn="0" w:oddVBand="0" w:evenVBand="0" w:oddHBand="0" w:evenHBand="0" w:firstRowFirstColumn="0" w:firstRowLastColumn="0" w:lastRowFirstColumn="0" w:lastRowLastColumn="0"/>
          <w:trHeight w:val="511"/>
          <w:tblHeader/>
        </w:trPr>
        <w:tc>
          <w:tcPr>
            <w:cnfStyle w:val="001000000000" w:firstRow="0" w:lastRow="0" w:firstColumn="1" w:lastColumn="0" w:oddVBand="0" w:evenVBand="0" w:oddHBand="0" w:evenHBand="0" w:firstRowFirstColumn="0" w:firstRowLastColumn="0" w:lastRowFirstColumn="0" w:lastRowLastColumn="0"/>
            <w:tcW w:w="1760" w:type="dxa"/>
            <w:noWrap/>
          </w:tcPr>
          <w:p w:rsidR="00311BB8" w:rsidRDefault="00D91061">
            <w:pPr>
              <w:pStyle w:val="AMPRTABLEA-HEADERText-WHITE"/>
              <w:spacing w:before="144" w:after="144"/>
              <w:rPr>
                <w:noProof/>
              </w:rPr>
            </w:pPr>
            <w:r>
              <w:rPr>
                <w:noProof/>
              </w:rPr>
              <w:t>2019 (provisional) annual accounts</w:t>
            </w:r>
          </w:p>
        </w:tc>
        <w:tc>
          <w:tcPr>
            <w:tcW w:w="1192" w:type="dxa"/>
            <w:noWrap/>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br/>
              <w:t>Payments made</w:t>
            </w:r>
          </w:p>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i/>
                <w:iCs/>
                <w:noProof/>
                <w:sz w:val="20"/>
                <w:szCs w:val="20"/>
              </w:rPr>
            </w:pPr>
            <w:r>
              <w:rPr>
                <w:i/>
                <w:iCs/>
                <w:noProof/>
                <w:sz w:val="20"/>
                <w:szCs w:val="20"/>
              </w:rPr>
              <w:t>(a)</w:t>
            </w:r>
          </w:p>
        </w:tc>
        <w:tc>
          <w:tcPr>
            <w:tcW w:w="1245" w:type="dxa"/>
            <w:noWrap/>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w:t>
            </w:r>
            <w:r>
              <w:rPr>
                <w:noProof/>
              </w:rPr>
              <w:br/>
              <w:t>New pre-financing</w:t>
            </w:r>
          </w:p>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i/>
                <w:iCs/>
                <w:noProof/>
                <w:sz w:val="20"/>
                <w:szCs w:val="20"/>
              </w:rPr>
            </w:pPr>
            <w:r>
              <w:rPr>
                <w:i/>
                <w:iCs/>
                <w:noProof/>
                <w:sz w:val="20"/>
                <w:szCs w:val="20"/>
              </w:rPr>
              <w:t>(b)</w:t>
            </w:r>
          </w:p>
        </w:tc>
        <w:tc>
          <w:tcPr>
            <w:tcW w:w="1139"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w:t>
            </w:r>
            <w:r>
              <w:rPr>
                <w:noProof/>
              </w:rPr>
              <w:br/>
              <w:t>Retentions made</w:t>
            </w:r>
          </w:p>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i/>
                <w:iCs/>
                <w:noProof/>
                <w:sz w:val="20"/>
                <w:szCs w:val="20"/>
              </w:rPr>
            </w:pPr>
            <w:r>
              <w:rPr>
                <w:i/>
                <w:iCs/>
                <w:noProof/>
                <w:sz w:val="20"/>
                <w:szCs w:val="20"/>
              </w:rPr>
              <w:t>(c)</w:t>
            </w:r>
          </w:p>
        </w:tc>
        <w:tc>
          <w:tcPr>
            <w:tcW w:w="1298" w:type="dxa"/>
            <w:noWrap/>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w:t>
            </w:r>
            <w:r>
              <w:rPr>
                <w:noProof/>
              </w:rPr>
              <w:br/>
              <w:t>Cleared pre-financing</w:t>
            </w:r>
          </w:p>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i/>
                <w:iCs/>
                <w:noProof/>
                <w:sz w:val="20"/>
                <w:szCs w:val="20"/>
              </w:rPr>
            </w:pPr>
            <w:r>
              <w:rPr>
                <w:i/>
                <w:iCs/>
                <w:noProof/>
                <w:sz w:val="20"/>
                <w:szCs w:val="20"/>
              </w:rPr>
              <w:t>(d)</w:t>
            </w:r>
          </w:p>
        </w:tc>
        <w:tc>
          <w:tcPr>
            <w:tcW w:w="1154"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w:t>
            </w:r>
            <w:r>
              <w:rPr>
                <w:noProof/>
              </w:rPr>
              <w:br/>
              <w:t>Retentions released</w:t>
            </w:r>
          </w:p>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i/>
                <w:iCs/>
                <w:noProof/>
                <w:sz w:val="20"/>
                <w:szCs w:val="20"/>
              </w:rPr>
            </w:pPr>
            <w:r>
              <w:rPr>
                <w:i/>
                <w:iCs/>
                <w:noProof/>
                <w:sz w:val="20"/>
                <w:szCs w:val="20"/>
              </w:rPr>
              <w:t>(e)</w:t>
            </w:r>
          </w:p>
        </w:tc>
        <w:tc>
          <w:tcPr>
            <w:tcW w:w="1282" w:type="dxa"/>
            <w:noWrap/>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br/>
              <w:t>=</w:t>
            </w:r>
            <w:r>
              <w:rPr>
                <w:noProof/>
              </w:rPr>
              <w:br/>
              <w:t>Relevant expenditure</w:t>
            </w:r>
          </w:p>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i/>
                <w:iCs/>
                <w:noProof/>
                <w:sz w:val="20"/>
                <w:szCs w:val="20"/>
              </w:rPr>
            </w:pPr>
            <w:r>
              <w:rPr>
                <w:i/>
                <w:iCs/>
                <w:noProof/>
                <w:sz w:val="20"/>
                <w:szCs w:val="20"/>
              </w:rPr>
              <w:t>(f)</w:t>
            </w:r>
            <w:r>
              <w:rPr>
                <w:rFonts w:ascii="Calibri" w:hAnsi="Calibri" w:cs="Calibri"/>
                <w:i/>
                <w:iCs/>
                <w:noProof/>
                <w:sz w:val="20"/>
                <w:szCs w:val="20"/>
              </w:rPr>
              <w:t> </w:t>
            </w:r>
            <w:r>
              <w:rPr>
                <w:i/>
                <w:iCs/>
                <w:noProof/>
                <w:sz w:val="20"/>
                <w:szCs w:val="20"/>
              </w:rPr>
              <w:t>= (a)</w:t>
            </w:r>
            <w:r>
              <w:rPr>
                <w:rFonts w:ascii="Calibri" w:hAnsi="Calibri" w:cs="Calibri"/>
                <w:i/>
                <w:iCs/>
                <w:noProof/>
                <w:sz w:val="20"/>
                <w:szCs w:val="20"/>
              </w:rPr>
              <w:t> </w:t>
            </w:r>
            <w:r>
              <w:rPr>
                <w:i/>
                <w:iCs/>
                <w:noProof/>
                <w:sz w:val="20"/>
                <w:szCs w:val="20"/>
              </w:rPr>
              <w:t>– (b)</w:t>
            </w:r>
            <w:r>
              <w:rPr>
                <w:rFonts w:ascii="Calibri" w:hAnsi="Calibri" w:cs="Calibri"/>
                <w:i/>
                <w:iCs/>
                <w:noProof/>
                <w:sz w:val="20"/>
                <w:szCs w:val="20"/>
              </w:rPr>
              <w:t> </w:t>
            </w:r>
            <w:r>
              <w:rPr>
                <w:i/>
                <w:iCs/>
                <w:noProof/>
                <w:sz w:val="20"/>
                <w:szCs w:val="20"/>
              </w:rPr>
              <w:t>+ (c)</w:t>
            </w:r>
            <w:r>
              <w:rPr>
                <w:rFonts w:ascii="Calibri" w:hAnsi="Calibri" w:cs="Calibri"/>
                <w:i/>
                <w:iCs/>
                <w:noProof/>
                <w:sz w:val="20"/>
                <w:szCs w:val="20"/>
              </w:rPr>
              <w:t> </w:t>
            </w:r>
            <w:r>
              <w:rPr>
                <w:i/>
                <w:iCs/>
                <w:noProof/>
                <w:sz w:val="20"/>
                <w:szCs w:val="20"/>
              </w:rPr>
              <w:t>+ (d)</w:t>
            </w:r>
            <w:r>
              <w:rPr>
                <w:rFonts w:ascii="Calibri" w:hAnsi="Calibri" w:cs="Calibri"/>
                <w:i/>
                <w:iCs/>
                <w:noProof/>
                <w:sz w:val="20"/>
                <w:szCs w:val="20"/>
              </w:rPr>
              <w:t> </w:t>
            </w:r>
            <w:r>
              <w:rPr>
                <w:i/>
                <w:iCs/>
                <w:noProof/>
                <w:sz w:val="20"/>
                <w:szCs w:val="20"/>
              </w:rPr>
              <w:t>– (e)</w:t>
            </w:r>
          </w:p>
        </w:tc>
      </w:tr>
      <w:tr w:rsidR="00311BB8" w:rsidTr="00311BB8">
        <w:trPr>
          <w:trHeight w:val="344"/>
        </w:trPr>
        <w:tc>
          <w:tcPr>
            <w:cnfStyle w:val="001000000000" w:firstRow="0" w:lastRow="0" w:firstColumn="1" w:lastColumn="0" w:oddVBand="0" w:evenVBand="0" w:oddHBand="0" w:evenHBand="0" w:firstRowFirstColumn="0" w:firstRowLastColumn="0" w:lastRowFirstColumn="0" w:lastRowLastColumn="0"/>
            <w:tcW w:w="1760" w:type="dxa"/>
            <w:noWrap/>
            <w:hideMark/>
          </w:tcPr>
          <w:p w:rsidR="00311BB8" w:rsidRDefault="00D91061">
            <w:pPr>
              <w:pStyle w:val="AMPRTABLEA-TOTALLEFTalligned-BLACK"/>
              <w:rPr>
                <w:b w:val="0"/>
                <w:noProof/>
              </w:rPr>
            </w:pPr>
            <w:r>
              <w:rPr>
                <w:b w:val="0"/>
                <w:noProof/>
              </w:rPr>
              <w:t>EU budget</w:t>
            </w:r>
          </w:p>
        </w:tc>
        <w:tc>
          <w:tcPr>
            <w:tcW w:w="119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154</w:t>
            </w:r>
            <w:r>
              <w:rPr>
                <w:rFonts w:ascii="Calibri" w:hAnsi="Calibri" w:cs="Calibri"/>
                <w:noProof/>
              </w:rPr>
              <w:t> </w:t>
            </w:r>
            <w:r>
              <w:rPr>
                <w:noProof/>
              </w:rPr>
              <w:t>719</w:t>
            </w:r>
          </w:p>
        </w:tc>
        <w:tc>
          <w:tcPr>
            <w:tcW w:w="124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w:t>
            </w:r>
            <w:r>
              <w:rPr>
                <w:rFonts w:ascii="Calibri" w:hAnsi="Calibri" w:cs="Calibri"/>
                <w:noProof/>
              </w:rPr>
              <w:t> </w:t>
            </w:r>
            <w:r>
              <w:rPr>
                <w:rFonts w:cs="Calibri"/>
                <w:noProof/>
              </w:rPr>
              <w:t>32</w:t>
            </w:r>
            <w:r>
              <w:rPr>
                <w:rFonts w:ascii="Calibri" w:hAnsi="Calibri" w:cs="Calibri"/>
                <w:noProof/>
              </w:rPr>
              <w:t> </w:t>
            </w:r>
            <w:r>
              <w:rPr>
                <w:rFonts w:cs="Calibri"/>
                <w:noProof/>
              </w:rPr>
              <w:t>748</w:t>
            </w:r>
          </w:p>
        </w:tc>
        <w:tc>
          <w:tcPr>
            <w:tcW w:w="113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4</w:t>
            </w:r>
            <w:r>
              <w:rPr>
                <w:rFonts w:ascii="Calibri" w:hAnsi="Calibri" w:cs="Calibri"/>
                <w:noProof/>
              </w:rPr>
              <w:t> </w:t>
            </w:r>
            <w:r>
              <w:rPr>
                <w:noProof/>
              </w:rPr>
              <w:t>673</w:t>
            </w:r>
          </w:p>
        </w:tc>
        <w:tc>
          <w:tcPr>
            <w:tcW w:w="129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22</w:t>
            </w:r>
            <w:r>
              <w:rPr>
                <w:rFonts w:ascii="Calibri" w:hAnsi="Calibri" w:cs="Calibri"/>
                <w:noProof/>
              </w:rPr>
              <w:t> </w:t>
            </w:r>
            <w:r>
              <w:rPr>
                <w:noProof/>
              </w:rPr>
              <w:t>196</w:t>
            </w:r>
          </w:p>
        </w:tc>
        <w:tc>
          <w:tcPr>
            <w:tcW w:w="115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w:t>
            </w:r>
            <w:r>
              <w:rPr>
                <w:rFonts w:ascii="Calibri" w:hAnsi="Calibri" w:cs="Calibri"/>
                <w:noProof/>
              </w:rPr>
              <w:t> </w:t>
            </w:r>
            <w:r>
              <w:rPr>
                <w:noProof/>
              </w:rPr>
              <w:t>4</w:t>
            </w:r>
            <w:r>
              <w:rPr>
                <w:rFonts w:ascii="Calibri" w:hAnsi="Calibri" w:cs="Calibri"/>
                <w:noProof/>
              </w:rPr>
              <w:t> </w:t>
            </w:r>
            <w:r>
              <w:rPr>
                <w:noProof/>
              </w:rPr>
              <w:t>713</w:t>
            </w:r>
          </w:p>
        </w:tc>
        <w:tc>
          <w:tcPr>
            <w:tcW w:w="128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144</w:t>
            </w:r>
            <w:r>
              <w:rPr>
                <w:rFonts w:ascii="Calibri" w:hAnsi="Calibri" w:cs="Calibri"/>
                <w:noProof/>
              </w:rPr>
              <w:t> </w:t>
            </w:r>
            <w:r>
              <w:rPr>
                <w:noProof/>
              </w:rPr>
              <w:t>127</w:t>
            </w:r>
          </w:p>
        </w:tc>
      </w:tr>
      <w:tr w:rsidR="00311BB8" w:rsidTr="00311BB8">
        <w:trPr>
          <w:trHeight w:val="819"/>
        </w:trPr>
        <w:tc>
          <w:tcPr>
            <w:cnfStyle w:val="001000000000" w:firstRow="0" w:lastRow="0" w:firstColumn="1" w:lastColumn="0" w:oddVBand="0" w:evenVBand="0" w:oddHBand="0" w:evenHBand="0" w:firstRowFirstColumn="0" w:firstRowLastColumn="0" w:lastRowFirstColumn="0" w:lastRowLastColumn="0"/>
            <w:tcW w:w="1760" w:type="dxa"/>
            <w:noWrap/>
            <w:hideMark/>
          </w:tcPr>
          <w:p w:rsidR="00311BB8" w:rsidRDefault="00D91061">
            <w:pPr>
              <w:pStyle w:val="AMPRTABLEA-TOTALLEFTalligned-BLACK"/>
              <w:rPr>
                <w:b w:val="0"/>
                <w:i/>
                <w:iCs/>
                <w:noProof/>
                <w:lang w:val="en-GB"/>
              </w:rPr>
            </w:pPr>
            <w:r>
              <w:rPr>
                <w:b w:val="0"/>
                <w:i/>
                <w:iCs/>
                <w:noProof/>
                <w:lang w:val="en-GB"/>
              </w:rPr>
              <w:t>Contributions from the EU budget to the EU Trust Funds</w:t>
            </w:r>
          </w:p>
        </w:tc>
        <w:tc>
          <w:tcPr>
            <w:tcW w:w="119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w:t>
            </w:r>
            <w:r>
              <w:rPr>
                <w:rFonts w:ascii="Calibri" w:hAnsi="Calibri" w:cs="Calibri"/>
                <w:i/>
                <w:iCs/>
                <w:noProof/>
              </w:rPr>
              <w:t> </w:t>
            </w:r>
            <w:r>
              <w:rPr>
                <w:i/>
                <w:iCs/>
                <w:noProof/>
              </w:rPr>
              <w:t>395</w:t>
            </w:r>
          </w:p>
        </w:tc>
        <w:tc>
          <w:tcPr>
            <w:tcW w:w="1245"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i/>
                <w:noProof/>
              </w:rPr>
            </w:pPr>
          </w:p>
        </w:tc>
        <w:tc>
          <w:tcPr>
            <w:tcW w:w="1139" w:type="dxa"/>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i/>
                <w:noProof/>
              </w:rPr>
            </w:pPr>
          </w:p>
        </w:tc>
        <w:tc>
          <w:tcPr>
            <w:tcW w:w="1298"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i/>
                <w:noProof/>
              </w:rPr>
            </w:pPr>
          </w:p>
        </w:tc>
        <w:tc>
          <w:tcPr>
            <w:tcW w:w="1154" w:type="dxa"/>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i/>
                <w:noProof/>
              </w:rPr>
            </w:pPr>
          </w:p>
        </w:tc>
        <w:tc>
          <w:tcPr>
            <w:tcW w:w="128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w:t>
            </w:r>
            <w:r>
              <w:rPr>
                <w:rFonts w:ascii="Calibri" w:hAnsi="Calibri" w:cs="Calibri"/>
                <w:i/>
                <w:iCs/>
                <w:noProof/>
              </w:rPr>
              <w:t> </w:t>
            </w:r>
            <w:r>
              <w:rPr>
                <w:rFonts w:cs="Calibri"/>
                <w:i/>
                <w:iCs/>
                <w:noProof/>
              </w:rPr>
              <w:t>395</w:t>
            </w:r>
          </w:p>
        </w:tc>
      </w:tr>
      <w:tr w:rsidR="00311BB8" w:rsidTr="00311BB8">
        <w:trPr>
          <w:trHeight w:val="511"/>
        </w:trPr>
        <w:tc>
          <w:tcPr>
            <w:cnfStyle w:val="001000000000" w:firstRow="0" w:lastRow="0" w:firstColumn="1" w:lastColumn="0" w:oddVBand="0" w:evenVBand="0" w:oddHBand="0" w:evenHBand="0" w:firstRowFirstColumn="0" w:firstRowLastColumn="0" w:lastRowFirstColumn="0" w:lastRowLastColumn="0"/>
            <w:tcW w:w="1760" w:type="dxa"/>
            <w:noWrap/>
            <w:hideMark/>
          </w:tcPr>
          <w:p w:rsidR="00311BB8" w:rsidRDefault="00D91061">
            <w:pPr>
              <w:pStyle w:val="AMPRTABLEA-TOTALLEFTalligned-BLACK"/>
              <w:rPr>
                <w:b w:val="0"/>
                <w:noProof/>
              </w:rPr>
            </w:pPr>
            <w:r>
              <w:rPr>
                <w:b w:val="0"/>
                <w:noProof/>
              </w:rPr>
              <w:t>European Development Fund</w:t>
            </w:r>
          </w:p>
        </w:tc>
        <w:tc>
          <w:tcPr>
            <w:tcW w:w="119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3</w:t>
            </w:r>
            <w:r>
              <w:rPr>
                <w:rFonts w:ascii="Calibri" w:hAnsi="Calibri" w:cs="Calibri"/>
                <w:noProof/>
              </w:rPr>
              <w:t> </w:t>
            </w:r>
            <w:r>
              <w:rPr>
                <w:noProof/>
              </w:rPr>
              <w:t>847</w:t>
            </w:r>
          </w:p>
        </w:tc>
        <w:tc>
          <w:tcPr>
            <w:tcW w:w="124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w:t>
            </w:r>
            <w:r>
              <w:rPr>
                <w:rFonts w:ascii="Calibri" w:hAnsi="Calibri" w:cs="Calibri"/>
                <w:noProof/>
              </w:rPr>
              <w:t> </w:t>
            </w:r>
            <w:r>
              <w:rPr>
                <w:noProof/>
              </w:rPr>
              <w:t>2</w:t>
            </w:r>
            <w:r>
              <w:rPr>
                <w:rFonts w:ascii="Calibri" w:hAnsi="Calibri" w:cs="Calibri"/>
                <w:noProof/>
              </w:rPr>
              <w:t> </w:t>
            </w:r>
            <w:r>
              <w:rPr>
                <w:rFonts w:cs="Calibri"/>
                <w:noProof/>
              </w:rPr>
              <w:t>050</w:t>
            </w:r>
          </w:p>
        </w:tc>
        <w:tc>
          <w:tcPr>
            <w:tcW w:w="1139" w:type="dxa"/>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29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2</w:t>
            </w:r>
            <w:r>
              <w:rPr>
                <w:rFonts w:ascii="Calibri" w:hAnsi="Calibri" w:cs="Calibri"/>
                <w:noProof/>
              </w:rPr>
              <w:t> </w:t>
            </w:r>
            <w:r>
              <w:rPr>
                <w:noProof/>
              </w:rPr>
              <w:t>000</w:t>
            </w:r>
          </w:p>
        </w:tc>
        <w:tc>
          <w:tcPr>
            <w:tcW w:w="1154" w:type="dxa"/>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28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3</w:t>
            </w:r>
            <w:r>
              <w:rPr>
                <w:rFonts w:ascii="Calibri" w:hAnsi="Calibri" w:cs="Calibri"/>
                <w:noProof/>
              </w:rPr>
              <w:t> </w:t>
            </w:r>
            <w:r>
              <w:rPr>
                <w:noProof/>
              </w:rPr>
              <w:t>797</w:t>
            </w:r>
          </w:p>
        </w:tc>
      </w:tr>
      <w:tr w:rsidR="00311BB8" w:rsidTr="00311BB8">
        <w:trPr>
          <w:trHeight w:val="511"/>
        </w:trPr>
        <w:tc>
          <w:tcPr>
            <w:cnfStyle w:val="001000000000" w:firstRow="0" w:lastRow="0" w:firstColumn="1" w:lastColumn="0" w:oddVBand="0" w:evenVBand="0" w:oddHBand="0" w:evenHBand="0" w:firstRowFirstColumn="0" w:firstRowLastColumn="0" w:lastRowFirstColumn="0" w:lastRowLastColumn="0"/>
            <w:tcW w:w="1760" w:type="dxa"/>
            <w:noWrap/>
            <w:hideMark/>
          </w:tcPr>
          <w:p w:rsidR="00311BB8" w:rsidRDefault="00D91061">
            <w:pPr>
              <w:pStyle w:val="AMPRTABLEA-TOTALLEFTalligned-BLACK"/>
              <w:rPr>
                <w:b w:val="0"/>
                <w:i/>
                <w:iCs/>
                <w:noProof/>
                <w:lang w:val="en-GB"/>
              </w:rPr>
            </w:pPr>
            <w:r>
              <w:rPr>
                <w:b w:val="0"/>
                <w:i/>
                <w:iCs/>
                <w:noProof/>
                <w:lang w:val="en-GB"/>
              </w:rPr>
              <w:t>Contributions from the European Development Fund to the EU Trust Funds</w:t>
            </w:r>
          </w:p>
        </w:tc>
        <w:tc>
          <w:tcPr>
            <w:tcW w:w="119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w:t>
            </w:r>
            <w:r>
              <w:rPr>
                <w:rFonts w:ascii="Calibri" w:hAnsi="Calibri" w:cs="Calibri"/>
                <w:i/>
                <w:iCs/>
                <w:noProof/>
              </w:rPr>
              <w:t> </w:t>
            </w:r>
            <w:r>
              <w:rPr>
                <w:rFonts w:cs="Calibri"/>
                <w:i/>
                <w:iCs/>
                <w:noProof/>
              </w:rPr>
              <w:t>600</w:t>
            </w:r>
          </w:p>
        </w:tc>
        <w:tc>
          <w:tcPr>
            <w:tcW w:w="1245" w:type="dxa"/>
            <w:noWrap/>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i/>
                <w:noProof/>
              </w:rPr>
            </w:pPr>
          </w:p>
        </w:tc>
        <w:tc>
          <w:tcPr>
            <w:tcW w:w="1139" w:type="dxa"/>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i/>
                <w:noProof/>
              </w:rPr>
            </w:pPr>
          </w:p>
        </w:tc>
        <w:tc>
          <w:tcPr>
            <w:tcW w:w="1298" w:type="dxa"/>
            <w:noWrap/>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i/>
                <w:noProof/>
              </w:rPr>
            </w:pPr>
          </w:p>
        </w:tc>
        <w:tc>
          <w:tcPr>
            <w:tcW w:w="1154" w:type="dxa"/>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i/>
                <w:noProof/>
              </w:rPr>
            </w:pPr>
          </w:p>
        </w:tc>
        <w:tc>
          <w:tcPr>
            <w:tcW w:w="128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w:t>
            </w:r>
            <w:r>
              <w:rPr>
                <w:rFonts w:ascii="Calibri" w:hAnsi="Calibri" w:cs="Calibri"/>
                <w:i/>
                <w:iCs/>
                <w:noProof/>
              </w:rPr>
              <w:t> </w:t>
            </w:r>
            <w:r>
              <w:rPr>
                <w:rFonts w:cs="Calibri"/>
                <w:i/>
                <w:iCs/>
                <w:noProof/>
              </w:rPr>
              <w:t>600</w:t>
            </w:r>
          </w:p>
        </w:tc>
      </w:tr>
      <w:tr w:rsidR="00311BB8" w:rsidTr="00311BB8">
        <w:trPr>
          <w:trHeight w:val="511"/>
        </w:trPr>
        <w:tc>
          <w:tcPr>
            <w:cnfStyle w:val="001000000000" w:firstRow="0" w:lastRow="0" w:firstColumn="1" w:lastColumn="0" w:oddVBand="0" w:evenVBand="0" w:oddHBand="0" w:evenHBand="0" w:firstRowFirstColumn="0" w:firstRowLastColumn="0" w:lastRowFirstColumn="0" w:lastRowLastColumn="0"/>
            <w:tcW w:w="1760" w:type="dxa"/>
            <w:noWrap/>
            <w:hideMark/>
          </w:tcPr>
          <w:p w:rsidR="00311BB8" w:rsidRDefault="00D91061">
            <w:pPr>
              <w:pStyle w:val="AMPRTABLEA-TOTALLEFTalligned-BLACK"/>
              <w:rPr>
                <w:b w:val="0"/>
                <w:noProof/>
              </w:rPr>
            </w:pPr>
            <w:r>
              <w:rPr>
                <w:b w:val="0"/>
                <w:noProof/>
              </w:rPr>
              <w:t>EU Trust Funds</w:t>
            </w:r>
          </w:p>
        </w:tc>
        <w:tc>
          <w:tcPr>
            <w:tcW w:w="119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w:t>
            </w:r>
            <w:r>
              <w:rPr>
                <w:rFonts w:ascii="Calibri" w:hAnsi="Calibri" w:cs="Calibri"/>
                <w:noProof/>
              </w:rPr>
              <w:t> </w:t>
            </w:r>
            <w:r>
              <w:rPr>
                <w:noProof/>
              </w:rPr>
              <w:t>284</w:t>
            </w:r>
          </w:p>
        </w:tc>
        <w:tc>
          <w:tcPr>
            <w:tcW w:w="124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w:t>
            </w:r>
            <w:r>
              <w:rPr>
                <w:rFonts w:ascii="Calibri" w:hAnsi="Calibri" w:cs="Calibri"/>
                <w:noProof/>
              </w:rPr>
              <w:t> </w:t>
            </w:r>
            <w:r>
              <w:rPr>
                <w:rFonts w:cs="Calibri"/>
                <w:noProof/>
              </w:rPr>
              <w:t>1</w:t>
            </w:r>
            <w:r>
              <w:rPr>
                <w:rFonts w:ascii="Calibri" w:hAnsi="Calibri" w:cs="Calibri"/>
                <w:noProof/>
              </w:rPr>
              <w:t> </w:t>
            </w:r>
            <w:r>
              <w:rPr>
                <w:rFonts w:cs="Calibri"/>
                <w:noProof/>
              </w:rPr>
              <w:t>107</w:t>
            </w:r>
          </w:p>
        </w:tc>
        <w:tc>
          <w:tcPr>
            <w:tcW w:w="1139" w:type="dxa"/>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29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285</w:t>
            </w:r>
          </w:p>
        </w:tc>
        <w:tc>
          <w:tcPr>
            <w:tcW w:w="1154" w:type="dxa"/>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28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462</w:t>
            </w:r>
          </w:p>
        </w:tc>
      </w:tr>
      <w:tr w:rsidR="00311BB8" w:rsidTr="00311BB8">
        <w:trPr>
          <w:cnfStyle w:val="010000000000" w:firstRow="0" w:lastRow="1"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760" w:type="dxa"/>
            <w:noWrap/>
            <w:hideMark/>
          </w:tcPr>
          <w:p w:rsidR="00311BB8" w:rsidRDefault="00D91061">
            <w:pPr>
              <w:pStyle w:val="AMPRTABLEA-TOTALLEFTalligned-BLACK"/>
              <w:rPr>
                <w:noProof/>
              </w:rPr>
            </w:pPr>
            <w:r>
              <w:rPr>
                <w:noProof/>
              </w:rPr>
              <w:t>Commission total</w:t>
            </w:r>
          </w:p>
        </w:tc>
        <w:tc>
          <w:tcPr>
            <w:tcW w:w="1192" w:type="dxa"/>
            <w:noWrap/>
            <w:hideMark/>
          </w:tcPr>
          <w:p w:rsidR="00311BB8" w:rsidRDefault="00D91061">
            <w:pPr>
              <w:pStyle w:val="AMPRTABLEA-TextRIGHTalligned-BLACK"/>
              <w:cnfStyle w:val="010000000000" w:firstRow="0" w:lastRow="1" w:firstColumn="0" w:lastColumn="0" w:oddVBand="0" w:evenVBand="0" w:oddHBand="0" w:evenHBand="0" w:firstRowFirstColumn="0" w:firstRowLastColumn="0" w:lastRowFirstColumn="0" w:lastRowLastColumn="0"/>
              <w:rPr>
                <w:b/>
                <w:bCs/>
                <w:noProof/>
              </w:rPr>
            </w:pPr>
            <w:r>
              <w:rPr>
                <w:b/>
                <w:bCs/>
                <w:noProof/>
              </w:rPr>
              <w:t>158</w:t>
            </w:r>
            <w:r>
              <w:rPr>
                <w:rFonts w:ascii="Calibri" w:hAnsi="Calibri" w:cs="Calibri"/>
                <w:b/>
                <w:bCs/>
                <w:noProof/>
              </w:rPr>
              <w:t> </w:t>
            </w:r>
            <w:r>
              <w:rPr>
                <w:b/>
                <w:bCs/>
                <w:noProof/>
              </w:rPr>
              <w:t>856</w:t>
            </w:r>
          </w:p>
        </w:tc>
        <w:tc>
          <w:tcPr>
            <w:tcW w:w="1245" w:type="dxa"/>
            <w:noWrap/>
            <w:hideMark/>
          </w:tcPr>
          <w:p w:rsidR="00311BB8" w:rsidRDefault="00D91061">
            <w:pPr>
              <w:pStyle w:val="AMPRTABLEA-TextRIGHTalligned-BLACK"/>
              <w:cnfStyle w:val="010000000000" w:firstRow="0" w:lastRow="1" w:firstColumn="0" w:lastColumn="0" w:oddVBand="0" w:evenVBand="0" w:oddHBand="0" w:evenHBand="0" w:firstRowFirstColumn="0" w:firstRowLastColumn="0" w:lastRowFirstColumn="0" w:lastRowLastColumn="0"/>
              <w:rPr>
                <w:b/>
                <w:bCs/>
                <w:noProof/>
              </w:rPr>
            </w:pPr>
            <w:r>
              <w:rPr>
                <w:b/>
                <w:bCs/>
                <w:noProof/>
              </w:rPr>
              <w:t>–</w:t>
            </w:r>
            <w:r>
              <w:rPr>
                <w:rFonts w:ascii="Calibri" w:hAnsi="Calibri" w:cs="Calibri"/>
                <w:b/>
                <w:bCs/>
                <w:noProof/>
              </w:rPr>
              <w:t> </w:t>
            </w:r>
            <w:r>
              <w:rPr>
                <w:b/>
                <w:bCs/>
                <w:noProof/>
              </w:rPr>
              <w:t>35</w:t>
            </w:r>
            <w:r>
              <w:rPr>
                <w:rFonts w:ascii="Calibri" w:hAnsi="Calibri" w:cs="Calibri"/>
                <w:b/>
                <w:bCs/>
                <w:noProof/>
              </w:rPr>
              <w:t> </w:t>
            </w:r>
            <w:r>
              <w:rPr>
                <w:b/>
                <w:bCs/>
                <w:noProof/>
              </w:rPr>
              <w:t>905</w:t>
            </w:r>
          </w:p>
        </w:tc>
        <w:tc>
          <w:tcPr>
            <w:tcW w:w="1139" w:type="dxa"/>
          </w:tcPr>
          <w:p w:rsidR="00311BB8" w:rsidRDefault="00D91061">
            <w:pPr>
              <w:pStyle w:val="AMPRTABLEA-TextRIGHTalligned-BLACK"/>
              <w:cnfStyle w:val="010000000000" w:firstRow="0" w:lastRow="1" w:firstColumn="0" w:lastColumn="0" w:oddVBand="0" w:evenVBand="0" w:oddHBand="0" w:evenHBand="0" w:firstRowFirstColumn="0" w:firstRowLastColumn="0" w:lastRowFirstColumn="0" w:lastRowLastColumn="0"/>
              <w:rPr>
                <w:b/>
                <w:bCs/>
                <w:noProof/>
              </w:rPr>
            </w:pPr>
            <w:r>
              <w:rPr>
                <w:b/>
                <w:bCs/>
                <w:noProof/>
              </w:rPr>
              <w:t>4</w:t>
            </w:r>
            <w:r>
              <w:rPr>
                <w:rFonts w:ascii="Calibri" w:hAnsi="Calibri" w:cs="Calibri"/>
                <w:b/>
                <w:bCs/>
                <w:noProof/>
              </w:rPr>
              <w:t> </w:t>
            </w:r>
            <w:r>
              <w:rPr>
                <w:b/>
                <w:bCs/>
                <w:noProof/>
              </w:rPr>
              <w:t>673</w:t>
            </w:r>
          </w:p>
        </w:tc>
        <w:tc>
          <w:tcPr>
            <w:tcW w:w="1298" w:type="dxa"/>
            <w:noWrap/>
            <w:hideMark/>
          </w:tcPr>
          <w:p w:rsidR="00311BB8" w:rsidRDefault="00D91061">
            <w:pPr>
              <w:pStyle w:val="AMPRTABLEA-TextRIGHTalligned-BLACK"/>
              <w:cnfStyle w:val="010000000000" w:firstRow="0" w:lastRow="1" w:firstColumn="0" w:lastColumn="0" w:oddVBand="0" w:evenVBand="0" w:oddHBand="0" w:evenHBand="0" w:firstRowFirstColumn="0" w:firstRowLastColumn="0" w:lastRowFirstColumn="0" w:lastRowLastColumn="0"/>
              <w:rPr>
                <w:b/>
                <w:bCs/>
                <w:noProof/>
              </w:rPr>
            </w:pPr>
            <w:r>
              <w:rPr>
                <w:b/>
                <w:bCs/>
                <w:noProof/>
              </w:rPr>
              <w:t>24</w:t>
            </w:r>
            <w:r>
              <w:rPr>
                <w:rFonts w:ascii="Calibri" w:hAnsi="Calibri" w:cs="Calibri"/>
                <w:b/>
                <w:bCs/>
                <w:noProof/>
              </w:rPr>
              <w:t> </w:t>
            </w:r>
            <w:r>
              <w:rPr>
                <w:b/>
                <w:bCs/>
                <w:noProof/>
              </w:rPr>
              <w:t>481</w:t>
            </w:r>
          </w:p>
        </w:tc>
        <w:tc>
          <w:tcPr>
            <w:tcW w:w="1154" w:type="dxa"/>
          </w:tcPr>
          <w:p w:rsidR="00311BB8" w:rsidRDefault="00D91061">
            <w:pPr>
              <w:pStyle w:val="AMPRTABLEA-TextRIGHTalligned-BLACK"/>
              <w:cnfStyle w:val="010000000000" w:firstRow="0" w:lastRow="1" w:firstColumn="0" w:lastColumn="0" w:oddVBand="0" w:evenVBand="0" w:oddHBand="0" w:evenHBand="0" w:firstRowFirstColumn="0" w:firstRowLastColumn="0" w:lastRowFirstColumn="0" w:lastRowLastColumn="0"/>
              <w:rPr>
                <w:b/>
                <w:bCs/>
                <w:noProof/>
              </w:rPr>
            </w:pPr>
            <w:r>
              <w:rPr>
                <w:b/>
                <w:bCs/>
                <w:noProof/>
              </w:rPr>
              <w:t>–</w:t>
            </w:r>
            <w:r>
              <w:rPr>
                <w:rFonts w:ascii="Calibri" w:hAnsi="Calibri" w:cs="Calibri"/>
                <w:b/>
                <w:bCs/>
                <w:noProof/>
              </w:rPr>
              <w:t> </w:t>
            </w:r>
            <w:r>
              <w:rPr>
                <w:b/>
                <w:bCs/>
                <w:noProof/>
              </w:rPr>
              <w:t>4</w:t>
            </w:r>
            <w:r>
              <w:rPr>
                <w:rFonts w:ascii="Calibri" w:hAnsi="Calibri" w:cs="Calibri"/>
                <w:b/>
                <w:bCs/>
                <w:noProof/>
              </w:rPr>
              <w:t> </w:t>
            </w:r>
            <w:r>
              <w:rPr>
                <w:b/>
                <w:bCs/>
                <w:noProof/>
              </w:rPr>
              <w:t>713</w:t>
            </w:r>
          </w:p>
        </w:tc>
        <w:tc>
          <w:tcPr>
            <w:tcW w:w="1282" w:type="dxa"/>
            <w:noWrap/>
            <w:hideMark/>
          </w:tcPr>
          <w:p w:rsidR="00311BB8" w:rsidRDefault="00D91061">
            <w:pPr>
              <w:pStyle w:val="AMPRTABLEA-TextRIGHTalligned-BLACK"/>
              <w:cnfStyle w:val="010000000000" w:firstRow="0" w:lastRow="1" w:firstColumn="0" w:lastColumn="0" w:oddVBand="0" w:evenVBand="0" w:oddHBand="0" w:evenHBand="0" w:firstRowFirstColumn="0" w:firstRowLastColumn="0" w:lastRowFirstColumn="0" w:lastRowLastColumn="0"/>
              <w:rPr>
                <w:b/>
                <w:bCs/>
                <w:noProof/>
              </w:rPr>
            </w:pPr>
            <w:r>
              <w:rPr>
                <w:b/>
                <w:bCs/>
                <w:noProof/>
              </w:rPr>
              <w:t>147</w:t>
            </w:r>
            <w:r>
              <w:rPr>
                <w:rFonts w:ascii="Calibri" w:hAnsi="Calibri" w:cs="Calibri"/>
                <w:b/>
                <w:bCs/>
                <w:noProof/>
              </w:rPr>
              <w:t> </w:t>
            </w:r>
            <w:r>
              <w:rPr>
                <w:b/>
                <w:bCs/>
                <w:noProof/>
              </w:rPr>
              <w:t>392</w:t>
            </w:r>
          </w:p>
        </w:tc>
      </w:tr>
    </w:tbl>
    <w:p w:rsidR="00311BB8" w:rsidRDefault="00D91061">
      <w:pPr>
        <w:pStyle w:val="AMPRChart-Tabletitle"/>
        <w:rPr>
          <w:i/>
          <w:noProof/>
        </w:rPr>
      </w:pPr>
      <w:r>
        <w:rPr>
          <w:noProof/>
        </w:rPr>
        <w:t>Table A: Amount of ‘relevant expenditure’ for the whole Commission (million EUR)</w:t>
      </w:r>
    </w:p>
    <w:p w:rsidR="00311BB8" w:rsidRDefault="00D91061">
      <w:pPr>
        <w:pStyle w:val="AMPRSource-Table-Chart-Photo-Caption"/>
        <w:rPr>
          <w:noProof/>
        </w:rPr>
      </w:pPr>
      <w:r>
        <w:rPr>
          <w:i/>
          <w:noProof/>
        </w:rPr>
        <w:t>Source:</w:t>
      </w:r>
      <w:r>
        <w:rPr>
          <w:noProof/>
        </w:rPr>
        <w:t xml:space="preserve"> Commission annual activity reports.</w:t>
      </w:r>
    </w:p>
    <w:p w:rsidR="00311BB8" w:rsidRDefault="00D91061">
      <w:pPr>
        <w:pStyle w:val="AMPRBodyText"/>
        <w:rPr>
          <w:rStyle w:val="AMPRcharBoldOrange"/>
          <w:noProof/>
        </w:rPr>
      </w:pPr>
      <w:r>
        <w:rPr>
          <w:rStyle w:val="AMPRcharBoldOrange"/>
          <w:noProof/>
        </w:rPr>
        <w:t>Specifications of columns (a) to (f)</w:t>
      </w:r>
    </w:p>
    <w:p w:rsidR="00311BB8" w:rsidRDefault="00D91061">
      <w:pPr>
        <w:pStyle w:val="AMPRAnnexesList-Columnspecifications-L1"/>
        <w:rPr>
          <w:noProof/>
        </w:rPr>
      </w:pPr>
      <w:r>
        <w:rPr>
          <w:noProof/>
        </w:rPr>
        <w:t>All the payments made in 2019, including pre-financing, as registered in the Commission’s accounting system.</w:t>
      </w:r>
    </w:p>
    <w:p w:rsidR="00311BB8" w:rsidRDefault="00D91061">
      <w:pPr>
        <w:pStyle w:val="AMPRAnnexesList-Columnspecifications-L1"/>
        <w:rPr>
          <w:noProof/>
        </w:rPr>
      </w:pPr>
      <w:r>
        <w:rPr>
          <w:noProof/>
        </w:rPr>
        <w:t>Pre-financing paid by the Commission in 2019 (in line with Note</w:t>
      </w:r>
      <w:r>
        <w:rPr>
          <w:rFonts w:ascii="Calibri" w:hAnsi="Calibri" w:cs="Calibri"/>
          <w:noProof/>
        </w:rPr>
        <w:t> </w:t>
      </w:r>
      <w:r>
        <w:rPr>
          <w:noProof/>
        </w:rPr>
        <w:t>2.5.1, on ‘Pre-financing’, to the Commission</w:t>
      </w:r>
      <w:r>
        <w:rPr>
          <w:rFonts w:cs="EC Square Sans Pro"/>
          <w:noProof/>
        </w:rPr>
        <w:t>’</w:t>
      </w:r>
      <w:r>
        <w:rPr>
          <w:noProof/>
        </w:rPr>
        <w:t>s (provisional) annual accounts).</w:t>
      </w:r>
    </w:p>
    <w:p w:rsidR="00311BB8" w:rsidRDefault="00D91061">
      <w:pPr>
        <w:pStyle w:val="AMPRAnnexesList-Columnspecifications-L1"/>
        <w:rPr>
          <w:noProof/>
        </w:rPr>
      </w:pPr>
      <w:r>
        <w:rPr>
          <w:noProof/>
        </w:rPr>
        <w:t>In cohesion, a 10% retention is made for all interim payments to the Member States. This is released once the Member States’ accounts have been accepted by the Commission.</w:t>
      </w:r>
    </w:p>
    <w:p w:rsidR="00311BB8" w:rsidRDefault="00D91061">
      <w:pPr>
        <w:pStyle w:val="AMPRAnnexesList-Columnspecifications-L1"/>
        <w:rPr>
          <w:noProof/>
        </w:rPr>
      </w:pPr>
      <w:r>
        <w:rPr>
          <w:noProof/>
        </w:rPr>
        <w:t>Pre-financings that have been cleared during the financial year. This means that the Commission has accepted the final use of the funds by clearing the advance.</w:t>
      </w:r>
    </w:p>
    <w:p w:rsidR="00311BB8" w:rsidRDefault="00D91061">
      <w:pPr>
        <w:pStyle w:val="AMPRAnnexesList-Columnspecifications-L1"/>
        <w:rPr>
          <w:noProof/>
        </w:rPr>
      </w:pPr>
      <w:r>
        <w:rPr>
          <w:noProof/>
        </w:rPr>
        <w:t>Amount of the retention released in 2019 (see (b)) and, also in cohesion, the deductions of expenditure made by the Member States.</w:t>
      </w:r>
    </w:p>
    <w:p w:rsidR="00311BB8" w:rsidRDefault="00D91061">
      <w:pPr>
        <w:pStyle w:val="AMPRBodyText"/>
        <w:rPr>
          <w:rStyle w:val="AMPRcharBoldOrange"/>
          <w:noProof/>
        </w:rPr>
      </w:pPr>
      <w:r>
        <w:rPr>
          <w:rStyle w:val="AMPRcharBoldOrange"/>
          <w:noProof/>
        </w:rPr>
        <w:t>Relevant expenditure</w:t>
      </w:r>
      <w:r>
        <w:rPr>
          <w:rStyle w:val="AMPRcharBoldOrange"/>
          <w:rFonts w:ascii="Calibri" w:hAnsi="Calibri" w:cs="Calibri"/>
          <w:noProof/>
        </w:rPr>
        <w:t> </w:t>
      </w:r>
      <w:r>
        <w:rPr>
          <w:rStyle w:val="AMPRcharBoldOrange"/>
          <w:noProof/>
        </w:rPr>
        <w:t>= (a)</w:t>
      </w:r>
      <w:r>
        <w:rPr>
          <w:rStyle w:val="AMPRcharBoldOrange"/>
          <w:rFonts w:ascii="Calibri" w:hAnsi="Calibri" w:cs="Calibri"/>
          <w:noProof/>
        </w:rPr>
        <w:t> </w:t>
      </w:r>
      <w:r>
        <w:rPr>
          <w:rStyle w:val="AMPRcharBoldOrange"/>
          <w:noProof/>
        </w:rPr>
        <w:t>– (b)</w:t>
      </w:r>
      <w:r>
        <w:rPr>
          <w:rStyle w:val="AMPRcharBoldOrange"/>
          <w:rFonts w:ascii="Calibri" w:hAnsi="Calibri" w:cs="Calibri"/>
          <w:noProof/>
        </w:rPr>
        <w:t> </w:t>
      </w:r>
      <w:r>
        <w:rPr>
          <w:rStyle w:val="AMPRcharBoldOrange"/>
          <w:noProof/>
        </w:rPr>
        <w:t>+ (c)</w:t>
      </w:r>
      <w:r>
        <w:rPr>
          <w:rStyle w:val="AMPRcharBoldOrange"/>
          <w:rFonts w:ascii="Calibri" w:hAnsi="Calibri" w:cs="Calibri"/>
          <w:noProof/>
        </w:rPr>
        <w:t> </w:t>
      </w:r>
      <w:r>
        <w:rPr>
          <w:rStyle w:val="AMPRcharBoldOrange"/>
          <w:noProof/>
        </w:rPr>
        <w:t>+ (d)</w:t>
      </w:r>
      <w:r>
        <w:rPr>
          <w:rStyle w:val="AMPRcharBoldOrange"/>
          <w:rFonts w:ascii="Calibri" w:hAnsi="Calibri" w:cs="Calibri"/>
          <w:noProof/>
        </w:rPr>
        <w:t> </w:t>
      </w:r>
      <w:r>
        <w:rPr>
          <w:rStyle w:val="AMPRcharBoldOrange"/>
          <w:noProof/>
        </w:rPr>
        <w:t>– (e).</w:t>
      </w:r>
    </w:p>
    <w:p w:rsidR="00311BB8" w:rsidRDefault="00D91061">
      <w:pPr>
        <w:pStyle w:val="AMPRBodyText"/>
        <w:spacing w:before="480"/>
        <w:rPr>
          <w:rStyle w:val="AMPRcharBold"/>
          <w:noProof/>
        </w:rPr>
      </w:pPr>
      <w:r>
        <w:rPr>
          <w:rStyle w:val="AMPRcharBold"/>
          <w:noProof/>
        </w:rPr>
        <w:t>Tables</w:t>
      </w:r>
      <w:r>
        <w:rPr>
          <w:rStyle w:val="AMPRcharBold"/>
          <w:rFonts w:ascii="Calibri" w:hAnsi="Calibri" w:cs="Calibri"/>
          <w:noProof/>
        </w:rPr>
        <w:t> </w:t>
      </w:r>
      <w:r>
        <w:rPr>
          <w:rStyle w:val="AMPRcharBold"/>
          <w:noProof/>
        </w:rPr>
        <w:t>B and C: Risk at payment/closure, per policy area and per department</w:t>
      </w:r>
    </w:p>
    <w:p w:rsidR="00311BB8" w:rsidRDefault="00D91061">
      <w:pPr>
        <w:pStyle w:val="AMPRBodyText"/>
        <w:rPr>
          <w:noProof/>
          <w:highlight w:val="green"/>
        </w:rPr>
      </w:pPr>
      <w:r>
        <w:rPr>
          <w:noProof/>
        </w:rPr>
        <w:t>Compared to the previous annual management and performance reports (in which the grouping of Commission departments was kept stable over the years), this year three of the six policy areas have been adjusted slightly as follows, in order to bring them closer to the main ones used by the European Court of Auditors in its annual report:</w:t>
      </w:r>
    </w:p>
    <w:p w:rsidR="00311BB8" w:rsidRDefault="00D91061">
      <w:pPr>
        <w:pStyle w:val="AMPRListOrange-L1"/>
        <w:rPr>
          <w:noProof/>
        </w:rPr>
      </w:pPr>
      <w:r>
        <w:rPr>
          <w:noProof/>
        </w:rPr>
        <w:t>in ‘natural resources’, the payments made by DG Maritime Affairs and Fisheries, DG Environment and DG Climate Action have been added to those made by DG Agriculture and Rural Development</w:t>
      </w:r>
      <w:r>
        <w:rPr>
          <w:rFonts w:ascii="Calibri" w:hAnsi="Calibri" w:cs="Calibri"/>
          <w:noProof/>
        </w:rPr>
        <w:t> </w:t>
      </w:r>
      <w:r>
        <w:rPr>
          <w:noProof/>
        </w:rPr>
        <w:t>(</w:t>
      </w:r>
      <w:r>
        <w:rPr>
          <w:noProof/>
          <w:vertAlign w:val="superscript"/>
        </w:rPr>
        <w:footnoteReference w:id="14"/>
      </w:r>
      <w:r>
        <w:rPr>
          <w:noProof/>
        </w:rPr>
        <w:t>);</w:t>
      </w:r>
    </w:p>
    <w:p w:rsidR="00311BB8" w:rsidRDefault="00D91061">
      <w:pPr>
        <w:pStyle w:val="AMPRListOrange-L1"/>
        <w:rPr>
          <w:noProof/>
        </w:rPr>
      </w:pPr>
      <w:r>
        <w:rPr>
          <w:noProof/>
        </w:rPr>
        <w:t>in ‘economic, social and territorial cohesion’, only the payments made by DG Regional and Urban Policy and DG Employment, Social Affairs and Inclusion (in the sense of budget Heading 1b) have been retained;</w:t>
      </w:r>
    </w:p>
    <w:p w:rsidR="00311BB8" w:rsidRDefault="00D91061">
      <w:pPr>
        <w:pStyle w:val="AMPRListOrange-L1"/>
        <w:rPr>
          <w:noProof/>
        </w:rPr>
      </w:pPr>
      <w:r>
        <w:rPr>
          <w:noProof/>
        </w:rPr>
        <w:t>in ‘other internal policies’, the payments made by DG Migration and Home Affairs have been added.</w:t>
      </w:r>
    </w:p>
    <w:p w:rsidR="00311BB8" w:rsidRDefault="00D91061">
      <w:pPr>
        <w:pStyle w:val="AMPRBodyText"/>
        <w:rPr>
          <w:noProof/>
        </w:rPr>
      </w:pPr>
      <w:r>
        <w:rPr>
          <w:noProof/>
        </w:rPr>
        <w:t>Nevertheless, given the very large budget shares of DG Agriculture and Rural Development, DG Regional and Urban Policy and DG Employment, Social Affairs and Inclusion compared to other departments, these modifications do not significantly change the magnitude of the groups’ data or the conclusions for these policy areas for the previous and current year(s).</w:t>
      </w:r>
    </w:p>
    <w:p w:rsidR="00311BB8" w:rsidRDefault="00D91061">
      <w:pPr>
        <w:pStyle w:val="AMPRBodyText"/>
        <w:rPr>
          <w:i/>
          <w:iCs/>
          <w:noProof/>
        </w:rPr>
      </w:pPr>
      <w:r>
        <w:rPr>
          <w:i/>
          <w:iCs/>
          <w:noProof/>
        </w:rPr>
        <w:t>These policy areas as presented in Section 2 of this report differ slightly from the headings presented in Section 1. The split of the budget into the headings does not fully correspond to the budget as allocated to the 50 managing Commission departments and thus as accounted for in their management reporting. For the purposes of this report (a summary of the annual activity reports), each department is allocated in its entirety into (only) one of the six policy areas.</w:t>
      </w:r>
    </w:p>
    <w:p w:rsidR="00311BB8" w:rsidRDefault="00D91061">
      <w:pPr>
        <w:pStyle w:val="AMPRBodyText"/>
        <w:rPr>
          <w:rStyle w:val="AMPRcharBoldOrange"/>
          <w:noProof/>
        </w:rPr>
      </w:pPr>
      <w:r>
        <w:rPr>
          <w:rStyle w:val="AMPRcharBoldOrange"/>
          <w:noProof/>
        </w:rPr>
        <w:t>Specifications of the additional columns in Tables</w:t>
      </w:r>
      <w:r>
        <w:rPr>
          <w:rStyle w:val="AMPRcharBoldOrange"/>
          <w:rFonts w:ascii="Calibri" w:hAnsi="Calibri" w:cs="Calibri"/>
          <w:noProof/>
        </w:rPr>
        <w:t> </w:t>
      </w:r>
      <w:r>
        <w:rPr>
          <w:rStyle w:val="AMPRcharBoldOrange"/>
          <w:noProof/>
        </w:rPr>
        <w:t xml:space="preserve">B and C </w:t>
      </w:r>
    </w:p>
    <w:p w:rsidR="00311BB8" w:rsidRDefault="00D91061">
      <w:pPr>
        <w:pStyle w:val="AMPRBodyText"/>
        <w:tabs>
          <w:tab w:val="left" w:pos="794"/>
        </w:tabs>
        <w:rPr>
          <w:noProof/>
        </w:rPr>
      </w:pPr>
      <w:r>
        <w:rPr>
          <w:noProof/>
        </w:rPr>
        <w:t>(a) to (f)</w:t>
      </w:r>
      <w:r>
        <w:rPr>
          <w:noProof/>
        </w:rPr>
        <w:tab/>
        <w:t>Same as in Table</w:t>
      </w:r>
      <w:r>
        <w:rPr>
          <w:rFonts w:ascii="Calibri" w:hAnsi="Calibri" w:cs="Calibri"/>
          <w:noProof/>
        </w:rPr>
        <w:t> </w:t>
      </w:r>
      <w:r>
        <w:rPr>
          <w:noProof/>
        </w:rPr>
        <w:t>A.</w:t>
      </w:r>
    </w:p>
    <w:p w:rsidR="00311BB8" w:rsidRDefault="00D91061">
      <w:pPr>
        <w:pStyle w:val="AMPRAnnexesList-Columnspecifications-L1"/>
        <w:numPr>
          <w:ilvl w:val="0"/>
          <w:numId w:val="51"/>
        </w:numPr>
        <w:rPr>
          <w:noProof/>
        </w:rPr>
      </w:pPr>
      <w:r>
        <w:rPr>
          <w:rStyle w:val="AMPRcharBoldOrange"/>
          <w:noProof/>
        </w:rPr>
        <w:t>Estimated risk at payment</w:t>
      </w:r>
      <w:r>
        <w:rPr>
          <w:noProof/>
        </w:rPr>
        <w:t xml:space="preserve"> (as a value and as a percentage).</w:t>
      </w:r>
    </w:p>
    <w:p w:rsidR="00311BB8" w:rsidRDefault="00D91061">
      <w:pPr>
        <w:pStyle w:val="AMPRAnnexesList-Columnspecifications-L1-Consecutive"/>
        <w:rPr>
          <w:noProof/>
        </w:rPr>
      </w:pPr>
      <w:r>
        <w:rPr>
          <w:noProof/>
        </w:rPr>
        <w:t xml:space="preserve">The two cohesion-related departments present a range of values, as follows: </w:t>
      </w:r>
    </w:p>
    <w:p w:rsidR="00311BB8" w:rsidRDefault="00D91061">
      <w:pPr>
        <w:pStyle w:val="AMPRAnnexesList-Columnspecifications-L2"/>
        <w:rPr>
          <w:noProof/>
        </w:rPr>
      </w:pPr>
      <w:r>
        <w:rPr>
          <w:noProof/>
        </w:rPr>
        <w:t xml:space="preserve">the lower value corresponds to the departments’ risk at payment for the 2019 relevant expenditure based on their confirmed residual total error rate for the accounting year 2017/2018: 2.2% for cohesion as a whole, split between 2.4% for DG Regional and Urban Policy and 1.6% for DG Employment, Social Affairs and Inclusion; </w:t>
      </w:r>
    </w:p>
    <w:p w:rsidR="00311BB8" w:rsidRDefault="00D91061">
      <w:pPr>
        <w:pStyle w:val="AMPRAnnexesList-Columnspecifications-L2"/>
        <w:rPr>
          <w:noProof/>
        </w:rPr>
      </w:pPr>
      <w:r>
        <w:rPr>
          <w:noProof/>
        </w:rPr>
        <w:t>the upper value corresponds to a worst-case scenario (i.e. maximum risk), taking into account possible additional risks in parts of expenditure not reviewed under EU audits that indicate the possibility for higher error rates for some programmes: 3.1% for cohesion as a whole, split between 3.5% for DG Regional and Urban Policy and 2.2% for DG Employment, Social Affairs and Inclusion.</w:t>
      </w:r>
    </w:p>
    <w:p w:rsidR="00311BB8" w:rsidRDefault="00D91061">
      <w:pPr>
        <w:pStyle w:val="AMPRAnnexesList-Columnspecifications-L1-Consecutive"/>
        <w:rPr>
          <w:noProof/>
        </w:rPr>
      </w:pPr>
      <w:r>
        <w:rPr>
          <w:noProof/>
        </w:rPr>
        <w:t xml:space="preserve">Beyond the cohesion departments, a few other departments also use a range of ‘minimum-maximum’ rates/amounts for their estimated risk at payment, but with rather minor variances between the two values. </w:t>
      </w:r>
    </w:p>
    <w:p w:rsidR="00311BB8" w:rsidRDefault="00D91061">
      <w:pPr>
        <w:pStyle w:val="AMPRAnnexesList-Columnspecifications-L1"/>
        <w:rPr>
          <w:noProof/>
        </w:rPr>
      </w:pPr>
      <w:r>
        <w:rPr>
          <w:rStyle w:val="AMPRcharBoldOrange"/>
          <w:noProof/>
        </w:rPr>
        <w:t>Estimated future corrections</w:t>
      </w:r>
      <w:r>
        <w:rPr>
          <w:noProof/>
        </w:rPr>
        <w:t xml:space="preserve"> (as a value and a percentage).</w:t>
      </w:r>
    </w:p>
    <w:p w:rsidR="00311BB8" w:rsidRDefault="00D91061">
      <w:pPr>
        <w:pStyle w:val="AMPRAnnexesList-Columnspecifications-L1"/>
        <w:rPr>
          <w:noProof/>
        </w:rPr>
      </w:pPr>
      <w:r>
        <w:rPr>
          <w:rStyle w:val="AMPRcharBoldOrange"/>
          <w:noProof/>
        </w:rPr>
        <w:t>Estimated risk at closure</w:t>
      </w:r>
      <w:r>
        <w:rPr>
          <w:noProof/>
        </w:rPr>
        <w:t xml:space="preserve"> (as a value and a percentage).</w:t>
      </w:r>
    </w:p>
    <w:p w:rsidR="00311BB8" w:rsidRDefault="00D91061">
      <w:pPr>
        <w:pStyle w:val="AMPRBodyText"/>
        <w:rPr>
          <w:noProof/>
        </w:rPr>
      </w:pPr>
      <w:r>
        <w:rPr>
          <w:noProof/>
        </w:rPr>
        <w:t xml:space="preserve">It should be noted that due to the rounding of values to the nearest million EUR, some financial data in the tables may appear not to fully add up. </w:t>
      </w:r>
    </w:p>
    <w:p w:rsidR="00311BB8" w:rsidRDefault="00311BB8">
      <w:pPr>
        <w:rPr>
          <w:noProof/>
        </w:rPr>
        <w:sectPr w:rsidR="00311BB8">
          <w:headerReference w:type="even" r:id="rId28"/>
          <w:headerReference w:type="default" r:id="rId29"/>
          <w:footerReference w:type="even" r:id="rId30"/>
          <w:footerReference w:type="default" r:id="rId31"/>
          <w:headerReference w:type="first" r:id="rId32"/>
          <w:footerReference w:type="first" r:id="rId33"/>
          <w:footnotePr>
            <w:numStart w:val="94"/>
          </w:footnotePr>
          <w:pgSz w:w="11906" w:h="16838" w:code="9"/>
          <w:pgMar w:top="1417" w:right="1417" w:bottom="1134" w:left="1417" w:header="567" w:footer="454" w:gutter="0"/>
          <w:cols w:space="720"/>
          <w:docGrid w:linePitch="360"/>
        </w:sectPr>
      </w:pPr>
    </w:p>
    <w:p w:rsidR="00311BB8" w:rsidRDefault="00311BB8">
      <w:pPr>
        <w:pStyle w:val="Hidelastparagraphafterthetable"/>
        <w:rPr>
          <w:noProof/>
          <w:highlight w:val="yellow"/>
        </w:rPr>
      </w:pPr>
    </w:p>
    <w:tbl>
      <w:tblPr>
        <w:tblStyle w:val="AMPRTABLEA-Template"/>
        <w:tblW w:w="14395" w:type="dxa"/>
        <w:tblLayout w:type="fixed"/>
        <w:tblLook w:val="04A0" w:firstRow="1" w:lastRow="0" w:firstColumn="1" w:lastColumn="0" w:noHBand="0" w:noVBand="1"/>
      </w:tblPr>
      <w:tblGrid>
        <w:gridCol w:w="2127"/>
        <w:gridCol w:w="1059"/>
        <w:gridCol w:w="1060"/>
        <w:gridCol w:w="1060"/>
        <w:gridCol w:w="1059"/>
        <w:gridCol w:w="1060"/>
        <w:gridCol w:w="1060"/>
        <w:gridCol w:w="985"/>
        <w:gridCol w:w="985"/>
        <w:gridCol w:w="985"/>
        <w:gridCol w:w="985"/>
        <w:gridCol w:w="985"/>
        <w:gridCol w:w="985"/>
      </w:tblGrid>
      <w:tr w:rsidR="00311BB8" w:rsidTr="00311BB8">
        <w:trPr>
          <w:cnfStyle w:val="100000000000" w:firstRow="1" w:lastRow="0" w:firstColumn="0" w:lastColumn="0" w:oddVBand="0" w:evenVBand="0" w:oddHBand="0" w:evenHBand="0" w:firstRowFirstColumn="0" w:firstRowLastColumn="0" w:lastRowFirstColumn="0" w:lastRowLastColumn="0"/>
          <w:trHeight w:val="2098"/>
          <w:tblHeader/>
        </w:trPr>
        <w:tc>
          <w:tcPr>
            <w:cnfStyle w:val="001000000000" w:firstRow="0" w:lastRow="0" w:firstColumn="1" w:lastColumn="0" w:oddVBand="0" w:evenVBand="0" w:oddHBand="0" w:evenHBand="0" w:firstRowFirstColumn="0" w:firstRowLastColumn="0" w:lastRowFirstColumn="0" w:lastRowLastColumn="0"/>
            <w:tcW w:w="2127" w:type="dxa"/>
            <w:vMerge w:val="restart"/>
            <w:tcBorders>
              <w:bottom w:val="single" w:sz="4" w:space="0" w:color="FFFFFF" w:themeColor="background1"/>
            </w:tcBorders>
            <w:noWrap/>
            <w:hideMark/>
          </w:tcPr>
          <w:p w:rsidR="00311BB8" w:rsidRDefault="00D91061">
            <w:pPr>
              <w:pStyle w:val="AMPRTABLEA-HEADERText-WHITE"/>
              <w:spacing w:before="144" w:after="144"/>
              <w:rPr>
                <w:noProof/>
                <w:lang w:eastAsia="en-GB"/>
              </w:rPr>
            </w:pPr>
            <w:r>
              <w:rPr>
                <w:noProof/>
                <w:lang w:eastAsia="en-GB"/>
              </w:rPr>
              <w:t>Policy area</w:t>
            </w:r>
          </w:p>
        </w:tc>
        <w:tc>
          <w:tcPr>
            <w:tcW w:w="1059" w:type="dxa"/>
            <w:vMerge w:val="restart"/>
            <w:tcBorders>
              <w:bottom w:val="single" w:sz="4" w:space="0" w:color="FFFFFF" w:themeColor="background1"/>
            </w:tcBorders>
            <w:textDirection w:val="btLr"/>
            <w:hideMark/>
          </w:tcPr>
          <w:p w:rsidR="00311BB8" w:rsidRDefault="00D91061">
            <w:pPr>
              <w:pStyle w:val="AMPRTABLEA-HEADERText-WHITE"/>
              <w:spacing w:beforeLines="0" w:before="0" w:afterLines="0" w:after="0"/>
              <w:ind w:left="170" w:right="170"/>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 xml:space="preserve">Total payments </w:t>
            </w:r>
            <w:r>
              <w:rPr>
                <w:noProof/>
                <w:lang w:eastAsia="en-GB"/>
              </w:rPr>
              <w:br/>
            </w:r>
            <w:r>
              <w:rPr>
                <w:b w:val="0"/>
                <w:bCs w:val="0"/>
                <w:i/>
                <w:iCs/>
                <w:noProof/>
                <w:lang w:eastAsia="en-GB"/>
              </w:rPr>
              <w:t>(a)</w:t>
            </w:r>
          </w:p>
        </w:tc>
        <w:tc>
          <w:tcPr>
            <w:tcW w:w="1060" w:type="dxa"/>
            <w:vMerge w:val="restart"/>
            <w:tcBorders>
              <w:bottom w:val="single" w:sz="4" w:space="0" w:color="FFFFFF" w:themeColor="background1"/>
            </w:tcBorders>
            <w:textDirection w:val="btLr"/>
            <w:hideMark/>
          </w:tcPr>
          <w:p w:rsidR="00311BB8" w:rsidRDefault="00D91061">
            <w:pPr>
              <w:pStyle w:val="AMPRTABLEA-HEADERText-WHITE"/>
              <w:spacing w:beforeLines="0" w:before="0" w:afterLines="0" w:after="0"/>
              <w:ind w:left="170" w:right="170"/>
              <w:cnfStyle w:val="100000000000" w:firstRow="1" w:lastRow="0" w:firstColumn="0" w:lastColumn="0" w:oddVBand="0" w:evenVBand="0" w:oddHBand="0" w:evenHBand="0" w:firstRowFirstColumn="0" w:firstRowLastColumn="0" w:lastRowFirstColumn="0" w:lastRowLastColumn="0"/>
              <w:rPr>
                <w:noProof/>
                <w:lang w:val="en-GB" w:eastAsia="en-GB"/>
              </w:rPr>
            </w:pPr>
            <w:r>
              <w:rPr>
                <w:noProof/>
                <w:lang w:val="en-GB" w:eastAsia="en-GB"/>
              </w:rPr>
              <w:t>New pre-financing paid</w:t>
            </w:r>
            <w:r>
              <w:rPr>
                <w:noProof/>
                <w:lang w:val="en-GB" w:eastAsia="en-GB"/>
              </w:rPr>
              <w:br/>
            </w:r>
            <w:r>
              <w:rPr>
                <w:b w:val="0"/>
                <w:bCs w:val="0"/>
                <w:i/>
                <w:iCs/>
                <w:noProof/>
                <w:lang w:val="en-GB" w:eastAsia="en-GB"/>
              </w:rPr>
              <w:t>(b)</w:t>
            </w:r>
          </w:p>
        </w:tc>
        <w:tc>
          <w:tcPr>
            <w:tcW w:w="1060" w:type="dxa"/>
            <w:vMerge w:val="restart"/>
            <w:tcBorders>
              <w:bottom w:val="single" w:sz="4" w:space="0" w:color="FFFFFF" w:themeColor="background1"/>
            </w:tcBorders>
            <w:textDirection w:val="btLr"/>
            <w:hideMark/>
          </w:tcPr>
          <w:p w:rsidR="00311BB8" w:rsidRDefault="00D91061">
            <w:pPr>
              <w:pStyle w:val="AMPRTABLEA-HEADERText-WHITE"/>
              <w:spacing w:beforeLines="0" w:before="0" w:afterLines="0" w:after="0"/>
              <w:ind w:left="170" w:right="170"/>
              <w:cnfStyle w:val="100000000000" w:firstRow="1" w:lastRow="0" w:firstColumn="0" w:lastColumn="0" w:oddVBand="0" w:evenVBand="0" w:oddHBand="0" w:evenHBand="0" w:firstRowFirstColumn="0" w:firstRowLastColumn="0" w:lastRowFirstColumn="0" w:lastRowLastColumn="0"/>
              <w:rPr>
                <w:noProof/>
                <w:lang w:val="en-GB" w:eastAsia="en-GB"/>
              </w:rPr>
            </w:pPr>
            <w:r>
              <w:rPr>
                <w:noProof/>
                <w:lang w:val="en-GB" w:eastAsia="en-GB"/>
              </w:rPr>
              <w:t>Retentions made by cohesion-related departments</w:t>
            </w:r>
            <w:r>
              <w:rPr>
                <w:noProof/>
                <w:lang w:val="en-GB" w:eastAsia="en-GB"/>
              </w:rPr>
              <w:br/>
            </w:r>
            <w:r>
              <w:rPr>
                <w:b w:val="0"/>
                <w:bCs w:val="0"/>
                <w:i/>
                <w:iCs/>
                <w:noProof/>
                <w:lang w:val="en-GB" w:eastAsia="en-GB"/>
              </w:rPr>
              <w:t>(c)</w:t>
            </w:r>
          </w:p>
        </w:tc>
        <w:tc>
          <w:tcPr>
            <w:tcW w:w="1059" w:type="dxa"/>
            <w:vMerge w:val="restart"/>
            <w:tcBorders>
              <w:bottom w:val="single" w:sz="4" w:space="0" w:color="FFFFFF" w:themeColor="background1"/>
            </w:tcBorders>
            <w:textDirection w:val="btLr"/>
            <w:hideMark/>
          </w:tcPr>
          <w:p w:rsidR="00311BB8" w:rsidRDefault="00D91061">
            <w:pPr>
              <w:pStyle w:val="AMPRTABLEA-HEADERText-WHITE"/>
              <w:spacing w:beforeLines="0" w:before="0" w:afterLines="0" w:after="0"/>
              <w:ind w:left="170" w:right="170"/>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Pre-financing cleared</w:t>
            </w:r>
            <w:r>
              <w:rPr>
                <w:noProof/>
                <w:lang w:eastAsia="en-GB"/>
              </w:rPr>
              <w:br/>
            </w:r>
            <w:r>
              <w:rPr>
                <w:b w:val="0"/>
                <w:bCs w:val="0"/>
                <w:i/>
                <w:iCs/>
                <w:noProof/>
                <w:lang w:eastAsia="en-GB"/>
              </w:rPr>
              <w:t>(d)</w:t>
            </w:r>
          </w:p>
        </w:tc>
        <w:tc>
          <w:tcPr>
            <w:tcW w:w="1060" w:type="dxa"/>
            <w:vMerge w:val="restart"/>
            <w:tcBorders>
              <w:bottom w:val="single" w:sz="4" w:space="0" w:color="FFFFFF" w:themeColor="background1"/>
            </w:tcBorders>
            <w:textDirection w:val="btLr"/>
            <w:hideMark/>
          </w:tcPr>
          <w:p w:rsidR="00311BB8" w:rsidRDefault="00D91061">
            <w:pPr>
              <w:pStyle w:val="AMPRTABLEA-HEADERText-WHITE"/>
              <w:spacing w:beforeLines="0" w:before="0" w:afterLines="0" w:after="0"/>
              <w:ind w:left="170" w:right="170"/>
              <w:cnfStyle w:val="100000000000" w:firstRow="1" w:lastRow="0" w:firstColumn="0" w:lastColumn="0" w:oddVBand="0" w:evenVBand="0" w:oddHBand="0" w:evenHBand="0" w:firstRowFirstColumn="0" w:firstRowLastColumn="0" w:lastRowFirstColumn="0" w:lastRowLastColumn="0"/>
              <w:rPr>
                <w:noProof/>
                <w:lang w:val="en-GB" w:eastAsia="en-GB"/>
              </w:rPr>
            </w:pPr>
            <w:r>
              <w:rPr>
                <w:noProof/>
                <w:lang w:val="en-GB" w:eastAsia="en-GB"/>
              </w:rPr>
              <w:t>Retentions (partially) released by cohesion-related departments</w:t>
            </w:r>
            <w:r>
              <w:rPr>
                <w:noProof/>
                <w:lang w:val="en-GB" w:eastAsia="en-GB"/>
              </w:rPr>
              <w:br/>
            </w:r>
            <w:r>
              <w:rPr>
                <w:b w:val="0"/>
                <w:bCs w:val="0"/>
                <w:i/>
                <w:iCs/>
                <w:noProof/>
                <w:lang w:val="en-GB" w:eastAsia="en-GB"/>
              </w:rPr>
              <w:t>(e)</w:t>
            </w:r>
          </w:p>
        </w:tc>
        <w:tc>
          <w:tcPr>
            <w:tcW w:w="1060" w:type="dxa"/>
            <w:vMerge w:val="restart"/>
            <w:tcBorders>
              <w:bottom w:val="single" w:sz="4" w:space="0" w:color="FFFFFF" w:themeColor="background1"/>
            </w:tcBorders>
            <w:textDirection w:val="btLr"/>
            <w:hideMark/>
          </w:tcPr>
          <w:p w:rsidR="00311BB8" w:rsidRDefault="00D91061">
            <w:pPr>
              <w:pStyle w:val="AMPRTABLEA-HEADERText-WHITE"/>
              <w:spacing w:beforeLines="0" w:before="0" w:afterLines="0" w:after="0"/>
              <w:ind w:left="170" w:right="170"/>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Total relevant expenditure</w:t>
            </w:r>
            <w:r>
              <w:rPr>
                <w:noProof/>
                <w:lang w:eastAsia="en-GB"/>
              </w:rPr>
              <w:br/>
            </w:r>
            <w:r>
              <w:rPr>
                <w:i/>
                <w:iCs/>
                <w:noProof/>
                <w:lang w:eastAsia="en-GB"/>
              </w:rPr>
              <w:t>(f)</w:t>
            </w:r>
            <w:r>
              <w:rPr>
                <w:rFonts w:ascii="Calibri" w:hAnsi="Calibri" w:cs="Calibri"/>
                <w:i/>
                <w:iCs/>
                <w:noProof/>
                <w:lang w:eastAsia="en-GB"/>
              </w:rPr>
              <w:t> </w:t>
            </w:r>
            <w:r>
              <w:rPr>
                <w:i/>
                <w:iCs/>
                <w:noProof/>
                <w:lang w:eastAsia="en-GB"/>
              </w:rPr>
              <w:t>= (a)</w:t>
            </w:r>
            <w:r>
              <w:rPr>
                <w:rFonts w:ascii="Calibri" w:hAnsi="Calibri" w:cs="Calibri"/>
                <w:i/>
                <w:iCs/>
                <w:noProof/>
                <w:lang w:eastAsia="en-GB"/>
              </w:rPr>
              <w:t> </w:t>
            </w:r>
            <w:r>
              <w:rPr>
                <w:i/>
                <w:iCs/>
                <w:noProof/>
                <w:lang w:eastAsia="en-GB"/>
              </w:rPr>
              <w:t>– (b)</w:t>
            </w:r>
            <w:r>
              <w:rPr>
                <w:rFonts w:ascii="Calibri" w:hAnsi="Calibri" w:cs="Calibri"/>
                <w:i/>
                <w:iCs/>
                <w:noProof/>
                <w:lang w:eastAsia="en-GB"/>
              </w:rPr>
              <w:t> </w:t>
            </w:r>
            <w:r>
              <w:rPr>
                <w:i/>
                <w:iCs/>
                <w:noProof/>
                <w:lang w:eastAsia="en-GB"/>
              </w:rPr>
              <w:t>+ (c)</w:t>
            </w:r>
            <w:r>
              <w:rPr>
                <w:rFonts w:ascii="Calibri" w:hAnsi="Calibri" w:cs="Calibri"/>
                <w:i/>
                <w:iCs/>
                <w:noProof/>
                <w:lang w:eastAsia="en-GB"/>
              </w:rPr>
              <w:t> </w:t>
            </w:r>
            <w:r>
              <w:rPr>
                <w:i/>
                <w:iCs/>
                <w:noProof/>
                <w:lang w:eastAsia="en-GB"/>
              </w:rPr>
              <w:t>+ (d)</w:t>
            </w:r>
            <w:r>
              <w:rPr>
                <w:rFonts w:ascii="Calibri" w:hAnsi="Calibri" w:cs="Calibri"/>
                <w:i/>
                <w:iCs/>
                <w:noProof/>
                <w:lang w:eastAsia="en-GB"/>
              </w:rPr>
              <w:t> </w:t>
            </w:r>
            <w:r>
              <w:rPr>
                <w:i/>
                <w:iCs/>
                <w:noProof/>
                <w:lang w:eastAsia="en-GB"/>
              </w:rPr>
              <w:t>– (e)</w:t>
            </w:r>
          </w:p>
        </w:tc>
        <w:tc>
          <w:tcPr>
            <w:tcW w:w="1970" w:type="dxa"/>
            <w:gridSpan w:val="2"/>
            <w:tcBorders>
              <w:bottom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eastAsia="en-GB"/>
              </w:rPr>
            </w:pPr>
            <w:r>
              <w:rPr>
                <w:noProof/>
                <w:lang w:val="en-GB" w:eastAsia="en-GB"/>
              </w:rPr>
              <w:t>Estimated risk at payment</w:t>
            </w:r>
            <w:r>
              <w:rPr>
                <w:noProof/>
                <w:lang w:val="en-GB" w:eastAsia="en-GB"/>
              </w:rPr>
              <w:br/>
            </w:r>
            <w:r>
              <w:rPr>
                <w:noProof/>
                <w:lang w:val="en-GB" w:eastAsia="en-GB"/>
              </w:rPr>
              <w:br/>
            </w:r>
            <w:r>
              <w:rPr>
                <w:i/>
                <w:iCs/>
                <w:noProof/>
                <w:lang w:val="en-GB" w:eastAsia="en-GB"/>
              </w:rPr>
              <w:t>(g)</w:t>
            </w:r>
            <w:r>
              <w:rPr>
                <w:rFonts w:ascii="Calibri" w:hAnsi="Calibri" w:cs="Calibri"/>
                <w:i/>
                <w:iCs/>
                <w:noProof/>
                <w:lang w:val="en-GB" w:eastAsia="en-GB"/>
              </w:rPr>
              <w:t> </w:t>
            </w:r>
            <w:r>
              <w:rPr>
                <w:i/>
                <w:iCs/>
                <w:noProof/>
                <w:lang w:val="en-GB" w:eastAsia="en-GB"/>
              </w:rPr>
              <w:t>= Average error</w:t>
            </w:r>
            <w:r>
              <w:rPr>
                <w:i/>
                <w:iCs/>
                <w:noProof/>
                <w:lang w:val="en-GB" w:eastAsia="en-GB"/>
              </w:rPr>
              <w:br/>
              <w:t>rate applied to (f)</w:t>
            </w:r>
          </w:p>
        </w:tc>
        <w:tc>
          <w:tcPr>
            <w:tcW w:w="1970" w:type="dxa"/>
            <w:gridSpan w:val="2"/>
            <w:tcBorders>
              <w:bottom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eastAsia="en-GB"/>
              </w:rPr>
            </w:pPr>
            <w:r>
              <w:rPr>
                <w:noProof/>
                <w:lang w:val="en-GB" w:eastAsia="en-GB"/>
              </w:rPr>
              <w:t>Estimated future</w:t>
            </w:r>
            <w:r>
              <w:rPr>
                <w:noProof/>
                <w:lang w:val="en-GB" w:eastAsia="en-GB"/>
              </w:rPr>
              <w:br/>
              <w:t>corrections</w:t>
            </w:r>
            <w:r>
              <w:rPr>
                <w:noProof/>
                <w:lang w:val="en-GB" w:eastAsia="en-GB"/>
              </w:rPr>
              <w:br/>
            </w:r>
            <w:r>
              <w:rPr>
                <w:noProof/>
                <w:lang w:val="en-GB" w:eastAsia="en-GB"/>
              </w:rPr>
              <w:br/>
            </w:r>
            <w:r>
              <w:rPr>
                <w:i/>
                <w:iCs/>
                <w:noProof/>
                <w:lang w:val="en-GB" w:eastAsia="en-GB"/>
              </w:rPr>
              <w:t>(h)</w:t>
            </w:r>
            <w:r>
              <w:rPr>
                <w:rFonts w:ascii="Calibri" w:hAnsi="Calibri" w:cs="Calibri"/>
                <w:i/>
                <w:iCs/>
                <w:noProof/>
                <w:lang w:val="en-GB" w:eastAsia="en-GB"/>
              </w:rPr>
              <w:t> </w:t>
            </w:r>
            <w:r>
              <w:rPr>
                <w:i/>
                <w:iCs/>
                <w:noProof/>
                <w:lang w:val="en-GB" w:eastAsia="en-GB"/>
              </w:rPr>
              <w:t xml:space="preserve">= Adjusted rate of </w:t>
            </w:r>
            <w:r>
              <w:rPr>
                <w:i/>
                <w:iCs/>
                <w:noProof/>
                <w:lang w:val="en-GB" w:eastAsia="en-GB"/>
              </w:rPr>
              <w:br/>
              <w:t xml:space="preserve">average recoveries </w:t>
            </w:r>
            <w:r>
              <w:rPr>
                <w:i/>
                <w:iCs/>
                <w:noProof/>
                <w:lang w:val="en-GB" w:eastAsia="en-GB"/>
              </w:rPr>
              <w:br/>
              <w:t xml:space="preserve">and corrections </w:t>
            </w:r>
            <w:r>
              <w:rPr>
                <w:i/>
                <w:iCs/>
                <w:noProof/>
                <w:lang w:val="en-GB" w:eastAsia="en-GB"/>
              </w:rPr>
              <w:br/>
              <w:t>applied to (f)</w:t>
            </w:r>
          </w:p>
        </w:tc>
        <w:tc>
          <w:tcPr>
            <w:tcW w:w="1970" w:type="dxa"/>
            <w:gridSpan w:val="2"/>
            <w:tcBorders>
              <w:bottom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rFonts w:ascii="Calibri" w:hAnsi="Calibri"/>
                <w:noProof/>
                <w:sz w:val="22"/>
                <w:szCs w:val="22"/>
                <w:lang w:val="en-GB" w:eastAsia="en-GB"/>
              </w:rPr>
            </w:pPr>
            <w:r>
              <w:rPr>
                <w:rFonts w:ascii="Calibri" w:hAnsi="Calibri"/>
                <w:noProof/>
                <w:sz w:val="22"/>
                <w:szCs w:val="22"/>
                <w:lang w:val="en-GB" w:eastAsia="en-GB"/>
              </w:rPr>
              <w:t>Estimated risk at closure</w:t>
            </w:r>
            <w:r>
              <w:rPr>
                <w:rFonts w:ascii="Calibri" w:hAnsi="Calibri"/>
                <w:noProof/>
                <w:sz w:val="22"/>
                <w:lang w:val="en-GB" w:eastAsia="en-GB"/>
              </w:rPr>
              <w:br/>
            </w:r>
            <w:r>
              <w:rPr>
                <w:rFonts w:ascii="Calibri" w:hAnsi="Calibri"/>
                <w:noProof/>
                <w:sz w:val="22"/>
                <w:lang w:val="en-GB" w:eastAsia="en-GB"/>
              </w:rPr>
              <w:br/>
            </w:r>
            <w:r>
              <w:rPr>
                <w:rFonts w:ascii="Calibri" w:hAnsi="Calibri"/>
                <w:i/>
                <w:iCs/>
                <w:noProof/>
                <w:sz w:val="22"/>
                <w:szCs w:val="22"/>
                <w:lang w:val="en-GB" w:eastAsia="en-GB"/>
              </w:rPr>
              <w:t>(i) = (g) – (h)</w:t>
            </w:r>
          </w:p>
        </w:tc>
      </w:tr>
      <w:tr w:rsidR="00311BB8" w:rsidTr="00311BB8">
        <w:trPr>
          <w:cnfStyle w:val="100000000000" w:firstRow="1" w:lastRow="0" w:firstColumn="0" w:lastColumn="0" w:oddVBand="0" w:evenVBand="0" w:oddHBand="0" w:evenHBand="0" w:firstRowFirstColumn="0" w:firstRowLastColumn="0" w:lastRowFirstColumn="0" w:lastRowLastColumn="0"/>
          <w:trHeight w:val="737"/>
          <w:tblHeader/>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4" w:space="0" w:color="FFFFFF"/>
              <w:right w:val="single" w:sz="4" w:space="0" w:color="FFFFFF"/>
            </w:tcBorders>
            <w:hideMark/>
          </w:tcPr>
          <w:p w:rsidR="00311BB8" w:rsidRDefault="00311BB8">
            <w:pPr>
              <w:pStyle w:val="AMPRTABLEA-HEADERText-WHITE"/>
              <w:spacing w:before="144" w:after="144"/>
              <w:rPr>
                <w:noProof/>
                <w:lang w:val="en-GB" w:eastAsia="en-GB"/>
              </w:rPr>
            </w:pPr>
          </w:p>
        </w:tc>
        <w:tc>
          <w:tcPr>
            <w:tcW w:w="1059" w:type="dxa"/>
            <w:vMerge/>
            <w:tcBorders>
              <w:top w:val="single" w:sz="4" w:space="0" w:color="FFFFFF"/>
              <w:left w:val="single" w:sz="4" w:space="0" w:color="FFFFFF"/>
              <w:right w:val="single" w:sz="4" w:space="0" w:color="FFFFFF"/>
            </w:tcBorders>
            <w:hideMark/>
          </w:tcPr>
          <w:p w:rsidR="00311BB8" w:rsidRDefault="00311BB8">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eastAsia="en-GB"/>
              </w:rPr>
            </w:pPr>
          </w:p>
        </w:tc>
        <w:tc>
          <w:tcPr>
            <w:tcW w:w="1060" w:type="dxa"/>
            <w:vMerge/>
            <w:tcBorders>
              <w:top w:val="single" w:sz="4" w:space="0" w:color="FFFFFF"/>
              <w:left w:val="single" w:sz="4" w:space="0" w:color="FFFFFF"/>
              <w:right w:val="single" w:sz="4" w:space="0" w:color="FFFFFF"/>
            </w:tcBorders>
            <w:hideMark/>
          </w:tcPr>
          <w:p w:rsidR="00311BB8" w:rsidRDefault="00311BB8">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eastAsia="en-GB"/>
              </w:rPr>
            </w:pPr>
          </w:p>
        </w:tc>
        <w:tc>
          <w:tcPr>
            <w:tcW w:w="1060" w:type="dxa"/>
            <w:vMerge/>
            <w:tcBorders>
              <w:top w:val="single" w:sz="4" w:space="0" w:color="FFFFFF"/>
              <w:left w:val="single" w:sz="4" w:space="0" w:color="FFFFFF"/>
              <w:right w:val="single" w:sz="4" w:space="0" w:color="FFFFFF"/>
            </w:tcBorders>
            <w:hideMark/>
          </w:tcPr>
          <w:p w:rsidR="00311BB8" w:rsidRDefault="00311BB8">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eastAsia="en-GB"/>
              </w:rPr>
            </w:pPr>
          </w:p>
        </w:tc>
        <w:tc>
          <w:tcPr>
            <w:tcW w:w="1059" w:type="dxa"/>
            <w:vMerge/>
            <w:tcBorders>
              <w:top w:val="single" w:sz="4" w:space="0" w:color="FFFFFF"/>
              <w:left w:val="single" w:sz="4" w:space="0" w:color="FFFFFF"/>
              <w:right w:val="single" w:sz="4" w:space="0" w:color="FFFFFF"/>
            </w:tcBorders>
            <w:hideMark/>
          </w:tcPr>
          <w:p w:rsidR="00311BB8" w:rsidRDefault="00311BB8">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eastAsia="en-GB"/>
              </w:rPr>
            </w:pPr>
          </w:p>
        </w:tc>
        <w:tc>
          <w:tcPr>
            <w:tcW w:w="1060" w:type="dxa"/>
            <w:vMerge/>
            <w:tcBorders>
              <w:top w:val="single" w:sz="4" w:space="0" w:color="FFFFFF"/>
              <w:left w:val="single" w:sz="4" w:space="0" w:color="FFFFFF"/>
              <w:right w:val="single" w:sz="4" w:space="0" w:color="FFFFFF"/>
            </w:tcBorders>
            <w:hideMark/>
          </w:tcPr>
          <w:p w:rsidR="00311BB8" w:rsidRDefault="00311BB8">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eastAsia="en-GB"/>
              </w:rPr>
            </w:pPr>
          </w:p>
        </w:tc>
        <w:tc>
          <w:tcPr>
            <w:tcW w:w="1060" w:type="dxa"/>
            <w:vMerge/>
            <w:tcBorders>
              <w:top w:val="single" w:sz="4" w:space="0" w:color="FFFFFF"/>
              <w:left w:val="single" w:sz="4" w:space="0" w:color="FFFFFF"/>
              <w:right w:val="single" w:sz="4" w:space="0" w:color="FFFFFF"/>
            </w:tcBorders>
            <w:hideMark/>
          </w:tcPr>
          <w:p w:rsidR="00311BB8" w:rsidRDefault="00311BB8">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eastAsia="en-GB"/>
              </w:rPr>
            </w:pPr>
          </w:p>
        </w:tc>
        <w:tc>
          <w:tcPr>
            <w:tcW w:w="985"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Lowest</w:t>
            </w:r>
            <w:r>
              <w:rPr>
                <w:noProof/>
                <w:lang w:eastAsia="en-GB"/>
              </w:rPr>
              <w:br/>
              <w:t>value</w:t>
            </w:r>
          </w:p>
        </w:tc>
        <w:tc>
          <w:tcPr>
            <w:tcW w:w="985"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Highest</w:t>
            </w:r>
            <w:r>
              <w:rPr>
                <w:noProof/>
                <w:lang w:eastAsia="en-GB"/>
              </w:rPr>
              <w:br/>
              <w:t>value</w:t>
            </w:r>
          </w:p>
        </w:tc>
        <w:tc>
          <w:tcPr>
            <w:tcW w:w="985"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Lowest</w:t>
            </w:r>
            <w:r>
              <w:rPr>
                <w:noProof/>
                <w:lang w:eastAsia="en-GB"/>
              </w:rPr>
              <w:br/>
              <w:t>value</w:t>
            </w:r>
          </w:p>
        </w:tc>
        <w:tc>
          <w:tcPr>
            <w:tcW w:w="985"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rFonts w:ascii="Calibri" w:hAnsi="Calibri"/>
                <w:noProof/>
                <w:sz w:val="22"/>
                <w:szCs w:val="22"/>
                <w:lang w:eastAsia="en-GB"/>
              </w:rPr>
            </w:pPr>
            <w:r>
              <w:rPr>
                <w:rFonts w:ascii="Calibri" w:hAnsi="Calibri"/>
                <w:noProof/>
                <w:sz w:val="22"/>
                <w:szCs w:val="22"/>
                <w:lang w:eastAsia="en-GB"/>
              </w:rPr>
              <w:t>Highest</w:t>
            </w:r>
            <w:r>
              <w:rPr>
                <w:rFonts w:ascii="Calibri" w:hAnsi="Calibri"/>
                <w:noProof/>
                <w:sz w:val="22"/>
                <w:lang w:eastAsia="en-GB"/>
              </w:rPr>
              <w:br/>
            </w:r>
            <w:r>
              <w:rPr>
                <w:rFonts w:ascii="Calibri" w:hAnsi="Calibri"/>
                <w:noProof/>
                <w:sz w:val="22"/>
                <w:szCs w:val="22"/>
                <w:lang w:eastAsia="en-GB"/>
              </w:rPr>
              <w:t>value</w:t>
            </w:r>
          </w:p>
        </w:tc>
        <w:tc>
          <w:tcPr>
            <w:tcW w:w="985"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rFonts w:ascii="Calibri" w:hAnsi="Calibri"/>
                <w:noProof/>
                <w:sz w:val="22"/>
                <w:szCs w:val="22"/>
                <w:lang w:eastAsia="en-GB"/>
              </w:rPr>
            </w:pPr>
            <w:r>
              <w:rPr>
                <w:rFonts w:ascii="Calibri" w:hAnsi="Calibri"/>
                <w:noProof/>
                <w:sz w:val="22"/>
                <w:szCs w:val="22"/>
                <w:lang w:eastAsia="en-GB"/>
              </w:rPr>
              <w:t>Lowest</w:t>
            </w:r>
            <w:r>
              <w:rPr>
                <w:rFonts w:ascii="Calibri" w:hAnsi="Calibri"/>
                <w:noProof/>
                <w:sz w:val="22"/>
                <w:lang w:eastAsia="en-GB"/>
              </w:rPr>
              <w:br/>
            </w:r>
            <w:r>
              <w:rPr>
                <w:rFonts w:ascii="Calibri" w:hAnsi="Calibri"/>
                <w:noProof/>
                <w:sz w:val="22"/>
                <w:szCs w:val="22"/>
                <w:lang w:eastAsia="en-GB"/>
              </w:rPr>
              <w:t>value</w:t>
            </w:r>
          </w:p>
        </w:tc>
        <w:tc>
          <w:tcPr>
            <w:tcW w:w="985"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rFonts w:ascii="Calibri" w:hAnsi="Calibri"/>
                <w:noProof/>
                <w:sz w:val="22"/>
                <w:szCs w:val="22"/>
                <w:lang w:eastAsia="en-GB"/>
              </w:rPr>
            </w:pPr>
            <w:r>
              <w:rPr>
                <w:rFonts w:ascii="Calibri" w:hAnsi="Calibri"/>
                <w:noProof/>
                <w:sz w:val="22"/>
                <w:szCs w:val="22"/>
                <w:lang w:eastAsia="en-GB"/>
              </w:rPr>
              <w:t>Highest</w:t>
            </w:r>
            <w:r>
              <w:rPr>
                <w:rFonts w:ascii="Calibri" w:hAnsi="Calibri"/>
                <w:noProof/>
                <w:sz w:val="22"/>
                <w:lang w:eastAsia="en-GB"/>
              </w:rPr>
              <w:br/>
            </w:r>
            <w:r>
              <w:rPr>
                <w:rFonts w:ascii="Calibri" w:hAnsi="Calibri"/>
                <w:noProof/>
                <w:sz w:val="22"/>
                <w:szCs w:val="22"/>
                <w:lang w:eastAsia="en-GB"/>
              </w:rPr>
              <w:t>value</w:t>
            </w:r>
          </w:p>
        </w:tc>
      </w:tr>
      <w:tr w:rsidR="00311BB8" w:rsidTr="00311BB8">
        <w:trPr>
          <w:trHeight w:val="232"/>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nil"/>
            </w:tcBorders>
            <w:noWrap/>
            <w:hideMark/>
          </w:tcPr>
          <w:p w:rsidR="00311BB8" w:rsidRDefault="00D91061">
            <w:pPr>
              <w:pStyle w:val="AMPRTABLEA-TextLEFTalligned-BLACK"/>
              <w:rPr>
                <w:noProof/>
              </w:rPr>
            </w:pPr>
            <w:r>
              <w:rPr>
                <w:noProof/>
              </w:rPr>
              <w:t>Natural resources</w:t>
            </w:r>
          </w:p>
        </w:tc>
        <w:tc>
          <w:tcPr>
            <w:tcW w:w="1059" w:type="dxa"/>
            <w:vMerge w:val="restart"/>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59</w:t>
            </w:r>
            <w:r>
              <w:rPr>
                <w:rFonts w:ascii="Calibri" w:hAnsi="Calibri" w:cs="Calibri"/>
                <w:noProof/>
              </w:rPr>
              <w:t> </w:t>
            </w:r>
            <w:r>
              <w:rPr>
                <w:noProof/>
              </w:rPr>
              <w:t>205.8</w:t>
            </w:r>
          </w:p>
        </w:tc>
        <w:tc>
          <w:tcPr>
            <w:tcW w:w="1060" w:type="dxa"/>
            <w:vMerge w:val="restart"/>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295.6</w:t>
            </w:r>
          </w:p>
        </w:tc>
        <w:tc>
          <w:tcPr>
            <w:tcW w:w="1060" w:type="dxa"/>
            <w:vMerge w:val="restart"/>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65.3</w:t>
            </w:r>
          </w:p>
        </w:tc>
        <w:tc>
          <w:tcPr>
            <w:tcW w:w="1059" w:type="dxa"/>
            <w:vMerge w:val="restart"/>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365.1</w:t>
            </w:r>
          </w:p>
        </w:tc>
        <w:tc>
          <w:tcPr>
            <w:tcW w:w="1060" w:type="dxa"/>
            <w:vMerge w:val="restart"/>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70.4</w:t>
            </w:r>
          </w:p>
        </w:tc>
        <w:tc>
          <w:tcPr>
            <w:tcW w:w="1060" w:type="dxa"/>
            <w:vMerge w:val="restart"/>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59</w:t>
            </w:r>
            <w:r>
              <w:rPr>
                <w:rFonts w:ascii="Calibri" w:hAnsi="Calibri" w:cs="Calibri"/>
                <w:noProof/>
              </w:rPr>
              <w:t> </w:t>
            </w:r>
            <w:r>
              <w:rPr>
                <w:noProof/>
              </w:rPr>
              <w:t>270.1</w:t>
            </w:r>
          </w:p>
        </w:tc>
        <w:tc>
          <w:tcPr>
            <w:tcW w:w="985"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w:t>
            </w:r>
            <w:r>
              <w:rPr>
                <w:rFonts w:ascii="Calibri" w:hAnsi="Calibri" w:cs="Calibri"/>
                <w:noProof/>
              </w:rPr>
              <w:t> </w:t>
            </w:r>
            <w:r>
              <w:rPr>
                <w:noProof/>
              </w:rPr>
              <w:t>100.9</w:t>
            </w:r>
          </w:p>
        </w:tc>
        <w:tc>
          <w:tcPr>
            <w:tcW w:w="985"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w:t>
            </w:r>
            <w:r>
              <w:rPr>
                <w:rFonts w:ascii="Calibri" w:hAnsi="Calibri" w:cs="Calibri"/>
                <w:noProof/>
              </w:rPr>
              <w:t> </w:t>
            </w:r>
            <w:r>
              <w:rPr>
                <w:noProof/>
              </w:rPr>
              <w:t>100.9</w:t>
            </w:r>
          </w:p>
        </w:tc>
        <w:tc>
          <w:tcPr>
            <w:tcW w:w="985"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w:t>
            </w:r>
            <w:r>
              <w:rPr>
                <w:rFonts w:ascii="Calibri" w:hAnsi="Calibri" w:cs="Calibri"/>
                <w:noProof/>
              </w:rPr>
              <w:t> </w:t>
            </w:r>
            <w:r>
              <w:rPr>
                <w:noProof/>
              </w:rPr>
              <w:t>026.9</w:t>
            </w:r>
          </w:p>
        </w:tc>
        <w:tc>
          <w:tcPr>
            <w:tcW w:w="985"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w:t>
            </w:r>
            <w:r>
              <w:rPr>
                <w:rFonts w:ascii="Calibri" w:hAnsi="Calibri" w:cs="Calibri"/>
                <w:noProof/>
              </w:rPr>
              <w:t> </w:t>
            </w:r>
            <w:r>
              <w:rPr>
                <w:noProof/>
              </w:rPr>
              <w:t>026.9</w:t>
            </w:r>
          </w:p>
        </w:tc>
        <w:tc>
          <w:tcPr>
            <w:tcW w:w="985"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73.9</w:t>
            </w:r>
          </w:p>
        </w:tc>
        <w:tc>
          <w:tcPr>
            <w:tcW w:w="985"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74.0</w:t>
            </w:r>
          </w:p>
        </w:tc>
      </w:tr>
      <w:tr w:rsidR="00311BB8" w:rsidTr="00311BB8">
        <w:trPr>
          <w:trHeight w:val="232"/>
        </w:trPr>
        <w:tc>
          <w:tcPr>
            <w:cnfStyle w:val="001000000000" w:firstRow="0" w:lastRow="0" w:firstColumn="1" w:lastColumn="0" w:oddVBand="0" w:evenVBand="0" w:oddHBand="0" w:evenHBand="0" w:firstRowFirstColumn="0" w:firstRowLastColumn="0" w:lastRowFirstColumn="0" w:lastRowLastColumn="0"/>
            <w:tcW w:w="2127" w:type="dxa"/>
            <w:vMerge/>
            <w:hideMark/>
          </w:tcPr>
          <w:p w:rsidR="00311BB8" w:rsidRDefault="00311BB8">
            <w:pPr>
              <w:pStyle w:val="AMPRTABLEA-TextLEFTalligned-BLACK"/>
              <w:rPr>
                <w:noProof/>
              </w:rPr>
            </w:pPr>
          </w:p>
        </w:tc>
        <w:tc>
          <w:tcPr>
            <w:tcW w:w="1059"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59"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1.9%</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1.9%</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1.7%</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1.7%</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0.1%</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0.1%</w:t>
            </w:r>
          </w:p>
        </w:tc>
      </w:tr>
      <w:tr w:rsidR="00311BB8" w:rsidTr="00311BB8">
        <w:trPr>
          <w:trHeight w:val="232"/>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rsidR="00311BB8" w:rsidRDefault="00D91061">
            <w:pPr>
              <w:pStyle w:val="AMPRTABLEA-TextLEFTalligned-BLACK"/>
              <w:rPr>
                <w:noProof/>
                <w:lang w:val="en-GB"/>
              </w:rPr>
            </w:pPr>
            <w:r>
              <w:rPr>
                <w:noProof/>
                <w:lang w:val="en-GB"/>
              </w:rPr>
              <w:t>Economic, social and territorial cohesion</w:t>
            </w:r>
          </w:p>
        </w:tc>
        <w:tc>
          <w:tcPr>
            <w:tcW w:w="1059"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53</w:t>
            </w:r>
            <w:r>
              <w:rPr>
                <w:rFonts w:ascii="Calibri" w:hAnsi="Calibri" w:cs="Calibri"/>
                <w:noProof/>
              </w:rPr>
              <w:t> </w:t>
            </w:r>
            <w:r>
              <w:rPr>
                <w:noProof/>
              </w:rPr>
              <w:t>455.3</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10</w:t>
            </w:r>
            <w:r>
              <w:rPr>
                <w:rFonts w:ascii="Calibri" w:hAnsi="Calibri" w:cs="Calibri"/>
                <w:noProof/>
              </w:rPr>
              <w:t> </w:t>
            </w:r>
            <w:r>
              <w:rPr>
                <w:noProof/>
              </w:rPr>
              <w:t>154.4</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4</w:t>
            </w:r>
            <w:r>
              <w:rPr>
                <w:rFonts w:ascii="Calibri" w:hAnsi="Calibri" w:cs="Calibri"/>
                <w:noProof/>
              </w:rPr>
              <w:t> </w:t>
            </w:r>
            <w:r>
              <w:rPr>
                <w:noProof/>
              </w:rPr>
              <w:t>607.7</w:t>
            </w:r>
          </w:p>
        </w:tc>
        <w:tc>
          <w:tcPr>
            <w:tcW w:w="1059"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4</w:t>
            </w:r>
            <w:r>
              <w:rPr>
                <w:rFonts w:ascii="Calibri" w:hAnsi="Calibri" w:cs="Calibri"/>
                <w:noProof/>
              </w:rPr>
              <w:t> </w:t>
            </w:r>
            <w:r>
              <w:rPr>
                <w:noProof/>
              </w:rPr>
              <w:t>107.6</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4</w:t>
            </w:r>
            <w:r>
              <w:rPr>
                <w:rFonts w:ascii="Calibri" w:hAnsi="Calibri" w:cs="Calibri"/>
                <w:noProof/>
              </w:rPr>
              <w:t> </w:t>
            </w:r>
            <w:r>
              <w:rPr>
                <w:noProof/>
              </w:rPr>
              <w:t>642.8</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47</w:t>
            </w:r>
            <w:r>
              <w:rPr>
                <w:rFonts w:ascii="Calibri" w:hAnsi="Calibri" w:cs="Calibri"/>
                <w:noProof/>
              </w:rPr>
              <w:t> </w:t>
            </w:r>
            <w:r>
              <w:rPr>
                <w:noProof/>
              </w:rPr>
              <w:t>373.4</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w:t>
            </w:r>
            <w:r>
              <w:rPr>
                <w:rFonts w:ascii="Calibri" w:hAnsi="Calibri" w:cs="Calibri"/>
                <w:noProof/>
              </w:rPr>
              <w:t> </w:t>
            </w:r>
            <w:r>
              <w:rPr>
                <w:noProof/>
              </w:rPr>
              <w:t>055.4</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w:t>
            </w:r>
            <w:r>
              <w:rPr>
                <w:rFonts w:ascii="Calibri" w:hAnsi="Calibri" w:cs="Calibri"/>
                <w:noProof/>
              </w:rPr>
              <w:t> </w:t>
            </w:r>
            <w:r>
              <w:rPr>
                <w:noProof/>
              </w:rPr>
              <w:t>492.0</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527.8</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964.3</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527.7</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527.7</w:t>
            </w:r>
          </w:p>
        </w:tc>
      </w:tr>
      <w:tr w:rsidR="00311BB8" w:rsidTr="00311BB8">
        <w:trPr>
          <w:trHeight w:val="232"/>
        </w:trPr>
        <w:tc>
          <w:tcPr>
            <w:cnfStyle w:val="001000000000" w:firstRow="0" w:lastRow="0" w:firstColumn="1" w:lastColumn="0" w:oddVBand="0" w:evenVBand="0" w:oddHBand="0" w:evenHBand="0" w:firstRowFirstColumn="0" w:firstRowLastColumn="0" w:lastRowFirstColumn="0" w:lastRowLastColumn="0"/>
            <w:tcW w:w="2127" w:type="dxa"/>
            <w:vMerge/>
            <w:hideMark/>
          </w:tcPr>
          <w:p w:rsidR="00311BB8" w:rsidRDefault="00311BB8">
            <w:pPr>
              <w:pStyle w:val="AMPRTABLEA-TextLEFTalligned-BLACK"/>
              <w:rPr>
                <w:noProof/>
              </w:rPr>
            </w:pPr>
          </w:p>
        </w:tc>
        <w:tc>
          <w:tcPr>
            <w:tcW w:w="1059"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59"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2.2%</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3.1%</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1.1%</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2.0%</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1.1%</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1.1%</w:t>
            </w:r>
          </w:p>
        </w:tc>
      </w:tr>
      <w:tr w:rsidR="00311BB8" w:rsidTr="00311BB8">
        <w:trPr>
          <w:trHeight w:val="232"/>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rsidR="00311BB8" w:rsidRDefault="00D91061">
            <w:pPr>
              <w:pStyle w:val="AMPRTABLEA-TextLEFTalligned-BLACK"/>
              <w:rPr>
                <w:noProof/>
              </w:rPr>
            </w:pPr>
            <w:r>
              <w:rPr>
                <w:noProof/>
              </w:rPr>
              <w:t>External relations</w:t>
            </w:r>
          </w:p>
        </w:tc>
        <w:tc>
          <w:tcPr>
            <w:tcW w:w="1059"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13</w:t>
            </w:r>
            <w:r>
              <w:rPr>
                <w:rFonts w:ascii="Calibri" w:hAnsi="Calibri" w:cs="Calibri"/>
                <w:noProof/>
              </w:rPr>
              <w:t> </w:t>
            </w:r>
            <w:r>
              <w:rPr>
                <w:noProof/>
              </w:rPr>
              <w:t>623.8</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9</w:t>
            </w:r>
            <w:r>
              <w:rPr>
                <w:rFonts w:ascii="Calibri" w:hAnsi="Calibri" w:cs="Calibri"/>
                <w:noProof/>
              </w:rPr>
              <w:t> </w:t>
            </w:r>
            <w:r>
              <w:rPr>
                <w:noProof/>
              </w:rPr>
              <w:t>378.3</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0.0</w:t>
            </w:r>
          </w:p>
        </w:tc>
        <w:tc>
          <w:tcPr>
            <w:tcW w:w="1059"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7</w:t>
            </w:r>
            <w:r>
              <w:rPr>
                <w:rFonts w:ascii="Calibri" w:hAnsi="Calibri" w:cs="Calibri"/>
                <w:noProof/>
              </w:rPr>
              <w:t> </w:t>
            </w:r>
            <w:r>
              <w:rPr>
                <w:noProof/>
              </w:rPr>
              <w:t>555.5</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0.0</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11</w:t>
            </w:r>
            <w:r>
              <w:rPr>
                <w:rFonts w:ascii="Calibri" w:hAnsi="Calibri" w:cs="Calibri"/>
                <w:noProof/>
              </w:rPr>
              <w:t> </w:t>
            </w:r>
            <w:r>
              <w:rPr>
                <w:noProof/>
              </w:rPr>
              <w:t>801.0</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119.5</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119.5</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31.7</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31.7</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87.8</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87.8</w:t>
            </w:r>
          </w:p>
        </w:tc>
      </w:tr>
      <w:tr w:rsidR="00311BB8" w:rsidTr="00311BB8">
        <w:trPr>
          <w:trHeight w:val="232"/>
        </w:trPr>
        <w:tc>
          <w:tcPr>
            <w:cnfStyle w:val="001000000000" w:firstRow="0" w:lastRow="0" w:firstColumn="1" w:lastColumn="0" w:oddVBand="0" w:evenVBand="0" w:oddHBand="0" w:evenHBand="0" w:firstRowFirstColumn="0" w:firstRowLastColumn="0" w:lastRowFirstColumn="0" w:lastRowLastColumn="0"/>
            <w:tcW w:w="2127" w:type="dxa"/>
            <w:vMerge/>
            <w:hideMark/>
          </w:tcPr>
          <w:p w:rsidR="00311BB8" w:rsidRDefault="00311BB8">
            <w:pPr>
              <w:pStyle w:val="AMPRTABLEA-TextLEFTalligned-BLACK"/>
              <w:rPr>
                <w:noProof/>
              </w:rPr>
            </w:pPr>
          </w:p>
        </w:tc>
        <w:tc>
          <w:tcPr>
            <w:tcW w:w="1059"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59"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1.0%</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1.0%</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0.3%</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0.3%</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0.7%</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0.7%</w:t>
            </w:r>
          </w:p>
        </w:tc>
      </w:tr>
      <w:tr w:rsidR="00311BB8" w:rsidTr="00311BB8">
        <w:trPr>
          <w:trHeight w:val="232"/>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rsidR="00311BB8" w:rsidRDefault="00D91061">
            <w:pPr>
              <w:pStyle w:val="AMPRTABLEA-TextLEFTalligned-BLACK"/>
              <w:rPr>
                <w:noProof/>
                <w:lang w:val="en-GB"/>
              </w:rPr>
            </w:pPr>
            <w:r>
              <w:rPr>
                <w:noProof/>
                <w:lang w:val="en-GB"/>
              </w:rPr>
              <w:t>Research, industry, space, energy and transport</w:t>
            </w:r>
          </w:p>
        </w:tc>
        <w:tc>
          <w:tcPr>
            <w:tcW w:w="1059"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16</w:t>
            </w:r>
            <w:r>
              <w:rPr>
                <w:rFonts w:ascii="Calibri" w:hAnsi="Calibri" w:cs="Calibri"/>
                <w:noProof/>
              </w:rPr>
              <w:t> </w:t>
            </w:r>
            <w:r>
              <w:rPr>
                <w:noProof/>
              </w:rPr>
              <w:t>875.8</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10</w:t>
            </w:r>
            <w:r>
              <w:rPr>
                <w:rFonts w:ascii="Calibri" w:hAnsi="Calibri" w:cs="Calibri"/>
                <w:noProof/>
              </w:rPr>
              <w:t> </w:t>
            </w:r>
            <w:r>
              <w:rPr>
                <w:noProof/>
              </w:rPr>
              <w:t>051.9</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0.0</w:t>
            </w:r>
          </w:p>
        </w:tc>
        <w:tc>
          <w:tcPr>
            <w:tcW w:w="1059"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8</w:t>
            </w:r>
            <w:r>
              <w:rPr>
                <w:rFonts w:ascii="Calibri" w:hAnsi="Calibri" w:cs="Calibri"/>
                <w:noProof/>
              </w:rPr>
              <w:t> </w:t>
            </w:r>
            <w:r>
              <w:rPr>
                <w:noProof/>
              </w:rPr>
              <w:t>212.9</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0.0</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15</w:t>
            </w:r>
            <w:r>
              <w:rPr>
                <w:rFonts w:ascii="Calibri" w:hAnsi="Calibri" w:cs="Calibri"/>
                <w:noProof/>
              </w:rPr>
              <w:t> </w:t>
            </w:r>
            <w:r>
              <w:rPr>
                <w:noProof/>
              </w:rPr>
              <w:t>036.8</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292.6</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293.2</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71.4</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71.4</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221.3</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221.9</w:t>
            </w:r>
          </w:p>
        </w:tc>
      </w:tr>
      <w:tr w:rsidR="00311BB8" w:rsidTr="00311BB8">
        <w:trPr>
          <w:trHeight w:val="232"/>
        </w:trPr>
        <w:tc>
          <w:tcPr>
            <w:cnfStyle w:val="001000000000" w:firstRow="0" w:lastRow="0" w:firstColumn="1" w:lastColumn="0" w:oddVBand="0" w:evenVBand="0" w:oddHBand="0" w:evenHBand="0" w:firstRowFirstColumn="0" w:firstRowLastColumn="0" w:lastRowFirstColumn="0" w:lastRowLastColumn="0"/>
            <w:tcW w:w="2127" w:type="dxa"/>
            <w:vMerge/>
            <w:hideMark/>
          </w:tcPr>
          <w:p w:rsidR="00311BB8" w:rsidRDefault="00311BB8">
            <w:pPr>
              <w:pStyle w:val="AMPRTABLEA-TextLEFTalligned-BLACK"/>
              <w:rPr>
                <w:noProof/>
              </w:rPr>
            </w:pPr>
          </w:p>
        </w:tc>
        <w:tc>
          <w:tcPr>
            <w:tcW w:w="1059"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59"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1.9%</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2.0%</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0.5%</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0.5%</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1.5%</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1.5%</w:t>
            </w:r>
          </w:p>
        </w:tc>
      </w:tr>
      <w:tr w:rsidR="00311BB8" w:rsidTr="00311BB8">
        <w:trPr>
          <w:trHeight w:val="232"/>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rsidR="00311BB8" w:rsidRDefault="00D91061">
            <w:pPr>
              <w:pStyle w:val="AMPRTABLEA-TextLEFTalligned-BLACK"/>
              <w:rPr>
                <w:noProof/>
              </w:rPr>
            </w:pPr>
            <w:r>
              <w:rPr>
                <w:noProof/>
              </w:rPr>
              <w:t>Other internal policies</w:t>
            </w:r>
          </w:p>
        </w:tc>
        <w:tc>
          <w:tcPr>
            <w:tcW w:w="1059"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8</w:t>
            </w:r>
            <w:r>
              <w:rPr>
                <w:rFonts w:ascii="Calibri" w:hAnsi="Calibri" w:cs="Calibri"/>
                <w:noProof/>
              </w:rPr>
              <w:t> </w:t>
            </w:r>
            <w:r>
              <w:rPr>
                <w:noProof/>
              </w:rPr>
              <w:t>503.2</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5</w:t>
            </w:r>
            <w:r>
              <w:rPr>
                <w:rFonts w:ascii="Calibri" w:hAnsi="Calibri" w:cs="Calibri"/>
                <w:noProof/>
              </w:rPr>
              <w:t> </w:t>
            </w:r>
            <w:r>
              <w:rPr>
                <w:noProof/>
              </w:rPr>
              <w:t>887.7</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0.0</w:t>
            </w:r>
          </w:p>
        </w:tc>
        <w:tc>
          <w:tcPr>
            <w:tcW w:w="1059"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4</w:t>
            </w:r>
            <w:r>
              <w:rPr>
                <w:rFonts w:ascii="Calibri" w:hAnsi="Calibri" w:cs="Calibri"/>
                <w:noProof/>
              </w:rPr>
              <w:t> </w:t>
            </w:r>
            <w:r>
              <w:rPr>
                <w:noProof/>
              </w:rPr>
              <w:t>151.2</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0.0</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6</w:t>
            </w:r>
            <w:r>
              <w:rPr>
                <w:rFonts w:ascii="Calibri" w:hAnsi="Calibri" w:cs="Calibri"/>
                <w:noProof/>
              </w:rPr>
              <w:t> </w:t>
            </w:r>
            <w:r>
              <w:rPr>
                <w:noProof/>
              </w:rPr>
              <w:t>766.7</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68.2</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70.2</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14.4</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14.4</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53.8</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55.9</w:t>
            </w:r>
          </w:p>
        </w:tc>
      </w:tr>
      <w:tr w:rsidR="00311BB8" w:rsidTr="00311BB8">
        <w:trPr>
          <w:trHeight w:val="232"/>
        </w:trPr>
        <w:tc>
          <w:tcPr>
            <w:cnfStyle w:val="001000000000" w:firstRow="0" w:lastRow="0" w:firstColumn="1" w:lastColumn="0" w:oddVBand="0" w:evenVBand="0" w:oddHBand="0" w:evenHBand="0" w:firstRowFirstColumn="0" w:firstRowLastColumn="0" w:lastRowFirstColumn="0" w:lastRowLastColumn="0"/>
            <w:tcW w:w="2127" w:type="dxa"/>
            <w:vMerge/>
            <w:hideMark/>
          </w:tcPr>
          <w:p w:rsidR="00311BB8" w:rsidRDefault="00311BB8">
            <w:pPr>
              <w:pStyle w:val="AMPRTABLEA-TextLEFTalligned-BLACK"/>
              <w:rPr>
                <w:noProof/>
              </w:rPr>
            </w:pPr>
          </w:p>
        </w:tc>
        <w:tc>
          <w:tcPr>
            <w:tcW w:w="1059"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59"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1.0%</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1.0%</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0.2%</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0.2%</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0.8%</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0.8%</w:t>
            </w:r>
          </w:p>
        </w:tc>
      </w:tr>
      <w:tr w:rsidR="00311BB8" w:rsidTr="00311BB8">
        <w:trPr>
          <w:trHeight w:val="232"/>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rsidR="00311BB8" w:rsidRDefault="00D91061">
            <w:pPr>
              <w:pStyle w:val="AMPRTABLEA-TextLEFTalligned-BLACK"/>
              <w:rPr>
                <w:noProof/>
              </w:rPr>
            </w:pPr>
            <w:r>
              <w:rPr>
                <w:noProof/>
              </w:rPr>
              <w:t>Other services and administration</w:t>
            </w:r>
          </w:p>
        </w:tc>
        <w:tc>
          <w:tcPr>
            <w:tcW w:w="1059"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7</w:t>
            </w:r>
            <w:r>
              <w:rPr>
                <w:rFonts w:ascii="Calibri" w:hAnsi="Calibri" w:cs="Calibri"/>
                <w:noProof/>
              </w:rPr>
              <w:t> </w:t>
            </w:r>
            <w:r>
              <w:rPr>
                <w:noProof/>
              </w:rPr>
              <w:t>191.8</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137.1</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0.0</w:t>
            </w:r>
          </w:p>
        </w:tc>
        <w:tc>
          <w:tcPr>
            <w:tcW w:w="1059"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89.3</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0.0</w:t>
            </w:r>
          </w:p>
        </w:tc>
        <w:tc>
          <w:tcPr>
            <w:tcW w:w="1060" w:type="dxa"/>
            <w:vMerge w:val="restart"/>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7</w:t>
            </w:r>
            <w:r>
              <w:rPr>
                <w:rFonts w:ascii="Calibri" w:hAnsi="Calibri" w:cs="Calibri"/>
                <w:noProof/>
              </w:rPr>
              <w:t> </w:t>
            </w:r>
            <w:r>
              <w:rPr>
                <w:noProof/>
              </w:rPr>
              <w:t>143.9</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34.1</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36.0</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0.5</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0.5</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33.6</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35.5</w:t>
            </w:r>
          </w:p>
        </w:tc>
      </w:tr>
      <w:tr w:rsidR="00311BB8" w:rsidTr="00311BB8">
        <w:trPr>
          <w:trHeight w:val="232"/>
        </w:trPr>
        <w:tc>
          <w:tcPr>
            <w:cnfStyle w:val="001000000000" w:firstRow="0" w:lastRow="0" w:firstColumn="1" w:lastColumn="0" w:oddVBand="0" w:evenVBand="0" w:oddHBand="0" w:evenHBand="0" w:firstRowFirstColumn="0" w:firstRowLastColumn="0" w:lastRowFirstColumn="0" w:lastRowLastColumn="0"/>
            <w:tcW w:w="2127" w:type="dxa"/>
            <w:vMerge/>
            <w:hideMark/>
          </w:tcPr>
          <w:p w:rsidR="00311BB8" w:rsidRDefault="00311BB8">
            <w:pPr>
              <w:pStyle w:val="AMPRTABLEA-TextLEFTalligned-BLACK"/>
              <w:rPr>
                <w:noProof/>
              </w:rPr>
            </w:pPr>
          </w:p>
        </w:tc>
        <w:tc>
          <w:tcPr>
            <w:tcW w:w="1059"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59"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1060" w:type="dxa"/>
            <w:vMerge/>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0.5%</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0.5%</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0.0%</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0.0%</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0.5%</w:t>
            </w:r>
          </w:p>
        </w:tc>
        <w:tc>
          <w:tcPr>
            <w:tcW w:w="98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rPr>
            </w:pPr>
            <w:r>
              <w:rPr>
                <w:i/>
                <w:iCs/>
                <w:noProof/>
              </w:rPr>
              <w:t>0.5%</w:t>
            </w:r>
          </w:p>
        </w:tc>
      </w:tr>
      <w:tr w:rsidR="00311BB8" w:rsidTr="00311BB8">
        <w:trPr>
          <w:trHeight w:val="232"/>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4" w:space="0" w:color="5B9BD5" w:themeColor="accent1"/>
            </w:tcBorders>
            <w:shd w:val="clear" w:color="auto" w:fill="DEEAF6" w:themeFill="accent1" w:themeFillTint="33"/>
            <w:noWrap/>
            <w:hideMark/>
          </w:tcPr>
          <w:p w:rsidR="00311BB8" w:rsidRDefault="00D91061">
            <w:pPr>
              <w:pStyle w:val="AMPRTABLEA-TOTALLEFTalligned-BLACK"/>
              <w:rPr>
                <w:noProof/>
                <w:lang w:eastAsia="en-GB"/>
              </w:rPr>
            </w:pPr>
            <w:r>
              <w:rPr>
                <w:noProof/>
                <w:lang w:eastAsia="en-GB"/>
              </w:rPr>
              <w:t>Total 2019</w:t>
            </w:r>
          </w:p>
        </w:tc>
        <w:tc>
          <w:tcPr>
            <w:tcW w:w="1059" w:type="dxa"/>
            <w:vMerge w:val="restart"/>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r>
              <w:rPr>
                <w:b/>
                <w:bCs/>
                <w:noProof/>
                <w:lang w:eastAsia="en-GB"/>
              </w:rPr>
              <w:t>158</w:t>
            </w:r>
            <w:r>
              <w:rPr>
                <w:rFonts w:ascii="Calibri" w:hAnsi="Calibri" w:cs="Calibri"/>
                <w:b/>
                <w:bCs/>
                <w:noProof/>
                <w:lang w:eastAsia="en-GB"/>
              </w:rPr>
              <w:t> </w:t>
            </w:r>
            <w:r>
              <w:rPr>
                <w:b/>
                <w:bCs/>
                <w:noProof/>
                <w:lang w:eastAsia="en-GB"/>
              </w:rPr>
              <w:t>855.6</w:t>
            </w:r>
          </w:p>
        </w:tc>
        <w:tc>
          <w:tcPr>
            <w:tcW w:w="1060" w:type="dxa"/>
            <w:vMerge w:val="restart"/>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r>
              <w:rPr>
                <w:b/>
                <w:bCs/>
                <w:noProof/>
                <w:lang w:eastAsia="en-GB"/>
              </w:rPr>
              <w:t>35</w:t>
            </w:r>
            <w:r>
              <w:rPr>
                <w:rFonts w:ascii="Calibri" w:hAnsi="Calibri" w:cs="Calibri"/>
                <w:b/>
                <w:bCs/>
                <w:noProof/>
                <w:lang w:eastAsia="en-GB"/>
              </w:rPr>
              <w:t> </w:t>
            </w:r>
            <w:r>
              <w:rPr>
                <w:b/>
                <w:bCs/>
                <w:noProof/>
                <w:lang w:eastAsia="en-GB"/>
              </w:rPr>
              <w:t>905.0</w:t>
            </w:r>
          </w:p>
        </w:tc>
        <w:tc>
          <w:tcPr>
            <w:tcW w:w="1060" w:type="dxa"/>
            <w:vMerge w:val="restart"/>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r>
              <w:rPr>
                <w:b/>
                <w:bCs/>
                <w:noProof/>
                <w:lang w:eastAsia="en-GB"/>
              </w:rPr>
              <w:t>4</w:t>
            </w:r>
            <w:r>
              <w:rPr>
                <w:rFonts w:ascii="Calibri" w:hAnsi="Calibri" w:cs="Calibri"/>
                <w:b/>
                <w:bCs/>
                <w:noProof/>
                <w:lang w:eastAsia="en-GB"/>
              </w:rPr>
              <w:t> </w:t>
            </w:r>
            <w:r>
              <w:rPr>
                <w:b/>
                <w:bCs/>
                <w:noProof/>
                <w:lang w:eastAsia="en-GB"/>
              </w:rPr>
              <w:t>673.0</w:t>
            </w:r>
          </w:p>
        </w:tc>
        <w:tc>
          <w:tcPr>
            <w:tcW w:w="1059" w:type="dxa"/>
            <w:vMerge w:val="restart"/>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r>
              <w:rPr>
                <w:b/>
                <w:bCs/>
                <w:noProof/>
                <w:lang w:eastAsia="en-GB"/>
              </w:rPr>
              <w:t>24</w:t>
            </w:r>
            <w:r>
              <w:rPr>
                <w:rFonts w:ascii="Calibri" w:hAnsi="Calibri" w:cs="Calibri"/>
                <w:b/>
                <w:bCs/>
                <w:noProof/>
                <w:lang w:eastAsia="en-GB"/>
              </w:rPr>
              <w:t> </w:t>
            </w:r>
            <w:r>
              <w:rPr>
                <w:b/>
                <w:bCs/>
                <w:noProof/>
                <w:lang w:eastAsia="en-GB"/>
              </w:rPr>
              <w:t>481.5</w:t>
            </w:r>
          </w:p>
        </w:tc>
        <w:tc>
          <w:tcPr>
            <w:tcW w:w="1060" w:type="dxa"/>
            <w:vMerge w:val="restart"/>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r>
              <w:rPr>
                <w:b/>
                <w:bCs/>
                <w:noProof/>
                <w:lang w:eastAsia="en-GB"/>
              </w:rPr>
              <w:t>4</w:t>
            </w:r>
            <w:r>
              <w:rPr>
                <w:rFonts w:ascii="Calibri" w:hAnsi="Calibri" w:cs="Calibri"/>
                <w:b/>
                <w:bCs/>
                <w:noProof/>
                <w:lang w:eastAsia="en-GB"/>
              </w:rPr>
              <w:t> </w:t>
            </w:r>
            <w:r>
              <w:rPr>
                <w:b/>
                <w:bCs/>
                <w:noProof/>
                <w:lang w:eastAsia="en-GB"/>
              </w:rPr>
              <w:t>713.2</w:t>
            </w:r>
          </w:p>
        </w:tc>
        <w:tc>
          <w:tcPr>
            <w:tcW w:w="1060" w:type="dxa"/>
            <w:vMerge w:val="restart"/>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r>
              <w:rPr>
                <w:b/>
                <w:bCs/>
                <w:noProof/>
                <w:lang w:eastAsia="en-GB"/>
              </w:rPr>
              <w:t>147</w:t>
            </w:r>
            <w:r>
              <w:rPr>
                <w:rFonts w:ascii="Calibri" w:hAnsi="Calibri" w:cs="Calibri"/>
                <w:b/>
                <w:bCs/>
                <w:noProof/>
                <w:lang w:eastAsia="en-GB"/>
              </w:rPr>
              <w:t> </w:t>
            </w:r>
            <w:r>
              <w:rPr>
                <w:b/>
                <w:bCs/>
                <w:noProof/>
                <w:lang w:eastAsia="en-GB"/>
              </w:rPr>
              <w:t>391.9</w:t>
            </w:r>
          </w:p>
        </w:tc>
        <w:tc>
          <w:tcPr>
            <w:tcW w:w="985" w:type="dxa"/>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r>
              <w:rPr>
                <w:b/>
                <w:bCs/>
                <w:noProof/>
                <w:lang w:eastAsia="en-GB"/>
              </w:rPr>
              <w:t>2</w:t>
            </w:r>
            <w:r>
              <w:rPr>
                <w:rFonts w:ascii="Calibri" w:hAnsi="Calibri" w:cs="Calibri"/>
                <w:b/>
                <w:bCs/>
                <w:noProof/>
                <w:lang w:eastAsia="en-GB"/>
              </w:rPr>
              <w:t> </w:t>
            </w:r>
            <w:r>
              <w:rPr>
                <w:b/>
                <w:bCs/>
                <w:noProof/>
                <w:lang w:eastAsia="en-GB"/>
              </w:rPr>
              <w:t>670.7</w:t>
            </w:r>
          </w:p>
        </w:tc>
        <w:tc>
          <w:tcPr>
            <w:tcW w:w="985" w:type="dxa"/>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r>
              <w:rPr>
                <w:b/>
                <w:bCs/>
                <w:noProof/>
                <w:lang w:eastAsia="en-GB"/>
              </w:rPr>
              <w:t>3</w:t>
            </w:r>
            <w:r>
              <w:rPr>
                <w:rFonts w:ascii="Calibri" w:hAnsi="Calibri" w:cs="Calibri"/>
                <w:b/>
                <w:bCs/>
                <w:noProof/>
                <w:lang w:eastAsia="en-GB"/>
              </w:rPr>
              <w:t> </w:t>
            </w:r>
            <w:r>
              <w:rPr>
                <w:b/>
                <w:bCs/>
                <w:noProof/>
                <w:lang w:eastAsia="en-GB"/>
              </w:rPr>
              <w:t>111.9</w:t>
            </w:r>
          </w:p>
        </w:tc>
        <w:tc>
          <w:tcPr>
            <w:tcW w:w="985" w:type="dxa"/>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r>
              <w:rPr>
                <w:b/>
                <w:bCs/>
                <w:noProof/>
                <w:lang w:eastAsia="en-GB"/>
              </w:rPr>
              <w:t>1</w:t>
            </w:r>
            <w:r>
              <w:rPr>
                <w:rFonts w:ascii="Calibri" w:hAnsi="Calibri" w:cs="Calibri"/>
                <w:b/>
                <w:bCs/>
                <w:noProof/>
                <w:lang w:eastAsia="en-GB"/>
              </w:rPr>
              <w:t> </w:t>
            </w:r>
            <w:r>
              <w:rPr>
                <w:b/>
                <w:bCs/>
                <w:noProof/>
                <w:lang w:eastAsia="en-GB"/>
              </w:rPr>
              <w:t>672.6</w:t>
            </w:r>
          </w:p>
        </w:tc>
        <w:tc>
          <w:tcPr>
            <w:tcW w:w="985" w:type="dxa"/>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r>
              <w:rPr>
                <w:b/>
                <w:bCs/>
                <w:noProof/>
                <w:lang w:eastAsia="en-GB"/>
              </w:rPr>
              <w:t>2 109.2</w:t>
            </w:r>
          </w:p>
        </w:tc>
        <w:tc>
          <w:tcPr>
            <w:tcW w:w="985" w:type="dxa"/>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r>
              <w:rPr>
                <w:b/>
                <w:bCs/>
                <w:noProof/>
                <w:lang w:eastAsia="en-GB"/>
              </w:rPr>
              <w:t>998.1</w:t>
            </w:r>
          </w:p>
        </w:tc>
        <w:tc>
          <w:tcPr>
            <w:tcW w:w="985" w:type="dxa"/>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r>
              <w:rPr>
                <w:b/>
                <w:bCs/>
                <w:noProof/>
                <w:lang w:eastAsia="en-GB"/>
              </w:rPr>
              <w:t>1</w:t>
            </w:r>
            <w:r>
              <w:rPr>
                <w:rFonts w:ascii="Calibri" w:hAnsi="Calibri" w:cs="Calibri"/>
                <w:b/>
                <w:bCs/>
                <w:noProof/>
                <w:lang w:eastAsia="en-GB"/>
              </w:rPr>
              <w:t> </w:t>
            </w:r>
            <w:r>
              <w:rPr>
                <w:b/>
                <w:bCs/>
                <w:noProof/>
                <w:lang w:eastAsia="en-GB"/>
              </w:rPr>
              <w:t>002.7</w:t>
            </w:r>
          </w:p>
        </w:tc>
      </w:tr>
      <w:tr w:rsidR="00311BB8" w:rsidTr="00311BB8">
        <w:trPr>
          <w:trHeight w:val="2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4" w:space="0" w:color="F68A42"/>
            </w:tcBorders>
            <w:shd w:val="clear" w:color="auto" w:fill="FDE7D9"/>
            <w:hideMark/>
          </w:tcPr>
          <w:p w:rsidR="00311BB8" w:rsidRDefault="00311BB8">
            <w:pPr>
              <w:pStyle w:val="AMPRTABLEA-TextLEFTalligned-BLACK"/>
              <w:rPr>
                <w:noProof/>
                <w:lang w:eastAsia="en-GB"/>
              </w:rPr>
            </w:pPr>
          </w:p>
        </w:tc>
        <w:tc>
          <w:tcPr>
            <w:tcW w:w="1059" w:type="dxa"/>
            <w:vMerge/>
            <w:tcBorders>
              <w:top w:val="single" w:sz="4" w:space="0" w:color="F68A42"/>
            </w:tcBorders>
            <w:shd w:val="clear" w:color="auto" w:fill="FDE7D9"/>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p>
        </w:tc>
        <w:tc>
          <w:tcPr>
            <w:tcW w:w="1060" w:type="dxa"/>
            <w:vMerge/>
            <w:tcBorders>
              <w:top w:val="single" w:sz="4" w:space="0" w:color="F68A42"/>
            </w:tcBorders>
            <w:shd w:val="clear" w:color="auto" w:fill="FDE7D9"/>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p>
        </w:tc>
        <w:tc>
          <w:tcPr>
            <w:tcW w:w="1060" w:type="dxa"/>
            <w:vMerge/>
            <w:tcBorders>
              <w:top w:val="single" w:sz="4" w:space="0" w:color="F68A42"/>
            </w:tcBorders>
            <w:shd w:val="clear" w:color="auto" w:fill="FDE7D9"/>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p>
        </w:tc>
        <w:tc>
          <w:tcPr>
            <w:tcW w:w="1059" w:type="dxa"/>
            <w:vMerge/>
            <w:tcBorders>
              <w:top w:val="single" w:sz="4" w:space="0" w:color="F68A42"/>
            </w:tcBorders>
            <w:shd w:val="clear" w:color="auto" w:fill="FDE7D9"/>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p>
        </w:tc>
        <w:tc>
          <w:tcPr>
            <w:tcW w:w="1060" w:type="dxa"/>
            <w:vMerge/>
            <w:tcBorders>
              <w:top w:val="single" w:sz="4" w:space="0" w:color="F68A42"/>
            </w:tcBorders>
            <w:shd w:val="clear" w:color="auto" w:fill="FDE7D9"/>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p>
        </w:tc>
        <w:tc>
          <w:tcPr>
            <w:tcW w:w="1060" w:type="dxa"/>
            <w:vMerge/>
            <w:tcBorders>
              <w:top w:val="single" w:sz="4" w:space="0" w:color="F68A42"/>
            </w:tcBorders>
            <w:shd w:val="clear" w:color="auto" w:fill="FDE7D9"/>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b/>
                <w:bCs/>
                <w:noProof/>
                <w:lang w:eastAsia="en-GB"/>
              </w:rPr>
            </w:pPr>
          </w:p>
        </w:tc>
        <w:tc>
          <w:tcPr>
            <w:tcW w:w="985" w:type="dxa"/>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i/>
                <w:iCs/>
                <w:noProof/>
                <w:lang w:eastAsia="en-GB"/>
              </w:rPr>
            </w:pPr>
            <w:r>
              <w:rPr>
                <w:b/>
                <w:bCs/>
                <w:i/>
                <w:iCs/>
                <w:noProof/>
                <w:lang w:eastAsia="en-GB"/>
              </w:rPr>
              <w:t>1.8%</w:t>
            </w:r>
          </w:p>
        </w:tc>
        <w:tc>
          <w:tcPr>
            <w:tcW w:w="985" w:type="dxa"/>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i/>
                <w:iCs/>
                <w:noProof/>
                <w:lang w:eastAsia="en-GB"/>
              </w:rPr>
            </w:pPr>
            <w:r>
              <w:rPr>
                <w:b/>
                <w:bCs/>
                <w:i/>
                <w:iCs/>
                <w:noProof/>
                <w:lang w:eastAsia="en-GB"/>
              </w:rPr>
              <w:t>2.1%</w:t>
            </w:r>
          </w:p>
        </w:tc>
        <w:tc>
          <w:tcPr>
            <w:tcW w:w="985" w:type="dxa"/>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i/>
                <w:iCs/>
                <w:noProof/>
                <w:lang w:eastAsia="en-GB"/>
              </w:rPr>
            </w:pPr>
            <w:r>
              <w:rPr>
                <w:b/>
                <w:bCs/>
                <w:i/>
                <w:iCs/>
                <w:noProof/>
                <w:lang w:eastAsia="en-GB"/>
              </w:rPr>
              <w:t>1.1%</w:t>
            </w:r>
          </w:p>
        </w:tc>
        <w:tc>
          <w:tcPr>
            <w:tcW w:w="985" w:type="dxa"/>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i/>
                <w:iCs/>
                <w:noProof/>
                <w:lang w:eastAsia="en-GB"/>
              </w:rPr>
            </w:pPr>
            <w:r>
              <w:rPr>
                <w:b/>
                <w:bCs/>
                <w:i/>
                <w:iCs/>
                <w:noProof/>
                <w:lang w:eastAsia="en-GB"/>
              </w:rPr>
              <w:t>1.4%</w:t>
            </w:r>
          </w:p>
        </w:tc>
        <w:tc>
          <w:tcPr>
            <w:tcW w:w="985" w:type="dxa"/>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i/>
                <w:iCs/>
                <w:noProof/>
                <w:lang w:eastAsia="en-GB"/>
              </w:rPr>
            </w:pPr>
            <w:r>
              <w:rPr>
                <w:b/>
                <w:bCs/>
                <w:i/>
                <w:iCs/>
                <w:noProof/>
                <w:lang w:eastAsia="en-GB"/>
              </w:rPr>
              <w:t>0.7%</w:t>
            </w:r>
          </w:p>
        </w:tc>
        <w:tc>
          <w:tcPr>
            <w:tcW w:w="985" w:type="dxa"/>
            <w:tcBorders>
              <w:top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b/>
                <w:bCs/>
                <w:i/>
                <w:iCs/>
                <w:noProof/>
                <w:lang w:eastAsia="en-GB"/>
              </w:rPr>
            </w:pPr>
            <w:r>
              <w:rPr>
                <w:b/>
                <w:bCs/>
                <w:i/>
                <w:iCs/>
                <w:noProof/>
                <w:lang w:eastAsia="en-GB"/>
              </w:rPr>
              <w:t>0.7%</w:t>
            </w:r>
          </w:p>
        </w:tc>
      </w:tr>
      <w:tr w:rsidR="00311BB8" w:rsidTr="00311BB8">
        <w:trPr>
          <w:trHeight w:val="2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extLEFTalligned-BLACK"/>
              <w:rPr>
                <w:i/>
                <w:iCs/>
                <w:noProof/>
                <w:lang w:eastAsia="en-GB"/>
              </w:rPr>
            </w:pPr>
            <w:r>
              <w:rPr>
                <w:i/>
                <w:iCs/>
                <w:noProof/>
                <w:lang w:eastAsia="en-GB"/>
              </w:rPr>
              <w:t>Total 2018</w:t>
            </w:r>
          </w:p>
        </w:tc>
        <w:tc>
          <w:tcPr>
            <w:tcW w:w="1059"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lang w:eastAsia="en-GB"/>
              </w:rPr>
            </w:pPr>
            <w:r>
              <w:rPr>
                <w:i/>
                <w:iCs/>
                <w:noProof/>
                <w:lang w:eastAsia="en-GB"/>
              </w:rPr>
              <w:t>156</w:t>
            </w:r>
            <w:r>
              <w:rPr>
                <w:rFonts w:ascii="Calibri" w:hAnsi="Calibri" w:cs="Calibri"/>
                <w:i/>
                <w:iCs/>
                <w:noProof/>
                <w:lang w:eastAsia="en-GB"/>
              </w:rPr>
              <w:t> </w:t>
            </w:r>
            <w:r>
              <w:rPr>
                <w:i/>
                <w:iCs/>
                <w:noProof/>
                <w:lang w:eastAsia="en-GB"/>
              </w:rPr>
              <w:t>748.5</w:t>
            </w:r>
          </w:p>
        </w:tc>
        <w:tc>
          <w:tcPr>
            <w:tcW w:w="1060"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lang w:eastAsia="en-GB"/>
              </w:rPr>
            </w:pPr>
            <w:r>
              <w:rPr>
                <w:rFonts w:ascii="Calibri" w:hAnsi="Calibri" w:cs="Calibri"/>
                <w:i/>
                <w:iCs/>
                <w:noProof/>
                <w:lang w:eastAsia="en-GB"/>
              </w:rPr>
              <w:t> </w:t>
            </w:r>
          </w:p>
        </w:tc>
        <w:tc>
          <w:tcPr>
            <w:tcW w:w="1060"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lang w:eastAsia="en-GB"/>
              </w:rPr>
            </w:pPr>
            <w:r>
              <w:rPr>
                <w:rFonts w:ascii="Calibri" w:hAnsi="Calibri" w:cs="Calibri"/>
                <w:i/>
                <w:iCs/>
                <w:noProof/>
                <w:lang w:eastAsia="en-GB"/>
              </w:rPr>
              <w:t> </w:t>
            </w:r>
          </w:p>
        </w:tc>
        <w:tc>
          <w:tcPr>
            <w:tcW w:w="1059"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lang w:eastAsia="en-GB"/>
              </w:rPr>
            </w:pPr>
            <w:r>
              <w:rPr>
                <w:rFonts w:ascii="Calibri" w:hAnsi="Calibri" w:cs="Calibri"/>
                <w:i/>
                <w:iCs/>
                <w:noProof/>
                <w:lang w:eastAsia="en-GB"/>
              </w:rPr>
              <w:t> </w:t>
            </w:r>
          </w:p>
        </w:tc>
        <w:tc>
          <w:tcPr>
            <w:tcW w:w="1060"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lang w:eastAsia="en-GB"/>
              </w:rPr>
            </w:pPr>
            <w:r>
              <w:rPr>
                <w:rFonts w:ascii="Calibri" w:hAnsi="Calibri" w:cs="Calibri"/>
                <w:i/>
                <w:iCs/>
                <w:noProof/>
                <w:lang w:eastAsia="en-GB"/>
              </w:rPr>
              <w:t> </w:t>
            </w:r>
          </w:p>
        </w:tc>
        <w:tc>
          <w:tcPr>
            <w:tcW w:w="1060"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i/>
                <w:iCs/>
                <w:noProof/>
                <w:lang w:eastAsia="en-GB"/>
              </w:rPr>
            </w:pPr>
            <w:r>
              <w:rPr>
                <w:i/>
                <w:iCs/>
                <w:noProof/>
                <w:lang w:eastAsia="en-GB"/>
              </w:rPr>
              <w:t>150</w:t>
            </w:r>
            <w:r>
              <w:rPr>
                <w:rFonts w:ascii="Calibri" w:hAnsi="Calibri" w:cs="Calibri"/>
                <w:i/>
                <w:iCs/>
                <w:noProof/>
                <w:lang w:eastAsia="en-GB"/>
              </w:rPr>
              <w:t> </w:t>
            </w:r>
            <w:r>
              <w:rPr>
                <w:i/>
                <w:iCs/>
                <w:noProof/>
                <w:lang w:eastAsia="en-GB"/>
              </w:rPr>
              <w:t>252.6</w:t>
            </w:r>
          </w:p>
        </w:tc>
        <w:tc>
          <w:tcPr>
            <w:tcW w:w="1970" w:type="dxa"/>
            <w:gridSpan w:val="2"/>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extRIGHTalligned-BLACK"/>
              <w:jc w:val="center"/>
              <w:cnfStyle w:val="000000000000" w:firstRow="0" w:lastRow="0" w:firstColumn="0" w:lastColumn="0" w:oddVBand="0" w:evenVBand="0" w:oddHBand="0" w:evenHBand="0" w:firstRowFirstColumn="0" w:firstRowLastColumn="0" w:lastRowFirstColumn="0" w:lastRowLastColumn="0"/>
              <w:rPr>
                <w:i/>
                <w:iCs/>
                <w:noProof/>
                <w:lang w:eastAsia="en-GB"/>
              </w:rPr>
            </w:pPr>
            <w:r>
              <w:rPr>
                <w:i/>
                <w:iCs/>
                <w:noProof/>
                <w:lang w:eastAsia="en-GB"/>
              </w:rPr>
              <w:t>1.7%</w:t>
            </w:r>
          </w:p>
        </w:tc>
        <w:tc>
          <w:tcPr>
            <w:tcW w:w="1970" w:type="dxa"/>
            <w:gridSpan w:val="2"/>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extRIGHTalligned-BLACK"/>
              <w:jc w:val="center"/>
              <w:cnfStyle w:val="000000000000" w:firstRow="0" w:lastRow="0" w:firstColumn="0" w:lastColumn="0" w:oddVBand="0" w:evenVBand="0" w:oddHBand="0" w:evenHBand="0" w:firstRowFirstColumn="0" w:firstRowLastColumn="0" w:lastRowFirstColumn="0" w:lastRowLastColumn="0"/>
              <w:rPr>
                <w:i/>
                <w:iCs/>
                <w:noProof/>
                <w:lang w:eastAsia="en-GB"/>
              </w:rPr>
            </w:pPr>
            <w:r>
              <w:rPr>
                <w:i/>
                <w:iCs/>
                <w:noProof/>
                <w:lang w:eastAsia="en-GB"/>
              </w:rPr>
              <w:t>0.9%</w:t>
            </w:r>
          </w:p>
        </w:tc>
        <w:tc>
          <w:tcPr>
            <w:tcW w:w="1970" w:type="dxa"/>
            <w:gridSpan w:val="2"/>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extRIGHTalligned-BLACK"/>
              <w:jc w:val="center"/>
              <w:cnfStyle w:val="000000000000" w:firstRow="0" w:lastRow="0" w:firstColumn="0" w:lastColumn="0" w:oddVBand="0" w:evenVBand="0" w:oddHBand="0" w:evenHBand="0" w:firstRowFirstColumn="0" w:firstRowLastColumn="0" w:lastRowFirstColumn="0" w:lastRowLastColumn="0"/>
              <w:rPr>
                <w:i/>
                <w:iCs/>
                <w:noProof/>
                <w:lang w:eastAsia="en-GB"/>
              </w:rPr>
            </w:pPr>
            <w:r>
              <w:rPr>
                <w:i/>
                <w:iCs/>
                <w:noProof/>
                <w:lang w:eastAsia="en-GB"/>
              </w:rPr>
              <w:t>0.8%</w:t>
            </w:r>
          </w:p>
        </w:tc>
      </w:tr>
    </w:tbl>
    <w:p w:rsidR="00311BB8" w:rsidRDefault="00D91061">
      <w:pPr>
        <w:pStyle w:val="AMPRChart-Tabletitle"/>
        <w:rPr>
          <w:noProof/>
        </w:rPr>
      </w:pPr>
      <w:r>
        <w:rPr>
          <w:noProof/>
        </w:rPr>
        <w:t>Table B:</w:t>
      </w:r>
      <w:r>
        <w:rPr>
          <w:i/>
          <w:noProof/>
        </w:rPr>
        <w:t xml:space="preserve"> </w:t>
      </w:r>
      <w:r>
        <w:rPr>
          <w:noProof/>
        </w:rPr>
        <w:t>Risk at payment/closure per policy area for the whole Commission (2019, million EUR)</w:t>
      </w:r>
    </w:p>
    <w:p w:rsidR="00311BB8" w:rsidRDefault="00D91061">
      <w:pPr>
        <w:pStyle w:val="AMPRSource-Table-Chart-Photo-Caption"/>
        <w:rPr>
          <w:noProof/>
          <w:highlight w:val="yellow"/>
        </w:rPr>
      </w:pPr>
      <w:r>
        <w:rPr>
          <w:i/>
          <w:noProof/>
        </w:rPr>
        <w:t>Source:</w:t>
      </w:r>
      <w:r>
        <w:rPr>
          <w:noProof/>
        </w:rPr>
        <w:t xml:space="preserve"> Commission annual activity reports.</w:t>
      </w:r>
      <w:r>
        <w:rPr>
          <w:noProof/>
          <w:highlight w:val="yellow"/>
        </w:rPr>
        <w:br w:type="page"/>
      </w:r>
    </w:p>
    <w:p w:rsidR="00311BB8" w:rsidRDefault="00311BB8">
      <w:pPr>
        <w:pStyle w:val="Hidelastparagraphafterthetable"/>
        <w:rPr>
          <w:noProof/>
        </w:rPr>
      </w:pPr>
    </w:p>
    <w:tbl>
      <w:tblPr>
        <w:tblStyle w:val="AMPRTABLEA-Template"/>
        <w:tblW w:w="14288" w:type="dxa"/>
        <w:tblLayout w:type="fixed"/>
        <w:tblLook w:val="04E0" w:firstRow="1" w:lastRow="1" w:firstColumn="1" w:lastColumn="0" w:noHBand="0" w:noVBand="1"/>
      </w:tblPr>
      <w:tblGrid>
        <w:gridCol w:w="1178"/>
        <w:gridCol w:w="1767"/>
        <w:gridCol w:w="1120"/>
        <w:gridCol w:w="1004"/>
        <w:gridCol w:w="884"/>
        <w:gridCol w:w="1004"/>
        <w:gridCol w:w="1079"/>
        <w:gridCol w:w="925"/>
        <w:gridCol w:w="896"/>
        <w:gridCol w:w="896"/>
        <w:gridCol w:w="896"/>
        <w:gridCol w:w="896"/>
        <w:gridCol w:w="896"/>
        <w:gridCol w:w="847"/>
      </w:tblGrid>
      <w:tr w:rsidR="00311BB8" w:rsidTr="00311BB8">
        <w:trPr>
          <w:cnfStyle w:val="100000000000" w:firstRow="1" w:lastRow="0" w:firstColumn="0" w:lastColumn="0" w:oddVBand="0" w:evenVBand="0" w:oddHBand="0" w:evenHBand="0" w:firstRowFirstColumn="0" w:firstRowLastColumn="0" w:lastRowFirstColumn="0" w:lastRowLastColumn="0"/>
          <w:trHeight w:val="1928"/>
          <w:tblHeader/>
        </w:trPr>
        <w:tc>
          <w:tcPr>
            <w:cnfStyle w:val="001000000000" w:firstRow="0" w:lastRow="0" w:firstColumn="1" w:lastColumn="0" w:oddVBand="0" w:evenVBand="0" w:oddHBand="0" w:evenHBand="0" w:firstRowFirstColumn="0" w:firstRowLastColumn="0" w:lastRowFirstColumn="0" w:lastRowLastColumn="0"/>
            <w:tcW w:w="1178" w:type="dxa"/>
            <w:vMerge w:val="restart"/>
            <w:tcBorders>
              <w:bottom w:val="single" w:sz="4" w:space="0" w:color="FFFFFF" w:themeColor="background1"/>
            </w:tcBorders>
            <w:noWrap/>
            <w:hideMark/>
          </w:tcPr>
          <w:p w:rsidR="00311BB8" w:rsidRDefault="00D91061">
            <w:pPr>
              <w:pStyle w:val="AMPRTABLEA-HEADERText-WHITE"/>
              <w:spacing w:before="144" w:after="144"/>
              <w:rPr>
                <w:noProof/>
                <w:sz w:val="16"/>
                <w:lang w:eastAsia="en-GB"/>
              </w:rPr>
            </w:pPr>
            <w:r>
              <w:rPr>
                <w:noProof/>
                <w:sz w:val="16"/>
                <w:lang w:eastAsia="en-GB"/>
              </w:rPr>
              <w:t>Policy area</w:t>
            </w:r>
          </w:p>
        </w:tc>
        <w:tc>
          <w:tcPr>
            <w:tcW w:w="1767" w:type="dxa"/>
            <w:vMerge w:val="restart"/>
            <w:tcBorders>
              <w:bottom w:val="single" w:sz="4" w:space="0" w:color="FFFFFF" w:themeColor="background1"/>
            </w:tcBorders>
            <w:noWrap/>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lang w:eastAsia="en-GB"/>
              </w:rPr>
            </w:pPr>
            <w:r>
              <w:rPr>
                <w:noProof/>
                <w:sz w:val="16"/>
                <w:lang w:eastAsia="en-GB"/>
              </w:rPr>
              <w:t>Department</w:t>
            </w:r>
          </w:p>
        </w:tc>
        <w:tc>
          <w:tcPr>
            <w:tcW w:w="1120" w:type="dxa"/>
            <w:vMerge w:val="restart"/>
            <w:textDirection w:val="btLr"/>
            <w:hideMark/>
          </w:tcPr>
          <w:p w:rsidR="00311BB8" w:rsidRDefault="00D91061">
            <w:pPr>
              <w:pStyle w:val="AMPRTABLEA-HEADERText-WHITE"/>
              <w:spacing w:beforeLines="0" w:before="0" w:afterLines="0" w:after="0"/>
              <w:ind w:left="170" w:right="170"/>
              <w:cnfStyle w:val="100000000000" w:firstRow="1" w:lastRow="0" w:firstColumn="0" w:lastColumn="0" w:oddVBand="0" w:evenVBand="0" w:oddHBand="0" w:evenHBand="0" w:firstRowFirstColumn="0" w:firstRowLastColumn="0" w:lastRowFirstColumn="0" w:lastRowLastColumn="0"/>
              <w:rPr>
                <w:noProof/>
                <w:sz w:val="16"/>
                <w:lang w:eastAsia="en-GB"/>
              </w:rPr>
            </w:pPr>
            <w:r>
              <w:rPr>
                <w:noProof/>
                <w:sz w:val="16"/>
                <w:lang w:eastAsia="en-GB"/>
              </w:rPr>
              <w:t>Total payments</w:t>
            </w:r>
            <w:r>
              <w:rPr>
                <w:noProof/>
                <w:sz w:val="16"/>
                <w:szCs w:val="12"/>
                <w:lang w:eastAsia="en-GB"/>
              </w:rPr>
              <w:br/>
            </w:r>
            <w:r>
              <w:rPr>
                <w:i/>
                <w:iCs/>
                <w:noProof/>
                <w:sz w:val="16"/>
                <w:lang w:eastAsia="en-GB"/>
              </w:rPr>
              <w:t>(a)</w:t>
            </w:r>
          </w:p>
        </w:tc>
        <w:tc>
          <w:tcPr>
            <w:tcW w:w="1004" w:type="dxa"/>
            <w:vMerge w:val="restart"/>
            <w:textDirection w:val="btLr"/>
            <w:hideMark/>
          </w:tcPr>
          <w:p w:rsidR="00311BB8" w:rsidRDefault="00D91061">
            <w:pPr>
              <w:pStyle w:val="AMPRTABLEA-HEADERText-WHITE"/>
              <w:spacing w:beforeLines="0" w:before="0" w:afterLines="0" w:after="0"/>
              <w:ind w:left="170" w:right="170"/>
              <w:cnfStyle w:val="100000000000" w:firstRow="1" w:lastRow="0" w:firstColumn="0" w:lastColumn="0" w:oddVBand="0" w:evenVBand="0" w:oddHBand="0" w:evenHBand="0" w:firstRowFirstColumn="0" w:firstRowLastColumn="0" w:lastRowFirstColumn="0" w:lastRowLastColumn="0"/>
              <w:rPr>
                <w:noProof/>
                <w:sz w:val="16"/>
                <w:lang w:val="en-GB" w:eastAsia="en-GB"/>
              </w:rPr>
            </w:pPr>
            <w:r>
              <w:rPr>
                <w:noProof/>
                <w:sz w:val="16"/>
                <w:lang w:val="en-GB" w:eastAsia="en-GB"/>
              </w:rPr>
              <w:t>New pre-financing paid</w:t>
            </w:r>
            <w:r>
              <w:rPr>
                <w:noProof/>
                <w:sz w:val="16"/>
                <w:szCs w:val="12"/>
                <w:lang w:val="en-GB" w:eastAsia="en-GB"/>
              </w:rPr>
              <w:br/>
            </w:r>
            <w:r>
              <w:rPr>
                <w:i/>
                <w:iCs/>
                <w:noProof/>
                <w:sz w:val="16"/>
                <w:lang w:val="en-GB" w:eastAsia="en-GB"/>
              </w:rPr>
              <w:t>(b)</w:t>
            </w:r>
          </w:p>
        </w:tc>
        <w:tc>
          <w:tcPr>
            <w:tcW w:w="884" w:type="dxa"/>
            <w:vMerge w:val="restart"/>
            <w:textDirection w:val="btLr"/>
            <w:hideMark/>
          </w:tcPr>
          <w:p w:rsidR="00311BB8" w:rsidRDefault="00D91061">
            <w:pPr>
              <w:pStyle w:val="AMPRTABLEA-HEADERText-WHITE"/>
              <w:spacing w:beforeLines="0" w:before="0" w:afterLines="0" w:after="0"/>
              <w:ind w:left="170" w:right="170"/>
              <w:cnfStyle w:val="100000000000" w:firstRow="1" w:lastRow="0" w:firstColumn="0" w:lastColumn="0" w:oddVBand="0" w:evenVBand="0" w:oddHBand="0" w:evenHBand="0" w:firstRowFirstColumn="0" w:firstRowLastColumn="0" w:lastRowFirstColumn="0" w:lastRowLastColumn="0"/>
              <w:rPr>
                <w:noProof/>
                <w:sz w:val="16"/>
                <w:lang w:val="en-GB" w:eastAsia="en-GB"/>
              </w:rPr>
            </w:pPr>
            <w:r>
              <w:rPr>
                <w:noProof/>
                <w:sz w:val="16"/>
                <w:lang w:val="en-GB" w:eastAsia="en-GB"/>
              </w:rPr>
              <w:t xml:space="preserve">Retentions made by </w:t>
            </w:r>
            <w:r>
              <w:rPr>
                <w:noProof/>
                <w:sz w:val="16"/>
                <w:szCs w:val="12"/>
                <w:lang w:val="en-GB" w:eastAsia="en-GB"/>
              </w:rPr>
              <w:br/>
            </w:r>
            <w:r>
              <w:rPr>
                <w:noProof/>
                <w:sz w:val="16"/>
                <w:lang w:val="en-GB" w:eastAsia="en-GB"/>
              </w:rPr>
              <w:t>cohesion-related departments</w:t>
            </w:r>
            <w:r>
              <w:rPr>
                <w:noProof/>
                <w:sz w:val="16"/>
                <w:szCs w:val="12"/>
                <w:lang w:val="en-GB" w:eastAsia="en-GB"/>
              </w:rPr>
              <w:br/>
            </w:r>
            <w:r>
              <w:rPr>
                <w:i/>
                <w:iCs/>
                <w:noProof/>
                <w:sz w:val="16"/>
                <w:lang w:val="en-GB" w:eastAsia="en-GB"/>
              </w:rPr>
              <w:t>(c)</w:t>
            </w:r>
          </w:p>
        </w:tc>
        <w:tc>
          <w:tcPr>
            <w:tcW w:w="1004" w:type="dxa"/>
            <w:vMerge w:val="restart"/>
            <w:textDirection w:val="btLr"/>
            <w:hideMark/>
          </w:tcPr>
          <w:p w:rsidR="00311BB8" w:rsidRDefault="00D91061">
            <w:pPr>
              <w:pStyle w:val="AMPRTABLEA-HEADERText-WHITE"/>
              <w:spacing w:beforeLines="0" w:before="0" w:afterLines="0" w:after="0"/>
              <w:ind w:left="170" w:right="170"/>
              <w:cnfStyle w:val="100000000000" w:firstRow="1" w:lastRow="0" w:firstColumn="0" w:lastColumn="0" w:oddVBand="0" w:evenVBand="0" w:oddHBand="0" w:evenHBand="0" w:firstRowFirstColumn="0" w:firstRowLastColumn="0" w:lastRowFirstColumn="0" w:lastRowLastColumn="0"/>
              <w:rPr>
                <w:noProof/>
                <w:sz w:val="16"/>
                <w:lang w:eastAsia="en-GB"/>
              </w:rPr>
            </w:pPr>
            <w:r>
              <w:rPr>
                <w:noProof/>
                <w:sz w:val="16"/>
                <w:lang w:eastAsia="en-GB"/>
              </w:rPr>
              <w:t>Pre-financing cleared</w:t>
            </w:r>
            <w:r>
              <w:rPr>
                <w:noProof/>
                <w:sz w:val="16"/>
                <w:szCs w:val="12"/>
                <w:lang w:eastAsia="en-GB"/>
              </w:rPr>
              <w:br/>
            </w:r>
            <w:r>
              <w:rPr>
                <w:i/>
                <w:iCs/>
                <w:noProof/>
                <w:sz w:val="16"/>
                <w:lang w:eastAsia="en-GB"/>
              </w:rPr>
              <w:t>(d)</w:t>
            </w:r>
          </w:p>
        </w:tc>
        <w:tc>
          <w:tcPr>
            <w:tcW w:w="1079" w:type="dxa"/>
            <w:vMerge w:val="restart"/>
            <w:textDirection w:val="btLr"/>
            <w:hideMark/>
          </w:tcPr>
          <w:p w:rsidR="00311BB8" w:rsidRDefault="00D91061">
            <w:pPr>
              <w:pStyle w:val="AMPRTABLEA-HEADERText-WHITE"/>
              <w:spacing w:beforeLines="0" w:before="0" w:afterLines="0" w:after="0"/>
              <w:ind w:left="170" w:right="170"/>
              <w:cnfStyle w:val="100000000000" w:firstRow="1" w:lastRow="0" w:firstColumn="0" w:lastColumn="0" w:oddVBand="0" w:evenVBand="0" w:oddHBand="0" w:evenHBand="0" w:firstRowFirstColumn="0" w:firstRowLastColumn="0" w:lastRowFirstColumn="0" w:lastRowLastColumn="0"/>
              <w:rPr>
                <w:noProof/>
                <w:sz w:val="16"/>
                <w:lang w:val="en-GB" w:eastAsia="en-GB"/>
              </w:rPr>
            </w:pPr>
            <w:r>
              <w:rPr>
                <w:noProof/>
                <w:sz w:val="16"/>
                <w:lang w:val="en-GB" w:eastAsia="en-GB"/>
              </w:rPr>
              <w:t>Retentions (partially) released</w:t>
            </w:r>
            <w:r>
              <w:rPr>
                <w:noProof/>
                <w:sz w:val="16"/>
                <w:szCs w:val="12"/>
                <w:lang w:val="en-GB" w:eastAsia="en-GB"/>
              </w:rPr>
              <w:br/>
            </w:r>
            <w:r>
              <w:rPr>
                <w:noProof/>
                <w:sz w:val="16"/>
                <w:lang w:val="en-GB" w:eastAsia="en-GB"/>
              </w:rPr>
              <w:t xml:space="preserve"> by cohesion-related departments</w:t>
            </w:r>
            <w:r>
              <w:rPr>
                <w:noProof/>
                <w:sz w:val="16"/>
                <w:szCs w:val="12"/>
                <w:lang w:val="en-GB" w:eastAsia="en-GB"/>
              </w:rPr>
              <w:br/>
            </w:r>
            <w:r>
              <w:rPr>
                <w:i/>
                <w:iCs/>
                <w:noProof/>
                <w:sz w:val="16"/>
                <w:lang w:val="en-GB" w:eastAsia="en-GB"/>
              </w:rPr>
              <w:t>(e)</w:t>
            </w:r>
          </w:p>
        </w:tc>
        <w:tc>
          <w:tcPr>
            <w:tcW w:w="925" w:type="dxa"/>
            <w:vMerge w:val="restart"/>
            <w:textDirection w:val="btLr"/>
            <w:hideMark/>
          </w:tcPr>
          <w:p w:rsidR="00311BB8" w:rsidRDefault="00D91061">
            <w:pPr>
              <w:pStyle w:val="AMPRTABLEA-HEADERText-WHITE"/>
              <w:spacing w:beforeLines="0" w:before="0" w:afterLines="0" w:after="0"/>
              <w:ind w:left="170" w:right="170"/>
              <w:cnfStyle w:val="100000000000" w:firstRow="1" w:lastRow="0" w:firstColumn="0" w:lastColumn="0" w:oddVBand="0" w:evenVBand="0" w:oddHBand="0" w:evenHBand="0" w:firstRowFirstColumn="0" w:firstRowLastColumn="0" w:lastRowFirstColumn="0" w:lastRowLastColumn="0"/>
              <w:rPr>
                <w:noProof/>
                <w:sz w:val="16"/>
                <w:lang w:eastAsia="en-GB"/>
              </w:rPr>
            </w:pPr>
            <w:r>
              <w:rPr>
                <w:noProof/>
                <w:sz w:val="16"/>
                <w:lang w:eastAsia="en-GB"/>
              </w:rPr>
              <w:t>Total relevant expenditure</w:t>
            </w:r>
            <w:r>
              <w:rPr>
                <w:noProof/>
                <w:sz w:val="16"/>
                <w:szCs w:val="12"/>
                <w:lang w:eastAsia="en-GB"/>
              </w:rPr>
              <w:br/>
            </w:r>
            <w:r>
              <w:rPr>
                <w:i/>
                <w:iCs/>
                <w:noProof/>
                <w:sz w:val="16"/>
                <w:lang w:eastAsia="en-GB"/>
              </w:rPr>
              <w:t>(f)</w:t>
            </w:r>
            <w:r>
              <w:rPr>
                <w:rFonts w:ascii="Calibri" w:hAnsi="Calibri" w:cs="Calibri"/>
                <w:i/>
                <w:iCs/>
                <w:noProof/>
                <w:sz w:val="16"/>
                <w:lang w:eastAsia="en-GB"/>
              </w:rPr>
              <w:t> </w:t>
            </w:r>
            <w:r>
              <w:rPr>
                <w:i/>
                <w:iCs/>
                <w:noProof/>
                <w:sz w:val="16"/>
                <w:lang w:eastAsia="en-GB"/>
              </w:rPr>
              <w:t>= (a)</w:t>
            </w:r>
            <w:r>
              <w:rPr>
                <w:rFonts w:ascii="Calibri" w:hAnsi="Calibri" w:cs="Calibri"/>
                <w:i/>
                <w:iCs/>
                <w:noProof/>
                <w:sz w:val="16"/>
                <w:lang w:eastAsia="en-GB"/>
              </w:rPr>
              <w:t> </w:t>
            </w:r>
            <w:r>
              <w:rPr>
                <w:i/>
                <w:iCs/>
                <w:noProof/>
                <w:sz w:val="16"/>
                <w:lang w:eastAsia="en-GB"/>
              </w:rPr>
              <w:t>– (b)</w:t>
            </w:r>
            <w:r>
              <w:rPr>
                <w:rFonts w:ascii="Calibri" w:hAnsi="Calibri" w:cs="Calibri"/>
                <w:i/>
                <w:iCs/>
                <w:noProof/>
                <w:sz w:val="16"/>
                <w:lang w:eastAsia="en-GB"/>
              </w:rPr>
              <w:t> </w:t>
            </w:r>
            <w:r>
              <w:rPr>
                <w:i/>
                <w:iCs/>
                <w:noProof/>
                <w:sz w:val="16"/>
                <w:lang w:eastAsia="en-GB"/>
              </w:rPr>
              <w:t>+ (c)</w:t>
            </w:r>
            <w:r>
              <w:rPr>
                <w:rFonts w:ascii="Calibri" w:hAnsi="Calibri" w:cs="Calibri"/>
                <w:i/>
                <w:iCs/>
                <w:noProof/>
                <w:sz w:val="16"/>
                <w:lang w:eastAsia="en-GB"/>
              </w:rPr>
              <w:t> </w:t>
            </w:r>
            <w:r>
              <w:rPr>
                <w:i/>
                <w:iCs/>
                <w:noProof/>
                <w:sz w:val="16"/>
                <w:lang w:eastAsia="en-GB"/>
              </w:rPr>
              <w:t>+ (d)</w:t>
            </w:r>
            <w:r>
              <w:rPr>
                <w:rFonts w:ascii="Calibri" w:hAnsi="Calibri" w:cs="Calibri"/>
                <w:i/>
                <w:iCs/>
                <w:noProof/>
                <w:sz w:val="16"/>
                <w:lang w:eastAsia="en-GB"/>
              </w:rPr>
              <w:t> </w:t>
            </w:r>
            <w:r>
              <w:rPr>
                <w:i/>
                <w:iCs/>
                <w:noProof/>
                <w:sz w:val="16"/>
                <w:lang w:eastAsia="en-GB"/>
              </w:rPr>
              <w:t>– (e)</w:t>
            </w:r>
          </w:p>
        </w:tc>
        <w:tc>
          <w:tcPr>
            <w:tcW w:w="1792" w:type="dxa"/>
            <w:gridSpan w:val="2"/>
            <w:tcBorders>
              <w:bottom w:val="single" w:sz="4" w:space="0" w:color="FFFFFF" w:themeColor="background1"/>
            </w:tcBorders>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2"/>
                <w:lang w:val="en-GB" w:eastAsia="en-GB"/>
              </w:rPr>
            </w:pPr>
            <w:r>
              <w:rPr>
                <w:noProof/>
                <w:sz w:val="16"/>
                <w:lang w:val="en-GB" w:eastAsia="en-GB"/>
              </w:rPr>
              <w:t>Estimated risk at payment</w:t>
            </w:r>
            <w:r>
              <w:rPr>
                <w:noProof/>
                <w:sz w:val="16"/>
                <w:szCs w:val="12"/>
                <w:lang w:val="en-GB" w:eastAsia="en-GB"/>
              </w:rPr>
              <w:br/>
            </w:r>
            <w:r>
              <w:rPr>
                <w:noProof/>
                <w:sz w:val="16"/>
                <w:szCs w:val="12"/>
                <w:lang w:val="en-GB" w:eastAsia="en-GB"/>
              </w:rPr>
              <w:br/>
            </w:r>
            <w:r>
              <w:rPr>
                <w:i/>
                <w:iCs/>
                <w:noProof/>
                <w:sz w:val="16"/>
                <w:lang w:val="en-GB" w:eastAsia="en-GB"/>
              </w:rPr>
              <w:t>(g)</w:t>
            </w:r>
            <w:r>
              <w:rPr>
                <w:rFonts w:ascii="Calibri" w:hAnsi="Calibri" w:cs="Calibri"/>
                <w:i/>
                <w:iCs/>
                <w:noProof/>
                <w:sz w:val="16"/>
                <w:lang w:val="en-GB" w:eastAsia="en-GB"/>
              </w:rPr>
              <w:t> </w:t>
            </w:r>
            <w:r>
              <w:rPr>
                <w:i/>
                <w:iCs/>
                <w:noProof/>
                <w:sz w:val="16"/>
                <w:lang w:val="en-GB" w:eastAsia="en-GB"/>
              </w:rPr>
              <w:t>= Average error</w:t>
            </w:r>
            <w:r>
              <w:rPr>
                <w:i/>
                <w:noProof/>
                <w:sz w:val="16"/>
                <w:szCs w:val="12"/>
                <w:lang w:val="en-GB" w:eastAsia="en-GB"/>
              </w:rPr>
              <w:br/>
            </w:r>
            <w:r>
              <w:rPr>
                <w:i/>
                <w:iCs/>
                <w:noProof/>
                <w:sz w:val="16"/>
                <w:lang w:val="en-GB" w:eastAsia="en-GB"/>
              </w:rPr>
              <w:t>rate applied to (f)</w:t>
            </w:r>
          </w:p>
        </w:tc>
        <w:tc>
          <w:tcPr>
            <w:tcW w:w="1792" w:type="dxa"/>
            <w:gridSpan w:val="2"/>
            <w:tcBorders>
              <w:bottom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lang w:val="en-GB" w:eastAsia="en-GB"/>
              </w:rPr>
            </w:pPr>
            <w:r>
              <w:rPr>
                <w:noProof/>
                <w:sz w:val="16"/>
                <w:lang w:val="en-GB" w:eastAsia="en-GB"/>
              </w:rPr>
              <w:t>Estimated future</w:t>
            </w:r>
            <w:r>
              <w:rPr>
                <w:noProof/>
                <w:sz w:val="16"/>
                <w:szCs w:val="12"/>
                <w:lang w:val="en-GB" w:eastAsia="en-GB"/>
              </w:rPr>
              <w:br/>
            </w:r>
            <w:r>
              <w:rPr>
                <w:noProof/>
                <w:sz w:val="16"/>
                <w:lang w:val="en-GB" w:eastAsia="en-GB"/>
              </w:rPr>
              <w:t>corrections</w:t>
            </w:r>
            <w:r>
              <w:rPr>
                <w:noProof/>
                <w:sz w:val="16"/>
                <w:szCs w:val="12"/>
                <w:lang w:val="en-GB" w:eastAsia="en-GB"/>
              </w:rPr>
              <w:br/>
            </w:r>
            <w:r>
              <w:rPr>
                <w:noProof/>
                <w:sz w:val="16"/>
                <w:szCs w:val="12"/>
                <w:lang w:val="en-GB" w:eastAsia="en-GB"/>
              </w:rPr>
              <w:br/>
            </w:r>
            <w:r>
              <w:rPr>
                <w:i/>
                <w:iCs/>
                <w:noProof/>
                <w:sz w:val="16"/>
                <w:lang w:val="en-GB" w:eastAsia="en-GB"/>
              </w:rPr>
              <w:t>(h)</w:t>
            </w:r>
            <w:r>
              <w:rPr>
                <w:rFonts w:ascii="Calibri" w:hAnsi="Calibri" w:cs="Calibri"/>
                <w:i/>
                <w:iCs/>
                <w:noProof/>
                <w:sz w:val="16"/>
                <w:lang w:val="en-GB" w:eastAsia="en-GB"/>
              </w:rPr>
              <w:t> </w:t>
            </w:r>
            <w:r>
              <w:rPr>
                <w:i/>
                <w:iCs/>
                <w:noProof/>
                <w:sz w:val="16"/>
                <w:lang w:val="en-GB" w:eastAsia="en-GB"/>
              </w:rPr>
              <w:t xml:space="preserve">= Adjusted rate of </w:t>
            </w:r>
            <w:r>
              <w:rPr>
                <w:i/>
                <w:noProof/>
                <w:sz w:val="16"/>
                <w:szCs w:val="12"/>
                <w:lang w:val="en-GB" w:eastAsia="en-GB"/>
              </w:rPr>
              <w:br/>
            </w:r>
            <w:r>
              <w:rPr>
                <w:i/>
                <w:iCs/>
                <w:noProof/>
                <w:sz w:val="16"/>
                <w:lang w:val="en-GB" w:eastAsia="en-GB"/>
              </w:rPr>
              <w:t xml:space="preserve">average recoveries </w:t>
            </w:r>
            <w:r>
              <w:rPr>
                <w:i/>
                <w:noProof/>
                <w:sz w:val="16"/>
                <w:szCs w:val="12"/>
                <w:lang w:val="en-GB" w:eastAsia="en-GB"/>
              </w:rPr>
              <w:br/>
            </w:r>
            <w:r>
              <w:rPr>
                <w:i/>
                <w:iCs/>
                <w:noProof/>
                <w:sz w:val="16"/>
                <w:lang w:val="en-GB" w:eastAsia="en-GB"/>
              </w:rPr>
              <w:t xml:space="preserve">and corrections </w:t>
            </w:r>
            <w:r>
              <w:rPr>
                <w:i/>
                <w:noProof/>
                <w:sz w:val="16"/>
                <w:szCs w:val="12"/>
                <w:lang w:val="en-GB" w:eastAsia="en-GB"/>
              </w:rPr>
              <w:br/>
            </w:r>
            <w:r>
              <w:rPr>
                <w:i/>
                <w:iCs/>
                <w:noProof/>
                <w:sz w:val="16"/>
                <w:lang w:val="en-GB" w:eastAsia="en-GB"/>
              </w:rPr>
              <w:t>applied to (f)</w:t>
            </w:r>
          </w:p>
        </w:tc>
        <w:tc>
          <w:tcPr>
            <w:tcW w:w="1743" w:type="dxa"/>
            <w:gridSpan w:val="2"/>
            <w:tcBorders>
              <w:bottom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lang w:val="en-GB" w:eastAsia="en-GB"/>
              </w:rPr>
            </w:pPr>
            <w:r>
              <w:rPr>
                <w:noProof/>
                <w:sz w:val="16"/>
                <w:lang w:val="en-GB" w:eastAsia="en-GB"/>
              </w:rPr>
              <w:t>Estimated risk at closure</w:t>
            </w:r>
            <w:r>
              <w:rPr>
                <w:noProof/>
                <w:sz w:val="16"/>
                <w:szCs w:val="12"/>
                <w:lang w:val="en-GB" w:eastAsia="en-GB"/>
              </w:rPr>
              <w:br/>
            </w:r>
            <w:r>
              <w:rPr>
                <w:noProof/>
                <w:sz w:val="16"/>
                <w:szCs w:val="12"/>
                <w:lang w:val="en-GB" w:eastAsia="en-GB"/>
              </w:rPr>
              <w:br/>
            </w:r>
            <w:r>
              <w:rPr>
                <w:i/>
                <w:iCs/>
                <w:noProof/>
                <w:sz w:val="16"/>
                <w:lang w:val="en-GB" w:eastAsia="en-GB"/>
              </w:rPr>
              <w:t>(i)</w:t>
            </w:r>
            <w:r>
              <w:rPr>
                <w:rFonts w:ascii="Calibri" w:hAnsi="Calibri" w:cs="Calibri"/>
                <w:i/>
                <w:iCs/>
                <w:noProof/>
                <w:sz w:val="16"/>
                <w:lang w:val="en-GB" w:eastAsia="en-GB"/>
              </w:rPr>
              <w:t> </w:t>
            </w:r>
            <w:r>
              <w:rPr>
                <w:i/>
                <w:iCs/>
                <w:noProof/>
                <w:sz w:val="16"/>
                <w:lang w:val="en-GB" w:eastAsia="en-GB"/>
              </w:rPr>
              <w:t>= (g)</w:t>
            </w:r>
            <w:r>
              <w:rPr>
                <w:rFonts w:ascii="Calibri" w:hAnsi="Calibri" w:cs="Calibri"/>
                <w:i/>
                <w:iCs/>
                <w:noProof/>
                <w:sz w:val="16"/>
                <w:lang w:val="en-GB" w:eastAsia="en-GB"/>
              </w:rPr>
              <w:t> </w:t>
            </w:r>
            <w:r>
              <w:rPr>
                <w:i/>
                <w:iCs/>
                <w:noProof/>
                <w:sz w:val="16"/>
                <w:lang w:val="en-GB" w:eastAsia="en-GB"/>
              </w:rPr>
              <w:t>– (h)</w:t>
            </w:r>
          </w:p>
        </w:tc>
      </w:tr>
      <w:tr w:rsidR="00311BB8" w:rsidTr="00311BB8">
        <w:trPr>
          <w:cnfStyle w:val="100000000000" w:firstRow="1" w:lastRow="0" w:firstColumn="0" w:lastColumn="0" w:oddVBand="0" w:evenVBand="0" w:oddHBand="0" w:evenHBand="0" w:firstRowFirstColumn="0" w:firstRowLastColumn="0" w:lastRowFirstColumn="0" w:lastRowLastColumn="0"/>
          <w:trHeight w:val="49"/>
          <w:tblHeader/>
        </w:trPr>
        <w:tc>
          <w:tcPr>
            <w:cnfStyle w:val="001000000000" w:firstRow="0" w:lastRow="0" w:firstColumn="1" w:lastColumn="0" w:oddVBand="0" w:evenVBand="0" w:oddHBand="0" w:evenHBand="0" w:firstRowFirstColumn="0" w:firstRowLastColumn="0" w:lastRowFirstColumn="0" w:lastRowLastColumn="0"/>
            <w:tcW w:w="1178" w:type="dxa"/>
            <w:vMerge/>
            <w:tcBorders>
              <w:top w:val="single" w:sz="4" w:space="0" w:color="FFFFFF"/>
              <w:right w:val="single" w:sz="4" w:space="0" w:color="FFFFFF"/>
            </w:tcBorders>
            <w:hideMark/>
          </w:tcPr>
          <w:p w:rsidR="00311BB8" w:rsidRDefault="00311BB8">
            <w:pPr>
              <w:pStyle w:val="AMPRTABLEA-HEADERText-WHITE"/>
              <w:spacing w:before="144" w:after="144"/>
              <w:rPr>
                <w:noProof/>
                <w:sz w:val="16"/>
                <w:szCs w:val="12"/>
                <w:lang w:val="en-GB" w:eastAsia="en-GB"/>
              </w:rPr>
            </w:pPr>
          </w:p>
        </w:tc>
        <w:tc>
          <w:tcPr>
            <w:tcW w:w="1767" w:type="dxa"/>
            <w:vMerge/>
            <w:tcBorders>
              <w:top w:val="single" w:sz="4" w:space="0" w:color="FFFFFF"/>
              <w:left w:val="single" w:sz="4" w:space="0" w:color="FFFFFF"/>
              <w:right w:val="single" w:sz="4" w:space="0" w:color="FFFFFF"/>
            </w:tcBorders>
            <w:hideMark/>
          </w:tcPr>
          <w:p w:rsidR="00311BB8" w:rsidRDefault="00311BB8">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2"/>
                <w:lang w:val="en-GB" w:eastAsia="en-GB"/>
              </w:rPr>
            </w:pPr>
          </w:p>
        </w:tc>
        <w:tc>
          <w:tcPr>
            <w:tcW w:w="1120" w:type="dxa"/>
            <w:vMerge/>
            <w:tcBorders>
              <w:left w:val="single" w:sz="4" w:space="0" w:color="FFFFFF"/>
              <w:right w:val="single" w:sz="4" w:space="0" w:color="FFFFFF"/>
            </w:tcBorders>
            <w:hideMark/>
          </w:tcPr>
          <w:p w:rsidR="00311BB8" w:rsidRDefault="00311BB8">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2"/>
                <w:lang w:val="en-GB" w:eastAsia="en-GB"/>
              </w:rPr>
            </w:pPr>
          </w:p>
        </w:tc>
        <w:tc>
          <w:tcPr>
            <w:tcW w:w="1004" w:type="dxa"/>
            <w:vMerge/>
            <w:tcBorders>
              <w:left w:val="single" w:sz="4" w:space="0" w:color="FFFFFF"/>
              <w:right w:val="single" w:sz="4" w:space="0" w:color="FFFFFF"/>
            </w:tcBorders>
            <w:hideMark/>
          </w:tcPr>
          <w:p w:rsidR="00311BB8" w:rsidRDefault="00311BB8">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2"/>
                <w:lang w:val="en-GB" w:eastAsia="en-GB"/>
              </w:rPr>
            </w:pPr>
          </w:p>
        </w:tc>
        <w:tc>
          <w:tcPr>
            <w:tcW w:w="884" w:type="dxa"/>
            <w:vMerge/>
            <w:tcBorders>
              <w:left w:val="single" w:sz="4" w:space="0" w:color="FFFFFF"/>
              <w:right w:val="single" w:sz="4" w:space="0" w:color="FFFFFF"/>
            </w:tcBorders>
            <w:hideMark/>
          </w:tcPr>
          <w:p w:rsidR="00311BB8" w:rsidRDefault="00311BB8">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2"/>
                <w:lang w:val="en-GB" w:eastAsia="en-GB"/>
              </w:rPr>
            </w:pPr>
          </w:p>
        </w:tc>
        <w:tc>
          <w:tcPr>
            <w:tcW w:w="1004" w:type="dxa"/>
            <w:vMerge/>
            <w:tcBorders>
              <w:left w:val="single" w:sz="4" w:space="0" w:color="FFFFFF"/>
              <w:right w:val="single" w:sz="4" w:space="0" w:color="FFFFFF"/>
            </w:tcBorders>
            <w:hideMark/>
          </w:tcPr>
          <w:p w:rsidR="00311BB8" w:rsidRDefault="00311BB8">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2"/>
                <w:lang w:val="en-GB" w:eastAsia="en-GB"/>
              </w:rPr>
            </w:pPr>
          </w:p>
        </w:tc>
        <w:tc>
          <w:tcPr>
            <w:tcW w:w="1079" w:type="dxa"/>
            <w:vMerge/>
            <w:tcBorders>
              <w:left w:val="single" w:sz="4" w:space="0" w:color="FFFFFF"/>
              <w:right w:val="single" w:sz="4" w:space="0" w:color="FFFFFF"/>
            </w:tcBorders>
            <w:hideMark/>
          </w:tcPr>
          <w:p w:rsidR="00311BB8" w:rsidRDefault="00311BB8">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2"/>
                <w:lang w:val="en-GB" w:eastAsia="en-GB"/>
              </w:rPr>
            </w:pPr>
          </w:p>
        </w:tc>
        <w:tc>
          <w:tcPr>
            <w:tcW w:w="925" w:type="dxa"/>
            <w:vMerge/>
            <w:tcBorders>
              <w:left w:val="single" w:sz="4" w:space="0" w:color="FFFFFF"/>
              <w:right w:val="single" w:sz="4" w:space="0" w:color="FFFFFF"/>
            </w:tcBorders>
            <w:hideMark/>
          </w:tcPr>
          <w:p w:rsidR="00311BB8" w:rsidRDefault="00311BB8">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2"/>
                <w:lang w:val="en-GB" w:eastAsia="en-GB"/>
              </w:rPr>
            </w:pPr>
          </w:p>
        </w:tc>
        <w:tc>
          <w:tcPr>
            <w:tcW w:w="896"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lang w:eastAsia="en-GB"/>
              </w:rPr>
            </w:pPr>
            <w:r>
              <w:rPr>
                <w:noProof/>
                <w:sz w:val="16"/>
                <w:lang w:eastAsia="en-GB"/>
              </w:rPr>
              <w:t>Lowest</w:t>
            </w:r>
            <w:r>
              <w:rPr>
                <w:noProof/>
                <w:sz w:val="16"/>
                <w:szCs w:val="12"/>
                <w:lang w:eastAsia="en-GB"/>
              </w:rPr>
              <w:br/>
            </w:r>
            <w:r>
              <w:rPr>
                <w:noProof/>
                <w:sz w:val="16"/>
                <w:lang w:eastAsia="en-GB"/>
              </w:rPr>
              <w:t>value</w:t>
            </w:r>
          </w:p>
        </w:tc>
        <w:tc>
          <w:tcPr>
            <w:tcW w:w="896"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lang w:eastAsia="en-GB"/>
              </w:rPr>
            </w:pPr>
            <w:r>
              <w:rPr>
                <w:noProof/>
                <w:sz w:val="16"/>
                <w:lang w:eastAsia="en-GB"/>
              </w:rPr>
              <w:t>Highest</w:t>
            </w:r>
            <w:r>
              <w:rPr>
                <w:noProof/>
                <w:sz w:val="16"/>
                <w:szCs w:val="12"/>
                <w:lang w:eastAsia="en-GB"/>
              </w:rPr>
              <w:br/>
            </w:r>
            <w:r>
              <w:rPr>
                <w:noProof/>
                <w:sz w:val="16"/>
                <w:lang w:eastAsia="en-GB"/>
              </w:rPr>
              <w:t>value</w:t>
            </w:r>
          </w:p>
        </w:tc>
        <w:tc>
          <w:tcPr>
            <w:tcW w:w="896"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lang w:eastAsia="en-GB"/>
              </w:rPr>
            </w:pPr>
            <w:r>
              <w:rPr>
                <w:noProof/>
                <w:sz w:val="16"/>
                <w:lang w:eastAsia="en-GB"/>
              </w:rPr>
              <w:t>Lowest</w:t>
            </w:r>
            <w:r>
              <w:rPr>
                <w:noProof/>
                <w:sz w:val="16"/>
                <w:szCs w:val="12"/>
                <w:lang w:eastAsia="en-GB"/>
              </w:rPr>
              <w:br/>
            </w:r>
            <w:r>
              <w:rPr>
                <w:noProof/>
                <w:sz w:val="16"/>
                <w:lang w:eastAsia="en-GB"/>
              </w:rPr>
              <w:t>value</w:t>
            </w:r>
          </w:p>
        </w:tc>
        <w:tc>
          <w:tcPr>
            <w:tcW w:w="896"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lang w:eastAsia="en-GB"/>
              </w:rPr>
            </w:pPr>
            <w:r>
              <w:rPr>
                <w:noProof/>
                <w:sz w:val="16"/>
                <w:lang w:eastAsia="en-GB"/>
              </w:rPr>
              <w:t>Highest</w:t>
            </w:r>
            <w:r>
              <w:rPr>
                <w:noProof/>
                <w:sz w:val="16"/>
                <w:szCs w:val="12"/>
                <w:lang w:eastAsia="en-GB"/>
              </w:rPr>
              <w:br/>
            </w:r>
            <w:r>
              <w:rPr>
                <w:noProof/>
                <w:sz w:val="16"/>
                <w:lang w:eastAsia="en-GB"/>
              </w:rPr>
              <w:t>value</w:t>
            </w:r>
          </w:p>
        </w:tc>
        <w:tc>
          <w:tcPr>
            <w:tcW w:w="896"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lang w:eastAsia="en-GB"/>
              </w:rPr>
            </w:pPr>
            <w:r>
              <w:rPr>
                <w:noProof/>
                <w:sz w:val="16"/>
                <w:lang w:eastAsia="en-GB"/>
              </w:rPr>
              <w:t>Lowest</w:t>
            </w:r>
            <w:r>
              <w:rPr>
                <w:noProof/>
                <w:sz w:val="16"/>
                <w:szCs w:val="12"/>
                <w:lang w:eastAsia="en-GB"/>
              </w:rPr>
              <w:br/>
            </w:r>
            <w:r>
              <w:rPr>
                <w:noProof/>
                <w:sz w:val="16"/>
                <w:lang w:eastAsia="en-GB"/>
              </w:rPr>
              <w:t>value</w:t>
            </w:r>
          </w:p>
        </w:tc>
        <w:tc>
          <w:tcPr>
            <w:tcW w:w="847"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lang w:eastAsia="en-GB"/>
              </w:rPr>
            </w:pPr>
            <w:r>
              <w:rPr>
                <w:noProof/>
                <w:sz w:val="16"/>
                <w:lang w:eastAsia="en-GB"/>
              </w:rPr>
              <w:t>Highest</w:t>
            </w:r>
            <w:r>
              <w:rPr>
                <w:noProof/>
                <w:sz w:val="16"/>
                <w:szCs w:val="12"/>
                <w:lang w:eastAsia="en-GB"/>
              </w:rPr>
              <w:br/>
            </w:r>
            <w:r>
              <w:rPr>
                <w:noProof/>
                <w:sz w:val="16"/>
                <w:lang w:eastAsia="en-GB"/>
              </w:rPr>
              <w:t>value</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val="restart"/>
            <w:tcBorders>
              <w:top w:val="nil"/>
            </w:tcBorders>
            <w:noWrap/>
            <w:hideMark/>
          </w:tcPr>
          <w:p w:rsidR="00311BB8" w:rsidRDefault="00D91061">
            <w:pPr>
              <w:pStyle w:val="AMPRTABLEA-TextLEFTalligned-BLACK"/>
              <w:rPr>
                <w:noProof/>
                <w:lang w:eastAsia="en-GB"/>
              </w:rPr>
            </w:pPr>
            <w:r>
              <w:rPr>
                <w:noProof/>
                <w:lang w:eastAsia="en-GB"/>
              </w:rPr>
              <w:t>Natural resources</w:t>
            </w:r>
          </w:p>
        </w:tc>
        <w:tc>
          <w:tcPr>
            <w:tcW w:w="1767" w:type="dxa"/>
            <w:tcBorders>
              <w:top w:val="nil"/>
            </w:tcBorders>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DG Agriculture and Rural Development</w:t>
            </w:r>
          </w:p>
        </w:tc>
        <w:tc>
          <w:tcPr>
            <w:tcW w:w="1120"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58</w:t>
            </w:r>
            <w:r>
              <w:rPr>
                <w:rFonts w:ascii="Calibri" w:hAnsi="Calibri" w:cs="Calibri"/>
                <w:noProof/>
                <w:lang w:eastAsia="en-GB"/>
              </w:rPr>
              <w:t> </w:t>
            </w:r>
            <w:r>
              <w:rPr>
                <w:noProof/>
                <w:lang w:eastAsia="en-GB"/>
              </w:rPr>
              <w:t>063.9</w:t>
            </w:r>
          </w:p>
        </w:tc>
        <w:tc>
          <w:tcPr>
            <w:tcW w:w="1004"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32.8</w:t>
            </w:r>
          </w:p>
        </w:tc>
        <w:tc>
          <w:tcPr>
            <w:tcW w:w="884"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7.0</w:t>
            </w:r>
          </w:p>
        </w:tc>
        <w:tc>
          <w:tcPr>
            <w:tcW w:w="1079"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58</w:t>
            </w:r>
            <w:r>
              <w:rPr>
                <w:rFonts w:ascii="Calibri" w:hAnsi="Calibri" w:cs="Calibri"/>
                <w:noProof/>
                <w:lang w:eastAsia="en-GB"/>
              </w:rPr>
              <w:t> </w:t>
            </w:r>
            <w:r>
              <w:rPr>
                <w:noProof/>
                <w:lang w:eastAsia="en-GB"/>
              </w:rPr>
              <w:t>038.1</w:t>
            </w:r>
          </w:p>
        </w:tc>
        <w:tc>
          <w:tcPr>
            <w:tcW w:w="896"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096.3</w:t>
            </w:r>
          </w:p>
        </w:tc>
        <w:tc>
          <w:tcPr>
            <w:tcW w:w="896"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096.3</w:t>
            </w:r>
          </w:p>
        </w:tc>
        <w:tc>
          <w:tcPr>
            <w:tcW w:w="896"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026.4</w:t>
            </w:r>
          </w:p>
        </w:tc>
        <w:tc>
          <w:tcPr>
            <w:tcW w:w="896"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026.4</w:t>
            </w:r>
          </w:p>
        </w:tc>
        <w:tc>
          <w:tcPr>
            <w:tcW w:w="896"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69.9</w:t>
            </w:r>
          </w:p>
        </w:tc>
        <w:tc>
          <w:tcPr>
            <w:tcW w:w="847"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69.9</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DG Climate Action</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31.6</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5.3</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5.3</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31.6</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DG Environment</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152.1</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69.6</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212.1</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294.6</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0.5</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0.5</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1.3</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1.3</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DG Maritime Affairs and Fisheries</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958.2</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187.8</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65.3</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140.6</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70.4</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905.9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2.7</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2.7</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val="restart"/>
            <w:hideMark/>
          </w:tcPr>
          <w:p w:rsidR="00311BB8" w:rsidRDefault="00D91061">
            <w:pPr>
              <w:pStyle w:val="AMPRTABLEA-TextLEFTalligned-BLACK"/>
              <w:rPr>
                <w:noProof/>
                <w:lang w:val="en-GB" w:eastAsia="en-GB"/>
              </w:rPr>
            </w:pPr>
            <w:r>
              <w:rPr>
                <w:noProof/>
                <w:lang w:val="en-GB" w:eastAsia="en-GB"/>
              </w:rPr>
              <w:t>Economic, social and territorial cohesion</w:t>
            </w: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DG Employment, Social Affairs and Inclusion</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14</w:t>
            </w:r>
            <w:r>
              <w:rPr>
                <w:rFonts w:ascii="Calibri" w:hAnsi="Calibri" w:cs="Calibri"/>
                <w:noProof/>
                <w:lang w:eastAsia="en-GB"/>
              </w:rPr>
              <w:t> </w:t>
            </w:r>
            <w:r>
              <w:rPr>
                <w:noProof/>
                <w:lang w:eastAsia="en-GB"/>
              </w:rPr>
              <w:t>707.5</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w:t>
            </w:r>
            <w:r>
              <w:rPr>
                <w:rFonts w:ascii="Calibri" w:hAnsi="Calibri" w:cs="Calibri"/>
                <w:noProof/>
                <w:lang w:eastAsia="en-GB"/>
              </w:rPr>
              <w:t> </w:t>
            </w:r>
            <w:r>
              <w:rPr>
                <w:noProof/>
                <w:lang w:eastAsia="en-GB"/>
              </w:rPr>
              <w:t>673.9</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261.2</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728.5</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522.4</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12</w:t>
            </w:r>
            <w:r>
              <w:rPr>
                <w:rFonts w:ascii="Calibri" w:hAnsi="Calibri" w:cs="Calibri"/>
                <w:noProof/>
                <w:lang w:eastAsia="en-GB"/>
              </w:rPr>
              <w:t> </w:t>
            </w:r>
            <w:r>
              <w:rPr>
                <w:noProof/>
                <w:lang w:eastAsia="en-GB"/>
              </w:rPr>
              <w:t>500.8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201.3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280.0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128.8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151.3</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151.3</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DG Regional and Urban Policy</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38</w:t>
            </w:r>
            <w:r>
              <w:rPr>
                <w:rFonts w:ascii="Calibri" w:hAnsi="Calibri" w:cs="Calibri"/>
                <w:noProof/>
                <w:lang w:eastAsia="en-GB"/>
              </w:rPr>
              <w:t> </w:t>
            </w:r>
            <w:r>
              <w:rPr>
                <w:noProof/>
                <w:lang w:eastAsia="en-GB"/>
              </w:rPr>
              <w:t>747.8</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7</w:t>
            </w:r>
            <w:r>
              <w:rPr>
                <w:rFonts w:ascii="Calibri" w:hAnsi="Calibri" w:cs="Calibri"/>
                <w:noProof/>
                <w:lang w:eastAsia="en-GB"/>
              </w:rPr>
              <w:t> </w:t>
            </w:r>
            <w:r>
              <w:rPr>
                <w:noProof/>
                <w:lang w:eastAsia="en-GB"/>
              </w:rPr>
              <w:t>480.4</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w:t>
            </w:r>
            <w:r>
              <w:rPr>
                <w:rFonts w:ascii="Calibri" w:hAnsi="Calibri" w:cs="Calibri"/>
                <w:noProof/>
                <w:lang w:eastAsia="en-GB"/>
              </w:rPr>
              <w:t> </w:t>
            </w:r>
            <w:r>
              <w:rPr>
                <w:noProof/>
                <w:lang w:eastAsia="en-GB"/>
              </w:rPr>
              <w:t>346.5</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w:t>
            </w:r>
            <w:r>
              <w:rPr>
                <w:rFonts w:ascii="Calibri" w:hAnsi="Calibri" w:cs="Calibri"/>
                <w:noProof/>
                <w:lang w:eastAsia="en-GB"/>
              </w:rPr>
              <w:t> </w:t>
            </w:r>
            <w:r>
              <w:rPr>
                <w:noProof/>
                <w:lang w:eastAsia="en-GB"/>
              </w:rPr>
              <w:t>379.1</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w:t>
            </w:r>
            <w:r>
              <w:rPr>
                <w:rFonts w:ascii="Calibri" w:hAnsi="Calibri" w:cs="Calibri"/>
                <w:noProof/>
                <w:lang w:eastAsia="en-GB"/>
              </w:rPr>
              <w:t> </w:t>
            </w:r>
            <w:r>
              <w:rPr>
                <w:noProof/>
                <w:lang w:eastAsia="en-GB"/>
              </w:rPr>
              <w:t>120.3</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34</w:t>
            </w:r>
            <w:r>
              <w:rPr>
                <w:rFonts w:ascii="Calibri" w:hAnsi="Calibri" w:cs="Calibri"/>
                <w:noProof/>
                <w:lang w:eastAsia="en-GB"/>
              </w:rPr>
              <w:t> </w:t>
            </w:r>
            <w:r>
              <w:rPr>
                <w:noProof/>
                <w:lang w:eastAsia="en-GB"/>
              </w:rPr>
              <w:t>872.6</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854.2</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212.0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477.8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835.6</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376.4</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376.4</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val="restart"/>
            <w:noWrap/>
            <w:hideMark/>
          </w:tcPr>
          <w:p w:rsidR="00311BB8" w:rsidRDefault="00D91061">
            <w:pPr>
              <w:pStyle w:val="AMPRTABLEA-TextLEFTalligned-BLACK"/>
              <w:rPr>
                <w:noProof/>
                <w:lang w:eastAsia="en-GB"/>
              </w:rPr>
            </w:pPr>
            <w:r>
              <w:rPr>
                <w:noProof/>
                <w:lang w:eastAsia="en-GB"/>
              </w:rPr>
              <w:t>External relations</w:t>
            </w: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DG International Cooperation and Development</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7</w:t>
            </w:r>
            <w:r>
              <w:rPr>
                <w:rFonts w:ascii="Calibri" w:hAnsi="Calibri" w:cs="Calibri"/>
                <w:noProof/>
                <w:lang w:eastAsia="en-GB"/>
              </w:rPr>
              <w:t> </w:t>
            </w:r>
            <w:r>
              <w:rPr>
                <w:noProof/>
                <w:lang w:eastAsia="en-GB"/>
              </w:rPr>
              <w:t>254.6</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w:t>
            </w:r>
            <w:r>
              <w:rPr>
                <w:rFonts w:ascii="Calibri" w:hAnsi="Calibri" w:cs="Calibri"/>
                <w:noProof/>
                <w:lang w:eastAsia="en-GB"/>
              </w:rPr>
              <w:t> </w:t>
            </w:r>
            <w:r>
              <w:rPr>
                <w:noProof/>
                <w:lang w:eastAsia="en-GB"/>
              </w:rPr>
              <w:t>637.3</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w:t>
            </w:r>
            <w:r>
              <w:rPr>
                <w:rFonts w:ascii="Calibri" w:hAnsi="Calibri" w:cs="Calibri"/>
                <w:noProof/>
                <w:lang w:eastAsia="en-GB"/>
              </w:rPr>
              <w:t> </w:t>
            </w:r>
            <w:r>
              <w:rPr>
                <w:noProof/>
                <w:lang w:eastAsia="en-GB"/>
              </w:rPr>
              <w:t>675.4</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w:t>
            </w:r>
            <w:r>
              <w:rPr>
                <w:rFonts w:ascii="Calibri" w:hAnsi="Calibri" w:cs="Calibri"/>
                <w:noProof/>
                <w:lang w:eastAsia="en-GB"/>
              </w:rPr>
              <w:t> </w:t>
            </w:r>
            <w:r>
              <w:rPr>
                <w:noProof/>
                <w:lang w:eastAsia="en-GB"/>
              </w:rPr>
              <w:t>292.7</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69.9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69.9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13.5</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13.5</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56.5</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56.5</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DG European Civil Protection and Humanitarian Aid Operations</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w:t>
            </w:r>
            <w:r>
              <w:rPr>
                <w:rFonts w:ascii="Calibri" w:hAnsi="Calibri" w:cs="Calibri"/>
                <w:noProof/>
                <w:lang w:eastAsia="en-GB"/>
              </w:rPr>
              <w:t> </w:t>
            </w:r>
            <w:r>
              <w:rPr>
                <w:noProof/>
                <w:lang w:eastAsia="en-GB"/>
              </w:rPr>
              <w:t>184.4</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711.3</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542.5</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w:t>
            </w:r>
            <w:r>
              <w:rPr>
                <w:rFonts w:ascii="Calibri" w:hAnsi="Calibri" w:cs="Calibri"/>
                <w:noProof/>
                <w:lang w:eastAsia="en-GB"/>
              </w:rPr>
              <w:t> </w:t>
            </w:r>
            <w:r>
              <w:rPr>
                <w:noProof/>
                <w:lang w:eastAsia="en-GB"/>
              </w:rPr>
              <w:t>015.6</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16.7</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16.7</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9.9</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9.9</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Service for Foreign Policy Instruments</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729.9</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639.0</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541.5</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632.5</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2.5</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2.5</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6.3</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6.3</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DG Neighbourhood and Enlargement Negotiations</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w:t>
            </w:r>
            <w:r>
              <w:rPr>
                <w:rFonts w:ascii="Calibri" w:hAnsi="Calibri" w:cs="Calibri"/>
                <w:noProof/>
                <w:lang w:eastAsia="en-GB"/>
              </w:rPr>
              <w:t> </w:t>
            </w:r>
            <w:r>
              <w:rPr>
                <w:noProof/>
                <w:lang w:eastAsia="en-GB"/>
              </w:rPr>
              <w:t>437.3</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w:t>
            </w:r>
            <w:r>
              <w:rPr>
                <w:rFonts w:ascii="Calibri" w:hAnsi="Calibri" w:cs="Calibri"/>
                <w:noProof/>
                <w:lang w:eastAsia="en-GB"/>
              </w:rPr>
              <w:t> </w:t>
            </w:r>
            <w:r>
              <w:rPr>
                <w:noProof/>
                <w:lang w:eastAsia="en-GB"/>
              </w:rPr>
              <w:t>385.1</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792.2</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w:t>
            </w:r>
            <w:r>
              <w:rPr>
                <w:rFonts w:ascii="Calibri" w:hAnsi="Calibri" w:cs="Calibri"/>
                <w:noProof/>
                <w:lang w:eastAsia="en-GB"/>
              </w:rPr>
              <w:t> </w:t>
            </w:r>
            <w:r>
              <w:rPr>
                <w:noProof/>
                <w:lang w:eastAsia="en-GB"/>
              </w:rPr>
              <w:t>844.4</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23.9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23.9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15.1</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15.1</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DG Trade</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17.6</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5.6</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3.9</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15.9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val="restart"/>
            <w:noWrap/>
            <w:hideMark/>
          </w:tcPr>
          <w:p w:rsidR="00311BB8" w:rsidRDefault="00D91061">
            <w:pPr>
              <w:pStyle w:val="AMPRTABLEA-TextLEFTalligned-BLACK"/>
              <w:rPr>
                <w:noProof/>
                <w:lang w:val="en-GB" w:eastAsia="en-GB"/>
              </w:rPr>
            </w:pPr>
            <w:r>
              <w:rPr>
                <w:noProof/>
                <w:lang w:val="en-GB" w:eastAsia="en-GB"/>
              </w:rPr>
              <w:t>Research, industry, space, energy and transport</w:t>
            </w: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DG Communications Networks, Content and Technology</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516.5</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974.7</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700.3</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242.1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38.8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39.4</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11.3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11.3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27.5</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28.1</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Executive Agency for Small and Medium-sized Enterprises</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430.8</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940.6</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605.0</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095.2</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30.8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30.8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3.4</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3.4</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27.3</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27.3</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DG Energy</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841.7</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749.4</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884.5</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976.8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0.9</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0.9</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European Research Council Executive Agency</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w:t>
            </w:r>
            <w:r>
              <w:rPr>
                <w:rFonts w:ascii="Calibri" w:hAnsi="Calibri" w:cs="Calibri"/>
                <w:noProof/>
                <w:lang w:eastAsia="en-GB"/>
              </w:rPr>
              <w:t> </w:t>
            </w:r>
            <w:r>
              <w:rPr>
                <w:noProof/>
                <w:lang w:eastAsia="en-GB"/>
              </w:rPr>
              <w:t>012.5</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818.4</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415.6</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609.7</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19.3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19.3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12.6</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12.6</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DG Internal Market, Industry, Entrepreneurship and SMEs</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w:t>
            </w:r>
            <w:r>
              <w:rPr>
                <w:rFonts w:ascii="Calibri" w:hAnsi="Calibri" w:cs="Calibri"/>
                <w:noProof/>
                <w:lang w:eastAsia="en-GB"/>
              </w:rPr>
              <w:t> </w:t>
            </w:r>
            <w:r>
              <w:rPr>
                <w:noProof/>
                <w:lang w:eastAsia="en-GB"/>
              </w:rPr>
              <w:t>154.0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900.6</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887.8</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w:t>
            </w:r>
            <w:r>
              <w:rPr>
                <w:rFonts w:ascii="Calibri" w:hAnsi="Calibri" w:cs="Calibri"/>
                <w:noProof/>
                <w:lang w:eastAsia="en-GB"/>
              </w:rPr>
              <w:t> </w:t>
            </w:r>
            <w:r>
              <w:rPr>
                <w:noProof/>
                <w:lang w:eastAsia="en-GB"/>
              </w:rPr>
              <w:t>141.2</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12.8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12.8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11.0</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11.0</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Innovation and Networks Executive Agency</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w:t>
            </w:r>
            <w:r>
              <w:rPr>
                <w:rFonts w:ascii="Calibri" w:hAnsi="Calibri" w:cs="Calibri"/>
                <w:noProof/>
                <w:lang w:eastAsia="en-GB"/>
              </w:rPr>
              <w:t> </w:t>
            </w:r>
            <w:r>
              <w:rPr>
                <w:noProof/>
                <w:lang w:eastAsia="en-GB"/>
              </w:rPr>
              <w:t>177.0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866.3</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635.8</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w:t>
            </w:r>
            <w:r>
              <w:rPr>
                <w:rFonts w:ascii="Calibri" w:hAnsi="Calibri" w:cs="Calibri"/>
                <w:noProof/>
                <w:lang w:eastAsia="en-GB"/>
              </w:rPr>
              <w:t> </w:t>
            </w:r>
            <w:r>
              <w:rPr>
                <w:noProof/>
                <w:lang w:eastAsia="en-GB"/>
              </w:rPr>
              <w:t>946.5</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57.3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57.3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11.0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11.0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46.3</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46.3</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DG Mobility and Transport</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515.2</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192.0</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203.1</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526.3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3.7</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3.7</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4.5</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4.5</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Research Executive Agency</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w:t>
            </w:r>
            <w:r>
              <w:rPr>
                <w:rFonts w:ascii="Calibri" w:hAnsi="Calibri" w:cs="Calibri"/>
                <w:noProof/>
                <w:lang w:eastAsia="en-GB"/>
              </w:rPr>
              <w:t> </w:t>
            </w:r>
            <w:r>
              <w:rPr>
                <w:noProof/>
                <w:lang w:eastAsia="en-GB"/>
              </w:rPr>
              <w:t>140.7</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589.1</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064.7</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616.2</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38.2</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38.2</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7.4</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7.4</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30.7</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30.7</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DG Research and Innovation</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w:t>
            </w:r>
            <w:r>
              <w:rPr>
                <w:rFonts w:ascii="Calibri" w:hAnsi="Calibri" w:cs="Calibri"/>
                <w:noProof/>
                <w:lang w:eastAsia="en-GB"/>
              </w:rPr>
              <w:t> </w:t>
            </w:r>
            <w:r>
              <w:rPr>
                <w:noProof/>
                <w:lang w:eastAsia="en-GB"/>
              </w:rPr>
              <w:t>087.4</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020.8</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816.1</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w:t>
            </w:r>
            <w:r>
              <w:rPr>
                <w:rFonts w:ascii="Calibri" w:hAnsi="Calibri" w:cs="Calibri"/>
                <w:noProof/>
                <w:lang w:eastAsia="en-GB"/>
              </w:rPr>
              <w:t> </w:t>
            </w:r>
            <w:r>
              <w:rPr>
                <w:noProof/>
                <w:lang w:eastAsia="en-GB"/>
              </w:rPr>
              <w:t>882.7</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84.1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84.1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23.8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23.8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60.4</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60.4</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val="restart"/>
            <w:noWrap/>
            <w:hideMark/>
          </w:tcPr>
          <w:p w:rsidR="00311BB8" w:rsidRDefault="00D91061">
            <w:pPr>
              <w:pStyle w:val="AMPRTABLEA-TextLEFTalligned-BLACK"/>
              <w:rPr>
                <w:noProof/>
                <w:lang w:eastAsia="en-GB"/>
              </w:rPr>
            </w:pPr>
            <w:r>
              <w:rPr>
                <w:noProof/>
                <w:lang w:eastAsia="en-GB"/>
              </w:rPr>
              <w:t>Other internal policies</w:t>
            </w: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Consumers, Health, Agriculture and Food Executive Agency</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115.2</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41.1</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27.1</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101.2</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0.7</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0.7</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0.2</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0.2</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0.6</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0.6</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DG Communication</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127.4</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12.3</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11.1</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126.3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0.6</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0.6</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0.6</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0.6</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DG Education, Youth, Sport and Culture</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w:t>
            </w:r>
            <w:r>
              <w:rPr>
                <w:rFonts w:ascii="Calibri" w:hAnsi="Calibri" w:cs="Calibri"/>
                <w:noProof/>
                <w:lang w:eastAsia="en-GB"/>
              </w:rPr>
              <w:t> </w:t>
            </w:r>
            <w:r>
              <w:rPr>
                <w:noProof/>
                <w:lang w:eastAsia="en-GB"/>
              </w:rPr>
              <w:t>224.6</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w:t>
            </w:r>
            <w:r>
              <w:rPr>
                <w:rFonts w:ascii="Calibri" w:hAnsi="Calibri" w:cs="Calibri"/>
                <w:noProof/>
                <w:lang w:eastAsia="en-GB"/>
              </w:rPr>
              <w:t> </w:t>
            </w:r>
            <w:r>
              <w:rPr>
                <w:noProof/>
                <w:lang w:eastAsia="en-GB"/>
              </w:rPr>
              <w:t>162.1</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w:t>
            </w:r>
            <w:r>
              <w:rPr>
                <w:rFonts w:ascii="Calibri" w:hAnsi="Calibri" w:cs="Calibri"/>
                <w:noProof/>
                <w:lang w:eastAsia="en-GB"/>
              </w:rPr>
              <w:t> </w:t>
            </w:r>
            <w:r>
              <w:rPr>
                <w:noProof/>
                <w:lang w:eastAsia="en-GB"/>
              </w:rPr>
              <w:t>084.7</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w:t>
            </w:r>
            <w:r>
              <w:rPr>
                <w:rFonts w:ascii="Calibri" w:hAnsi="Calibri" w:cs="Calibri"/>
                <w:noProof/>
                <w:lang w:eastAsia="en-GB"/>
              </w:rPr>
              <w:t> </w:t>
            </w:r>
            <w:r>
              <w:rPr>
                <w:noProof/>
                <w:lang w:eastAsia="en-GB"/>
              </w:rPr>
              <w:t>147.2</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24.9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24.9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0.2</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0.2</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24.7</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24.7</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Education, Audiovisual and Culture Executive Agency</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740.7</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596.4</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500.9</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645.3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10.3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10.3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8.2</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8.2</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DG Economic and Financial Affairs</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408.2</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56.9</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3.3</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354.5</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0.8</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DG Migration and Home Affairs</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w:t>
            </w:r>
            <w:r>
              <w:rPr>
                <w:rFonts w:ascii="Calibri" w:hAnsi="Calibri" w:cs="Calibri"/>
                <w:noProof/>
                <w:lang w:eastAsia="en-GB"/>
              </w:rPr>
              <w:t> </w:t>
            </w:r>
            <w:r>
              <w:rPr>
                <w:noProof/>
                <w:lang w:eastAsia="en-GB"/>
              </w:rPr>
              <w:t>154.5</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662.1</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203.2</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w:t>
            </w:r>
            <w:r>
              <w:rPr>
                <w:rFonts w:ascii="Calibri" w:hAnsi="Calibri" w:cs="Calibri"/>
                <w:noProof/>
                <w:lang w:eastAsia="en-GB"/>
              </w:rPr>
              <w:t> </w:t>
            </w:r>
            <w:r>
              <w:rPr>
                <w:noProof/>
                <w:lang w:eastAsia="en-GB"/>
              </w:rPr>
              <w:t>695.5</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26.6</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26.6</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9.7</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9.7</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16.9</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16.9</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DG Justice and Consumers</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180.0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139.8</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131.6</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171.8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2.4</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2.4</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1.4</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1.4</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DG Health and Food Safety</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435.9</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204.2</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179.5</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411.1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1.0</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2.2</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DG Taxation and Customs Union</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116.7</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12.7</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9.7</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113.7</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0.6</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0.6</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0.2</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0.2</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0.4</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0.4</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val="restart"/>
            <w:noWrap/>
            <w:hideMark/>
          </w:tcPr>
          <w:p w:rsidR="00311BB8" w:rsidRDefault="00D91061">
            <w:pPr>
              <w:pStyle w:val="AMPRTABLEA-TextLEFTalligned-BLACK"/>
              <w:keepLines w:val="0"/>
              <w:widowControl w:val="0"/>
              <w:rPr>
                <w:noProof/>
                <w:lang w:eastAsia="en-GB"/>
              </w:rPr>
            </w:pPr>
            <w:r>
              <w:rPr>
                <w:noProof/>
                <w:lang w:eastAsia="en-GB"/>
              </w:rPr>
              <w:t>Other services and administra</w:t>
            </w:r>
            <w:r>
              <w:rPr>
                <w:noProof/>
                <w:lang w:eastAsia="en-GB"/>
              </w:rPr>
              <w:softHyphen/>
              <w:t>tion</w:t>
            </w: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DG Budget</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22.6</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22.6</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DG Competition</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13.7</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0.4</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0.3</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13.7</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DG Translation</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16.9</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16.9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DG Informatics</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327.1</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327.1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1.6</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1.6</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1.6</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1.6</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European Political Strategy Centre</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0.3</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European Personnel Selection Office</w:t>
            </w:r>
            <w:r>
              <w:rPr>
                <w:rFonts w:ascii="Calibri" w:hAnsi="Calibri" w:cs="Calibri"/>
                <w:noProof/>
                <w:lang w:val="en-GB" w:eastAsia="en-GB"/>
              </w:rPr>
              <w:t> </w:t>
            </w:r>
            <w:r>
              <w:rPr>
                <w:noProof/>
                <w:lang w:val="en-GB" w:eastAsia="en-GB"/>
              </w:rPr>
              <w:t>/ European School of Administration</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9.3</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9.3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Eurostat</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91.6</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25.3</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5.0</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71.3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0.3</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0.3</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DG Financial Stability, Financial Services and Capital Markets Union</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58.4</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48.3</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41.4</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51.6</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0.2</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0.2</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DG Human Resources and Security</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298.6</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298.6</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1.5</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1.5</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Internal Audit Service</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Joint Research Centre</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237.4</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237.4</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1.2</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1.2</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1.1</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1.1</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Office for Infrastructure and Logistics in Brussels</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383.1</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383.1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1.5</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1.4</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1.8</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Office for Infrastructure and Logistics in Luxembourg</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105.9</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105.9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0.5</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0.5</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0.5</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0.5</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European Anti-Fraud Office</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33.0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8.7</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3.4</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27.7</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Publications Office</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43.1</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43.1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eastAsia="en-GB"/>
              </w:rPr>
            </w:pPr>
            <w:r>
              <w:rPr>
                <w:noProof/>
                <w:lang w:val="en-GB" w:eastAsia="en-GB"/>
              </w:rPr>
              <w:t>Office for the Administration and Payment of Individual Entitlements</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w:t>
            </w:r>
            <w:r>
              <w:rPr>
                <w:rFonts w:ascii="Calibri" w:hAnsi="Calibri" w:cs="Calibri"/>
                <w:noProof/>
                <w:lang w:eastAsia="en-GB"/>
              </w:rPr>
              <w:t> </w:t>
            </w:r>
            <w:r>
              <w:rPr>
                <w:noProof/>
                <w:lang w:eastAsia="en-GB"/>
              </w:rPr>
              <w:t>393.0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w:t>
            </w:r>
            <w:r>
              <w:rPr>
                <w:rFonts w:ascii="Calibri" w:hAnsi="Calibri" w:cs="Calibri"/>
                <w:noProof/>
                <w:lang w:eastAsia="en-GB"/>
              </w:rPr>
              <w:t> </w:t>
            </w:r>
            <w:r>
              <w:rPr>
                <w:noProof/>
                <w:lang w:eastAsia="en-GB"/>
              </w:rPr>
              <w:t>393.0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27.0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27.0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27.0</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27.0</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DG Interpretation</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60.7</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0.4</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0.5</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60.8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0.3</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0.3</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0.3</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Secretariat-General</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9.8</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2.6</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2.5</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9.7</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Legal Service</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r>
      <w:tr w:rsidR="00311BB8" w:rsidTr="00311BB8">
        <w:trPr>
          <w:trHeight w:val="290"/>
        </w:trPr>
        <w:tc>
          <w:tcPr>
            <w:cnfStyle w:val="001000000000" w:firstRow="0" w:lastRow="0" w:firstColumn="1" w:lastColumn="0" w:oddVBand="0" w:evenVBand="0" w:oddHBand="0" w:evenHBand="0" w:firstRowFirstColumn="0" w:firstRowLastColumn="0" w:lastRowFirstColumn="0" w:lastRowLastColumn="0"/>
            <w:tcW w:w="1178" w:type="dxa"/>
            <w:vMerge/>
            <w:hideMark/>
          </w:tcPr>
          <w:p w:rsidR="00311BB8" w:rsidRDefault="00311BB8">
            <w:pPr>
              <w:pStyle w:val="AMPRTABLEA-TextLEFTalligned-BLACK"/>
              <w:rPr>
                <w:noProof/>
                <w:lang w:eastAsia="en-GB"/>
              </w:rPr>
            </w:pPr>
          </w:p>
        </w:tc>
        <w:tc>
          <w:tcPr>
            <w:tcW w:w="1767" w:type="dxa"/>
            <w:noWrap/>
            <w:hideMark/>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Structural Reform Support Service</w:t>
            </w:r>
          </w:p>
        </w:tc>
        <w:tc>
          <w:tcPr>
            <w:tcW w:w="11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83.2</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51.3</w:t>
            </w:r>
          </w:p>
        </w:tc>
        <w:tc>
          <w:tcPr>
            <w:tcW w:w="88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10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36.1</w:t>
            </w:r>
          </w:p>
        </w:tc>
        <w:tc>
          <w:tcPr>
            <w:tcW w:w="10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0.0</w:t>
            </w:r>
          </w:p>
        </w:tc>
        <w:tc>
          <w:tcPr>
            <w:tcW w:w="92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67.9</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0.8</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0.1</w:t>
            </w:r>
          </w:p>
        </w:tc>
        <w:tc>
          <w:tcPr>
            <w:tcW w:w="896"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0.8</w:t>
            </w:r>
          </w:p>
        </w:tc>
        <w:tc>
          <w:tcPr>
            <w:tcW w:w="847"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0.8</w:t>
            </w:r>
          </w:p>
        </w:tc>
      </w:tr>
      <w:tr w:rsidR="00311BB8" w:rsidTr="00311BB8">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45" w:type="dxa"/>
            <w:gridSpan w:val="2"/>
            <w:tcBorders>
              <w:top w:val="single" w:sz="4" w:space="0" w:color="5B9BD5" w:themeColor="accent1"/>
              <w:bottom w:val="single" w:sz="4" w:space="0" w:color="5B9BD5" w:themeColor="accent1"/>
            </w:tcBorders>
            <w:noWrap/>
            <w:hideMark/>
          </w:tcPr>
          <w:p w:rsidR="00311BB8" w:rsidRDefault="00D91061">
            <w:pPr>
              <w:pStyle w:val="AMPRTABLEA-TOTALLEFTalligned-BLACK"/>
              <w:rPr>
                <w:noProof/>
                <w:spacing w:val="-3"/>
                <w:sz w:val="16"/>
                <w:szCs w:val="16"/>
                <w:lang w:eastAsia="en-GB"/>
              </w:rPr>
            </w:pPr>
            <w:r>
              <w:rPr>
                <w:noProof/>
                <w:spacing w:val="-3"/>
                <w:sz w:val="16"/>
                <w:szCs w:val="16"/>
                <w:lang w:eastAsia="en-GB"/>
              </w:rPr>
              <w:t>TOTAL</w:t>
            </w:r>
          </w:p>
        </w:tc>
        <w:tc>
          <w:tcPr>
            <w:tcW w:w="1120" w:type="dxa"/>
            <w:tcBorders>
              <w:top w:val="single" w:sz="4" w:space="0" w:color="5B9BD5" w:themeColor="accent1"/>
              <w:bottom w:val="single" w:sz="4" w:space="0" w:color="5B9BD5" w:themeColor="accent1"/>
            </w:tcBorders>
            <w:noWrap/>
            <w:tcMar>
              <w:left w:w="0" w:type="dxa"/>
            </w:tcMar>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pacing w:val="-3"/>
                <w:sz w:val="16"/>
                <w:szCs w:val="16"/>
                <w:lang w:eastAsia="en-GB"/>
              </w:rPr>
            </w:pPr>
            <w:r>
              <w:rPr>
                <w:noProof/>
                <w:spacing w:val="-3"/>
                <w:sz w:val="16"/>
                <w:szCs w:val="16"/>
                <w:lang w:eastAsia="en-GB"/>
              </w:rPr>
              <w:t>158</w:t>
            </w:r>
            <w:r>
              <w:rPr>
                <w:rFonts w:ascii="Calibri" w:hAnsi="Calibri" w:cs="Calibri"/>
                <w:noProof/>
                <w:spacing w:val="-3"/>
                <w:sz w:val="16"/>
                <w:szCs w:val="16"/>
                <w:lang w:eastAsia="en-GB"/>
              </w:rPr>
              <w:t> </w:t>
            </w:r>
            <w:r>
              <w:rPr>
                <w:noProof/>
                <w:spacing w:val="-3"/>
                <w:sz w:val="16"/>
                <w:szCs w:val="16"/>
                <w:lang w:eastAsia="en-GB"/>
              </w:rPr>
              <w:t>855.6</w:t>
            </w:r>
          </w:p>
        </w:tc>
        <w:tc>
          <w:tcPr>
            <w:tcW w:w="1004" w:type="dxa"/>
            <w:tcBorders>
              <w:top w:val="single" w:sz="4" w:space="0" w:color="5B9BD5" w:themeColor="accent1"/>
              <w:bottom w:val="single" w:sz="4" w:space="0" w:color="5B9BD5" w:themeColor="accent1"/>
            </w:tcBorders>
            <w:noWrap/>
            <w:tcMar>
              <w:left w:w="0" w:type="dxa"/>
            </w:tcMar>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pacing w:val="-3"/>
                <w:sz w:val="16"/>
                <w:szCs w:val="16"/>
                <w:lang w:eastAsia="en-GB"/>
              </w:rPr>
            </w:pPr>
            <w:r>
              <w:rPr>
                <w:noProof/>
                <w:spacing w:val="-3"/>
                <w:sz w:val="16"/>
                <w:szCs w:val="16"/>
                <w:lang w:eastAsia="en-GB"/>
              </w:rPr>
              <w:t>35</w:t>
            </w:r>
            <w:r>
              <w:rPr>
                <w:rFonts w:ascii="Calibri" w:hAnsi="Calibri" w:cs="Calibri"/>
                <w:noProof/>
                <w:spacing w:val="-3"/>
                <w:sz w:val="16"/>
                <w:szCs w:val="16"/>
                <w:lang w:eastAsia="en-GB"/>
              </w:rPr>
              <w:t> </w:t>
            </w:r>
            <w:r>
              <w:rPr>
                <w:noProof/>
                <w:spacing w:val="-3"/>
                <w:sz w:val="16"/>
                <w:szCs w:val="16"/>
                <w:lang w:eastAsia="en-GB"/>
              </w:rPr>
              <w:t>905.0</w:t>
            </w:r>
          </w:p>
        </w:tc>
        <w:tc>
          <w:tcPr>
            <w:tcW w:w="884" w:type="dxa"/>
            <w:tcBorders>
              <w:top w:val="single" w:sz="4" w:space="0" w:color="5B9BD5" w:themeColor="accent1"/>
              <w:bottom w:val="single" w:sz="4" w:space="0" w:color="5B9BD5" w:themeColor="accent1"/>
            </w:tcBorders>
            <w:noWrap/>
            <w:tcMar>
              <w:left w:w="0" w:type="dxa"/>
            </w:tcMar>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pacing w:val="-3"/>
                <w:sz w:val="16"/>
                <w:szCs w:val="16"/>
                <w:lang w:eastAsia="en-GB"/>
              </w:rPr>
            </w:pPr>
            <w:r>
              <w:rPr>
                <w:noProof/>
                <w:spacing w:val="-3"/>
                <w:sz w:val="16"/>
                <w:szCs w:val="16"/>
                <w:lang w:eastAsia="en-GB"/>
              </w:rPr>
              <w:t>4</w:t>
            </w:r>
            <w:r>
              <w:rPr>
                <w:rFonts w:ascii="Calibri" w:hAnsi="Calibri" w:cs="Calibri"/>
                <w:noProof/>
                <w:spacing w:val="-3"/>
                <w:sz w:val="16"/>
                <w:szCs w:val="16"/>
                <w:lang w:eastAsia="en-GB"/>
              </w:rPr>
              <w:t> </w:t>
            </w:r>
            <w:r>
              <w:rPr>
                <w:noProof/>
                <w:spacing w:val="-3"/>
                <w:sz w:val="16"/>
                <w:szCs w:val="16"/>
                <w:lang w:eastAsia="en-GB"/>
              </w:rPr>
              <w:t>673.0</w:t>
            </w:r>
          </w:p>
        </w:tc>
        <w:tc>
          <w:tcPr>
            <w:tcW w:w="1004" w:type="dxa"/>
            <w:tcBorders>
              <w:top w:val="single" w:sz="4" w:space="0" w:color="5B9BD5" w:themeColor="accent1"/>
              <w:bottom w:val="single" w:sz="4" w:space="0" w:color="5B9BD5" w:themeColor="accent1"/>
            </w:tcBorders>
            <w:noWrap/>
            <w:tcMar>
              <w:left w:w="0" w:type="dxa"/>
            </w:tcMar>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pacing w:val="-3"/>
                <w:sz w:val="16"/>
                <w:szCs w:val="16"/>
                <w:lang w:eastAsia="en-GB"/>
              </w:rPr>
            </w:pPr>
            <w:r>
              <w:rPr>
                <w:noProof/>
                <w:spacing w:val="-3"/>
                <w:sz w:val="16"/>
                <w:szCs w:val="16"/>
                <w:lang w:eastAsia="en-GB"/>
              </w:rPr>
              <w:t>24</w:t>
            </w:r>
            <w:r>
              <w:rPr>
                <w:rFonts w:ascii="Calibri" w:hAnsi="Calibri" w:cs="Calibri"/>
                <w:noProof/>
                <w:spacing w:val="-3"/>
                <w:sz w:val="16"/>
                <w:szCs w:val="16"/>
                <w:lang w:eastAsia="en-GB"/>
              </w:rPr>
              <w:t> </w:t>
            </w:r>
            <w:r>
              <w:rPr>
                <w:noProof/>
                <w:spacing w:val="-3"/>
                <w:sz w:val="16"/>
                <w:szCs w:val="16"/>
                <w:lang w:eastAsia="en-GB"/>
              </w:rPr>
              <w:t>481.5</w:t>
            </w:r>
          </w:p>
        </w:tc>
        <w:tc>
          <w:tcPr>
            <w:tcW w:w="1079" w:type="dxa"/>
            <w:tcBorders>
              <w:top w:val="single" w:sz="4" w:space="0" w:color="5B9BD5" w:themeColor="accent1"/>
              <w:bottom w:val="single" w:sz="4" w:space="0" w:color="5B9BD5" w:themeColor="accent1"/>
            </w:tcBorders>
            <w:noWrap/>
            <w:tcMar>
              <w:left w:w="0" w:type="dxa"/>
            </w:tcMar>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pacing w:val="-3"/>
                <w:sz w:val="16"/>
                <w:szCs w:val="16"/>
                <w:lang w:eastAsia="en-GB"/>
              </w:rPr>
            </w:pPr>
            <w:r>
              <w:rPr>
                <w:noProof/>
                <w:spacing w:val="-3"/>
                <w:sz w:val="16"/>
                <w:szCs w:val="16"/>
                <w:lang w:eastAsia="en-GB"/>
              </w:rPr>
              <w:t>4</w:t>
            </w:r>
            <w:r>
              <w:rPr>
                <w:rFonts w:ascii="Calibri" w:hAnsi="Calibri" w:cs="Calibri"/>
                <w:noProof/>
                <w:spacing w:val="-3"/>
                <w:sz w:val="16"/>
                <w:szCs w:val="16"/>
                <w:lang w:eastAsia="en-GB"/>
              </w:rPr>
              <w:t> </w:t>
            </w:r>
            <w:r>
              <w:rPr>
                <w:noProof/>
                <w:spacing w:val="-3"/>
                <w:sz w:val="16"/>
                <w:szCs w:val="16"/>
                <w:lang w:eastAsia="en-GB"/>
              </w:rPr>
              <w:t>713.2</w:t>
            </w:r>
          </w:p>
        </w:tc>
        <w:tc>
          <w:tcPr>
            <w:tcW w:w="925" w:type="dxa"/>
            <w:tcBorders>
              <w:top w:val="single" w:sz="4" w:space="0" w:color="5B9BD5" w:themeColor="accent1"/>
              <w:bottom w:val="single" w:sz="4" w:space="0" w:color="5B9BD5" w:themeColor="accent1"/>
            </w:tcBorders>
            <w:noWrap/>
            <w:tcMar>
              <w:left w:w="0" w:type="dxa"/>
            </w:tcMar>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pacing w:val="-3"/>
                <w:sz w:val="16"/>
                <w:szCs w:val="16"/>
                <w:lang w:eastAsia="en-GB"/>
              </w:rPr>
            </w:pPr>
            <w:r>
              <w:rPr>
                <w:noProof/>
                <w:spacing w:val="-3"/>
                <w:sz w:val="16"/>
                <w:szCs w:val="16"/>
                <w:lang w:eastAsia="en-GB"/>
              </w:rPr>
              <w:t>147</w:t>
            </w:r>
            <w:r>
              <w:rPr>
                <w:rFonts w:ascii="Calibri" w:hAnsi="Calibri" w:cs="Calibri"/>
                <w:noProof/>
                <w:spacing w:val="-3"/>
                <w:sz w:val="16"/>
                <w:szCs w:val="16"/>
                <w:lang w:eastAsia="en-GB"/>
              </w:rPr>
              <w:t> </w:t>
            </w:r>
            <w:r>
              <w:rPr>
                <w:noProof/>
                <w:spacing w:val="-3"/>
                <w:sz w:val="16"/>
                <w:szCs w:val="16"/>
                <w:lang w:eastAsia="en-GB"/>
              </w:rPr>
              <w:t>391.9</w:t>
            </w:r>
          </w:p>
        </w:tc>
        <w:tc>
          <w:tcPr>
            <w:tcW w:w="896" w:type="dxa"/>
            <w:tcBorders>
              <w:top w:val="single" w:sz="4" w:space="0" w:color="5B9BD5" w:themeColor="accent1"/>
              <w:bottom w:val="single" w:sz="4" w:space="0" w:color="5B9BD5" w:themeColor="accent1"/>
            </w:tcBorders>
            <w:noWrap/>
            <w:tcMar>
              <w:left w:w="0" w:type="dxa"/>
            </w:tcMar>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pacing w:val="-3"/>
                <w:sz w:val="16"/>
                <w:szCs w:val="16"/>
                <w:lang w:eastAsia="en-GB"/>
              </w:rPr>
            </w:pPr>
            <w:r>
              <w:rPr>
                <w:noProof/>
                <w:spacing w:val="-3"/>
                <w:sz w:val="16"/>
                <w:szCs w:val="16"/>
                <w:lang w:eastAsia="en-GB"/>
              </w:rPr>
              <w:t>2</w:t>
            </w:r>
            <w:r>
              <w:rPr>
                <w:rFonts w:ascii="Calibri" w:hAnsi="Calibri" w:cs="Calibri"/>
                <w:noProof/>
                <w:spacing w:val="-3"/>
                <w:sz w:val="16"/>
                <w:szCs w:val="16"/>
                <w:lang w:eastAsia="en-GB"/>
              </w:rPr>
              <w:t> </w:t>
            </w:r>
            <w:r>
              <w:rPr>
                <w:noProof/>
                <w:spacing w:val="-3"/>
                <w:sz w:val="16"/>
                <w:szCs w:val="16"/>
                <w:lang w:eastAsia="en-GB"/>
              </w:rPr>
              <w:t>670.7</w:t>
            </w:r>
          </w:p>
        </w:tc>
        <w:tc>
          <w:tcPr>
            <w:tcW w:w="896" w:type="dxa"/>
            <w:tcBorders>
              <w:top w:val="single" w:sz="4" w:space="0" w:color="5B9BD5" w:themeColor="accent1"/>
              <w:bottom w:val="single" w:sz="4" w:space="0" w:color="5B9BD5" w:themeColor="accent1"/>
            </w:tcBorders>
            <w:noWrap/>
            <w:tcMar>
              <w:left w:w="0" w:type="dxa"/>
            </w:tcMar>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pacing w:val="-3"/>
                <w:sz w:val="16"/>
                <w:szCs w:val="16"/>
                <w:lang w:eastAsia="en-GB"/>
              </w:rPr>
            </w:pPr>
            <w:r>
              <w:rPr>
                <w:noProof/>
                <w:spacing w:val="-3"/>
                <w:sz w:val="16"/>
                <w:szCs w:val="16"/>
                <w:lang w:eastAsia="en-GB"/>
              </w:rPr>
              <w:t>3</w:t>
            </w:r>
            <w:r>
              <w:rPr>
                <w:rFonts w:ascii="Calibri" w:hAnsi="Calibri" w:cs="Calibri"/>
                <w:noProof/>
                <w:spacing w:val="-3"/>
                <w:sz w:val="16"/>
                <w:szCs w:val="16"/>
                <w:lang w:eastAsia="en-GB"/>
              </w:rPr>
              <w:t> </w:t>
            </w:r>
            <w:r>
              <w:rPr>
                <w:noProof/>
                <w:spacing w:val="-3"/>
                <w:sz w:val="16"/>
                <w:szCs w:val="16"/>
                <w:lang w:eastAsia="en-GB"/>
              </w:rPr>
              <w:t>111.9</w:t>
            </w:r>
          </w:p>
        </w:tc>
        <w:tc>
          <w:tcPr>
            <w:tcW w:w="896" w:type="dxa"/>
            <w:tcBorders>
              <w:top w:val="single" w:sz="4" w:space="0" w:color="5B9BD5" w:themeColor="accent1"/>
              <w:bottom w:val="single" w:sz="4" w:space="0" w:color="5B9BD5" w:themeColor="accent1"/>
            </w:tcBorders>
            <w:noWrap/>
            <w:tcMar>
              <w:left w:w="0" w:type="dxa"/>
            </w:tcMar>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pacing w:val="-3"/>
                <w:sz w:val="16"/>
                <w:szCs w:val="16"/>
                <w:lang w:eastAsia="en-GB"/>
              </w:rPr>
            </w:pPr>
            <w:r>
              <w:rPr>
                <w:noProof/>
                <w:spacing w:val="-3"/>
                <w:sz w:val="16"/>
                <w:szCs w:val="16"/>
                <w:lang w:eastAsia="en-GB"/>
              </w:rPr>
              <w:t>1</w:t>
            </w:r>
            <w:r>
              <w:rPr>
                <w:rFonts w:ascii="Calibri" w:hAnsi="Calibri" w:cs="Calibri"/>
                <w:noProof/>
                <w:spacing w:val="-3"/>
                <w:sz w:val="16"/>
                <w:szCs w:val="16"/>
                <w:lang w:eastAsia="en-GB"/>
              </w:rPr>
              <w:t> </w:t>
            </w:r>
            <w:r>
              <w:rPr>
                <w:noProof/>
                <w:spacing w:val="-3"/>
                <w:sz w:val="16"/>
                <w:szCs w:val="16"/>
                <w:lang w:eastAsia="en-GB"/>
              </w:rPr>
              <w:t>672.6</w:t>
            </w:r>
          </w:p>
        </w:tc>
        <w:tc>
          <w:tcPr>
            <w:tcW w:w="896" w:type="dxa"/>
            <w:tcBorders>
              <w:top w:val="single" w:sz="4" w:space="0" w:color="5B9BD5" w:themeColor="accent1"/>
              <w:bottom w:val="single" w:sz="4" w:space="0" w:color="5B9BD5" w:themeColor="accent1"/>
            </w:tcBorders>
            <w:noWrap/>
            <w:tcMar>
              <w:left w:w="0" w:type="dxa"/>
            </w:tcMar>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pacing w:val="-3"/>
                <w:sz w:val="16"/>
                <w:szCs w:val="16"/>
                <w:lang w:eastAsia="en-GB"/>
              </w:rPr>
            </w:pPr>
            <w:r>
              <w:rPr>
                <w:noProof/>
                <w:spacing w:val="-3"/>
                <w:sz w:val="16"/>
                <w:szCs w:val="16"/>
                <w:lang w:eastAsia="en-GB"/>
              </w:rPr>
              <w:t>2 109.2</w:t>
            </w:r>
          </w:p>
        </w:tc>
        <w:tc>
          <w:tcPr>
            <w:tcW w:w="896" w:type="dxa"/>
            <w:tcBorders>
              <w:top w:val="single" w:sz="4" w:space="0" w:color="5B9BD5" w:themeColor="accent1"/>
              <w:bottom w:val="single" w:sz="4" w:space="0" w:color="5B9BD5" w:themeColor="accent1"/>
            </w:tcBorders>
            <w:noWrap/>
            <w:tcMar>
              <w:left w:w="0" w:type="dxa"/>
            </w:tcMar>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pacing w:val="-3"/>
                <w:sz w:val="16"/>
                <w:szCs w:val="16"/>
                <w:lang w:eastAsia="en-GB"/>
              </w:rPr>
            </w:pPr>
            <w:r>
              <w:rPr>
                <w:noProof/>
                <w:spacing w:val="-3"/>
                <w:sz w:val="16"/>
                <w:szCs w:val="16"/>
                <w:lang w:eastAsia="en-GB"/>
              </w:rPr>
              <w:t>998.1</w:t>
            </w:r>
          </w:p>
        </w:tc>
        <w:tc>
          <w:tcPr>
            <w:tcW w:w="847" w:type="dxa"/>
            <w:tcBorders>
              <w:top w:val="single" w:sz="4" w:space="0" w:color="5B9BD5" w:themeColor="accent1"/>
              <w:bottom w:val="single" w:sz="4" w:space="0" w:color="5B9BD5" w:themeColor="accent1"/>
            </w:tcBorders>
            <w:noWrap/>
            <w:tcMar>
              <w:left w:w="0" w:type="dxa"/>
            </w:tcMar>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pacing w:val="-3"/>
                <w:sz w:val="16"/>
                <w:szCs w:val="16"/>
                <w:lang w:eastAsia="en-GB"/>
              </w:rPr>
            </w:pPr>
            <w:r>
              <w:rPr>
                <w:noProof/>
                <w:spacing w:val="-3"/>
                <w:sz w:val="16"/>
                <w:szCs w:val="16"/>
                <w:lang w:eastAsia="en-GB"/>
              </w:rPr>
              <w:t>1</w:t>
            </w:r>
            <w:r>
              <w:rPr>
                <w:rFonts w:ascii="Calibri" w:hAnsi="Calibri" w:cs="Calibri"/>
                <w:noProof/>
                <w:spacing w:val="-3"/>
                <w:sz w:val="16"/>
                <w:szCs w:val="16"/>
                <w:lang w:eastAsia="en-GB"/>
              </w:rPr>
              <w:t> </w:t>
            </w:r>
            <w:r>
              <w:rPr>
                <w:noProof/>
                <w:spacing w:val="-3"/>
                <w:sz w:val="16"/>
                <w:szCs w:val="16"/>
                <w:lang w:eastAsia="en-GB"/>
              </w:rPr>
              <w:t>002.7</w:t>
            </w:r>
          </w:p>
        </w:tc>
      </w:tr>
    </w:tbl>
    <w:p w:rsidR="00311BB8" w:rsidRDefault="00D91061">
      <w:pPr>
        <w:pStyle w:val="AMPRChart-Tabletitle"/>
        <w:rPr>
          <w:noProof/>
        </w:rPr>
      </w:pPr>
      <w:r>
        <w:rPr>
          <w:noProof/>
        </w:rPr>
        <w:t>Table C:</w:t>
      </w:r>
      <w:r>
        <w:rPr>
          <w:i/>
          <w:noProof/>
        </w:rPr>
        <w:t xml:space="preserve"> </w:t>
      </w:r>
      <w:r>
        <w:rPr>
          <w:noProof/>
        </w:rPr>
        <w:t>Risk at payment/closure per department for the whole Commission (2019, million EUR)</w:t>
      </w:r>
    </w:p>
    <w:p w:rsidR="00311BB8" w:rsidRDefault="00D91061">
      <w:pPr>
        <w:pStyle w:val="AMPRSource-Table-Chart-Photo-Caption"/>
        <w:rPr>
          <w:noProof/>
          <w:highlight w:val="yellow"/>
        </w:rPr>
      </w:pPr>
      <w:r>
        <w:rPr>
          <w:i/>
          <w:noProof/>
        </w:rPr>
        <w:t>Source:</w:t>
      </w:r>
      <w:r>
        <w:rPr>
          <w:noProof/>
        </w:rPr>
        <w:t xml:space="preserve"> Commission annual activity reports.</w:t>
      </w:r>
    </w:p>
    <w:p w:rsidR="00311BB8" w:rsidRDefault="00311BB8">
      <w:pPr>
        <w:pStyle w:val="Source-Table-Chart-PhotoCaption"/>
        <w:rPr>
          <w:noProof/>
        </w:rPr>
        <w:sectPr w:rsidR="00311BB8">
          <w:headerReference w:type="even" r:id="rId34"/>
          <w:headerReference w:type="default" r:id="rId35"/>
          <w:footerReference w:type="even" r:id="rId36"/>
          <w:footerReference w:type="default" r:id="rId37"/>
          <w:headerReference w:type="first" r:id="rId38"/>
          <w:footerReference w:type="first" r:id="rId39"/>
          <w:footnotePr>
            <w:numStart w:val="94"/>
          </w:footnotePr>
          <w:pgSz w:w="16838" w:h="11906" w:orient="landscape" w:code="9"/>
          <w:pgMar w:top="1417" w:right="1417" w:bottom="1417" w:left="1134" w:header="567" w:footer="454" w:gutter="0"/>
          <w:cols w:space="720"/>
          <w:docGrid w:linePitch="360"/>
        </w:sectPr>
      </w:pPr>
    </w:p>
    <w:p w:rsidR="00311BB8" w:rsidRDefault="00311BB8">
      <w:pPr>
        <w:rPr>
          <w:noProof/>
        </w:rPr>
        <w:sectPr w:rsidR="00311BB8">
          <w:headerReference w:type="even" r:id="rId40"/>
          <w:headerReference w:type="default" r:id="rId41"/>
          <w:footerReference w:type="even" r:id="rId42"/>
          <w:footerReference w:type="default" r:id="rId43"/>
          <w:headerReference w:type="first" r:id="rId44"/>
          <w:footerReference w:type="first" r:id="rId45"/>
          <w:footnotePr>
            <w:numStart w:val="94"/>
          </w:footnotePr>
          <w:pgSz w:w="11906" w:h="16838" w:code="9"/>
          <w:pgMar w:top="1417" w:right="1417" w:bottom="1134" w:left="1417" w:header="567" w:footer="454" w:gutter="0"/>
          <w:cols w:space="720"/>
          <w:docGrid w:linePitch="360"/>
        </w:sectPr>
      </w:pPr>
      <w:bookmarkStart w:id="7" w:name="_Toc6304470"/>
      <w:bookmarkStart w:id="8" w:name="_Toc8386192"/>
      <w:bookmarkStart w:id="9" w:name="_Toc11679101"/>
      <w:bookmarkStart w:id="10" w:name="_Toc515453340"/>
      <w:bookmarkStart w:id="11" w:name="_Toc515898177"/>
      <w:bookmarkStart w:id="12" w:name="_Toc517175162"/>
      <w:bookmarkStart w:id="13" w:name="_Toc517175273"/>
      <w:bookmarkStart w:id="14" w:name="_Toc511118108"/>
      <w:bookmarkStart w:id="15" w:name="_Toc515453341"/>
      <w:bookmarkStart w:id="16" w:name="_Toc515898178"/>
      <w:bookmarkStart w:id="17" w:name="_Toc517175163"/>
      <w:bookmarkStart w:id="18" w:name="_Toc517175274"/>
    </w:p>
    <w:p w:rsidR="00311BB8" w:rsidRDefault="00D91061">
      <w:pPr>
        <w:pStyle w:val="AMPRAnnexesTITLE2"/>
        <w:rPr>
          <w:noProof/>
        </w:rPr>
      </w:pPr>
      <w:r>
        <w:rPr>
          <w:noProof/>
        </w:rPr>
        <w:t>Annex</w:t>
      </w:r>
      <w:r>
        <w:rPr>
          <w:rFonts w:ascii="Calibri" w:hAnsi="Calibri" w:cs="Calibri"/>
          <w:noProof/>
        </w:rPr>
        <w:t> </w:t>
      </w:r>
      <w:r>
        <w:rPr>
          <w:noProof/>
        </w:rPr>
        <w:t xml:space="preserve">4: </w:t>
      </w:r>
      <w:r>
        <w:rPr>
          <w:noProof/>
        </w:rPr>
        <w:br/>
        <w:t>Reservations reported in the 2019 annual activity reports</w:t>
      </w:r>
      <w:bookmarkEnd w:id="7"/>
      <w:bookmarkEnd w:id="8"/>
      <w:bookmarkEnd w:id="9"/>
    </w:p>
    <w:p w:rsidR="00311BB8" w:rsidRDefault="00D91061">
      <w:pPr>
        <w:pStyle w:val="AMPRAnnexesTITLE3"/>
        <w:rPr>
          <w:noProof/>
        </w:rPr>
      </w:pPr>
      <w:r>
        <w:rPr>
          <w:noProof/>
        </w:rPr>
        <w:t>Concept</w:t>
      </w:r>
    </w:p>
    <w:p w:rsidR="00311BB8" w:rsidRDefault="00D91061">
      <w:pPr>
        <w:pStyle w:val="AMPRBodyText"/>
        <w:rPr>
          <w:noProof/>
          <w:spacing w:val="-1"/>
        </w:rPr>
      </w:pPr>
      <w:r>
        <w:rPr>
          <w:noProof/>
          <w:spacing w:val="-1"/>
        </w:rPr>
        <w:t>Within the context of their overall assurance-building process, authorising officers by delegation perform a detailed analysis for each segment of their portfolio. At the end of each financial year, they determine the residual error rate</w:t>
      </w:r>
      <w:r>
        <w:rPr>
          <w:rFonts w:ascii="Calibri" w:hAnsi="Calibri" w:cs="Calibri"/>
          <w:noProof/>
          <w:spacing w:val="-1"/>
        </w:rPr>
        <w:t> </w:t>
      </w:r>
      <w:r>
        <w:rPr>
          <w:noProof/>
          <w:spacing w:val="-1"/>
        </w:rPr>
        <w:t>(</w:t>
      </w:r>
      <w:r>
        <w:rPr>
          <w:noProof/>
          <w:spacing w:val="-1"/>
          <w:vertAlign w:val="superscript"/>
        </w:rPr>
        <w:footnoteReference w:id="15"/>
      </w:r>
      <w:r>
        <w:rPr>
          <w:noProof/>
          <w:spacing w:val="-1"/>
        </w:rPr>
        <w:t>) for each programme. This residual error rate is based on the (‘gross’) detected error rate, but takes into account any corrections made so far. Where this residual error rate is above the materiality threshold, the authorising officers duly qualify their declarations of assurance with a reservation. This is in line with the European Court of Auditors’ approach</w:t>
      </w:r>
      <w:r>
        <w:rPr>
          <w:rFonts w:ascii="Calibri" w:hAnsi="Calibri" w:cs="Calibri"/>
          <w:noProof/>
          <w:spacing w:val="-1"/>
        </w:rPr>
        <w:t> </w:t>
      </w:r>
      <w:r>
        <w:rPr>
          <w:noProof/>
          <w:spacing w:val="-1"/>
        </w:rPr>
        <w:t>(</w:t>
      </w:r>
      <w:r>
        <w:rPr>
          <w:noProof/>
          <w:spacing w:val="-1"/>
          <w:vertAlign w:val="superscript"/>
        </w:rPr>
        <w:footnoteReference w:id="16"/>
      </w:r>
      <w:r>
        <w:rPr>
          <w:noProof/>
          <w:spacing w:val="-1"/>
        </w:rPr>
        <w:t xml:space="preserve">). </w:t>
      </w:r>
    </w:p>
    <w:p w:rsidR="00311BB8" w:rsidRDefault="00D91061">
      <w:pPr>
        <w:pStyle w:val="AMPRBodyText"/>
        <w:rPr>
          <w:noProof/>
          <w:spacing w:val="-1"/>
        </w:rPr>
      </w:pPr>
      <w:r>
        <w:rPr>
          <w:noProof/>
          <w:spacing w:val="-1"/>
        </w:rPr>
        <w:t xml:space="preserve">Reservations are keystones in the accountability building. They are an indicator of the Commission’s transparency concerning any challenges or weaknesses encountered and their potential financial impact. That reservations lead to the qualification of a declaration of assurance in an annual activity report is part of sound financial management. They are also a tool to address weaknesses that remain. Although most reservations are prompted by findings regarding management and control of past payments, they also have a positive preventive effect, with action plans being developed to mitigate future risks and to strengthen control systems. </w:t>
      </w:r>
    </w:p>
    <w:p w:rsidR="00311BB8" w:rsidRDefault="00D91061">
      <w:pPr>
        <w:pStyle w:val="AMPRBodyText"/>
        <w:rPr>
          <w:noProof/>
          <w:spacing w:val="-1"/>
        </w:rPr>
      </w:pPr>
      <w:r>
        <w:rPr>
          <w:noProof/>
          <w:spacing w:val="-1"/>
        </w:rPr>
        <w:t>Furthermore, the number of reservations is not an indicator of the quality of the financial management. This is partly because there is no direct link between the number of reservations and their financial impact, and also because some weaknesses trigger multiple reservations. For example, multiple reservations may arise from programme segments implemented by more than one department, or because the weakness resulting in a ‘new’ reservation for the current programming period is a continuation of one from a previous programming period. However, this reporting method provides more precision and transparency.</w:t>
      </w:r>
    </w:p>
    <w:p w:rsidR="00311BB8" w:rsidRDefault="00D91061">
      <w:pPr>
        <w:pStyle w:val="AMPRAnnexesTITLE3"/>
        <w:rPr>
          <w:noProof/>
        </w:rPr>
      </w:pPr>
      <w:r>
        <w:rPr>
          <w:noProof/>
        </w:rPr>
        <w:t>2019 reservations</w:t>
      </w:r>
    </w:p>
    <w:p w:rsidR="00311BB8" w:rsidRDefault="00D91061">
      <w:pPr>
        <w:pStyle w:val="AMPRBodyText"/>
        <w:rPr>
          <w:noProof/>
          <w:spacing w:val="-1"/>
        </w:rPr>
      </w:pPr>
      <w:r>
        <w:rPr>
          <w:noProof/>
          <w:spacing w:val="-1"/>
        </w:rPr>
        <w:t>For the 2019 reporting year, all 50 authorising officers by delegation</w:t>
      </w:r>
      <w:r>
        <w:rPr>
          <w:rFonts w:ascii="Calibri" w:hAnsi="Calibri" w:cs="Calibri"/>
          <w:noProof/>
          <w:spacing w:val="-1"/>
        </w:rPr>
        <w:t> </w:t>
      </w:r>
      <w:r>
        <w:rPr>
          <w:noProof/>
          <w:spacing w:val="-1"/>
        </w:rPr>
        <w:t>(</w:t>
      </w:r>
      <w:r>
        <w:rPr>
          <w:noProof/>
          <w:spacing w:val="-1"/>
          <w:vertAlign w:val="superscript"/>
        </w:rPr>
        <w:footnoteReference w:id="17"/>
      </w:r>
      <w:r>
        <w:rPr>
          <w:noProof/>
          <w:spacing w:val="-1"/>
        </w:rPr>
        <w:t>) declared they had reasonable assurance</w:t>
      </w:r>
      <w:r>
        <w:rPr>
          <w:rFonts w:ascii="Calibri" w:hAnsi="Calibri" w:cs="Calibri"/>
          <w:noProof/>
          <w:spacing w:val="-1"/>
        </w:rPr>
        <w:t> </w:t>
      </w:r>
      <w:r>
        <w:rPr>
          <w:noProof/>
          <w:spacing w:val="-1"/>
        </w:rPr>
        <w:t>(</w:t>
      </w:r>
      <w:r>
        <w:rPr>
          <w:noProof/>
          <w:spacing w:val="-1"/>
          <w:vertAlign w:val="superscript"/>
        </w:rPr>
        <w:footnoteReference w:id="18"/>
      </w:r>
      <w:r>
        <w:rPr>
          <w:noProof/>
          <w:spacing w:val="-1"/>
        </w:rPr>
        <w:t>). Of the 50 authorising officers by delegation, 39 issued unqualified declarations of assurance, while 11 issued qualified declarations with a total of 18 reservations for the programme or specific area in their portfolio affected by a weakness (see chart below). These reservations affect revenue as well as expenditure. In all cases, the authorising officers by delegation concerned adopted action plans to address the underlying weaknesses and mitigate the resulting risks. The situation regarding reservations can be summarised as follows.</w:t>
      </w:r>
    </w:p>
    <w:p w:rsidR="00311BB8" w:rsidRDefault="00D91061">
      <w:pPr>
        <w:pStyle w:val="AMPRListOrange-L1"/>
        <w:rPr>
          <w:noProof/>
        </w:rPr>
      </w:pPr>
      <w:r>
        <w:rPr>
          <w:noProof/>
        </w:rPr>
        <w:t>Of the 18 reservations for 2019, 17 are recurrent</w:t>
      </w:r>
      <w:r>
        <w:rPr>
          <w:rFonts w:ascii="Calibri" w:hAnsi="Calibri" w:cs="Calibri"/>
          <w:noProof/>
        </w:rPr>
        <w:t> </w:t>
      </w:r>
      <w:r>
        <w:rPr>
          <w:noProof/>
        </w:rPr>
        <w:t>(</w:t>
      </w:r>
      <w:r>
        <w:rPr>
          <w:rStyle w:val="FootnoteReference"/>
          <w:noProof/>
          <w:vertAlign w:val="superscript"/>
        </w:rPr>
        <w:footnoteReference w:id="19"/>
      </w:r>
      <w:r>
        <w:rPr>
          <w:noProof/>
        </w:rPr>
        <w:t>) and only one is new (by DG Maritime Affairs and Fisheries, for the European Maritime and Fisheries Fund, in a single Member State). For all reservations, the impact on the 2019 expenditure has been (re)calculated, but eight reservations are entirely or partially non-quantified</w:t>
      </w:r>
      <w:r>
        <w:rPr>
          <w:rFonts w:ascii="Calibri" w:hAnsi="Calibri" w:cs="Calibri"/>
          <w:noProof/>
        </w:rPr>
        <w:t> </w:t>
      </w:r>
      <w:r>
        <w:rPr>
          <w:noProof/>
        </w:rPr>
        <w:t>(</w:t>
      </w:r>
      <w:r>
        <w:rPr>
          <w:noProof/>
          <w:vertAlign w:val="superscript"/>
        </w:rPr>
        <w:footnoteReference w:id="20"/>
      </w:r>
      <w:r>
        <w:rPr>
          <w:noProof/>
        </w:rPr>
        <w:t>).</w:t>
      </w:r>
    </w:p>
    <w:p w:rsidR="00311BB8" w:rsidRDefault="00D91061">
      <w:pPr>
        <w:pStyle w:val="AMPRListOrange-L1"/>
        <w:rPr>
          <w:noProof/>
        </w:rPr>
      </w:pPr>
      <w:r>
        <w:rPr>
          <w:noProof/>
        </w:rPr>
        <w:t>Six reservations were lifted because the underlying weaknesses had been resolved. These concerned previous issues</w:t>
      </w:r>
      <w:r>
        <w:rPr>
          <w:rFonts w:ascii="Calibri" w:hAnsi="Calibri" w:cs="Calibri"/>
          <w:noProof/>
        </w:rPr>
        <w:t> </w:t>
      </w:r>
      <w:r>
        <w:rPr>
          <w:noProof/>
        </w:rPr>
        <w:t>– with three entrusted entities, with a Member State, with an executive agency’s control system and with a programme’s high error rate – which have been duly addressed.</w:t>
      </w:r>
    </w:p>
    <w:p w:rsidR="00311BB8" w:rsidRDefault="00D91061">
      <w:pPr>
        <w:pStyle w:val="AMPRListOrange-L1"/>
        <w:rPr>
          <w:noProof/>
        </w:rPr>
      </w:pPr>
      <w:r>
        <w:rPr>
          <w:noProof/>
        </w:rPr>
        <w:t>For 17 other previous reservations the ‘de minimis’ rule was applied, whereby reservations are no longer considered meaningful under certain conditions (see box below). These were mostly related to 2007-2013 ‘legacy’ programmes in the fields of research, competitiveness, education and culture, and external relations</w:t>
      </w:r>
      <w:r>
        <w:rPr>
          <w:rFonts w:ascii="Calibri" w:hAnsi="Calibri" w:cs="Calibri"/>
          <w:noProof/>
        </w:rPr>
        <w:t> </w:t>
      </w:r>
      <w:r>
        <w:rPr>
          <w:noProof/>
        </w:rPr>
        <w:t>(</w:t>
      </w:r>
      <w:r>
        <w:rPr>
          <w:noProof/>
          <w:vertAlign w:val="superscript"/>
        </w:rPr>
        <w:footnoteReference w:id="21"/>
      </w:r>
      <w:r>
        <w:rPr>
          <w:noProof/>
        </w:rPr>
        <w:t>).</w:t>
      </w:r>
    </w:p>
    <w:p w:rsidR="00311BB8" w:rsidRDefault="00D91061">
      <w:pPr>
        <w:pStyle w:val="AMPRBOXB-bgWHITElnBLUE-BLACKHeading"/>
        <w:spacing w:before="240"/>
        <w:rPr>
          <w:noProof/>
        </w:rPr>
      </w:pPr>
      <w:r>
        <w:rPr>
          <w:noProof/>
        </w:rPr>
        <w:t>Introduction of a ‘de minimis’ rule for reservations as from 2019</w:t>
      </w:r>
    </w:p>
    <w:p w:rsidR="00311BB8" w:rsidRDefault="00D91061">
      <w:pPr>
        <w:pStyle w:val="AMPRBOXB-bgWHITElnBLUE-BLACKtext"/>
        <w:rPr>
          <w:noProof/>
        </w:rPr>
      </w:pPr>
      <w:r>
        <w:rPr>
          <w:noProof/>
        </w:rPr>
        <w:t>Further to the decision by the Corporate Management Board on 30</w:t>
      </w:r>
      <w:r>
        <w:rPr>
          <w:rFonts w:ascii="Calibri" w:hAnsi="Calibri" w:cs="Calibri"/>
          <w:noProof/>
        </w:rPr>
        <w:t> </w:t>
      </w:r>
      <w:r>
        <w:rPr>
          <w:noProof/>
        </w:rPr>
        <w:t>April 2019, a ‘de minimis’ rule for reservations has been introduced</w:t>
      </w:r>
      <w:r>
        <w:rPr>
          <w:rFonts w:ascii="Calibri" w:hAnsi="Calibri" w:cs="Calibri"/>
          <w:noProof/>
        </w:rPr>
        <w:t> </w:t>
      </w:r>
      <w:r>
        <w:rPr>
          <w:noProof/>
        </w:rPr>
        <w:t>(</w:t>
      </w:r>
      <w:r>
        <w:rPr>
          <w:noProof/>
          <w:vertAlign w:val="superscript"/>
        </w:rPr>
        <w:footnoteReference w:id="22"/>
      </w:r>
      <w:r>
        <w:rPr>
          <w:noProof/>
        </w:rPr>
        <w:t xml:space="preserve">). </w:t>
      </w:r>
    </w:p>
    <w:p w:rsidR="00311BB8" w:rsidRDefault="00D91061">
      <w:pPr>
        <w:pStyle w:val="AMPRBOXB-bgWHITElnBLUE-BLACKtext"/>
        <w:rPr>
          <w:noProof/>
        </w:rPr>
      </w:pPr>
      <w:r>
        <w:rPr>
          <w:noProof/>
        </w:rPr>
        <w:t>Reservations related to cases with a residual error rate above the 2% materiality threshold are deemed not substantial for segments that represent less than 5% of the department’s total payments and have a financial impact of less than EUR</w:t>
      </w:r>
      <w:r>
        <w:rPr>
          <w:rFonts w:ascii="Calibri" w:hAnsi="Calibri" w:cs="Calibri"/>
          <w:noProof/>
        </w:rPr>
        <w:t> </w:t>
      </w:r>
      <w:r>
        <w:rPr>
          <w:noProof/>
        </w:rPr>
        <w:t>5</w:t>
      </w:r>
      <w:r>
        <w:rPr>
          <w:rFonts w:ascii="Calibri" w:hAnsi="Calibri" w:cs="Calibri"/>
          <w:noProof/>
        </w:rPr>
        <w:t> </w:t>
      </w:r>
      <w:r>
        <w:rPr>
          <w:noProof/>
        </w:rPr>
        <w:t>million. Therefore, quantified reservations which do not exceed both thresholds are not needed</w:t>
      </w:r>
      <w:r>
        <w:rPr>
          <w:rFonts w:ascii="Calibri" w:hAnsi="Calibri" w:cs="Calibri"/>
          <w:noProof/>
        </w:rPr>
        <w:t> </w:t>
      </w:r>
      <w:r>
        <w:rPr>
          <w:noProof/>
        </w:rPr>
        <w:t>(</w:t>
      </w:r>
      <w:r>
        <w:rPr>
          <w:noProof/>
          <w:vertAlign w:val="superscript"/>
        </w:rPr>
        <w:footnoteReference w:id="23"/>
      </w:r>
      <w:r>
        <w:rPr>
          <w:noProof/>
        </w:rPr>
        <w:t xml:space="preserve">). This applies especially but not exclusively to the legacy programmes. </w:t>
      </w:r>
    </w:p>
    <w:p w:rsidR="00311BB8" w:rsidRDefault="00D91061">
      <w:pPr>
        <w:pStyle w:val="AMPRBOXB-bgWHITElnBLUE-BLACKtext"/>
        <w:spacing w:after="240"/>
        <w:rPr>
          <w:noProof/>
        </w:rPr>
      </w:pPr>
      <w:r>
        <w:rPr>
          <w:noProof/>
        </w:rPr>
        <w:t>Nevertheless, full transparency of the management reporting remains ensured, and even this significant reduction in the number of reservations from 2018 to 2019 only has a very limited financial impact. Indeed, as this mostly concerned legacy programmes, which are being phased out, the total financial impact of the 17 reservations lifted by applying this rule would have only been EUR</w:t>
      </w:r>
      <w:r>
        <w:rPr>
          <w:rFonts w:ascii="Calibri" w:hAnsi="Calibri" w:cs="Calibri"/>
          <w:noProof/>
        </w:rPr>
        <w:t> </w:t>
      </w:r>
      <w:r>
        <w:rPr>
          <w:noProof/>
        </w:rPr>
        <w:t>15.2</w:t>
      </w:r>
      <w:r>
        <w:rPr>
          <w:rFonts w:ascii="Calibri" w:hAnsi="Calibri" w:cs="Calibri"/>
          <w:noProof/>
        </w:rPr>
        <w:t> </w:t>
      </w:r>
      <w:r>
        <w:rPr>
          <w:noProof/>
        </w:rPr>
        <w:t>million, or a mere 1.4%, of the total financial impact of all 2019 reservations.</w:t>
      </w:r>
    </w:p>
    <w:p w:rsidR="00311BB8" w:rsidRDefault="00D91061">
      <w:pPr>
        <w:pStyle w:val="AMPRChart-Tabletitle"/>
        <w:jc w:val="center"/>
        <w:rPr>
          <w:noProof/>
        </w:rPr>
      </w:pPr>
      <w:r>
        <w:rPr>
          <w:noProof/>
          <w:lang w:val="fr-BE"/>
        </w:rPr>
        <w:drawing>
          <wp:inline distT="0" distB="0" distL="0" distR="0">
            <wp:extent cx="5753100" cy="3482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3482340"/>
                    </a:xfrm>
                    <a:prstGeom prst="rect">
                      <a:avLst/>
                    </a:prstGeom>
                    <a:noFill/>
                    <a:ln>
                      <a:noFill/>
                    </a:ln>
                  </pic:spPr>
                </pic:pic>
              </a:graphicData>
            </a:graphic>
          </wp:inline>
        </w:drawing>
      </w:r>
    </w:p>
    <w:p w:rsidR="00311BB8" w:rsidRDefault="00D91061">
      <w:pPr>
        <w:pStyle w:val="AMPRChart-Tabletitle"/>
        <w:rPr>
          <w:noProof/>
        </w:rPr>
      </w:pPr>
      <w:r>
        <w:rPr>
          <w:noProof/>
        </w:rPr>
        <w:t>Number of reservations by policy area (2019)</w:t>
      </w:r>
      <w:r>
        <w:rPr>
          <w:rStyle w:val="CommentReference"/>
          <w:rFonts w:eastAsiaTheme="minorHAnsi"/>
          <w:noProof/>
          <w:highlight w:val="cyan"/>
          <w:lang w:eastAsia="en-US"/>
        </w:rPr>
        <w:t xml:space="preserve"> </w:t>
      </w:r>
    </w:p>
    <w:p w:rsidR="00311BB8" w:rsidRDefault="00D91061">
      <w:pPr>
        <w:pStyle w:val="AMPRSource-Table-Chart-Photo-Caption"/>
        <w:rPr>
          <w:noProof/>
        </w:rPr>
      </w:pPr>
      <w:r>
        <w:rPr>
          <w:i/>
          <w:noProof/>
        </w:rPr>
        <w:t>Source:</w:t>
      </w:r>
      <w:r>
        <w:rPr>
          <w:noProof/>
        </w:rPr>
        <w:t xml:space="preserve"> European Commission annual activity reports.</w:t>
      </w:r>
    </w:p>
    <w:p w:rsidR="00311BB8" w:rsidRDefault="00D91061">
      <w:pPr>
        <w:pStyle w:val="AMPRAnnexesTITLE4"/>
        <w:rPr>
          <w:noProof/>
        </w:rPr>
      </w:pPr>
      <w:r>
        <w:rPr>
          <w:noProof/>
        </w:rPr>
        <w:t>Financial impact of reservations</w:t>
      </w:r>
    </w:p>
    <w:p w:rsidR="00311BB8" w:rsidRDefault="00D91061">
      <w:pPr>
        <w:pStyle w:val="AMPRBodyText"/>
        <w:rPr>
          <w:noProof/>
        </w:rPr>
      </w:pPr>
      <w:r>
        <w:rPr>
          <w:noProof/>
        </w:rPr>
        <w:t>In cases where the residual error rate is above the materiality threshold, the financial impact resulting from a reservation is obtained by multiplying the relevant programme or segment’s expenditure by the residual error rate. The total amount for 2019 (EUR</w:t>
      </w:r>
      <w:r>
        <w:rPr>
          <w:rFonts w:ascii="Calibri" w:hAnsi="Calibri" w:cs="Calibri"/>
          <w:noProof/>
        </w:rPr>
        <w:t> </w:t>
      </w:r>
      <w:r>
        <w:rPr>
          <w:noProof/>
        </w:rPr>
        <w:t>1</w:t>
      </w:r>
      <w:r>
        <w:rPr>
          <w:rFonts w:ascii="Calibri" w:hAnsi="Calibri" w:cs="Calibri"/>
          <w:noProof/>
        </w:rPr>
        <w:t> </w:t>
      </w:r>
      <w:r>
        <w:rPr>
          <w:noProof/>
        </w:rPr>
        <w:t>053</w:t>
      </w:r>
      <w:r>
        <w:rPr>
          <w:rFonts w:ascii="Calibri" w:hAnsi="Calibri" w:cs="Calibri"/>
          <w:noProof/>
        </w:rPr>
        <w:t> </w:t>
      </w:r>
      <w:r>
        <w:rPr>
          <w:noProof/>
        </w:rPr>
        <w:t>million; 2% lower than in 2018) is comparable to the level of the previous 2</w:t>
      </w:r>
      <w:r>
        <w:rPr>
          <w:rFonts w:ascii="Calibri" w:hAnsi="Calibri" w:cs="Calibri"/>
          <w:noProof/>
        </w:rPr>
        <w:t> </w:t>
      </w:r>
      <w:r>
        <w:rPr>
          <w:noProof/>
        </w:rPr>
        <w:t>years. The composition and evolution of the financial impact over the years is presented in the table and chart below.</w:t>
      </w:r>
    </w:p>
    <w:p w:rsidR="00311BB8" w:rsidRDefault="00311BB8">
      <w:pPr>
        <w:pStyle w:val="AMPRBodyText"/>
        <w:rPr>
          <w:noProof/>
        </w:rPr>
      </w:pPr>
    </w:p>
    <w:p w:rsidR="00311BB8" w:rsidRDefault="00D91061">
      <w:pPr>
        <w:jc w:val="center"/>
        <w:rPr>
          <w:noProof/>
        </w:rPr>
      </w:pPr>
      <w:r>
        <w:rPr>
          <w:noProof/>
          <w:lang w:val="fr-BE" w:eastAsia="fr-BE"/>
        </w:rPr>
        <w:drawing>
          <wp:inline distT="0" distB="0" distL="0" distR="0">
            <wp:extent cx="5760720" cy="218484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2184840"/>
                    </a:xfrm>
                    <a:prstGeom prst="rect">
                      <a:avLst/>
                    </a:prstGeom>
                    <a:noFill/>
                    <a:ln>
                      <a:noFill/>
                    </a:ln>
                  </pic:spPr>
                </pic:pic>
              </a:graphicData>
            </a:graphic>
          </wp:inline>
        </w:drawing>
      </w:r>
    </w:p>
    <w:tbl>
      <w:tblPr>
        <w:tblStyle w:val="AMPRTABLEA-Template"/>
        <w:tblW w:w="9072" w:type="dxa"/>
        <w:tblLook w:val="04A0" w:firstRow="1" w:lastRow="0" w:firstColumn="1" w:lastColumn="0" w:noHBand="0" w:noVBand="1"/>
      </w:tblPr>
      <w:tblGrid>
        <w:gridCol w:w="3389"/>
        <w:gridCol w:w="2552"/>
        <w:gridCol w:w="3118"/>
        <w:gridCol w:w="13"/>
      </w:tblGrid>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89" w:type="dxa"/>
            <w:noWrap/>
            <w:hideMark/>
          </w:tcPr>
          <w:p w:rsidR="00311BB8" w:rsidRDefault="00D91061">
            <w:pPr>
              <w:pStyle w:val="AMPRTABLEA-HEADERText-WHITE"/>
              <w:spacing w:before="144" w:after="144"/>
              <w:rPr>
                <w:noProof/>
                <w:szCs w:val="18"/>
              </w:rPr>
            </w:pPr>
            <w:r>
              <w:rPr>
                <w:noProof/>
              </w:rPr>
              <w:t>Policy area</w:t>
            </w:r>
          </w:p>
        </w:tc>
        <w:tc>
          <w:tcPr>
            <w:tcW w:w="2552" w:type="dxa"/>
            <w:noWrap/>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Cs w:val="18"/>
              </w:rPr>
            </w:pPr>
            <w:r>
              <w:rPr>
                <w:noProof/>
              </w:rPr>
              <w:t>Total payments in 2019</w:t>
            </w:r>
          </w:p>
        </w:tc>
        <w:tc>
          <w:tcPr>
            <w:tcW w:w="3118" w:type="dxa"/>
            <w:gridSpan w:val="2"/>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Cs w:val="18"/>
                <w:lang w:val="en-GB"/>
              </w:rPr>
            </w:pPr>
            <w:r>
              <w:rPr>
                <w:noProof/>
                <w:lang w:val="en-GB"/>
              </w:rPr>
              <w:t>Financial impact of the reservations</w:t>
            </w:r>
          </w:p>
        </w:tc>
      </w:tr>
      <w:tr w:rsidR="00311BB8" w:rsidTr="00311BB8">
        <w:trPr>
          <w:gridAfter w:val="1"/>
          <w:wAfter w:w="70" w:type="dxa"/>
        </w:trPr>
        <w:tc>
          <w:tcPr>
            <w:cnfStyle w:val="001000000000" w:firstRow="0" w:lastRow="0" w:firstColumn="1" w:lastColumn="0" w:oddVBand="0" w:evenVBand="0" w:oddHBand="0" w:evenHBand="0" w:firstRowFirstColumn="0" w:firstRowLastColumn="0" w:lastRowFirstColumn="0" w:lastRowLastColumn="0"/>
            <w:tcW w:w="3389" w:type="dxa"/>
            <w:noWrap/>
            <w:hideMark/>
          </w:tcPr>
          <w:p w:rsidR="00311BB8" w:rsidRDefault="00D91061">
            <w:pPr>
              <w:pStyle w:val="AMPRTABLEA-TextLEFTalligned-BLACK"/>
              <w:rPr>
                <w:noProof/>
              </w:rPr>
            </w:pPr>
            <w:r>
              <w:rPr>
                <w:noProof/>
              </w:rPr>
              <w:t>Natural resources</w:t>
            </w:r>
          </w:p>
        </w:tc>
        <w:tc>
          <w:tcPr>
            <w:tcW w:w="255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59</w:t>
            </w:r>
            <w:r>
              <w:rPr>
                <w:rFonts w:ascii="Calibri" w:hAnsi="Calibri" w:cs="Calibri"/>
                <w:noProof/>
              </w:rPr>
              <w:t> </w:t>
            </w:r>
            <w:r>
              <w:rPr>
                <w:noProof/>
              </w:rPr>
              <w:t>206</w:t>
            </w:r>
          </w:p>
        </w:tc>
        <w:tc>
          <w:tcPr>
            <w:tcW w:w="311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655</w:t>
            </w:r>
          </w:p>
        </w:tc>
      </w:tr>
      <w:tr w:rsidR="00311BB8" w:rsidTr="00311BB8">
        <w:trPr>
          <w:gridAfter w:val="1"/>
          <w:wAfter w:w="70" w:type="dxa"/>
        </w:trPr>
        <w:tc>
          <w:tcPr>
            <w:cnfStyle w:val="001000000000" w:firstRow="0" w:lastRow="0" w:firstColumn="1" w:lastColumn="0" w:oddVBand="0" w:evenVBand="0" w:oddHBand="0" w:evenHBand="0" w:firstRowFirstColumn="0" w:firstRowLastColumn="0" w:lastRowFirstColumn="0" w:lastRowLastColumn="0"/>
            <w:tcW w:w="3389" w:type="dxa"/>
            <w:noWrap/>
            <w:hideMark/>
          </w:tcPr>
          <w:p w:rsidR="00311BB8" w:rsidRDefault="00D91061">
            <w:pPr>
              <w:pStyle w:val="AMPRTABLEA-TextLEFTalligned-BLACK"/>
              <w:rPr>
                <w:noProof/>
                <w:lang w:val="en-GB"/>
              </w:rPr>
            </w:pPr>
            <w:r>
              <w:rPr>
                <w:noProof/>
                <w:lang w:val="en-GB"/>
              </w:rPr>
              <w:t xml:space="preserve">Economic, social and territorial cohesion </w:t>
            </w:r>
          </w:p>
        </w:tc>
        <w:tc>
          <w:tcPr>
            <w:tcW w:w="255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53</w:t>
            </w:r>
            <w:r>
              <w:rPr>
                <w:rFonts w:ascii="Calibri" w:hAnsi="Calibri" w:cs="Calibri"/>
                <w:noProof/>
              </w:rPr>
              <w:t> </w:t>
            </w:r>
            <w:r>
              <w:rPr>
                <w:noProof/>
              </w:rPr>
              <w:t>455</w:t>
            </w:r>
          </w:p>
        </w:tc>
        <w:tc>
          <w:tcPr>
            <w:tcW w:w="311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363</w:t>
            </w:r>
          </w:p>
        </w:tc>
      </w:tr>
      <w:tr w:rsidR="00311BB8" w:rsidTr="00311BB8">
        <w:trPr>
          <w:gridAfter w:val="1"/>
          <w:wAfter w:w="70" w:type="dxa"/>
        </w:trPr>
        <w:tc>
          <w:tcPr>
            <w:cnfStyle w:val="001000000000" w:firstRow="0" w:lastRow="0" w:firstColumn="1" w:lastColumn="0" w:oddVBand="0" w:evenVBand="0" w:oddHBand="0" w:evenHBand="0" w:firstRowFirstColumn="0" w:firstRowLastColumn="0" w:lastRowFirstColumn="0" w:lastRowLastColumn="0"/>
            <w:tcW w:w="3389" w:type="dxa"/>
            <w:noWrap/>
            <w:hideMark/>
          </w:tcPr>
          <w:p w:rsidR="00311BB8" w:rsidRDefault="00D91061">
            <w:pPr>
              <w:pStyle w:val="AMPRTABLEA-TextLEFTalligned-BLACK"/>
              <w:rPr>
                <w:noProof/>
              </w:rPr>
            </w:pPr>
            <w:r>
              <w:rPr>
                <w:noProof/>
              </w:rPr>
              <w:t>External relations</w:t>
            </w:r>
          </w:p>
        </w:tc>
        <w:tc>
          <w:tcPr>
            <w:tcW w:w="255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13</w:t>
            </w:r>
            <w:r>
              <w:rPr>
                <w:rFonts w:ascii="Calibri" w:hAnsi="Calibri" w:cs="Calibri"/>
                <w:noProof/>
              </w:rPr>
              <w:t> </w:t>
            </w:r>
            <w:r>
              <w:rPr>
                <w:noProof/>
              </w:rPr>
              <w:t>624</w:t>
            </w:r>
          </w:p>
        </w:tc>
        <w:tc>
          <w:tcPr>
            <w:tcW w:w="311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16</w:t>
            </w:r>
          </w:p>
        </w:tc>
      </w:tr>
      <w:tr w:rsidR="00311BB8" w:rsidTr="00311BB8">
        <w:trPr>
          <w:gridAfter w:val="1"/>
          <w:wAfter w:w="70" w:type="dxa"/>
        </w:trPr>
        <w:tc>
          <w:tcPr>
            <w:cnfStyle w:val="001000000000" w:firstRow="0" w:lastRow="0" w:firstColumn="1" w:lastColumn="0" w:oddVBand="0" w:evenVBand="0" w:oddHBand="0" w:evenHBand="0" w:firstRowFirstColumn="0" w:firstRowLastColumn="0" w:lastRowFirstColumn="0" w:lastRowLastColumn="0"/>
            <w:tcW w:w="3389" w:type="dxa"/>
            <w:noWrap/>
            <w:hideMark/>
          </w:tcPr>
          <w:p w:rsidR="00311BB8" w:rsidRDefault="00D91061">
            <w:pPr>
              <w:pStyle w:val="AMPRTABLEA-TextLEFTalligned-BLACK"/>
              <w:rPr>
                <w:noProof/>
                <w:lang w:val="en-GB"/>
              </w:rPr>
            </w:pPr>
            <w:r>
              <w:rPr>
                <w:noProof/>
                <w:lang w:val="en-GB"/>
              </w:rPr>
              <w:t>Research, industry, space, energy and transport</w:t>
            </w:r>
          </w:p>
        </w:tc>
        <w:tc>
          <w:tcPr>
            <w:tcW w:w="255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16</w:t>
            </w:r>
            <w:r>
              <w:rPr>
                <w:rFonts w:ascii="Calibri" w:hAnsi="Calibri" w:cs="Calibri"/>
                <w:noProof/>
              </w:rPr>
              <w:t> </w:t>
            </w:r>
            <w:r>
              <w:rPr>
                <w:noProof/>
              </w:rPr>
              <w:t>876</w:t>
            </w:r>
          </w:p>
        </w:tc>
        <w:tc>
          <w:tcPr>
            <w:tcW w:w="311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8</w:t>
            </w:r>
          </w:p>
        </w:tc>
      </w:tr>
      <w:tr w:rsidR="00311BB8" w:rsidTr="00311BB8">
        <w:trPr>
          <w:gridAfter w:val="1"/>
          <w:wAfter w:w="70" w:type="dxa"/>
        </w:trPr>
        <w:tc>
          <w:tcPr>
            <w:cnfStyle w:val="001000000000" w:firstRow="0" w:lastRow="0" w:firstColumn="1" w:lastColumn="0" w:oddVBand="0" w:evenVBand="0" w:oddHBand="0" w:evenHBand="0" w:firstRowFirstColumn="0" w:firstRowLastColumn="0" w:lastRowFirstColumn="0" w:lastRowLastColumn="0"/>
            <w:tcW w:w="3389" w:type="dxa"/>
            <w:noWrap/>
            <w:hideMark/>
          </w:tcPr>
          <w:p w:rsidR="00311BB8" w:rsidRDefault="00D91061">
            <w:pPr>
              <w:pStyle w:val="AMPRTABLEA-TextLEFTalligned-BLACK"/>
              <w:rPr>
                <w:noProof/>
              </w:rPr>
            </w:pPr>
            <w:r>
              <w:rPr>
                <w:noProof/>
              </w:rPr>
              <w:t>Other internal policies</w:t>
            </w:r>
          </w:p>
        </w:tc>
        <w:tc>
          <w:tcPr>
            <w:tcW w:w="255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8</w:t>
            </w:r>
            <w:r>
              <w:rPr>
                <w:rFonts w:ascii="Calibri" w:hAnsi="Calibri" w:cs="Calibri"/>
                <w:noProof/>
              </w:rPr>
              <w:t> </w:t>
            </w:r>
            <w:r>
              <w:rPr>
                <w:noProof/>
              </w:rPr>
              <w:t>503</w:t>
            </w:r>
          </w:p>
        </w:tc>
        <w:tc>
          <w:tcPr>
            <w:tcW w:w="311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12</w:t>
            </w:r>
          </w:p>
        </w:tc>
      </w:tr>
      <w:tr w:rsidR="00311BB8" w:rsidTr="00311BB8">
        <w:trPr>
          <w:gridAfter w:val="1"/>
          <w:wAfter w:w="70" w:type="dxa"/>
        </w:trPr>
        <w:tc>
          <w:tcPr>
            <w:cnfStyle w:val="001000000000" w:firstRow="0" w:lastRow="0" w:firstColumn="1" w:lastColumn="0" w:oddVBand="0" w:evenVBand="0" w:oddHBand="0" w:evenHBand="0" w:firstRowFirstColumn="0" w:firstRowLastColumn="0" w:lastRowFirstColumn="0" w:lastRowLastColumn="0"/>
            <w:tcW w:w="3389" w:type="dxa"/>
            <w:tcBorders>
              <w:bottom w:val="single" w:sz="4" w:space="0" w:color="5B9BD5" w:themeColor="accent1"/>
            </w:tcBorders>
            <w:noWrap/>
            <w:hideMark/>
          </w:tcPr>
          <w:p w:rsidR="00311BB8" w:rsidRDefault="00D91061">
            <w:pPr>
              <w:pStyle w:val="AMPRTABLEA-TextLEFTalligned-BLACK"/>
              <w:rPr>
                <w:noProof/>
              </w:rPr>
            </w:pPr>
            <w:r>
              <w:rPr>
                <w:noProof/>
              </w:rPr>
              <w:t>Other services and administration</w:t>
            </w:r>
          </w:p>
        </w:tc>
        <w:tc>
          <w:tcPr>
            <w:tcW w:w="2552" w:type="dxa"/>
            <w:tcBorders>
              <w:bottom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7</w:t>
            </w:r>
            <w:r>
              <w:rPr>
                <w:rFonts w:ascii="Calibri" w:hAnsi="Calibri" w:cs="Calibri"/>
                <w:noProof/>
              </w:rPr>
              <w:t> </w:t>
            </w:r>
            <w:r>
              <w:rPr>
                <w:noProof/>
              </w:rPr>
              <w:t>192</w:t>
            </w:r>
          </w:p>
        </w:tc>
        <w:tc>
          <w:tcPr>
            <w:tcW w:w="3118" w:type="dxa"/>
            <w:tcBorders>
              <w:bottom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0</w:t>
            </w:r>
          </w:p>
        </w:tc>
      </w:tr>
      <w:tr w:rsidR="00311BB8" w:rsidTr="00311BB8">
        <w:trPr>
          <w:gridAfter w:val="1"/>
          <w:wAfter w:w="70" w:type="dxa"/>
        </w:trPr>
        <w:tc>
          <w:tcPr>
            <w:cnfStyle w:val="001000000000" w:firstRow="0" w:lastRow="0" w:firstColumn="1" w:lastColumn="0" w:oddVBand="0" w:evenVBand="0" w:oddHBand="0" w:evenHBand="0" w:firstRowFirstColumn="0" w:firstRowLastColumn="0" w:lastRowFirstColumn="0" w:lastRowLastColumn="0"/>
            <w:tcW w:w="3389"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OTALLEFTalligned-BLACK"/>
              <w:rPr>
                <w:noProof/>
              </w:rPr>
            </w:pPr>
            <w:r>
              <w:rPr>
                <w:noProof/>
              </w:rPr>
              <w:t>Total</w:t>
            </w:r>
          </w:p>
        </w:tc>
        <w:tc>
          <w:tcPr>
            <w:tcW w:w="2552"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OTALRIGHTalligned-BLACK"/>
              <w:cnfStyle w:val="000000000000" w:firstRow="0" w:lastRow="0" w:firstColumn="0" w:lastColumn="0" w:oddVBand="0" w:evenVBand="0" w:oddHBand="0" w:evenHBand="0" w:firstRowFirstColumn="0" w:firstRowLastColumn="0" w:lastRowFirstColumn="0" w:lastRowLastColumn="0"/>
              <w:rPr>
                <w:noProof/>
              </w:rPr>
            </w:pPr>
            <w:r>
              <w:rPr>
                <w:noProof/>
              </w:rPr>
              <w:t>158</w:t>
            </w:r>
            <w:r>
              <w:rPr>
                <w:rFonts w:ascii="Calibri" w:hAnsi="Calibri" w:cs="Calibri"/>
                <w:noProof/>
              </w:rPr>
              <w:t> </w:t>
            </w:r>
            <w:r>
              <w:rPr>
                <w:noProof/>
              </w:rPr>
              <w:t>856</w:t>
            </w:r>
          </w:p>
        </w:tc>
        <w:tc>
          <w:tcPr>
            <w:tcW w:w="3118"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OTALRIGHTalligned-BLACK"/>
              <w:cnfStyle w:val="000000000000" w:firstRow="0" w:lastRow="0" w:firstColumn="0" w:lastColumn="0" w:oddVBand="0" w:evenVBand="0" w:oddHBand="0" w:evenHBand="0" w:firstRowFirstColumn="0" w:firstRowLastColumn="0" w:lastRowFirstColumn="0" w:lastRowLastColumn="0"/>
              <w:rPr>
                <w:noProof/>
                <w:highlight w:val="yellow"/>
              </w:rPr>
            </w:pPr>
            <w:r>
              <w:rPr>
                <w:noProof/>
              </w:rPr>
              <w:t>1</w:t>
            </w:r>
            <w:r>
              <w:rPr>
                <w:rFonts w:ascii="Calibri" w:hAnsi="Calibri" w:cs="Calibri"/>
                <w:noProof/>
              </w:rPr>
              <w:t> </w:t>
            </w:r>
            <w:r>
              <w:rPr>
                <w:noProof/>
              </w:rPr>
              <w:t>053</w:t>
            </w:r>
          </w:p>
        </w:tc>
      </w:tr>
      <w:tr w:rsidR="00311BB8" w:rsidTr="00311BB8">
        <w:trPr>
          <w:gridAfter w:val="1"/>
          <w:wAfter w:w="70" w:type="dxa"/>
        </w:trPr>
        <w:tc>
          <w:tcPr>
            <w:cnfStyle w:val="001000000000" w:firstRow="0" w:lastRow="0" w:firstColumn="1" w:lastColumn="0" w:oddVBand="0" w:evenVBand="0" w:oddHBand="0" w:evenHBand="0" w:firstRowFirstColumn="0" w:firstRowLastColumn="0" w:lastRowFirstColumn="0" w:lastRowLastColumn="0"/>
            <w:tcW w:w="5941" w:type="dxa"/>
            <w:gridSpan w:val="2"/>
            <w:tcBorders>
              <w:top w:val="single" w:sz="4" w:space="0" w:color="5B9BD5" w:themeColor="accent1"/>
            </w:tcBorders>
            <w:noWrap/>
            <w:hideMark/>
          </w:tcPr>
          <w:p w:rsidR="00311BB8" w:rsidRDefault="00D91061">
            <w:pPr>
              <w:pStyle w:val="AMPRTABLEA-TextLEFTalligned-BLACK"/>
              <w:rPr>
                <w:noProof/>
                <w:lang w:val="en-GB"/>
              </w:rPr>
            </w:pPr>
            <w:r>
              <w:rPr>
                <w:noProof/>
                <w:lang w:val="en-GB"/>
              </w:rPr>
              <w:t>Impact out of current programmes out of total</w:t>
            </w:r>
          </w:p>
        </w:tc>
        <w:tc>
          <w:tcPr>
            <w:tcW w:w="3118"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w:t>
            </w:r>
            <w:r>
              <w:rPr>
                <w:rFonts w:ascii="Calibri" w:hAnsi="Calibri" w:cs="Calibri"/>
                <w:noProof/>
              </w:rPr>
              <w:t> </w:t>
            </w:r>
            <w:r>
              <w:rPr>
                <w:noProof/>
              </w:rPr>
              <w:t>045</w:t>
            </w:r>
          </w:p>
        </w:tc>
      </w:tr>
      <w:tr w:rsidR="00311BB8" w:rsidTr="00311BB8">
        <w:trPr>
          <w:gridAfter w:val="1"/>
          <w:wAfter w:w="70" w:type="dxa"/>
        </w:trPr>
        <w:tc>
          <w:tcPr>
            <w:cnfStyle w:val="001000000000" w:firstRow="0" w:lastRow="0" w:firstColumn="1" w:lastColumn="0" w:oddVBand="0" w:evenVBand="0" w:oddHBand="0" w:evenHBand="0" w:firstRowFirstColumn="0" w:firstRowLastColumn="0" w:lastRowFirstColumn="0" w:lastRowLastColumn="0"/>
            <w:tcW w:w="5941" w:type="dxa"/>
            <w:gridSpan w:val="2"/>
            <w:noWrap/>
            <w:hideMark/>
          </w:tcPr>
          <w:p w:rsidR="00311BB8" w:rsidRDefault="00D91061">
            <w:pPr>
              <w:pStyle w:val="AMPRTABLEA-TextLEFTalligned-BLACK"/>
              <w:rPr>
                <w:noProof/>
                <w:lang w:val="en-GB"/>
              </w:rPr>
            </w:pPr>
            <w:r>
              <w:rPr>
                <w:noProof/>
                <w:lang w:val="en-GB"/>
              </w:rPr>
              <w:t>Impact of legacy programmes out of total</w:t>
            </w:r>
          </w:p>
        </w:tc>
        <w:tc>
          <w:tcPr>
            <w:tcW w:w="311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8</w:t>
            </w:r>
          </w:p>
        </w:tc>
      </w:tr>
      <w:tr w:rsidR="00311BB8" w:rsidTr="00311BB8">
        <w:tc>
          <w:tcPr>
            <w:cnfStyle w:val="001000000000" w:firstRow="0" w:lastRow="0" w:firstColumn="1" w:lastColumn="0" w:oddVBand="0" w:evenVBand="0" w:oddHBand="0" w:evenHBand="0" w:firstRowFirstColumn="0" w:firstRowLastColumn="0" w:lastRowFirstColumn="0" w:lastRowLastColumn="0"/>
            <w:tcW w:w="3389" w:type="dxa"/>
            <w:tcBorders>
              <w:top w:val="nil"/>
              <w:bottom w:val="nil"/>
              <w:right w:val="single" w:sz="4" w:space="0" w:color="FFFFFF" w:themeColor="background1"/>
            </w:tcBorders>
            <w:shd w:val="clear" w:color="auto" w:fill="44546A" w:themeFill="text2"/>
            <w:noWrap/>
            <w:hideMark/>
          </w:tcPr>
          <w:p w:rsidR="00311BB8" w:rsidRDefault="00D91061">
            <w:pPr>
              <w:pStyle w:val="AMPRTABLEA-HEADERText-WHITE"/>
              <w:rPr>
                <w:noProof/>
                <w:szCs w:val="18"/>
              </w:rPr>
            </w:pPr>
            <w:r>
              <w:rPr>
                <w:noProof/>
              </w:rPr>
              <w:t>Policy area</w:t>
            </w:r>
          </w:p>
        </w:tc>
        <w:tc>
          <w:tcPr>
            <w:tcW w:w="2552" w:type="dxa"/>
            <w:tcBorders>
              <w:top w:val="nil"/>
              <w:left w:val="single" w:sz="4" w:space="0" w:color="FFFFFF" w:themeColor="background1"/>
              <w:bottom w:val="nil"/>
              <w:right w:val="single" w:sz="4" w:space="0" w:color="FFFFFF" w:themeColor="background1"/>
            </w:tcBorders>
            <w:shd w:val="clear" w:color="auto" w:fill="44546A" w:themeFill="text2"/>
            <w:noWrap/>
            <w:hideMark/>
          </w:tcPr>
          <w:p w:rsidR="00311BB8" w:rsidRDefault="00D91061">
            <w:pPr>
              <w:pStyle w:val="AMPRTABLEA-HEADERText-WHITE"/>
              <w:cnfStyle w:val="000000000000" w:firstRow="0" w:lastRow="0" w:firstColumn="0" w:lastColumn="0" w:oddVBand="0" w:evenVBand="0" w:oddHBand="0" w:evenHBand="0" w:firstRowFirstColumn="0" w:firstRowLastColumn="0" w:lastRowFirstColumn="0" w:lastRowLastColumn="0"/>
              <w:rPr>
                <w:noProof/>
                <w:szCs w:val="18"/>
              </w:rPr>
            </w:pPr>
            <w:r>
              <w:rPr>
                <w:noProof/>
              </w:rPr>
              <w:t>Total own resources in 2019</w:t>
            </w:r>
          </w:p>
        </w:tc>
        <w:tc>
          <w:tcPr>
            <w:tcW w:w="3118" w:type="dxa"/>
            <w:gridSpan w:val="2"/>
            <w:tcBorders>
              <w:top w:val="nil"/>
              <w:left w:val="single" w:sz="4" w:space="0" w:color="FFFFFF" w:themeColor="background1"/>
              <w:bottom w:val="nil"/>
            </w:tcBorders>
            <w:shd w:val="clear" w:color="auto" w:fill="44546A" w:themeFill="text2"/>
            <w:hideMark/>
          </w:tcPr>
          <w:p w:rsidR="00311BB8" w:rsidRDefault="00D91061">
            <w:pPr>
              <w:pStyle w:val="AMPRTABLEA-HEADERText-WHITE"/>
              <w:cnfStyle w:val="000000000000" w:firstRow="0" w:lastRow="0" w:firstColumn="0" w:lastColumn="0" w:oddVBand="0" w:evenVBand="0" w:oddHBand="0" w:evenHBand="0" w:firstRowFirstColumn="0" w:firstRowLastColumn="0" w:lastRowFirstColumn="0" w:lastRowLastColumn="0"/>
              <w:rPr>
                <w:noProof/>
                <w:szCs w:val="18"/>
                <w:lang w:val="en-GB"/>
              </w:rPr>
            </w:pPr>
            <w:r>
              <w:rPr>
                <w:noProof/>
                <w:lang w:val="en-GB"/>
              </w:rPr>
              <w:t>Financial impact of the reservations</w:t>
            </w:r>
          </w:p>
        </w:tc>
      </w:tr>
      <w:tr w:rsidR="00311BB8" w:rsidTr="00311BB8">
        <w:tc>
          <w:tcPr>
            <w:cnfStyle w:val="001000000000" w:firstRow="0" w:lastRow="0" w:firstColumn="1" w:lastColumn="0" w:oddVBand="0" w:evenVBand="0" w:oddHBand="0" w:evenHBand="0" w:firstRowFirstColumn="0" w:firstRowLastColumn="0" w:lastRowFirstColumn="0" w:lastRowLastColumn="0"/>
            <w:tcW w:w="3389" w:type="dxa"/>
            <w:tcBorders>
              <w:top w:val="nil"/>
            </w:tcBorders>
            <w:noWrap/>
            <w:hideMark/>
          </w:tcPr>
          <w:p w:rsidR="00311BB8" w:rsidRDefault="00D91061">
            <w:pPr>
              <w:pStyle w:val="AMPRTABLEA-TextLEFTalligned-BLACK"/>
              <w:rPr>
                <w:noProof/>
              </w:rPr>
            </w:pPr>
            <w:r>
              <w:rPr>
                <w:noProof/>
              </w:rPr>
              <w:t>Own resources</w:t>
            </w:r>
          </w:p>
        </w:tc>
        <w:tc>
          <w:tcPr>
            <w:tcW w:w="2552"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146</w:t>
            </w:r>
            <w:r>
              <w:rPr>
                <w:rFonts w:ascii="Calibri" w:hAnsi="Calibri" w:cs="Calibri"/>
                <w:noProof/>
              </w:rPr>
              <w:t> </w:t>
            </w:r>
            <w:r>
              <w:rPr>
                <w:noProof/>
              </w:rPr>
              <w:t>570</w:t>
            </w:r>
          </w:p>
        </w:tc>
        <w:tc>
          <w:tcPr>
            <w:tcW w:w="3118" w:type="dxa"/>
            <w:gridSpan w:val="2"/>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w:t>
            </w:r>
          </w:p>
        </w:tc>
      </w:tr>
    </w:tbl>
    <w:p w:rsidR="00311BB8" w:rsidRDefault="00D91061">
      <w:pPr>
        <w:pStyle w:val="AMPRChart-Tabletitle"/>
        <w:rPr>
          <w:noProof/>
        </w:rPr>
      </w:pPr>
      <w:r>
        <w:rPr>
          <w:noProof/>
        </w:rPr>
        <w:t>Financial impact (‘exposure’) from the 2016, 2017, 2018 and 2019 quantified reservations (million</w:t>
      </w:r>
      <w:r>
        <w:rPr>
          <w:rFonts w:ascii="Calibri" w:hAnsi="Calibri" w:cs="Calibri"/>
          <w:noProof/>
        </w:rPr>
        <w:t> </w:t>
      </w:r>
      <w:r>
        <w:rPr>
          <w:noProof/>
        </w:rPr>
        <w:t xml:space="preserve">EUR) </w:t>
      </w:r>
    </w:p>
    <w:p w:rsidR="00311BB8" w:rsidRDefault="00D91061">
      <w:pPr>
        <w:pStyle w:val="AMPRSource-Table-Chart-Photo-Caption"/>
        <w:rPr>
          <w:noProof/>
        </w:rPr>
      </w:pPr>
      <w:r>
        <w:rPr>
          <w:i/>
          <w:noProof/>
        </w:rPr>
        <w:t>Source:</w:t>
      </w:r>
      <w:r>
        <w:rPr>
          <w:noProof/>
        </w:rPr>
        <w:t xml:space="preserve"> European Commission annual activity reports.</w:t>
      </w:r>
    </w:p>
    <w:p w:rsidR="00311BB8" w:rsidRDefault="00D91061">
      <w:pPr>
        <w:rPr>
          <w:b/>
          <w:noProof/>
          <w:color w:val="4472C4" w:themeColor="accent5"/>
          <w:sz w:val="24"/>
          <w:lang w:eastAsia="zh-CN"/>
        </w:rPr>
      </w:pPr>
      <w:r>
        <w:rPr>
          <w:noProof/>
        </w:rPr>
        <w:br w:type="page"/>
      </w:r>
    </w:p>
    <w:p w:rsidR="00311BB8" w:rsidRDefault="00D91061">
      <w:pPr>
        <w:pStyle w:val="AMPRAnnexesTITLE4"/>
        <w:rPr>
          <w:noProof/>
        </w:rPr>
      </w:pPr>
      <w:r>
        <w:rPr>
          <w:noProof/>
        </w:rPr>
        <w:t>Full list(s) of reservations</w:t>
      </w:r>
    </w:p>
    <w:p w:rsidR="00311BB8" w:rsidRDefault="00D91061">
      <w:pPr>
        <w:pStyle w:val="AMPRBodyText"/>
        <w:rPr>
          <w:noProof/>
        </w:rPr>
      </w:pPr>
      <w:r>
        <w:rPr>
          <w:noProof/>
        </w:rPr>
        <w:t xml:space="preserve">The tables </w:t>
      </w:r>
      <w:r w:rsidR="002B6063">
        <w:rPr>
          <w:noProof/>
        </w:rPr>
        <w:t xml:space="preserve">below </w:t>
      </w:r>
      <w:r>
        <w:rPr>
          <w:noProof/>
        </w:rPr>
        <w:t>present the 18 reservations for 2019.</w:t>
      </w:r>
    </w:p>
    <w:p w:rsidR="00311BB8" w:rsidRDefault="00D91061">
      <w:pPr>
        <w:pStyle w:val="AMPRListOrange-L1"/>
        <w:rPr>
          <w:noProof/>
        </w:rPr>
      </w:pPr>
      <w:r>
        <w:rPr>
          <w:noProof/>
        </w:rPr>
        <w:t>For the 13 reservations related to the current programmes for 2014-2020, see Table</w:t>
      </w:r>
      <w:r>
        <w:rPr>
          <w:rFonts w:ascii="Calibri" w:hAnsi="Calibri" w:cs="Calibri"/>
          <w:noProof/>
        </w:rPr>
        <w:t> </w:t>
      </w:r>
      <w:r>
        <w:rPr>
          <w:noProof/>
        </w:rPr>
        <w:t>D.</w:t>
      </w:r>
    </w:p>
    <w:p w:rsidR="00311BB8" w:rsidRDefault="00D91061">
      <w:pPr>
        <w:pStyle w:val="AMPRListOrange-L1"/>
        <w:rPr>
          <w:noProof/>
        </w:rPr>
      </w:pPr>
      <w:r>
        <w:rPr>
          <w:noProof/>
        </w:rPr>
        <w:t>For the 4 reservations related to the legacy programmes for 2007-2013, see Table</w:t>
      </w:r>
      <w:r>
        <w:rPr>
          <w:rFonts w:ascii="Calibri" w:hAnsi="Calibri" w:cs="Calibri"/>
          <w:noProof/>
        </w:rPr>
        <w:t> </w:t>
      </w:r>
      <w:r>
        <w:rPr>
          <w:noProof/>
        </w:rPr>
        <w:t>E.</w:t>
      </w:r>
    </w:p>
    <w:p w:rsidR="00311BB8" w:rsidRDefault="00D91061">
      <w:pPr>
        <w:pStyle w:val="AMPRListOrange-L1"/>
        <w:rPr>
          <w:noProof/>
        </w:rPr>
      </w:pPr>
      <w:r>
        <w:rPr>
          <w:noProof/>
        </w:rPr>
        <w:t>For the 1 reservation related to the revenue side of the EU budget, see Table</w:t>
      </w:r>
      <w:r>
        <w:rPr>
          <w:rFonts w:ascii="Calibri" w:hAnsi="Calibri" w:cs="Calibri"/>
          <w:noProof/>
        </w:rPr>
        <w:t> </w:t>
      </w:r>
      <w:r>
        <w:rPr>
          <w:noProof/>
        </w:rPr>
        <w:t>F.</w:t>
      </w:r>
    </w:p>
    <w:p w:rsidR="00311BB8" w:rsidRDefault="002B6063">
      <w:pPr>
        <w:pStyle w:val="AMPRBodyText"/>
        <w:rPr>
          <w:noProof/>
        </w:rPr>
      </w:pPr>
      <w:r>
        <w:rPr>
          <w:noProof/>
        </w:rPr>
        <w:t xml:space="preserve">In addition, for </w:t>
      </w:r>
      <w:r w:rsidR="00D91061">
        <w:rPr>
          <w:noProof/>
        </w:rPr>
        <w:t>the 23 reservations that were lifted in 2019</w:t>
      </w:r>
      <w:r>
        <w:rPr>
          <w:noProof/>
        </w:rPr>
        <w:t xml:space="preserve"> see</w:t>
      </w:r>
      <w:r w:rsidR="00B527DC">
        <w:rPr>
          <w:noProof/>
        </w:rPr>
        <w:t>:</w:t>
      </w:r>
    </w:p>
    <w:p w:rsidR="00311BB8" w:rsidRDefault="00D91061">
      <w:pPr>
        <w:pStyle w:val="AMPRListOrange-L1"/>
        <w:rPr>
          <w:noProof/>
        </w:rPr>
      </w:pPr>
      <w:r>
        <w:rPr>
          <w:noProof/>
        </w:rPr>
        <w:t>For the 6 2018 reservations lifted in 2019 because the underlying issues had been resolved, see Table G.</w:t>
      </w:r>
    </w:p>
    <w:p w:rsidR="00311BB8" w:rsidRDefault="00D91061">
      <w:pPr>
        <w:pStyle w:val="AMPRListOrange-L1"/>
        <w:rPr>
          <w:noProof/>
        </w:rPr>
      </w:pPr>
      <w:r>
        <w:rPr>
          <w:noProof/>
        </w:rPr>
        <w:t>For the 17 2018 reservations lifted in 2019 by application of the de minimis rule, see Table H.</w:t>
      </w:r>
    </w:p>
    <w:p w:rsidR="00311BB8" w:rsidRDefault="00D91061">
      <w:pPr>
        <w:pStyle w:val="AMPRSource-Table-Chart-Photo-Caption"/>
        <w:spacing w:after="360"/>
        <w:rPr>
          <w:noProof/>
        </w:rPr>
      </w:pPr>
      <w:r>
        <w:rPr>
          <w:i/>
          <w:noProof/>
        </w:rPr>
        <w:t>Source:</w:t>
      </w:r>
      <w:r>
        <w:rPr>
          <w:noProof/>
        </w:rPr>
        <w:t xml:space="preserve"> Commission annual activity reports.</w:t>
      </w:r>
    </w:p>
    <w:tbl>
      <w:tblPr>
        <w:tblStyle w:val="AMPRTABLEA-Template"/>
        <w:tblW w:w="9072" w:type="dxa"/>
        <w:tblLayout w:type="fixed"/>
        <w:tblLook w:val="04E0" w:firstRow="1" w:lastRow="1" w:firstColumn="1" w:lastColumn="0" w:noHBand="0" w:noVBand="1"/>
      </w:tblPr>
      <w:tblGrid>
        <w:gridCol w:w="1641"/>
        <w:gridCol w:w="2754"/>
        <w:gridCol w:w="1559"/>
        <w:gridCol w:w="1559"/>
        <w:gridCol w:w="1559"/>
      </w:tblGrid>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41" w:type="dxa"/>
          </w:tcPr>
          <w:p w:rsidR="00311BB8" w:rsidRDefault="00D91061">
            <w:pPr>
              <w:pStyle w:val="AMPRTABLEA-HEADERText-WHITE"/>
              <w:keepNext/>
              <w:spacing w:beforeLines="0" w:afterLines="0"/>
              <w:rPr>
                <w:noProof/>
                <w:color w:val="FFFFFF" w:themeColor="background1"/>
              </w:rPr>
            </w:pPr>
            <w:r>
              <w:rPr>
                <w:noProof/>
              </w:rPr>
              <w:t>Policy area</w:t>
            </w:r>
          </w:p>
        </w:tc>
        <w:tc>
          <w:tcPr>
            <w:tcW w:w="2754" w:type="dxa"/>
          </w:tcPr>
          <w:p w:rsidR="00311BB8" w:rsidRDefault="00D91061">
            <w:pPr>
              <w:pStyle w:val="AMPRTABLEA-HEADERText-WHITE"/>
              <w:keepNext/>
              <w:spacing w:beforeLines="0" w:afterLines="0"/>
              <w:cnfStyle w:val="100000000000" w:firstRow="1" w:lastRow="0" w:firstColumn="0" w:lastColumn="0" w:oddVBand="0" w:evenVBand="0" w:oddHBand="0" w:evenHBand="0" w:firstRowFirstColumn="0" w:firstRowLastColumn="0" w:lastRowFirstColumn="0" w:lastRowLastColumn="0"/>
              <w:rPr>
                <w:noProof/>
                <w:color w:val="FFFFFF" w:themeColor="background1"/>
              </w:rPr>
            </w:pPr>
            <w:r>
              <w:rPr>
                <w:noProof/>
              </w:rPr>
              <w:t>Description of reservation</w:t>
            </w:r>
          </w:p>
        </w:tc>
        <w:tc>
          <w:tcPr>
            <w:tcW w:w="1559" w:type="dxa"/>
          </w:tcPr>
          <w:p w:rsidR="00311BB8" w:rsidRDefault="00D91061">
            <w:pPr>
              <w:pStyle w:val="AMPRTABLEA-HEADERText-WHITE"/>
              <w:keepNext/>
              <w:spacing w:beforeLines="0" w:afterLines="0"/>
              <w:cnfStyle w:val="100000000000" w:firstRow="1" w:lastRow="0" w:firstColumn="0" w:lastColumn="0" w:oddVBand="0" w:evenVBand="0" w:oddHBand="0" w:evenHBand="0" w:firstRowFirstColumn="0" w:firstRowLastColumn="0" w:lastRowFirstColumn="0" w:lastRowLastColumn="0"/>
              <w:rPr>
                <w:noProof/>
                <w:color w:val="FFFFFF" w:themeColor="background1"/>
              </w:rPr>
            </w:pPr>
            <w:r>
              <w:rPr>
                <w:noProof/>
              </w:rPr>
              <w:t>Department</w:t>
            </w:r>
          </w:p>
        </w:tc>
        <w:tc>
          <w:tcPr>
            <w:tcW w:w="1559" w:type="dxa"/>
          </w:tcPr>
          <w:p w:rsidR="00311BB8" w:rsidRDefault="00D91061">
            <w:pPr>
              <w:pStyle w:val="AMPRTABLEA-HEADERText-WHITE"/>
              <w:keepNext/>
              <w:spacing w:beforeLines="0" w:afterLines="0"/>
              <w:cnfStyle w:val="100000000000" w:firstRow="1" w:lastRow="0" w:firstColumn="0" w:lastColumn="0" w:oddVBand="0" w:evenVBand="0" w:oddHBand="0" w:evenHBand="0" w:firstRowFirstColumn="0" w:firstRowLastColumn="0" w:lastRowFirstColumn="0" w:lastRowLastColumn="0"/>
              <w:rPr>
                <w:noProof/>
                <w:color w:val="FFFFFF" w:themeColor="background1"/>
                <w:lang w:val="en-GB"/>
              </w:rPr>
            </w:pPr>
            <w:r>
              <w:rPr>
                <w:noProof/>
                <w:lang w:val="en-GB"/>
              </w:rPr>
              <w:t>Impact on legality and regularity</w:t>
            </w:r>
          </w:p>
        </w:tc>
        <w:tc>
          <w:tcPr>
            <w:tcW w:w="1559" w:type="dxa"/>
          </w:tcPr>
          <w:p w:rsidR="00311BB8" w:rsidRDefault="00D91061">
            <w:pPr>
              <w:pStyle w:val="AMPRTABLEA-HEADERText-WHITE"/>
              <w:keepNext/>
              <w:spacing w:beforeLines="0" w:afterLines="0"/>
              <w:cnfStyle w:val="100000000000" w:firstRow="1" w:lastRow="0" w:firstColumn="0" w:lastColumn="0" w:oddVBand="0" w:evenVBand="0" w:oddHBand="0" w:evenHBand="0" w:firstRowFirstColumn="0" w:firstRowLastColumn="0" w:lastRowFirstColumn="0" w:lastRowLastColumn="0"/>
              <w:rPr>
                <w:noProof/>
                <w:color w:val="FFFFFF" w:themeColor="background1"/>
              </w:rPr>
            </w:pPr>
            <w:r>
              <w:rPr>
                <w:noProof/>
              </w:rPr>
              <w:t>Financial impact (million EUR)</w:t>
            </w:r>
          </w:p>
        </w:tc>
      </w:tr>
      <w:tr w:rsidR="00311BB8" w:rsidTr="00311BB8">
        <w:trPr>
          <w:trHeight w:val="373"/>
        </w:trPr>
        <w:tc>
          <w:tcPr>
            <w:cnfStyle w:val="001000000000" w:firstRow="0" w:lastRow="0" w:firstColumn="1" w:lastColumn="0" w:oddVBand="0" w:evenVBand="0" w:oddHBand="0" w:evenHBand="0" w:firstRowFirstColumn="0" w:firstRowLastColumn="0" w:lastRowFirstColumn="0" w:lastRowLastColumn="0"/>
            <w:tcW w:w="1641" w:type="dxa"/>
          </w:tcPr>
          <w:p w:rsidR="00311BB8" w:rsidRDefault="00D91061">
            <w:pPr>
              <w:pStyle w:val="AMPRTABLEA-TextLEFTalligned-BLACK"/>
              <w:rPr>
                <w:b/>
                <w:bCs/>
                <w:strike/>
                <w:noProof/>
                <w:color w:val="000000" w:themeColor="text1"/>
              </w:rPr>
            </w:pPr>
            <w:r>
              <w:rPr>
                <w:b/>
                <w:bCs/>
                <w:noProof/>
              </w:rPr>
              <w:t>Natural resources</w:t>
            </w:r>
          </w:p>
        </w:tc>
        <w:tc>
          <w:tcPr>
            <w:tcW w:w="2754"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strike/>
                <w:noProof/>
                <w:color w:val="000000" w:themeColor="text1"/>
                <w:lang w:val="en-GB"/>
              </w:rPr>
            </w:pPr>
            <w:r>
              <w:rPr>
                <w:noProof/>
                <w:lang w:val="en-GB"/>
              </w:rPr>
              <w:t>European Agricultural Guarantee Fund market measures (7 elements of reservation in 6 Member States)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color w:val="000000" w:themeColor="text1"/>
                <w:lang w:val="en-GB"/>
              </w:rPr>
            </w:pPr>
            <w:r>
              <w:rPr>
                <w:noProof/>
                <w:lang w:val="en-GB"/>
              </w:rPr>
              <w:t>DG Agriculture and Rural Development</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rPr>
            </w:pPr>
            <w:r>
              <w:rPr>
                <w:noProof/>
              </w:rPr>
              <w:t>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47.6</w:t>
            </w:r>
          </w:p>
        </w:tc>
      </w:tr>
      <w:tr w:rsidR="00311BB8" w:rsidTr="00311BB8">
        <w:trPr>
          <w:trHeight w:val="377"/>
        </w:trPr>
        <w:tc>
          <w:tcPr>
            <w:cnfStyle w:val="001000000000" w:firstRow="0" w:lastRow="0" w:firstColumn="1" w:lastColumn="0" w:oddVBand="0" w:evenVBand="0" w:oddHBand="0" w:evenHBand="0" w:firstRowFirstColumn="0" w:firstRowLastColumn="0" w:lastRowFirstColumn="0" w:lastRowLastColumn="0"/>
            <w:tcW w:w="1641" w:type="dxa"/>
          </w:tcPr>
          <w:p w:rsidR="00311BB8" w:rsidRDefault="00311BB8">
            <w:pPr>
              <w:pStyle w:val="AMPRTABLEA-TextLEFTalligned-BLACK"/>
              <w:rPr>
                <w:b/>
                <w:bCs/>
                <w:noProof/>
              </w:rPr>
            </w:pPr>
          </w:p>
        </w:tc>
        <w:tc>
          <w:tcPr>
            <w:tcW w:w="2754"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strike/>
                <w:noProof/>
                <w:color w:val="000000" w:themeColor="text1"/>
                <w:lang w:val="en-GB"/>
              </w:rPr>
            </w:pPr>
            <w:r>
              <w:rPr>
                <w:noProof/>
                <w:lang w:val="en-GB"/>
              </w:rPr>
              <w:t>European Agricultural Guarantee Fund direct payments (17 paying agencies in 9 Member States)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color w:val="000000" w:themeColor="text1"/>
                <w:lang w:val="en-GB"/>
              </w:rPr>
            </w:pPr>
            <w:r>
              <w:rPr>
                <w:noProof/>
                <w:lang w:val="en-GB"/>
              </w:rPr>
              <w:t>DG Agriculture and Rural Development</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rPr>
            </w:pPr>
            <w:r>
              <w:rPr>
                <w:noProof/>
              </w:rPr>
              <w:t>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307.6</w:t>
            </w:r>
          </w:p>
        </w:tc>
      </w:tr>
      <w:tr w:rsidR="00311BB8" w:rsidTr="00311BB8">
        <w:trPr>
          <w:trHeight w:val="491"/>
        </w:trPr>
        <w:tc>
          <w:tcPr>
            <w:cnfStyle w:val="001000000000" w:firstRow="0" w:lastRow="0" w:firstColumn="1" w:lastColumn="0" w:oddVBand="0" w:evenVBand="0" w:oddHBand="0" w:evenHBand="0" w:firstRowFirstColumn="0" w:firstRowLastColumn="0" w:lastRowFirstColumn="0" w:lastRowLastColumn="0"/>
            <w:tcW w:w="1641" w:type="dxa"/>
          </w:tcPr>
          <w:p w:rsidR="00311BB8" w:rsidRDefault="00311BB8">
            <w:pPr>
              <w:pStyle w:val="AMPRTABLEA-TextLEFTalligned-BLACK"/>
              <w:rPr>
                <w:b/>
                <w:bCs/>
                <w:strike/>
                <w:noProof/>
              </w:rPr>
            </w:pPr>
          </w:p>
        </w:tc>
        <w:tc>
          <w:tcPr>
            <w:tcW w:w="2754"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strike/>
                <w:noProof/>
                <w:color w:val="000000" w:themeColor="text1"/>
                <w:lang w:val="en-GB"/>
              </w:rPr>
            </w:pPr>
            <w:r>
              <w:rPr>
                <w:noProof/>
                <w:lang w:val="en-GB"/>
              </w:rPr>
              <w:t>European Agricultural Fund for Rural Development expenditure for rural development measures (21 paying agencies in 18 Member States)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color w:val="000000" w:themeColor="text1"/>
                <w:lang w:val="en-GB"/>
              </w:rPr>
            </w:pPr>
            <w:r>
              <w:rPr>
                <w:noProof/>
                <w:lang w:val="en-GB"/>
              </w:rPr>
              <w:t>DG Agriculture and Rural Development</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rPr>
            </w:pPr>
            <w:r>
              <w:rPr>
                <w:noProof/>
              </w:rPr>
              <w:t>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288.4</w:t>
            </w:r>
          </w:p>
        </w:tc>
      </w:tr>
      <w:tr w:rsidR="00311BB8" w:rsidTr="00311BB8">
        <w:trPr>
          <w:trHeight w:val="491"/>
        </w:trPr>
        <w:tc>
          <w:tcPr>
            <w:cnfStyle w:val="001000000000" w:firstRow="0" w:lastRow="0" w:firstColumn="1" w:lastColumn="0" w:oddVBand="0" w:evenVBand="0" w:oddHBand="0" w:evenHBand="0" w:firstRowFirstColumn="0" w:firstRowLastColumn="0" w:lastRowFirstColumn="0" w:lastRowLastColumn="0"/>
            <w:tcW w:w="1641" w:type="dxa"/>
          </w:tcPr>
          <w:p w:rsidR="00311BB8" w:rsidRDefault="00311BB8">
            <w:pPr>
              <w:pStyle w:val="AMPRTABLEA-TextLEFTalligned-BLACK"/>
              <w:rPr>
                <w:b/>
                <w:bCs/>
                <w:strike/>
                <w:noProof/>
              </w:rPr>
            </w:pPr>
          </w:p>
        </w:tc>
        <w:tc>
          <w:tcPr>
            <w:tcW w:w="2754"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000000" w:themeColor="text1"/>
                <w:lang w:val="en-GB"/>
              </w:rPr>
            </w:pPr>
            <w:r>
              <w:rPr>
                <w:noProof/>
                <w:lang w:val="en-GB"/>
              </w:rPr>
              <w:t>2014-2020 European Maritime and Fisheries Fund (1 programme in 1 Member State)</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GB"/>
              </w:rPr>
            </w:pPr>
            <w:r>
              <w:rPr>
                <w:noProof/>
                <w:lang w:val="en-GB"/>
              </w:rPr>
              <w:t>DG Maritime Affairs and Fisheries</w:t>
            </w:r>
          </w:p>
        </w:tc>
        <w:tc>
          <w:tcPr>
            <w:tcW w:w="1559" w:type="dxa"/>
          </w:tcPr>
          <w:p w:rsidR="00311BB8" w:rsidRPr="000853B0"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color w:val="auto"/>
              </w:rPr>
            </w:pPr>
            <w:r w:rsidRPr="000853B0">
              <w:rPr>
                <w:i/>
                <w:noProof/>
                <w:color w:val="auto"/>
              </w:rPr>
              <w:t>Reservation issued in 2019</w:t>
            </w:r>
            <w:r w:rsidRPr="000853B0">
              <w:rPr>
                <w:noProof/>
                <w:color w:val="auto"/>
              </w:rPr>
              <w:t xml:space="preserve"> </w:t>
            </w:r>
          </w:p>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r>
              <w:rPr>
                <w:noProof/>
              </w:rPr>
              <w:t>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11.3</w:t>
            </w:r>
          </w:p>
        </w:tc>
      </w:tr>
      <w:tr w:rsidR="00311BB8" w:rsidTr="00311BB8">
        <w:trPr>
          <w:trHeight w:val="491"/>
        </w:trPr>
        <w:tc>
          <w:tcPr>
            <w:cnfStyle w:val="001000000000" w:firstRow="0" w:lastRow="0" w:firstColumn="1" w:lastColumn="0" w:oddVBand="0" w:evenVBand="0" w:oddHBand="0" w:evenHBand="0" w:firstRowFirstColumn="0" w:firstRowLastColumn="0" w:lastRowFirstColumn="0" w:lastRowLastColumn="0"/>
            <w:tcW w:w="1641" w:type="dxa"/>
          </w:tcPr>
          <w:p w:rsidR="00311BB8" w:rsidRDefault="00311BB8">
            <w:pPr>
              <w:pStyle w:val="AMPRTABLEA-TextLEFTalligned-BLACK"/>
              <w:rPr>
                <w:b/>
                <w:bCs/>
                <w:strike/>
                <w:noProof/>
              </w:rPr>
            </w:pPr>
          </w:p>
        </w:tc>
        <w:tc>
          <w:tcPr>
            <w:tcW w:w="2754"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000000" w:themeColor="text1"/>
                <w:lang w:val="en-GB"/>
              </w:rPr>
            </w:pPr>
            <w:r>
              <w:rPr>
                <w:noProof/>
                <w:lang w:val="en-GB"/>
              </w:rPr>
              <w:t>EU emissions trading system registry</w:t>
            </w:r>
            <w:r>
              <w:rPr>
                <w:rFonts w:ascii="Calibri" w:hAnsi="Calibri" w:cs="Calibri"/>
                <w:noProof/>
                <w:lang w:val="en-GB"/>
              </w:rPr>
              <w:t> –</w:t>
            </w:r>
            <w:r>
              <w:rPr>
                <w:noProof/>
                <w:lang w:val="en-GB"/>
              </w:rPr>
              <w:t xml:space="preserve"> security weakness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color w:val="000000" w:themeColor="text1"/>
              </w:rPr>
            </w:pPr>
            <w:r>
              <w:rPr>
                <w:noProof/>
              </w:rPr>
              <w:t>DG Climate Action</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r>
              <w:rPr>
                <w:noProof/>
              </w:rPr>
              <w:t>Non-quantified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highlight w:val="yellow"/>
              </w:rPr>
            </w:pPr>
            <w:r>
              <w:rPr>
                <w:noProof/>
              </w:rPr>
              <w:t>—</w:t>
            </w:r>
          </w:p>
        </w:tc>
      </w:tr>
      <w:tr w:rsidR="00311BB8" w:rsidTr="00311BB8">
        <w:tc>
          <w:tcPr>
            <w:cnfStyle w:val="001000000000" w:firstRow="0" w:lastRow="0" w:firstColumn="1" w:lastColumn="0" w:oddVBand="0" w:evenVBand="0" w:oddHBand="0" w:evenHBand="0" w:firstRowFirstColumn="0" w:firstRowLastColumn="0" w:lastRowFirstColumn="0" w:lastRowLastColumn="0"/>
            <w:tcW w:w="1641" w:type="dxa"/>
            <w:vMerge w:val="restart"/>
          </w:tcPr>
          <w:p w:rsidR="00311BB8" w:rsidRDefault="00D91061">
            <w:pPr>
              <w:pStyle w:val="AMPRTABLEA-TextLEFTalligned-BLACK"/>
              <w:rPr>
                <w:b/>
                <w:bCs/>
                <w:strike/>
                <w:noProof/>
                <w:color w:val="000000" w:themeColor="text1"/>
                <w:lang w:val="en-GB"/>
              </w:rPr>
            </w:pPr>
            <w:r>
              <w:rPr>
                <w:b/>
                <w:bCs/>
                <w:noProof/>
                <w:lang w:val="en-GB"/>
              </w:rPr>
              <w:t>Economic, social and territorial cohesion</w:t>
            </w:r>
          </w:p>
        </w:tc>
        <w:tc>
          <w:tcPr>
            <w:tcW w:w="2754"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strike/>
                <w:noProof/>
                <w:color w:val="000000" w:themeColor="text1"/>
                <w:highlight w:val="yellow"/>
                <w:lang w:val="en-GB"/>
              </w:rPr>
            </w:pPr>
            <w:r>
              <w:rPr>
                <w:noProof/>
                <w:lang w:val="en-GB"/>
              </w:rPr>
              <w:t>2014-2020 European Regional Development Fund</w:t>
            </w:r>
            <w:r>
              <w:rPr>
                <w:rFonts w:ascii="Calibri" w:hAnsi="Calibri" w:cs="Calibri"/>
                <w:noProof/>
                <w:lang w:val="en-GB"/>
              </w:rPr>
              <w:t> </w:t>
            </w:r>
            <w:r>
              <w:rPr>
                <w:noProof/>
                <w:lang w:val="en-GB"/>
              </w:rPr>
              <w:t>/ Cohesion Fund (59 programmes in 13 Member States and 8 European territorial cooperation</w:t>
            </w:r>
            <w:r>
              <w:rPr>
                <w:rFonts w:ascii="Calibri" w:hAnsi="Calibri" w:cs="Calibri"/>
                <w:noProof/>
                <w:lang w:val="en-GB"/>
              </w:rPr>
              <w:t> (*)</w:t>
            </w:r>
            <w:r>
              <w:rPr>
                <w:noProof/>
                <w:lang w:val="en-GB"/>
              </w:rPr>
              <w:t xml:space="preserve"> programmes)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color w:val="000000" w:themeColor="text1"/>
                <w:lang w:val="en-GB"/>
              </w:rPr>
            </w:pPr>
            <w:r>
              <w:rPr>
                <w:noProof/>
                <w:lang w:val="en-GB"/>
              </w:rPr>
              <w:t>DG Regional and Urban Policy</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rPr>
            </w:pPr>
            <w:r>
              <w:rPr>
                <w:noProof/>
              </w:rPr>
              <w:t>Quantified; non-quantified for 1 European territorial cooperation programme</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228.7</w:t>
            </w:r>
          </w:p>
        </w:tc>
      </w:tr>
      <w:tr w:rsidR="00311BB8" w:rsidTr="00311BB8">
        <w:tc>
          <w:tcPr>
            <w:cnfStyle w:val="001000000000" w:firstRow="0" w:lastRow="0" w:firstColumn="1" w:lastColumn="0" w:oddVBand="0" w:evenVBand="0" w:oddHBand="0" w:evenHBand="0" w:firstRowFirstColumn="0" w:firstRowLastColumn="0" w:lastRowFirstColumn="0" w:lastRowLastColumn="0"/>
            <w:tcW w:w="1641" w:type="dxa"/>
            <w:vMerge/>
          </w:tcPr>
          <w:p w:rsidR="00311BB8" w:rsidRDefault="00311BB8">
            <w:pPr>
              <w:pStyle w:val="AMPRTABLEA-TextLEFTalligned-BLACK"/>
              <w:rPr>
                <w:b/>
                <w:bCs/>
                <w:strike/>
                <w:noProof/>
              </w:rPr>
            </w:pPr>
          </w:p>
        </w:tc>
        <w:tc>
          <w:tcPr>
            <w:tcW w:w="2754"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strike/>
                <w:noProof/>
                <w:color w:val="000000" w:themeColor="text1"/>
                <w:lang w:val="en-GB"/>
              </w:rPr>
            </w:pPr>
            <w:r>
              <w:rPr>
                <w:noProof/>
                <w:lang w:val="en-GB"/>
              </w:rPr>
              <w:t>2014-2020 European Social Fund, Youth Employment Initiative, Fund for European Aid to the Most Deprived (30 programmes in 9 Member States)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color w:val="000000" w:themeColor="text1"/>
                <w:lang w:val="en-GB"/>
              </w:rPr>
            </w:pPr>
            <w:r>
              <w:rPr>
                <w:noProof/>
                <w:lang w:val="en-GB"/>
              </w:rPr>
              <w:t>DG Employment, Social Affairs and Inclusion</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rPr>
            </w:pPr>
            <w:r>
              <w:rPr>
                <w:noProof/>
              </w:rPr>
              <w:t>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134.3</w:t>
            </w:r>
          </w:p>
        </w:tc>
      </w:tr>
      <w:tr w:rsidR="00311BB8" w:rsidTr="00311BB8">
        <w:trPr>
          <w:trHeight w:val="340"/>
        </w:trPr>
        <w:tc>
          <w:tcPr>
            <w:cnfStyle w:val="001000000000" w:firstRow="0" w:lastRow="0" w:firstColumn="1" w:lastColumn="0" w:oddVBand="0" w:evenVBand="0" w:oddHBand="0" w:evenHBand="0" w:firstRowFirstColumn="0" w:firstRowLastColumn="0" w:lastRowFirstColumn="0" w:lastRowLastColumn="0"/>
            <w:tcW w:w="1641" w:type="dxa"/>
            <w:vMerge w:val="restart"/>
          </w:tcPr>
          <w:p w:rsidR="00311BB8" w:rsidRDefault="00D91061">
            <w:pPr>
              <w:pStyle w:val="AMPRTABLEA-TextLEFTalligned-BLACK"/>
              <w:rPr>
                <w:b/>
                <w:bCs/>
                <w:strike/>
                <w:noProof/>
                <w:color w:val="000000" w:themeColor="text1"/>
              </w:rPr>
            </w:pPr>
            <w:r>
              <w:rPr>
                <w:b/>
                <w:bCs/>
                <w:noProof/>
              </w:rPr>
              <w:t>External relations</w:t>
            </w:r>
          </w:p>
        </w:tc>
        <w:tc>
          <w:tcPr>
            <w:tcW w:w="2754"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rPr>
            </w:pPr>
            <w:r>
              <w:rPr>
                <w:noProof/>
              </w:rPr>
              <w:t>Direct management grants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GB"/>
              </w:rPr>
            </w:pPr>
            <w:r>
              <w:rPr>
                <w:noProof/>
                <w:lang w:val="en-GB"/>
              </w:rPr>
              <w:t>DG Neighbourhood and Enlargement Negotiations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r>
              <w:rPr>
                <w:noProof/>
              </w:rPr>
              <w:t>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15.7</w:t>
            </w:r>
          </w:p>
        </w:tc>
      </w:tr>
      <w:tr w:rsidR="00311BB8" w:rsidTr="00311BB8">
        <w:tc>
          <w:tcPr>
            <w:cnfStyle w:val="001000000000" w:firstRow="0" w:lastRow="0" w:firstColumn="1" w:lastColumn="0" w:oddVBand="0" w:evenVBand="0" w:oddHBand="0" w:evenHBand="0" w:firstRowFirstColumn="0" w:firstRowLastColumn="0" w:lastRowFirstColumn="0" w:lastRowLastColumn="0"/>
            <w:tcW w:w="1641" w:type="dxa"/>
            <w:vMerge/>
          </w:tcPr>
          <w:p w:rsidR="00311BB8" w:rsidRDefault="00311BB8">
            <w:pPr>
              <w:pStyle w:val="AMPRTABLEA-TextLEFTalligned-BLACK"/>
              <w:rPr>
                <w:b/>
                <w:bCs/>
                <w:strike/>
                <w:noProof/>
              </w:rPr>
            </w:pPr>
          </w:p>
        </w:tc>
        <w:tc>
          <w:tcPr>
            <w:tcW w:w="2754"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strike/>
                <w:noProof/>
                <w:lang w:val="en-GB"/>
              </w:rPr>
            </w:pPr>
            <w:r>
              <w:rPr>
                <w:noProof/>
                <w:lang w:val="en-GB"/>
              </w:rPr>
              <w:t>Projects in Libya and Syria for which no assurance building is possible (no staff access to projects or auditor access to documents)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color w:val="000000" w:themeColor="text1"/>
                <w:lang w:val="en-GB"/>
              </w:rPr>
            </w:pPr>
            <w:r>
              <w:rPr>
                <w:noProof/>
                <w:lang w:val="en-GB"/>
              </w:rPr>
              <w:t>DG Neighbourhood and Enlargement Negotiations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rPr>
            </w:pPr>
            <w:r>
              <w:rPr>
                <w:noProof/>
              </w:rPr>
              <w:t>Non-quantified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311BB8" w:rsidTr="00311BB8">
        <w:tc>
          <w:tcPr>
            <w:cnfStyle w:val="001000000000" w:firstRow="0" w:lastRow="0" w:firstColumn="1" w:lastColumn="0" w:oddVBand="0" w:evenVBand="0" w:oddHBand="0" w:evenHBand="0" w:firstRowFirstColumn="0" w:firstRowLastColumn="0" w:lastRowFirstColumn="0" w:lastRowLastColumn="0"/>
            <w:tcW w:w="1641" w:type="dxa"/>
          </w:tcPr>
          <w:p w:rsidR="00311BB8" w:rsidRDefault="00D91061">
            <w:pPr>
              <w:pStyle w:val="AMPRTABLEA-TextLEFTalligned-BLACK"/>
              <w:rPr>
                <w:b/>
                <w:bCs/>
                <w:noProof/>
                <w:color w:val="000000" w:themeColor="text1"/>
                <w:lang w:val="en-GB"/>
              </w:rPr>
            </w:pPr>
            <w:r>
              <w:rPr>
                <w:b/>
                <w:bCs/>
                <w:noProof/>
                <w:lang w:val="en-GB"/>
              </w:rPr>
              <w:t>Research, industry, space, energy and transport</w:t>
            </w:r>
          </w:p>
        </w:tc>
        <w:tc>
          <w:tcPr>
            <w:tcW w:w="2754"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rPr>
            </w:pPr>
            <w:r>
              <w:rPr>
                <w:noProof/>
              </w:rPr>
              <w:t>(</w:t>
            </w:r>
            <w:r>
              <w:rPr>
                <w:i/>
                <w:iCs/>
                <w:noProof/>
              </w:rPr>
              <w:t>None</w:t>
            </w:r>
            <w:r>
              <w:rPr>
                <w:noProof/>
              </w:rPr>
              <w:t>)</w:t>
            </w:r>
          </w:p>
        </w:tc>
        <w:tc>
          <w:tcPr>
            <w:tcW w:w="1559" w:type="dxa"/>
          </w:tcPr>
          <w:p w:rsidR="00311BB8" w:rsidRDefault="00311BB8">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p>
        </w:tc>
        <w:tc>
          <w:tcPr>
            <w:tcW w:w="1559" w:type="dxa"/>
          </w:tcPr>
          <w:p w:rsidR="00311BB8" w:rsidRDefault="00311BB8">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p>
        </w:tc>
        <w:tc>
          <w:tcPr>
            <w:tcW w:w="1559" w:type="dxa"/>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r>
      <w:tr w:rsidR="00311BB8" w:rsidTr="00311BB8">
        <w:tc>
          <w:tcPr>
            <w:cnfStyle w:val="001000000000" w:firstRow="0" w:lastRow="0" w:firstColumn="1" w:lastColumn="0" w:oddVBand="0" w:evenVBand="0" w:oddHBand="0" w:evenHBand="0" w:firstRowFirstColumn="0" w:firstRowLastColumn="0" w:lastRowFirstColumn="0" w:lastRowLastColumn="0"/>
            <w:tcW w:w="1641" w:type="dxa"/>
            <w:vMerge w:val="restart"/>
          </w:tcPr>
          <w:p w:rsidR="00311BB8" w:rsidRDefault="00D91061">
            <w:pPr>
              <w:pStyle w:val="AMPRTABLEA-TextLEFTalligned-BLACK"/>
              <w:rPr>
                <w:b/>
                <w:bCs/>
                <w:noProof/>
                <w:color w:val="000000" w:themeColor="text1"/>
              </w:rPr>
            </w:pPr>
            <w:r>
              <w:rPr>
                <w:b/>
                <w:bCs/>
                <w:noProof/>
              </w:rPr>
              <w:t>Other internal policies</w:t>
            </w:r>
          </w:p>
        </w:tc>
        <w:tc>
          <w:tcPr>
            <w:tcW w:w="2754"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rPr>
            </w:pPr>
            <w:r>
              <w:rPr>
                <w:noProof/>
              </w:rPr>
              <w:t>Non-research grant programmes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color w:val="000000" w:themeColor="text1"/>
              </w:rPr>
            </w:pPr>
            <w:r>
              <w:rPr>
                <w:noProof/>
              </w:rPr>
              <w:t>DG Justice and Consumers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r>
              <w:rPr>
                <w:noProof/>
              </w:rPr>
              <w:t>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1.7</w:t>
            </w:r>
          </w:p>
        </w:tc>
      </w:tr>
      <w:tr w:rsidR="00311BB8" w:rsidTr="00311BB8">
        <w:tc>
          <w:tcPr>
            <w:cnfStyle w:val="001000000000" w:firstRow="0" w:lastRow="0" w:firstColumn="1" w:lastColumn="0" w:oddVBand="0" w:evenVBand="0" w:oddHBand="0" w:evenHBand="0" w:firstRowFirstColumn="0" w:firstRowLastColumn="0" w:lastRowFirstColumn="0" w:lastRowLastColumn="0"/>
            <w:tcW w:w="1641" w:type="dxa"/>
            <w:vMerge/>
          </w:tcPr>
          <w:p w:rsidR="00311BB8" w:rsidRDefault="00311BB8">
            <w:pPr>
              <w:pStyle w:val="AMPRTABLEA-TextLEFTalligned-BLACK"/>
              <w:rPr>
                <w:b/>
                <w:bCs/>
                <w:noProof/>
              </w:rPr>
            </w:pPr>
          </w:p>
        </w:tc>
        <w:tc>
          <w:tcPr>
            <w:tcW w:w="2754"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000000" w:themeColor="text1"/>
              </w:rPr>
            </w:pPr>
            <w:r>
              <w:rPr>
                <w:noProof/>
              </w:rPr>
              <w:t>Non-research grant programmes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GB"/>
              </w:rPr>
            </w:pPr>
            <w:r>
              <w:rPr>
                <w:noProof/>
                <w:lang w:val="en-GB"/>
              </w:rPr>
              <w:t>DG Migration and Home Affairs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r>
              <w:rPr>
                <w:noProof/>
              </w:rPr>
              <w:t>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7.2</w:t>
            </w:r>
          </w:p>
        </w:tc>
      </w:tr>
      <w:tr w:rsidR="00311BB8" w:rsidTr="00311BB8">
        <w:tc>
          <w:tcPr>
            <w:cnfStyle w:val="001000000000" w:firstRow="0" w:lastRow="0" w:firstColumn="1" w:lastColumn="0" w:oddVBand="0" w:evenVBand="0" w:oddHBand="0" w:evenHBand="0" w:firstRowFirstColumn="0" w:firstRowLastColumn="0" w:lastRowFirstColumn="0" w:lastRowLastColumn="0"/>
            <w:tcW w:w="1641" w:type="dxa"/>
            <w:vMerge/>
          </w:tcPr>
          <w:p w:rsidR="00311BB8" w:rsidRDefault="00311BB8">
            <w:pPr>
              <w:pStyle w:val="AMPRTABLEA-TextLEFTalligned-BLACK"/>
              <w:rPr>
                <w:b/>
                <w:bCs/>
                <w:noProof/>
              </w:rPr>
            </w:pPr>
          </w:p>
        </w:tc>
        <w:tc>
          <w:tcPr>
            <w:tcW w:w="2754"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strike/>
                <w:noProof/>
                <w:lang w:val="en-GB"/>
              </w:rPr>
            </w:pPr>
            <w:r>
              <w:rPr>
                <w:noProof/>
                <w:lang w:val="en-GB"/>
              </w:rPr>
              <w:t>2014-2020 management and control systems for the Asylum, Migration and Integration Fund (in 2 Member States) and the Internal Security Fund (in 6 Member States)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GB"/>
              </w:rPr>
            </w:pPr>
            <w:r>
              <w:rPr>
                <w:noProof/>
                <w:lang w:val="en-GB"/>
              </w:rPr>
              <w:t>DG Migration and Home Affairs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Quantified, with the exception of one Member State for which the reservation is not quantifiable</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2.5</w:t>
            </w:r>
          </w:p>
        </w:tc>
      </w:tr>
      <w:tr w:rsidR="00311BB8" w:rsidTr="00311BB8">
        <w:tc>
          <w:tcPr>
            <w:cnfStyle w:val="001000000000" w:firstRow="0" w:lastRow="0" w:firstColumn="1" w:lastColumn="0" w:oddVBand="0" w:evenVBand="0" w:oddHBand="0" w:evenHBand="0" w:firstRowFirstColumn="0" w:firstRowLastColumn="0" w:lastRowFirstColumn="0" w:lastRowLastColumn="0"/>
            <w:tcW w:w="1641" w:type="dxa"/>
          </w:tcPr>
          <w:p w:rsidR="00311BB8" w:rsidRDefault="00D91061">
            <w:pPr>
              <w:pStyle w:val="AMPRTABLEA-TextLEFTalligned-BLACK"/>
              <w:rPr>
                <w:b/>
                <w:bCs/>
                <w:noProof/>
                <w:color w:val="000000" w:themeColor="text1"/>
              </w:rPr>
            </w:pPr>
            <w:r>
              <w:rPr>
                <w:b/>
                <w:bCs/>
                <w:noProof/>
              </w:rPr>
              <w:t>Other services and administration</w:t>
            </w:r>
          </w:p>
        </w:tc>
        <w:tc>
          <w:tcPr>
            <w:tcW w:w="2754"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000000" w:themeColor="text1"/>
                <w:lang w:val="en-GB"/>
              </w:rPr>
            </w:pPr>
            <w:r>
              <w:rPr>
                <w:noProof/>
                <w:lang w:val="en-GB"/>
              </w:rPr>
              <w:t>Technical support funds</w:t>
            </w:r>
            <w:r>
              <w:rPr>
                <w:rFonts w:ascii="Calibri" w:hAnsi="Calibri" w:cs="Calibri"/>
                <w:noProof/>
                <w:lang w:val="en-GB"/>
              </w:rPr>
              <w:t> </w:t>
            </w:r>
            <w:r>
              <w:rPr>
                <w:noProof/>
                <w:lang w:val="en-GB"/>
              </w:rPr>
              <w:t>– direct management grants to non-pillar-assessed beneficiaries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GB"/>
              </w:rPr>
            </w:pPr>
            <w:r>
              <w:rPr>
                <w:noProof/>
                <w:lang w:val="en-GB"/>
              </w:rPr>
              <w:t>DG Structural Reform Support (formerly Structural Reform Support Service)</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r>
              <w:rPr>
                <w:noProof/>
              </w:rPr>
              <w:t>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0.1</w:t>
            </w:r>
          </w:p>
        </w:tc>
      </w:tr>
      <w:tr w:rsidR="00311BB8" w:rsidTr="00311B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tcPr>
          <w:p w:rsidR="00311BB8" w:rsidRDefault="00D91061">
            <w:pPr>
              <w:pStyle w:val="AMPRTABLEA-TOTALLEFTalligned-BLACK"/>
              <w:rPr>
                <w:noProof/>
                <w:color w:val="000000" w:themeColor="text1"/>
              </w:rPr>
            </w:pPr>
            <w:r>
              <w:rPr>
                <w:noProof/>
              </w:rPr>
              <w:t>Total</w:t>
            </w:r>
          </w:p>
        </w:tc>
        <w:tc>
          <w:tcPr>
            <w:tcW w:w="2754" w:type="dxa"/>
          </w:tcPr>
          <w:p w:rsidR="00311BB8" w:rsidRDefault="00311BB8">
            <w:pPr>
              <w:spacing w:before="100" w:beforeAutospacing="1" w:afterAutospacing="1" w:line="26" w:lineRule="atLeast"/>
              <w:cnfStyle w:val="010000000000" w:firstRow="0" w:lastRow="1" w:firstColumn="0" w:lastColumn="0" w:oddVBand="0" w:evenVBand="0" w:oddHBand="0" w:evenHBand="0" w:firstRowFirstColumn="0" w:firstRowLastColumn="0" w:lastRowFirstColumn="0" w:lastRowLastColumn="0"/>
              <w:rPr>
                <w:b/>
                <w:noProof/>
                <w:color w:val="000000"/>
                <w:szCs w:val="18"/>
              </w:rPr>
            </w:pPr>
          </w:p>
        </w:tc>
        <w:tc>
          <w:tcPr>
            <w:tcW w:w="1559" w:type="dxa"/>
          </w:tcPr>
          <w:p w:rsidR="00311BB8" w:rsidRDefault="00311BB8">
            <w:pPr>
              <w:spacing w:before="100" w:beforeAutospacing="1" w:afterAutospacing="1" w:line="26" w:lineRule="atLeast"/>
              <w:jc w:val="center"/>
              <w:cnfStyle w:val="010000000000" w:firstRow="0" w:lastRow="1" w:firstColumn="0" w:lastColumn="0" w:oddVBand="0" w:evenVBand="0" w:oddHBand="0" w:evenHBand="0" w:firstRowFirstColumn="0" w:firstRowLastColumn="0" w:lastRowFirstColumn="0" w:lastRowLastColumn="0"/>
              <w:rPr>
                <w:b/>
                <w:noProof/>
                <w:color w:val="000000"/>
                <w:szCs w:val="18"/>
              </w:rPr>
            </w:pPr>
          </w:p>
        </w:tc>
        <w:tc>
          <w:tcPr>
            <w:tcW w:w="1559" w:type="dxa"/>
          </w:tcPr>
          <w:p w:rsidR="00311BB8" w:rsidRDefault="00311BB8">
            <w:pPr>
              <w:spacing w:before="100" w:beforeAutospacing="1" w:afterAutospacing="1" w:line="26" w:lineRule="atLeast"/>
              <w:jc w:val="center"/>
              <w:cnfStyle w:val="010000000000" w:firstRow="0" w:lastRow="1" w:firstColumn="0" w:lastColumn="0" w:oddVBand="0" w:evenVBand="0" w:oddHBand="0" w:evenHBand="0" w:firstRowFirstColumn="0" w:firstRowLastColumn="0" w:lastRowFirstColumn="0" w:lastRowLastColumn="0"/>
              <w:rPr>
                <w:b/>
                <w:noProof/>
                <w:szCs w:val="18"/>
              </w:rPr>
            </w:pPr>
          </w:p>
        </w:tc>
        <w:tc>
          <w:tcPr>
            <w:tcW w:w="1559"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bCs/>
                <w:noProof/>
              </w:rPr>
            </w:pPr>
            <w:r>
              <w:rPr>
                <w:noProof/>
              </w:rPr>
              <w:t>1</w:t>
            </w:r>
            <w:r>
              <w:rPr>
                <w:rFonts w:ascii="Calibri" w:hAnsi="Calibri" w:cs="Calibri"/>
                <w:noProof/>
              </w:rPr>
              <w:t> </w:t>
            </w:r>
            <w:r>
              <w:rPr>
                <w:noProof/>
              </w:rPr>
              <w:t>045.</w:t>
            </w:r>
            <w:r>
              <w:rPr>
                <w:bCs/>
                <w:noProof/>
              </w:rPr>
              <w:t>1</w:t>
            </w:r>
          </w:p>
        </w:tc>
      </w:tr>
    </w:tbl>
    <w:p w:rsidR="00311BB8" w:rsidRDefault="00D91061">
      <w:pPr>
        <w:pStyle w:val="AMPRChart-Tabletitle"/>
        <w:rPr>
          <w:noProof/>
        </w:rPr>
      </w:pPr>
      <w:r>
        <w:rPr>
          <w:noProof/>
        </w:rPr>
        <w:t>Table D: 2019 reservations related to the current programmes for 2014-2020</w:t>
      </w:r>
    </w:p>
    <w:p w:rsidR="00311BB8" w:rsidRDefault="00D91061">
      <w:pPr>
        <w:pStyle w:val="AMPRSource-Table-Chart-Photo-Caption"/>
        <w:rPr>
          <w:noProof/>
        </w:rPr>
      </w:pPr>
      <w:r>
        <w:rPr>
          <w:noProof/>
        </w:rPr>
        <w:t>(*) The European territorial cooperation series of programmes, funded by the European Regional Development Fund, is one of the key instruments of the EU supporting cooperation across borders through project funding.</w:t>
      </w:r>
    </w:p>
    <w:p w:rsidR="00311BB8" w:rsidRDefault="00D91061">
      <w:pPr>
        <w:pStyle w:val="AMPRBodyText"/>
        <w:rPr>
          <w:noProof/>
        </w:rPr>
      </w:pPr>
      <w:r>
        <w:rPr>
          <w:noProof/>
        </w:rPr>
        <w:br w:type="page"/>
      </w:r>
    </w:p>
    <w:p w:rsidR="00311BB8" w:rsidRDefault="00311BB8">
      <w:pPr>
        <w:pStyle w:val="Hidelastparagraphafterthetable"/>
        <w:rPr>
          <w:noProof/>
        </w:rPr>
      </w:pPr>
    </w:p>
    <w:tbl>
      <w:tblPr>
        <w:tblStyle w:val="AMPRTABLEA-Template"/>
        <w:tblW w:w="9076" w:type="dxa"/>
        <w:tblLayout w:type="fixed"/>
        <w:tblLook w:val="04E0" w:firstRow="1" w:lastRow="1" w:firstColumn="1" w:lastColumn="0" w:noHBand="0" w:noVBand="1"/>
      </w:tblPr>
      <w:tblGrid>
        <w:gridCol w:w="1644"/>
        <w:gridCol w:w="2755"/>
        <w:gridCol w:w="1559"/>
        <w:gridCol w:w="1559"/>
        <w:gridCol w:w="1559"/>
      </w:tblGrid>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44" w:type="dxa"/>
          </w:tcPr>
          <w:p w:rsidR="00311BB8" w:rsidRDefault="00D91061">
            <w:pPr>
              <w:pStyle w:val="AMPRTABLEA-HEADERText-WHITE"/>
              <w:spacing w:before="144" w:after="144"/>
              <w:rPr>
                <w:noProof/>
                <w:color w:val="FFFFFF" w:themeColor="background1"/>
              </w:rPr>
            </w:pPr>
            <w:r>
              <w:rPr>
                <w:noProof/>
              </w:rPr>
              <w:t>Policy area</w:t>
            </w:r>
          </w:p>
        </w:tc>
        <w:tc>
          <w:tcPr>
            <w:tcW w:w="2755"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color w:val="FFFFFF" w:themeColor="background1"/>
              </w:rPr>
            </w:pPr>
            <w:r>
              <w:rPr>
                <w:noProof/>
              </w:rPr>
              <w:t>Description of reservation</w:t>
            </w:r>
          </w:p>
        </w:tc>
        <w:tc>
          <w:tcPr>
            <w:tcW w:w="1559"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color w:val="FFFFFF" w:themeColor="background1"/>
              </w:rPr>
            </w:pPr>
            <w:r>
              <w:rPr>
                <w:noProof/>
              </w:rPr>
              <w:t>Department</w:t>
            </w:r>
          </w:p>
        </w:tc>
        <w:tc>
          <w:tcPr>
            <w:tcW w:w="1559"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color w:val="FFFFFF" w:themeColor="background1"/>
                <w:lang w:val="en-GB"/>
              </w:rPr>
            </w:pPr>
            <w:r>
              <w:rPr>
                <w:noProof/>
                <w:lang w:val="en-GB"/>
              </w:rPr>
              <w:t>Impact on legality and regularity</w:t>
            </w:r>
          </w:p>
        </w:tc>
        <w:tc>
          <w:tcPr>
            <w:tcW w:w="1559"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color w:val="FFFFFF" w:themeColor="background1"/>
              </w:rPr>
            </w:pPr>
            <w:r>
              <w:rPr>
                <w:noProof/>
              </w:rPr>
              <w:t>Financial impact (million</w:t>
            </w:r>
            <w:r>
              <w:rPr>
                <w:rFonts w:ascii="Calibri" w:hAnsi="Calibri" w:cs="Calibri"/>
                <w:noProof/>
              </w:rPr>
              <w:t> </w:t>
            </w:r>
            <w:r>
              <w:rPr>
                <w:noProof/>
              </w:rPr>
              <w:t>EUR)</w:t>
            </w:r>
          </w:p>
        </w:tc>
      </w:tr>
      <w:tr w:rsidR="00311BB8" w:rsidTr="00311BB8">
        <w:trPr>
          <w:trHeight w:val="450"/>
        </w:trPr>
        <w:tc>
          <w:tcPr>
            <w:cnfStyle w:val="001000000000" w:firstRow="0" w:lastRow="0" w:firstColumn="1" w:lastColumn="0" w:oddVBand="0" w:evenVBand="0" w:oddHBand="0" w:evenHBand="0" w:firstRowFirstColumn="0" w:firstRowLastColumn="0" w:lastRowFirstColumn="0" w:lastRowLastColumn="0"/>
            <w:tcW w:w="1644" w:type="dxa"/>
          </w:tcPr>
          <w:p w:rsidR="00311BB8" w:rsidRDefault="00D91061">
            <w:pPr>
              <w:pStyle w:val="AMPRTABLEA-TextLEFTalligned-BLACK"/>
              <w:rPr>
                <w:b/>
                <w:bCs/>
                <w:strike/>
                <w:noProof/>
              </w:rPr>
            </w:pPr>
            <w:r>
              <w:rPr>
                <w:b/>
                <w:bCs/>
                <w:noProof/>
              </w:rPr>
              <w:t>Natural resources</w:t>
            </w:r>
          </w:p>
        </w:tc>
        <w:tc>
          <w:tcPr>
            <w:tcW w:w="2755"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strike/>
                <w:noProof/>
              </w:rPr>
            </w:pPr>
            <w:r>
              <w:rPr>
                <w:noProof/>
              </w:rPr>
              <w:t>(</w:t>
            </w:r>
            <w:r>
              <w:rPr>
                <w:i/>
                <w:iCs/>
                <w:noProof/>
              </w:rPr>
              <w:t>None</w:t>
            </w:r>
            <w:r>
              <w:rPr>
                <w:noProof/>
              </w:rPr>
              <w:t>)</w:t>
            </w:r>
          </w:p>
        </w:tc>
        <w:tc>
          <w:tcPr>
            <w:tcW w:w="1559" w:type="dxa"/>
          </w:tcPr>
          <w:p w:rsidR="00311BB8" w:rsidRDefault="00311BB8">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rPr>
            </w:pPr>
          </w:p>
        </w:tc>
        <w:tc>
          <w:tcPr>
            <w:tcW w:w="1559" w:type="dxa"/>
          </w:tcPr>
          <w:p w:rsidR="00311BB8" w:rsidRDefault="00311BB8">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rPr>
            </w:pPr>
          </w:p>
        </w:tc>
        <w:tc>
          <w:tcPr>
            <w:tcW w:w="1559" w:type="dxa"/>
          </w:tcPr>
          <w:p w:rsidR="00311BB8" w:rsidRDefault="00311BB8">
            <w:pPr>
              <w:keepNext/>
              <w:spacing w:before="100" w:beforeAutospacing="1" w:afterAutospacing="1" w:line="26" w:lineRule="atLeast"/>
              <w:cnfStyle w:val="000000000000" w:firstRow="0" w:lastRow="0" w:firstColumn="0" w:lastColumn="0" w:oddVBand="0" w:evenVBand="0" w:oddHBand="0" w:evenHBand="0" w:firstRowFirstColumn="0" w:firstRowLastColumn="0" w:lastRowFirstColumn="0" w:lastRowLastColumn="0"/>
              <w:rPr>
                <w:b/>
                <w:strike/>
                <w:noProof/>
                <w:szCs w:val="18"/>
              </w:rPr>
            </w:pPr>
          </w:p>
        </w:tc>
      </w:tr>
      <w:tr w:rsidR="00311BB8" w:rsidTr="00311BB8">
        <w:tc>
          <w:tcPr>
            <w:cnfStyle w:val="001000000000" w:firstRow="0" w:lastRow="0" w:firstColumn="1" w:lastColumn="0" w:oddVBand="0" w:evenVBand="0" w:oddHBand="0" w:evenHBand="0" w:firstRowFirstColumn="0" w:firstRowLastColumn="0" w:lastRowFirstColumn="0" w:lastRowLastColumn="0"/>
            <w:tcW w:w="1644" w:type="dxa"/>
            <w:vMerge w:val="restart"/>
          </w:tcPr>
          <w:p w:rsidR="00311BB8" w:rsidRDefault="00D91061">
            <w:pPr>
              <w:pStyle w:val="AMPRTABLEA-TextLEFTalligned-BLACK"/>
              <w:rPr>
                <w:b/>
                <w:bCs/>
                <w:strike/>
                <w:noProof/>
                <w:lang w:val="en-GB"/>
              </w:rPr>
            </w:pPr>
            <w:r>
              <w:rPr>
                <w:b/>
                <w:bCs/>
                <w:noProof/>
                <w:lang w:val="en-GB"/>
              </w:rPr>
              <w:t>Economic, social and territorial cohesion</w:t>
            </w:r>
          </w:p>
        </w:tc>
        <w:tc>
          <w:tcPr>
            <w:tcW w:w="2755"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strike/>
                <w:noProof/>
                <w:lang w:val="en-GB"/>
              </w:rPr>
            </w:pPr>
            <w:r>
              <w:rPr>
                <w:noProof/>
                <w:lang w:val="en-GB"/>
              </w:rPr>
              <w:t>2007-2013 European Regional Development Fund</w:t>
            </w:r>
            <w:r>
              <w:rPr>
                <w:rFonts w:ascii="Calibri" w:hAnsi="Calibri" w:cs="Calibri"/>
                <w:noProof/>
                <w:lang w:val="en-GB"/>
              </w:rPr>
              <w:t> </w:t>
            </w:r>
            <w:r>
              <w:rPr>
                <w:noProof/>
                <w:lang w:val="en-GB"/>
              </w:rPr>
              <w:t>/ Cohesion Fund</w:t>
            </w:r>
            <w:r>
              <w:rPr>
                <w:rFonts w:ascii="Calibri" w:hAnsi="Calibri" w:cs="Calibri"/>
                <w:noProof/>
                <w:lang w:val="en-GB"/>
              </w:rPr>
              <w:t> </w:t>
            </w:r>
            <w:r>
              <w:rPr>
                <w:noProof/>
                <w:lang w:val="en-GB"/>
              </w:rPr>
              <w:t>/ Instrument for Pre-Accession Assistance (9 programmes in 6 Member States, plus 1 Instrument for Pre-Accession Assistance / cross-border cooperation programme)</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lang w:val="en-GB"/>
              </w:rPr>
            </w:pPr>
            <w:r>
              <w:rPr>
                <w:noProof/>
                <w:lang w:val="en-GB"/>
              </w:rPr>
              <w:t>DG Regional and Urban Policy</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rPr>
            </w:pPr>
            <w:r>
              <w:rPr>
                <w:noProof/>
              </w:rPr>
              <w:t>Non-quantified</w:t>
            </w:r>
          </w:p>
        </w:tc>
        <w:tc>
          <w:tcPr>
            <w:tcW w:w="1559" w:type="dxa"/>
          </w:tcPr>
          <w:p w:rsidR="00311BB8" w:rsidRDefault="00D91061">
            <w:pPr>
              <w:keepNext/>
              <w:spacing w:after="120" w:line="26" w:lineRule="atLeast"/>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w:t>
            </w:r>
          </w:p>
        </w:tc>
      </w:tr>
      <w:tr w:rsidR="00311BB8" w:rsidTr="00311BB8">
        <w:tc>
          <w:tcPr>
            <w:cnfStyle w:val="001000000000" w:firstRow="0" w:lastRow="0" w:firstColumn="1" w:lastColumn="0" w:oddVBand="0" w:evenVBand="0" w:oddHBand="0" w:evenHBand="0" w:firstRowFirstColumn="0" w:firstRowLastColumn="0" w:lastRowFirstColumn="0" w:lastRowLastColumn="0"/>
            <w:tcW w:w="1644" w:type="dxa"/>
            <w:vMerge/>
          </w:tcPr>
          <w:p w:rsidR="00311BB8" w:rsidRDefault="00311BB8">
            <w:pPr>
              <w:pStyle w:val="AMPRTABLEA-TextLEFTalligned-BLACK"/>
              <w:rPr>
                <w:b/>
                <w:bCs/>
                <w:strike/>
                <w:noProof/>
              </w:rPr>
            </w:pPr>
          </w:p>
        </w:tc>
        <w:tc>
          <w:tcPr>
            <w:tcW w:w="2755"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strike/>
                <w:noProof/>
                <w:lang w:val="en-GB"/>
              </w:rPr>
            </w:pPr>
            <w:r>
              <w:rPr>
                <w:noProof/>
                <w:lang w:val="en-GB"/>
              </w:rPr>
              <w:t>2007-2013 European Social Fund (6 programmes in 4 Member States)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lang w:val="en-GB"/>
              </w:rPr>
            </w:pPr>
            <w:r>
              <w:rPr>
                <w:noProof/>
                <w:lang w:val="en-GB"/>
              </w:rPr>
              <w:t>DG Employment, Social Affairs and Inclusion</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rPr>
            </w:pPr>
            <w:r>
              <w:rPr>
                <w:noProof/>
              </w:rPr>
              <w:t>Non-quantified</w:t>
            </w:r>
          </w:p>
        </w:tc>
        <w:tc>
          <w:tcPr>
            <w:tcW w:w="1559" w:type="dxa"/>
          </w:tcPr>
          <w:p w:rsidR="00311BB8" w:rsidRDefault="00D91061">
            <w:pPr>
              <w:keepNext/>
              <w:spacing w:after="120" w:line="26" w:lineRule="atLeast"/>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w:t>
            </w:r>
          </w:p>
        </w:tc>
      </w:tr>
      <w:tr w:rsidR="00311BB8" w:rsidTr="00311BB8">
        <w:tc>
          <w:tcPr>
            <w:cnfStyle w:val="001000000000" w:firstRow="0" w:lastRow="0" w:firstColumn="1" w:lastColumn="0" w:oddVBand="0" w:evenVBand="0" w:oddHBand="0" w:evenHBand="0" w:firstRowFirstColumn="0" w:firstRowLastColumn="0" w:lastRowFirstColumn="0" w:lastRowLastColumn="0"/>
            <w:tcW w:w="1644" w:type="dxa"/>
          </w:tcPr>
          <w:p w:rsidR="00311BB8" w:rsidRDefault="00D91061">
            <w:pPr>
              <w:pStyle w:val="AMPRTABLEA-TextLEFTalligned-BLACK"/>
              <w:rPr>
                <w:b/>
                <w:bCs/>
                <w:strike/>
                <w:noProof/>
              </w:rPr>
            </w:pPr>
            <w:r>
              <w:rPr>
                <w:b/>
                <w:bCs/>
                <w:noProof/>
              </w:rPr>
              <w:t>External relations</w:t>
            </w:r>
          </w:p>
        </w:tc>
        <w:tc>
          <w:tcPr>
            <w:tcW w:w="2755"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rPr>
            </w:pPr>
            <w:r>
              <w:rPr>
                <w:noProof/>
              </w:rPr>
              <w:t>(</w:t>
            </w:r>
            <w:r>
              <w:rPr>
                <w:i/>
                <w:iCs/>
                <w:noProof/>
              </w:rPr>
              <w:t>None</w:t>
            </w:r>
            <w:r>
              <w:rPr>
                <w:noProof/>
              </w:rPr>
              <w:t>)</w:t>
            </w:r>
          </w:p>
        </w:tc>
        <w:tc>
          <w:tcPr>
            <w:tcW w:w="1559" w:type="dxa"/>
          </w:tcPr>
          <w:p w:rsidR="00311BB8" w:rsidRDefault="00311BB8">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p>
        </w:tc>
        <w:tc>
          <w:tcPr>
            <w:tcW w:w="1559" w:type="dxa"/>
          </w:tcPr>
          <w:p w:rsidR="00311BB8" w:rsidRDefault="00311BB8">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p>
        </w:tc>
        <w:tc>
          <w:tcPr>
            <w:tcW w:w="1559" w:type="dxa"/>
          </w:tcPr>
          <w:p w:rsidR="00311BB8" w:rsidRDefault="00311BB8">
            <w:pPr>
              <w:keepNext/>
              <w:spacing w:before="100" w:beforeAutospacing="1" w:afterAutospacing="1" w:line="26" w:lineRule="atLeast"/>
              <w:cnfStyle w:val="000000000000" w:firstRow="0" w:lastRow="0" w:firstColumn="0" w:lastColumn="0" w:oddVBand="0" w:evenVBand="0" w:oddHBand="0" w:evenHBand="0" w:firstRowFirstColumn="0" w:firstRowLastColumn="0" w:lastRowFirstColumn="0" w:lastRowLastColumn="0"/>
              <w:rPr>
                <w:noProof/>
                <w:szCs w:val="18"/>
                <w:highlight w:val="yellow"/>
              </w:rPr>
            </w:pPr>
          </w:p>
        </w:tc>
      </w:tr>
      <w:tr w:rsidR="00311BB8" w:rsidTr="00311BB8">
        <w:trPr>
          <w:trHeight w:val="20"/>
        </w:trPr>
        <w:tc>
          <w:tcPr>
            <w:cnfStyle w:val="001000000000" w:firstRow="0" w:lastRow="0" w:firstColumn="1" w:lastColumn="0" w:oddVBand="0" w:evenVBand="0" w:oddHBand="0" w:evenHBand="0" w:firstRowFirstColumn="0" w:firstRowLastColumn="0" w:lastRowFirstColumn="0" w:lastRowLastColumn="0"/>
            <w:tcW w:w="1644" w:type="dxa"/>
          </w:tcPr>
          <w:p w:rsidR="00311BB8" w:rsidRDefault="00D91061">
            <w:pPr>
              <w:pStyle w:val="AMPRTABLEA-TextLEFTalligned-BLACK"/>
              <w:rPr>
                <w:b/>
                <w:bCs/>
                <w:strike/>
                <w:noProof/>
                <w:lang w:val="en-GB"/>
              </w:rPr>
            </w:pPr>
            <w:r>
              <w:rPr>
                <w:b/>
                <w:bCs/>
                <w:noProof/>
                <w:lang w:val="en-GB"/>
              </w:rPr>
              <w:t>Research, industry, space, energy and transport</w:t>
            </w:r>
          </w:p>
        </w:tc>
        <w:tc>
          <w:tcPr>
            <w:tcW w:w="2755"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Seventh framework programme for research and technological development</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r>
              <w:rPr>
                <w:noProof/>
              </w:rPr>
              <w:t>DG Research and Innovation</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r>
              <w:rPr>
                <w:noProof/>
              </w:rPr>
              <w:t>Quantified</w:t>
            </w:r>
          </w:p>
        </w:tc>
        <w:tc>
          <w:tcPr>
            <w:tcW w:w="1559" w:type="dxa"/>
          </w:tcPr>
          <w:p w:rsidR="00311BB8" w:rsidRDefault="00D91061">
            <w:pPr>
              <w:keepNext/>
              <w:spacing w:before="100" w:beforeAutospacing="1" w:afterAutospacing="1" w:line="26" w:lineRule="atLeast"/>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8.2</w:t>
            </w:r>
          </w:p>
        </w:tc>
      </w:tr>
      <w:tr w:rsidR="00311BB8" w:rsidTr="00311BB8">
        <w:tc>
          <w:tcPr>
            <w:cnfStyle w:val="001000000000" w:firstRow="0" w:lastRow="0" w:firstColumn="1" w:lastColumn="0" w:oddVBand="0" w:evenVBand="0" w:oddHBand="0" w:evenHBand="0" w:firstRowFirstColumn="0" w:firstRowLastColumn="0" w:lastRowFirstColumn="0" w:lastRowLastColumn="0"/>
            <w:tcW w:w="1644" w:type="dxa"/>
          </w:tcPr>
          <w:p w:rsidR="00311BB8" w:rsidRDefault="00D91061">
            <w:pPr>
              <w:pStyle w:val="AMPRTABLEA-TextLEFTalligned-BLACK"/>
              <w:rPr>
                <w:b/>
                <w:bCs/>
                <w:noProof/>
              </w:rPr>
            </w:pPr>
            <w:r>
              <w:rPr>
                <w:b/>
                <w:bCs/>
                <w:noProof/>
              </w:rPr>
              <w:t>Other internal policies</w:t>
            </w:r>
          </w:p>
        </w:tc>
        <w:tc>
          <w:tcPr>
            <w:tcW w:w="2755"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2007-2013 general programme ‘solidarity and management of migration flows’, including:</w:t>
            </w:r>
          </w:p>
          <w:p w:rsidR="00311BB8" w:rsidRDefault="00D91061">
            <w:pPr>
              <w:pStyle w:val="AMPRTABLEA-TextLEFTalligned-BLACK"/>
              <w:numPr>
                <w:ilvl w:val="0"/>
                <w:numId w:val="52"/>
              </w:numPr>
              <w:ind w:left="357" w:hanging="357"/>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European Integration Fund (in 3 Member States)</w:t>
            </w:r>
          </w:p>
          <w:p w:rsidR="00311BB8" w:rsidRDefault="00D91061">
            <w:pPr>
              <w:pStyle w:val="AMPRTABLEA-TextLEFTalligned-BLACK"/>
              <w:numPr>
                <w:ilvl w:val="0"/>
                <w:numId w:val="52"/>
              </w:numPr>
              <w:ind w:left="357" w:hanging="357"/>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European Refugee Fund (in 4 Member States)</w:t>
            </w:r>
          </w:p>
          <w:p w:rsidR="00311BB8" w:rsidRDefault="00D91061">
            <w:pPr>
              <w:pStyle w:val="AMPRTABLEA-TextLEFTalligned-BLACK"/>
              <w:numPr>
                <w:ilvl w:val="0"/>
                <w:numId w:val="52"/>
              </w:numPr>
              <w:ind w:left="357" w:hanging="357"/>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European Return Fund (in 3 Member States)</w:t>
            </w:r>
          </w:p>
          <w:p w:rsidR="00311BB8" w:rsidRDefault="00D91061">
            <w:pPr>
              <w:pStyle w:val="AMPRTABLEA-TextLEFTalligned-BLACK"/>
              <w:numPr>
                <w:ilvl w:val="0"/>
                <w:numId w:val="52"/>
              </w:numPr>
              <w:ind w:left="357" w:hanging="357"/>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External Borders Fund (in 6 Member States)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DG Migration and Home Affairs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Quantified for European Refugee Fund Belgium; non-quantified for the others</w:t>
            </w:r>
          </w:p>
        </w:tc>
        <w:tc>
          <w:tcPr>
            <w:tcW w:w="1559" w:type="dxa"/>
          </w:tcPr>
          <w:p w:rsidR="00311BB8" w:rsidRDefault="00D91061">
            <w:pPr>
              <w:keepNext/>
              <w:spacing w:before="100" w:beforeAutospacing="1" w:afterAutospacing="1" w:line="26" w:lineRule="atLeast"/>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0.2</w:t>
            </w:r>
          </w:p>
        </w:tc>
      </w:tr>
      <w:tr w:rsidR="00311BB8" w:rsidTr="00311BB8">
        <w:tc>
          <w:tcPr>
            <w:cnfStyle w:val="001000000000" w:firstRow="0" w:lastRow="0" w:firstColumn="1" w:lastColumn="0" w:oddVBand="0" w:evenVBand="0" w:oddHBand="0" w:evenHBand="0" w:firstRowFirstColumn="0" w:firstRowLastColumn="0" w:lastRowFirstColumn="0" w:lastRowLastColumn="0"/>
            <w:tcW w:w="1644" w:type="dxa"/>
          </w:tcPr>
          <w:p w:rsidR="00311BB8" w:rsidRDefault="00D91061">
            <w:pPr>
              <w:pStyle w:val="AMPRTABLEA-TextLEFTalligned-BLACK"/>
              <w:rPr>
                <w:b/>
                <w:bCs/>
                <w:noProof/>
              </w:rPr>
            </w:pPr>
            <w:r>
              <w:rPr>
                <w:b/>
                <w:bCs/>
                <w:noProof/>
              </w:rPr>
              <w:t>Other services and administration</w:t>
            </w:r>
          </w:p>
        </w:tc>
        <w:tc>
          <w:tcPr>
            <w:tcW w:w="2755"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rPr>
            </w:pPr>
            <w:r>
              <w:rPr>
                <w:noProof/>
              </w:rPr>
              <w:t>(</w:t>
            </w:r>
            <w:r>
              <w:rPr>
                <w:i/>
                <w:iCs/>
                <w:noProof/>
              </w:rPr>
              <w:t>None</w:t>
            </w:r>
            <w:r>
              <w:rPr>
                <w:noProof/>
              </w:rPr>
              <w:t>)</w:t>
            </w:r>
          </w:p>
        </w:tc>
        <w:tc>
          <w:tcPr>
            <w:tcW w:w="1559" w:type="dxa"/>
          </w:tcPr>
          <w:p w:rsidR="00311BB8" w:rsidRDefault="00311BB8">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p>
        </w:tc>
        <w:tc>
          <w:tcPr>
            <w:tcW w:w="1559" w:type="dxa"/>
          </w:tcPr>
          <w:p w:rsidR="00311BB8" w:rsidRDefault="00311BB8">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p>
        </w:tc>
        <w:tc>
          <w:tcPr>
            <w:tcW w:w="1559" w:type="dxa"/>
          </w:tcPr>
          <w:p w:rsidR="00311BB8" w:rsidRDefault="00311BB8">
            <w:pPr>
              <w:spacing w:before="100" w:beforeAutospacing="1" w:afterAutospacing="1" w:line="26" w:lineRule="atLeast"/>
              <w:cnfStyle w:val="000000000000" w:firstRow="0" w:lastRow="0" w:firstColumn="0" w:lastColumn="0" w:oddVBand="0" w:evenVBand="0" w:oddHBand="0" w:evenHBand="0" w:firstRowFirstColumn="0" w:firstRowLastColumn="0" w:lastRowFirstColumn="0" w:lastRowLastColumn="0"/>
              <w:rPr>
                <w:noProof/>
                <w:szCs w:val="18"/>
              </w:rPr>
            </w:pPr>
          </w:p>
        </w:tc>
      </w:tr>
      <w:tr w:rsidR="00311BB8" w:rsidTr="00311B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rsidR="00311BB8" w:rsidRDefault="00D91061">
            <w:pPr>
              <w:pStyle w:val="AMPRTABLEA-TOTALLEFTalligned-BLACK"/>
              <w:rPr>
                <w:noProof/>
                <w:color w:val="000000" w:themeColor="text1"/>
              </w:rPr>
            </w:pPr>
            <w:r>
              <w:rPr>
                <w:noProof/>
              </w:rPr>
              <w:t>Total</w:t>
            </w:r>
          </w:p>
        </w:tc>
        <w:tc>
          <w:tcPr>
            <w:tcW w:w="2755" w:type="dxa"/>
          </w:tcPr>
          <w:p w:rsidR="00311BB8" w:rsidRDefault="00311BB8">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p>
        </w:tc>
        <w:tc>
          <w:tcPr>
            <w:tcW w:w="1559" w:type="dxa"/>
          </w:tcPr>
          <w:p w:rsidR="00311BB8" w:rsidRDefault="00311BB8">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p>
        </w:tc>
        <w:tc>
          <w:tcPr>
            <w:tcW w:w="1559" w:type="dxa"/>
          </w:tcPr>
          <w:p w:rsidR="00311BB8" w:rsidRDefault="00311BB8">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p>
        </w:tc>
        <w:tc>
          <w:tcPr>
            <w:tcW w:w="1559"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color w:val="000000" w:themeColor="text1"/>
              </w:rPr>
            </w:pPr>
            <w:r>
              <w:rPr>
                <w:noProof/>
              </w:rPr>
              <w:t>8.3</w:t>
            </w:r>
          </w:p>
        </w:tc>
      </w:tr>
    </w:tbl>
    <w:p w:rsidR="00311BB8" w:rsidRDefault="00D91061">
      <w:pPr>
        <w:pStyle w:val="AMPRChart-Tabletitle"/>
        <w:rPr>
          <w:noProof/>
        </w:rPr>
      </w:pPr>
      <w:r>
        <w:rPr>
          <w:noProof/>
        </w:rPr>
        <w:t>Table E: 2019 reservations related to the legacy programmes for 2007-2013</w:t>
      </w:r>
    </w:p>
    <w:p w:rsidR="00311BB8" w:rsidRDefault="00311BB8">
      <w:pPr>
        <w:pStyle w:val="AMPRBodyText"/>
        <w:rPr>
          <w:noProof/>
        </w:rPr>
      </w:pPr>
    </w:p>
    <w:p w:rsidR="00311BB8" w:rsidRDefault="00311BB8">
      <w:pPr>
        <w:pStyle w:val="Hidelastparagraphafterthetable"/>
        <w:rPr>
          <w:noProof/>
        </w:rPr>
      </w:pPr>
    </w:p>
    <w:tbl>
      <w:tblPr>
        <w:tblStyle w:val="AMPRTABLEA-Template"/>
        <w:tblW w:w="9072" w:type="dxa"/>
        <w:tblLayout w:type="fixed"/>
        <w:tblLook w:val="04A0" w:firstRow="1" w:lastRow="0" w:firstColumn="1" w:lastColumn="0" w:noHBand="0" w:noVBand="1"/>
      </w:tblPr>
      <w:tblGrid>
        <w:gridCol w:w="1645"/>
        <w:gridCol w:w="2753"/>
        <w:gridCol w:w="1558"/>
        <w:gridCol w:w="1558"/>
        <w:gridCol w:w="1558"/>
      </w:tblGrid>
      <w:tr w:rsidR="00311BB8" w:rsidTr="00311BB8">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645" w:type="dxa"/>
          </w:tcPr>
          <w:p w:rsidR="00311BB8" w:rsidRDefault="00D91061">
            <w:pPr>
              <w:pStyle w:val="AMPRTABLEA-HEADERText-WHITE"/>
              <w:spacing w:before="144" w:after="144"/>
              <w:rPr>
                <w:noProof/>
                <w:color w:val="FFFFFF" w:themeColor="background1"/>
              </w:rPr>
            </w:pPr>
            <w:r>
              <w:rPr>
                <w:noProof/>
              </w:rPr>
              <w:t>Policy area</w:t>
            </w:r>
          </w:p>
        </w:tc>
        <w:tc>
          <w:tcPr>
            <w:tcW w:w="2755"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color w:val="FFFFFF" w:themeColor="background1"/>
              </w:rPr>
            </w:pPr>
            <w:r>
              <w:rPr>
                <w:noProof/>
              </w:rPr>
              <w:t>Description of reservation</w:t>
            </w:r>
          </w:p>
        </w:tc>
        <w:tc>
          <w:tcPr>
            <w:tcW w:w="1559"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color w:val="FFFFFF" w:themeColor="background1"/>
              </w:rPr>
            </w:pPr>
            <w:r>
              <w:rPr>
                <w:noProof/>
              </w:rPr>
              <w:t>Department</w:t>
            </w:r>
          </w:p>
        </w:tc>
        <w:tc>
          <w:tcPr>
            <w:tcW w:w="1559"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color w:val="FFFFFF" w:themeColor="background1"/>
                <w:lang w:val="en-GB"/>
              </w:rPr>
            </w:pPr>
            <w:r>
              <w:rPr>
                <w:noProof/>
                <w:lang w:val="en-GB"/>
              </w:rPr>
              <w:t>Impact on legality and regularity</w:t>
            </w:r>
          </w:p>
        </w:tc>
        <w:tc>
          <w:tcPr>
            <w:tcW w:w="1559"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color w:val="FFFFFF" w:themeColor="background1"/>
              </w:rPr>
            </w:pPr>
            <w:r>
              <w:rPr>
                <w:noProof/>
              </w:rPr>
              <w:t>Financial impact (million</w:t>
            </w:r>
            <w:r>
              <w:rPr>
                <w:rFonts w:ascii="Calibri" w:hAnsi="Calibri" w:cs="Calibri"/>
                <w:noProof/>
              </w:rPr>
              <w:t> </w:t>
            </w:r>
            <w:r>
              <w:rPr>
                <w:noProof/>
              </w:rPr>
              <w:t>EUR)</w:t>
            </w:r>
          </w:p>
        </w:tc>
      </w:tr>
      <w:tr w:rsidR="00311BB8" w:rsidTr="00311BB8">
        <w:trPr>
          <w:trHeight w:val="583"/>
        </w:trPr>
        <w:tc>
          <w:tcPr>
            <w:cnfStyle w:val="001000000000" w:firstRow="0" w:lastRow="0" w:firstColumn="1" w:lastColumn="0" w:oddVBand="0" w:evenVBand="0" w:oddHBand="0" w:evenHBand="0" w:firstRowFirstColumn="0" w:firstRowLastColumn="0" w:lastRowFirstColumn="0" w:lastRowLastColumn="0"/>
            <w:tcW w:w="1645" w:type="dxa"/>
          </w:tcPr>
          <w:p w:rsidR="00311BB8" w:rsidRDefault="00D91061">
            <w:pPr>
              <w:pStyle w:val="AMPRTABLEA-TextLEFTalligned-BLACK"/>
              <w:rPr>
                <w:b/>
                <w:bCs/>
                <w:noProof/>
                <w:color w:val="000000" w:themeColor="text1"/>
              </w:rPr>
            </w:pPr>
            <w:r>
              <w:rPr>
                <w:b/>
                <w:bCs/>
                <w:noProof/>
              </w:rPr>
              <w:t>Revenue</w:t>
            </w:r>
          </w:p>
        </w:tc>
        <w:tc>
          <w:tcPr>
            <w:tcW w:w="2755"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Inaccuracy of the traditional own resources amounts transferred to the EU budget</w:t>
            </w:r>
          </w:p>
        </w:tc>
        <w:tc>
          <w:tcPr>
            <w:tcW w:w="1559"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rPr>
            </w:pPr>
            <w:r>
              <w:rPr>
                <w:noProof/>
              </w:rPr>
              <w:t>DG Budget</w:t>
            </w:r>
          </w:p>
        </w:tc>
        <w:tc>
          <w:tcPr>
            <w:tcW w:w="1559"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rPr>
            </w:pPr>
            <w:r>
              <w:rPr>
                <w:noProof/>
              </w:rPr>
              <w:t>Non-quantified</w:t>
            </w:r>
          </w:p>
        </w:tc>
        <w:tc>
          <w:tcPr>
            <w:tcW w:w="1559" w:type="dxa"/>
          </w:tcPr>
          <w:p w:rsidR="00311BB8" w:rsidRDefault="00D91061">
            <w:pPr>
              <w:pStyle w:val="AMPRTABLEA-TOTALRIGHTalligned-BLACK"/>
              <w:cnfStyle w:val="000000000000" w:firstRow="0" w:lastRow="0" w:firstColumn="0" w:lastColumn="0" w:oddVBand="0" w:evenVBand="0" w:oddHBand="0" w:evenHBand="0" w:firstRowFirstColumn="0" w:firstRowLastColumn="0" w:lastRowFirstColumn="0" w:lastRowLastColumn="0"/>
              <w:rPr>
                <w:noProof/>
                <w:color w:val="000000" w:themeColor="text1"/>
              </w:rPr>
            </w:pPr>
            <w:r>
              <w:rPr>
                <w:b w:val="0"/>
                <w:noProof/>
              </w:rPr>
              <w:t>—</w:t>
            </w:r>
          </w:p>
        </w:tc>
      </w:tr>
    </w:tbl>
    <w:p w:rsidR="00311BB8" w:rsidRDefault="00D91061">
      <w:pPr>
        <w:pStyle w:val="AMPRChart-Tabletitle"/>
        <w:rPr>
          <w:noProof/>
        </w:rPr>
      </w:pPr>
      <w:r>
        <w:rPr>
          <w:noProof/>
        </w:rPr>
        <w:t>Table F: 2019 reservation related to the revenue side of the EU budget</w:t>
      </w:r>
    </w:p>
    <w:p w:rsidR="00311BB8" w:rsidRDefault="00D91061">
      <w:pPr>
        <w:pStyle w:val="AMPRBodyText"/>
        <w:rPr>
          <w:noProof/>
        </w:rPr>
      </w:pPr>
      <w:r>
        <w:rPr>
          <w:noProof/>
        </w:rPr>
        <w:br w:type="page"/>
      </w:r>
    </w:p>
    <w:p w:rsidR="00311BB8" w:rsidRDefault="00311BB8">
      <w:pPr>
        <w:pStyle w:val="Hidelastparagraphafterthetable"/>
        <w:rPr>
          <w:noProof/>
        </w:rPr>
      </w:pPr>
    </w:p>
    <w:tbl>
      <w:tblPr>
        <w:tblStyle w:val="AMPRTABLEA-Template"/>
        <w:tblW w:w="9072" w:type="dxa"/>
        <w:tblLayout w:type="fixed"/>
        <w:tblLook w:val="04E0" w:firstRow="1" w:lastRow="1" w:firstColumn="1" w:lastColumn="0" w:noHBand="0" w:noVBand="1"/>
      </w:tblPr>
      <w:tblGrid>
        <w:gridCol w:w="1641"/>
        <w:gridCol w:w="2754"/>
        <w:gridCol w:w="1559"/>
        <w:gridCol w:w="1559"/>
        <w:gridCol w:w="1559"/>
      </w:tblGrid>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42" w:type="dxa"/>
          </w:tcPr>
          <w:p w:rsidR="00311BB8" w:rsidRDefault="00D91061">
            <w:pPr>
              <w:pStyle w:val="AMPRTABLEA-HEADERText-WHITE"/>
              <w:spacing w:before="144" w:after="144"/>
              <w:rPr>
                <w:noProof/>
                <w:color w:val="FFFFFF" w:themeColor="background1"/>
              </w:rPr>
            </w:pPr>
            <w:r>
              <w:rPr>
                <w:noProof/>
              </w:rPr>
              <w:t>Policy area</w:t>
            </w:r>
          </w:p>
        </w:tc>
        <w:tc>
          <w:tcPr>
            <w:tcW w:w="2755"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color w:val="FFFFFF" w:themeColor="background1"/>
              </w:rPr>
            </w:pPr>
            <w:r>
              <w:rPr>
                <w:noProof/>
              </w:rPr>
              <w:t xml:space="preserve">Description of </w:t>
            </w:r>
            <w:r>
              <w:rPr>
                <w:i/>
                <w:iCs/>
                <w:noProof/>
              </w:rPr>
              <w:t xml:space="preserve">2018 </w:t>
            </w:r>
            <w:r>
              <w:rPr>
                <w:noProof/>
              </w:rPr>
              <w:t>reservation</w:t>
            </w:r>
          </w:p>
        </w:tc>
        <w:tc>
          <w:tcPr>
            <w:tcW w:w="1559"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color w:val="FFFFFF" w:themeColor="background1"/>
              </w:rPr>
            </w:pPr>
            <w:r>
              <w:rPr>
                <w:noProof/>
              </w:rPr>
              <w:t>Department</w:t>
            </w:r>
          </w:p>
        </w:tc>
        <w:tc>
          <w:tcPr>
            <w:tcW w:w="1559"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color w:val="FFFFFF" w:themeColor="background1"/>
                <w:lang w:val="en-GB"/>
              </w:rPr>
            </w:pPr>
            <w:r>
              <w:rPr>
                <w:noProof/>
                <w:lang w:val="en-GB"/>
              </w:rPr>
              <w:t>Impact on legality and regularity</w:t>
            </w:r>
          </w:p>
        </w:tc>
        <w:tc>
          <w:tcPr>
            <w:tcW w:w="1559"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color w:val="FFFFFF" w:themeColor="background1"/>
              </w:rPr>
            </w:pPr>
            <w:r>
              <w:rPr>
                <w:noProof/>
              </w:rPr>
              <w:t>Financial impact (</w:t>
            </w:r>
            <w:r>
              <w:rPr>
                <w:i/>
                <w:iCs/>
                <w:noProof/>
              </w:rPr>
              <w:t>2018</w:t>
            </w:r>
            <w:r>
              <w:rPr>
                <w:noProof/>
              </w:rPr>
              <w:t>, million</w:t>
            </w:r>
            <w:r>
              <w:rPr>
                <w:rFonts w:ascii="Calibri" w:hAnsi="Calibri" w:cs="Calibri"/>
                <w:noProof/>
              </w:rPr>
              <w:t> </w:t>
            </w:r>
            <w:r>
              <w:rPr>
                <w:noProof/>
              </w:rPr>
              <w:t>EUR)</w:t>
            </w:r>
          </w:p>
        </w:tc>
      </w:tr>
      <w:tr w:rsidR="00311BB8" w:rsidTr="00311BB8">
        <w:trPr>
          <w:trHeight w:val="373"/>
        </w:trPr>
        <w:tc>
          <w:tcPr>
            <w:cnfStyle w:val="001000000000" w:firstRow="0" w:lastRow="0" w:firstColumn="1" w:lastColumn="0" w:oddVBand="0" w:evenVBand="0" w:oddHBand="0" w:evenHBand="0" w:firstRowFirstColumn="0" w:firstRowLastColumn="0" w:lastRowFirstColumn="0" w:lastRowLastColumn="0"/>
            <w:tcW w:w="1642" w:type="dxa"/>
          </w:tcPr>
          <w:p w:rsidR="00311BB8" w:rsidRDefault="00D91061">
            <w:pPr>
              <w:pStyle w:val="AMPRTABLEA-TextLEFTalligned-BLACK"/>
              <w:rPr>
                <w:b/>
                <w:bCs/>
                <w:strike/>
                <w:noProof/>
                <w:color w:val="000000" w:themeColor="text1"/>
              </w:rPr>
            </w:pPr>
            <w:r>
              <w:rPr>
                <w:b/>
                <w:bCs/>
                <w:noProof/>
              </w:rPr>
              <w:t>Natural resources</w:t>
            </w:r>
          </w:p>
        </w:tc>
        <w:tc>
          <w:tcPr>
            <w:tcW w:w="2755"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strike/>
                <w:noProof/>
                <w:color w:val="000000" w:themeColor="text1"/>
                <w:lang w:val="en-GB"/>
              </w:rPr>
            </w:pPr>
            <w:r>
              <w:rPr>
                <w:noProof/>
                <w:lang w:val="en-GB"/>
              </w:rPr>
              <w:t>2007-2013 European Fisheries Fund (1 programme in 1 Member State)</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color w:val="000000" w:themeColor="text1"/>
                <w:lang w:val="en-GB"/>
              </w:rPr>
            </w:pPr>
            <w:r>
              <w:rPr>
                <w:noProof/>
                <w:lang w:val="en-GB"/>
              </w:rPr>
              <w:t>DG Maritime Affairs and Fisheries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color w:val="000000" w:themeColor="text1"/>
              </w:rPr>
            </w:pPr>
            <w:r>
              <w:rPr>
                <w:noProof/>
              </w:rPr>
              <w:t>Non-quantified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000000" w:themeColor="text1"/>
              </w:rPr>
            </w:pPr>
            <w:r>
              <w:rPr>
                <w:noProof/>
              </w:rPr>
              <w:t>—</w:t>
            </w:r>
          </w:p>
        </w:tc>
      </w:tr>
      <w:tr w:rsidR="00311BB8" w:rsidTr="00311BB8">
        <w:tc>
          <w:tcPr>
            <w:cnfStyle w:val="001000000000" w:firstRow="0" w:lastRow="0" w:firstColumn="1" w:lastColumn="0" w:oddVBand="0" w:evenVBand="0" w:oddHBand="0" w:evenHBand="0" w:firstRowFirstColumn="0" w:firstRowLastColumn="0" w:lastRowFirstColumn="0" w:lastRowLastColumn="0"/>
            <w:tcW w:w="1642" w:type="dxa"/>
          </w:tcPr>
          <w:p w:rsidR="00311BB8" w:rsidRDefault="00D91061">
            <w:pPr>
              <w:pStyle w:val="AMPRTABLEA-TextLEFTalligned-BLACK"/>
              <w:rPr>
                <w:b/>
                <w:bCs/>
                <w:strike/>
                <w:noProof/>
                <w:color w:val="000000" w:themeColor="text1"/>
                <w:lang w:val="en-GB"/>
              </w:rPr>
            </w:pPr>
            <w:r>
              <w:rPr>
                <w:b/>
                <w:bCs/>
                <w:noProof/>
                <w:lang w:val="en-GB"/>
              </w:rPr>
              <w:t>Economic, social and territorial cohesion</w:t>
            </w:r>
          </w:p>
        </w:tc>
        <w:tc>
          <w:tcPr>
            <w:tcW w:w="2755"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strike/>
                <w:noProof/>
              </w:rPr>
            </w:pPr>
            <w:r>
              <w:rPr>
                <w:noProof/>
              </w:rPr>
              <w:t>(</w:t>
            </w:r>
            <w:r>
              <w:rPr>
                <w:i/>
                <w:iCs/>
                <w:noProof/>
              </w:rPr>
              <w:t>None</w:t>
            </w:r>
            <w:r>
              <w:rPr>
                <w:noProof/>
              </w:rPr>
              <w:t>)</w:t>
            </w:r>
          </w:p>
        </w:tc>
        <w:tc>
          <w:tcPr>
            <w:tcW w:w="1559" w:type="dxa"/>
          </w:tcPr>
          <w:p w:rsidR="00311BB8" w:rsidRDefault="00311BB8">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rPr>
            </w:pPr>
          </w:p>
        </w:tc>
        <w:tc>
          <w:tcPr>
            <w:tcW w:w="1559" w:type="dxa"/>
          </w:tcPr>
          <w:p w:rsidR="00311BB8" w:rsidRDefault="00311BB8">
            <w:pPr>
              <w:pStyle w:val="AMPRTABLEA-TextLEFTalligned-BLACK"/>
              <w:jc w:val="center"/>
              <w:cnfStyle w:val="000000000000" w:firstRow="0" w:lastRow="0" w:firstColumn="0" w:lastColumn="0" w:oddVBand="0" w:evenVBand="0" w:oddHBand="0" w:evenHBand="0" w:firstRowFirstColumn="0" w:firstRowLastColumn="0" w:lastRowFirstColumn="0" w:lastRowLastColumn="0"/>
              <w:rPr>
                <w:strike/>
                <w:noProof/>
              </w:rPr>
            </w:pPr>
          </w:p>
        </w:tc>
        <w:tc>
          <w:tcPr>
            <w:tcW w:w="1559" w:type="dxa"/>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r>
      <w:tr w:rsidR="00311BB8" w:rsidTr="00311BB8">
        <w:trPr>
          <w:trHeight w:val="361"/>
        </w:trPr>
        <w:tc>
          <w:tcPr>
            <w:cnfStyle w:val="001000000000" w:firstRow="0" w:lastRow="0" w:firstColumn="1" w:lastColumn="0" w:oddVBand="0" w:evenVBand="0" w:oddHBand="0" w:evenHBand="0" w:firstRowFirstColumn="0" w:firstRowLastColumn="0" w:lastRowFirstColumn="0" w:lastRowLastColumn="0"/>
            <w:tcW w:w="1642" w:type="dxa"/>
          </w:tcPr>
          <w:p w:rsidR="00311BB8" w:rsidRDefault="00D91061">
            <w:pPr>
              <w:pStyle w:val="AMPRTABLEA-TextLEFTalligned-BLACK"/>
              <w:rPr>
                <w:b/>
                <w:bCs/>
                <w:strike/>
                <w:noProof/>
                <w:color w:val="000000" w:themeColor="text1"/>
              </w:rPr>
            </w:pPr>
            <w:r>
              <w:rPr>
                <w:b/>
                <w:bCs/>
                <w:noProof/>
              </w:rPr>
              <w:t>External relations</w:t>
            </w:r>
          </w:p>
        </w:tc>
        <w:tc>
          <w:tcPr>
            <w:tcW w:w="2755"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Programmes managed by the African Union Commission involving a significant level of procurement</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GB"/>
              </w:rPr>
            </w:pPr>
            <w:r>
              <w:rPr>
                <w:noProof/>
                <w:lang w:val="en-GB"/>
              </w:rPr>
              <w:t>DG International Cooperation and Development</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color w:val="000000" w:themeColor="text1"/>
              </w:rPr>
            </w:pPr>
            <w:r>
              <w:rPr>
                <w:noProof/>
              </w:rPr>
              <w:t>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000000" w:themeColor="text1"/>
              </w:rPr>
            </w:pPr>
            <w:r>
              <w:rPr>
                <w:noProof/>
              </w:rPr>
              <w:t>5.0</w:t>
            </w:r>
          </w:p>
        </w:tc>
      </w:tr>
      <w:tr w:rsidR="00311BB8" w:rsidTr="00311BB8">
        <w:tc>
          <w:tcPr>
            <w:cnfStyle w:val="001000000000" w:firstRow="0" w:lastRow="0" w:firstColumn="1" w:lastColumn="0" w:oddVBand="0" w:evenVBand="0" w:oddHBand="0" w:evenHBand="0" w:firstRowFirstColumn="0" w:firstRowLastColumn="0" w:lastRowFirstColumn="0" w:lastRowLastColumn="0"/>
            <w:tcW w:w="1642" w:type="dxa"/>
          </w:tcPr>
          <w:p w:rsidR="00311BB8" w:rsidRDefault="00D91061">
            <w:pPr>
              <w:pStyle w:val="AMPRTABLEA-TextLEFTalligned-BLACK"/>
              <w:rPr>
                <w:b/>
                <w:bCs/>
                <w:noProof/>
                <w:color w:val="000000" w:themeColor="text1"/>
                <w:lang w:val="en-GB"/>
              </w:rPr>
            </w:pPr>
            <w:r>
              <w:rPr>
                <w:b/>
                <w:bCs/>
                <w:noProof/>
                <w:lang w:val="en-GB"/>
              </w:rPr>
              <w:t>Research, industry, space, energy and transport</w:t>
            </w:r>
          </w:p>
        </w:tc>
        <w:tc>
          <w:tcPr>
            <w:tcW w:w="2755"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Competitiveness of small and medium-sized enterprises programme grants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GB"/>
              </w:rPr>
            </w:pPr>
            <w:r>
              <w:rPr>
                <w:noProof/>
                <w:lang w:val="en-GB"/>
              </w:rPr>
              <w:t>Executive Agency for Small and Medium-sized Enterprises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color w:val="000000" w:themeColor="text1"/>
              </w:rPr>
            </w:pPr>
            <w:r>
              <w:rPr>
                <w:noProof/>
              </w:rPr>
              <w:t>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000000" w:themeColor="text1"/>
              </w:rPr>
            </w:pPr>
            <w:r>
              <w:rPr>
                <w:noProof/>
              </w:rPr>
              <w:t>1.6</w:t>
            </w:r>
          </w:p>
        </w:tc>
      </w:tr>
      <w:tr w:rsidR="00311BB8" w:rsidTr="00311BB8">
        <w:tc>
          <w:tcPr>
            <w:cnfStyle w:val="001000000000" w:firstRow="0" w:lastRow="0" w:firstColumn="1" w:lastColumn="0" w:oddVBand="0" w:evenVBand="0" w:oddHBand="0" w:evenHBand="0" w:firstRowFirstColumn="0" w:firstRowLastColumn="0" w:lastRowFirstColumn="0" w:lastRowLastColumn="0"/>
            <w:tcW w:w="1642" w:type="dxa"/>
          </w:tcPr>
          <w:p w:rsidR="00311BB8" w:rsidRDefault="00D91061">
            <w:pPr>
              <w:pStyle w:val="AMPRTABLEA-TextLEFTalligned-BLACK"/>
              <w:rPr>
                <w:b/>
                <w:bCs/>
                <w:noProof/>
                <w:color w:val="000000" w:themeColor="text1"/>
              </w:rPr>
            </w:pPr>
            <w:r>
              <w:rPr>
                <w:b/>
                <w:bCs/>
                <w:noProof/>
              </w:rPr>
              <w:t>Other internal policies</w:t>
            </w:r>
          </w:p>
        </w:tc>
        <w:tc>
          <w:tcPr>
            <w:tcW w:w="2755"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Internal control system partially functioning</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GB"/>
              </w:rPr>
            </w:pPr>
            <w:r>
              <w:rPr>
                <w:noProof/>
                <w:lang w:val="en-GB"/>
              </w:rPr>
              <w:t>Education, Audiovisual and Culture Executive Agency</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color w:val="000000" w:themeColor="text1"/>
              </w:rPr>
            </w:pPr>
            <w:r>
              <w:rPr>
                <w:noProof/>
              </w:rPr>
              <w:t>Non-quantified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000000" w:themeColor="text1"/>
              </w:rPr>
            </w:pPr>
            <w:r>
              <w:rPr>
                <w:noProof/>
              </w:rPr>
              <w:t>—</w:t>
            </w:r>
          </w:p>
        </w:tc>
      </w:tr>
      <w:tr w:rsidR="00311BB8" w:rsidTr="00311BB8">
        <w:tc>
          <w:tcPr>
            <w:cnfStyle w:val="001000000000" w:firstRow="0" w:lastRow="0" w:firstColumn="1" w:lastColumn="0" w:oddVBand="0" w:evenVBand="0" w:oddHBand="0" w:evenHBand="0" w:firstRowFirstColumn="0" w:firstRowLastColumn="0" w:lastRowFirstColumn="0" w:lastRowLastColumn="0"/>
            <w:tcW w:w="1642" w:type="dxa"/>
          </w:tcPr>
          <w:p w:rsidR="00311BB8" w:rsidRDefault="00311BB8">
            <w:pPr>
              <w:pStyle w:val="AMPRTABLEA-TextLEFTalligned-BLACK"/>
              <w:rPr>
                <w:b/>
                <w:bCs/>
                <w:noProof/>
              </w:rPr>
            </w:pPr>
          </w:p>
        </w:tc>
        <w:tc>
          <w:tcPr>
            <w:tcW w:w="2755"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strike/>
                <w:noProof/>
                <w:lang w:val="en-GB"/>
              </w:rPr>
            </w:pPr>
            <w:r>
              <w:rPr>
                <w:noProof/>
                <w:lang w:val="en-GB"/>
              </w:rPr>
              <w:t>European Asylum Support Office</w:t>
            </w:r>
            <w:r>
              <w:rPr>
                <w:rFonts w:ascii="Calibri" w:hAnsi="Calibri" w:cs="Calibri"/>
                <w:noProof/>
                <w:lang w:val="en-GB"/>
              </w:rPr>
              <w:t> </w:t>
            </w:r>
            <w:r>
              <w:rPr>
                <w:noProof/>
                <w:lang w:val="en-GB"/>
              </w:rPr>
              <w:t>– management and control system weaknesses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GB"/>
              </w:rPr>
            </w:pPr>
            <w:r>
              <w:rPr>
                <w:noProof/>
                <w:lang w:val="en-GB"/>
              </w:rPr>
              <w:t>DG Migration and Home Affairs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color w:val="000000" w:themeColor="text1"/>
              </w:rPr>
            </w:pPr>
            <w:r>
              <w:rPr>
                <w:noProof/>
              </w:rPr>
              <w:t>Non-quantified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000000" w:themeColor="text1"/>
              </w:rPr>
            </w:pPr>
            <w:r>
              <w:rPr>
                <w:noProof/>
              </w:rPr>
              <w:t>—</w:t>
            </w:r>
          </w:p>
        </w:tc>
      </w:tr>
      <w:tr w:rsidR="00311BB8" w:rsidTr="00311BB8">
        <w:tc>
          <w:tcPr>
            <w:cnfStyle w:val="001000000000" w:firstRow="0" w:lastRow="0" w:firstColumn="1" w:lastColumn="0" w:oddVBand="0" w:evenVBand="0" w:oddHBand="0" w:evenHBand="0" w:firstRowFirstColumn="0" w:firstRowLastColumn="0" w:lastRowFirstColumn="0" w:lastRowLastColumn="0"/>
            <w:tcW w:w="1642" w:type="dxa"/>
          </w:tcPr>
          <w:p w:rsidR="00311BB8" w:rsidRDefault="00311BB8">
            <w:pPr>
              <w:pStyle w:val="AMPRTABLEA-TextLEFTalligned-BLACK"/>
              <w:rPr>
                <w:noProof/>
              </w:rPr>
            </w:pPr>
          </w:p>
        </w:tc>
        <w:tc>
          <w:tcPr>
            <w:tcW w:w="2755"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European Border and Coast Guard Agency</w:t>
            </w:r>
            <w:r>
              <w:rPr>
                <w:rFonts w:ascii="Calibri" w:hAnsi="Calibri" w:cs="Calibri"/>
                <w:noProof/>
                <w:lang w:val="en-GB"/>
              </w:rPr>
              <w:t> </w:t>
            </w:r>
            <w:r>
              <w:rPr>
                <w:noProof/>
                <w:lang w:val="en-GB"/>
              </w:rPr>
              <w:t>– procurement and control system weaknesses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DG Migration and Home Affairs</w:t>
            </w:r>
          </w:p>
        </w:tc>
        <w:tc>
          <w:tcPr>
            <w:tcW w:w="1559"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r>
              <w:rPr>
                <w:noProof/>
              </w:rPr>
              <w:t>Non-quantified</w:t>
            </w:r>
          </w:p>
        </w:tc>
        <w:tc>
          <w:tcPr>
            <w:tcW w:w="1559"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311BB8" w:rsidTr="00311BB8">
        <w:tc>
          <w:tcPr>
            <w:cnfStyle w:val="001000000000" w:firstRow="0" w:lastRow="0" w:firstColumn="1" w:lastColumn="0" w:oddVBand="0" w:evenVBand="0" w:oddHBand="0" w:evenHBand="0" w:firstRowFirstColumn="0" w:firstRowLastColumn="0" w:lastRowFirstColumn="0" w:lastRowLastColumn="0"/>
            <w:tcW w:w="1642" w:type="dxa"/>
          </w:tcPr>
          <w:p w:rsidR="00311BB8" w:rsidRDefault="00D91061">
            <w:pPr>
              <w:pStyle w:val="AMPRTABLEA-TextLEFTalligned-BLACK"/>
              <w:rPr>
                <w:b/>
                <w:bCs/>
                <w:noProof/>
                <w:color w:val="000000" w:themeColor="text1"/>
              </w:rPr>
            </w:pPr>
            <w:r>
              <w:rPr>
                <w:b/>
                <w:bCs/>
                <w:noProof/>
              </w:rPr>
              <w:t>Other services and administration</w:t>
            </w:r>
          </w:p>
        </w:tc>
        <w:tc>
          <w:tcPr>
            <w:tcW w:w="2755" w:type="dxa"/>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rPr>
            </w:pPr>
            <w:r>
              <w:rPr>
                <w:noProof/>
              </w:rPr>
              <w:t>(</w:t>
            </w:r>
            <w:r>
              <w:rPr>
                <w:i/>
                <w:iCs/>
                <w:noProof/>
              </w:rPr>
              <w:t>None</w:t>
            </w:r>
            <w:r>
              <w:rPr>
                <w:noProof/>
              </w:rPr>
              <w:t>)</w:t>
            </w:r>
          </w:p>
        </w:tc>
        <w:tc>
          <w:tcPr>
            <w:tcW w:w="1559" w:type="dxa"/>
          </w:tcPr>
          <w:p w:rsidR="00311BB8" w:rsidRDefault="00311BB8">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p>
        </w:tc>
        <w:tc>
          <w:tcPr>
            <w:tcW w:w="1559" w:type="dxa"/>
          </w:tcPr>
          <w:p w:rsidR="00311BB8" w:rsidRDefault="00311BB8">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rPr>
            </w:pPr>
          </w:p>
        </w:tc>
        <w:tc>
          <w:tcPr>
            <w:tcW w:w="1559" w:type="dxa"/>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rPr>
            </w:pPr>
          </w:p>
        </w:tc>
      </w:tr>
      <w:tr w:rsidR="00311BB8" w:rsidTr="00311B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rsidR="00311BB8" w:rsidRDefault="00D91061">
            <w:pPr>
              <w:pStyle w:val="AMPRTABLEA-TOTALLEFTalligned-BLACK"/>
              <w:rPr>
                <w:noProof/>
                <w:color w:val="000000" w:themeColor="text1"/>
              </w:rPr>
            </w:pPr>
            <w:r>
              <w:rPr>
                <w:noProof/>
              </w:rPr>
              <w:t>Total</w:t>
            </w:r>
          </w:p>
        </w:tc>
        <w:tc>
          <w:tcPr>
            <w:tcW w:w="2755" w:type="dxa"/>
          </w:tcPr>
          <w:p w:rsidR="00311BB8" w:rsidRDefault="00311BB8">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p>
        </w:tc>
        <w:tc>
          <w:tcPr>
            <w:tcW w:w="1559" w:type="dxa"/>
          </w:tcPr>
          <w:p w:rsidR="00311BB8" w:rsidRDefault="00311BB8">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p>
        </w:tc>
        <w:tc>
          <w:tcPr>
            <w:tcW w:w="1559" w:type="dxa"/>
          </w:tcPr>
          <w:p w:rsidR="00311BB8" w:rsidRDefault="00311BB8">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p>
        </w:tc>
        <w:tc>
          <w:tcPr>
            <w:tcW w:w="1559"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i/>
                <w:noProof/>
                <w:color w:val="000000" w:themeColor="text1"/>
              </w:rPr>
            </w:pPr>
            <w:r>
              <w:rPr>
                <w:i/>
                <w:noProof/>
              </w:rPr>
              <w:t>6.6</w:t>
            </w:r>
          </w:p>
        </w:tc>
      </w:tr>
    </w:tbl>
    <w:p w:rsidR="00311BB8" w:rsidRDefault="00D91061">
      <w:pPr>
        <w:pStyle w:val="AMPRChart-Tabletitle"/>
        <w:rPr>
          <w:noProof/>
        </w:rPr>
      </w:pPr>
      <w:r>
        <w:rPr>
          <w:noProof/>
        </w:rPr>
        <w:t>Table G: 2018 reservations that were lifted during 2019 because the underlying issues had been resolved</w:t>
      </w:r>
    </w:p>
    <w:p w:rsidR="00311BB8" w:rsidRDefault="00D91061">
      <w:pPr>
        <w:pStyle w:val="AMPRBodyText"/>
        <w:rPr>
          <w:noProof/>
        </w:rPr>
      </w:pPr>
      <w:r>
        <w:rPr>
          <w:noProof/>
        </w:rPr>
        <w:br w:type="page"/>
      </w:r>
    </w:p>
    <w:p w:rsidR="00311BB8" w:rsidRDefault="00311BB8">
      <w:pPr>
        <w:pStyle w:val="Hidelastparagraphafterthetable"/>
        <w:rPr>
          <w:noProof/>
        </w:rPr>
      </w:pPr>
    </w:p>
    <w:tbl>
      <w:tblPr>
        <w:tblStyle w:val="TableGrid"/>
        <w:tblW w:w="9072" w:type="dxa"/>
        <w:tblInd w:w="-34" w:type="dxa"/>
        <w:tblLayout w:type="fixed"/>
        <w:tblCellMar>
          <w:top w:w="57" w:type="dxa"/>
          <w:left w:w="57" w:type="dxa"/>
          <w:bottom w:w="57" w:type="dxa"/>
          <w:right w:w="57" w:type="dxa"/>
        </w:tblCellMar>
        <w:tblLook w:val="04A0" w:firstRow="1" w:lastRow="0" w:firstColumn="1" w:lastColumn="0" w:noHBand="0" w:noVBand="1"/>
      </w:tblPr>
      <w:tblGrid>
        <w:gridCol w:w="1645"/>
        <w:gridCol w:w="1281"/>
        <w:gridCol w:w="2268"/>
        <w:gridCol w:w="1292"/>
        <w:gridCol w:w="1293"/>
        <w:gridCol w:w="1293"/>
      </w:tblGrid>
      <w:tr w:rsidR="00311BB8">
        <w:trPr>
          <w:tblHeader/>
        </w:trPr>
        <w:tc>
          <w:tcPr>
            <w:tcW w:w="1645" w:type="dxa"/>
            <w:tcBorders>
              <w:left w:val="nil"/>
              <w:bottom w:val="single" w:sz="4" w:space="0" w:color="5B9BD5" w:themeColor="accent1"/>
              <w:right w:val="single" w:sz="4" w:space="0" w:color="FFFFFF" w:themeColor="background1"/>
            </w:tcBorders>
            <w:shd w:val="clear" w:color="auto" w:fill="44546A" w:themeFill="text2"/>
          </w:tcPr>
          <w:bookmarkEnd w:id="10"/>
          <w:bookmarkEnd w:id="11"/>
          <w:bookmarkEnd w:id="12"/>
          <w:bookmarkEnd w:id="13"/>
          <w:bookmarkEnd w:id="14"/>
          <w:bookmarkEnd w:id="15"/>
          <w:bookmarkEnd w:id="16"/>
          <w:bookmarkEnd w:id="17"/>
          <w:bookmarkEnd w:id="18"/>
          <w:p w:rsidR="00311BB8" w:rsidRDefault="00D91061">
            <w:pPr>
              <w:pStyle w:val="AMPRTABLEA-HEADERText-WHITE"/>
              <w:rPr>
                <w:noProof/>
                <w:color w:val="FFFFFF" w:themeColor="background1"/>
              </w:rPr>
            </w:pPr>
            <w:r>
              <w:rPr>
                <w:noProof/>
              </w:rPr>
              <w:t>Policy area</w:t>
            </w:r>
          </w:p>
        </w:tc>
        <w:tc>
          <w:tcPr>
            <w:tcW w:w="1281" w:type="dxa"/>
            <w:tcBorders>
              <w:left w:val="single" w:sz="4" w:space="0" w:color="FFFFFF" w:themeColor="background1"/>
              <w:bottom w:val="single" w:sz="4" w:space="0" w:color="5B9BD5" w:themeColor="accent1"/>
              <w:right w:val="single" w:sz="4" w:space="0" w:color="FFFFFF" w:themeColor="background1"/>
            </w:tcBorders>
            <w:shd w:val="clear" w:color="auto" w:fill="44546A" w:themeFill="text2"/>
          </w:tcPr>
          <w:p w:rsidR="00311BB8" w:rsidRDefault="00311BB8">
            <w:pPr>
              <w:pStyle w:val="AMPRTABLEA-HEADERText-WHITE"/>
              <w:rPr>
                <w:noProof/>
                <w:szCs w:val="18"/>
              </w:rPr>
            </w:pPr>
          </w:p>
        </w:tc>
        <w:tc>
          <w:tcPr>
            <w:tcW w:w="2268" w:type="dxa"/>
            <w:tcBorders>
              <w:left w:val="single" w:sz="4" w:space="0" w:color="FFFFFF" w:themeColor="background1"/>
              <w:bottom w:val="single" w:sz="4" w:space="0" w:color="5B9BD5" w:themeColor="accent1"/>
              <w:right w:val="single" w:sz="4" w:space="0" w:color="FFFFFF" w:themeColor="background1"/>
            </w:tcBorders>
            <w:shd w:val="clear" w:color="auto" w:fill="44546A" w:themeFill="text2"/>
          </w:tcPr>
          <w:p w:rsidR="00311BB8" w:rsidRDefault="00D91061">
            <w:pPr>
              <w:pStyle w:val="AMPRTABLEA-HEADERText-WHITE"/>
              <w:rPr>
                <w:noProof/>
                <w:color w:val="FFFFFF" w:themeColor="background1"/>
              </w:rPr>
            </w:pPr>
            <w:r>
              <w:rPr>
                <w:noProof/>
              </w:rPr>
              <w:t xml:space="preserve">Description of </w:t>
            </w:r>
            <w:r>
              <w:rPr>
                <w:i/>
                <w:iCs/>
                <w:noProof/>
              </w:rPr>
              <w:t>2018</w:t>
            </w:r>
            <w:r>
              <w:rPr>
                <w:noProof/>
              </w:rPr>
              <w:t xml:space="preserve"> reservation</w:t>
            </w:r>
          </w:p>
        </w:tc>
        <w:tc>
          <w:tcPr>
            <w:tcW w:w="1292" w:type="dxa"/>
            <w:tcBorders>
              <w:left w:val="single" w:sz="4" w:space="0" w:color="FFFFFF" w:themeColor="background1"/>
              <w:bottom w:val="single" w:sz="4" w:space="0" w:color="5B9BD5" w:themeColor="accent1"/>
              <w:right w:val="single" w:sz="4" w:space="0" w:color="FFFFFF" w:themeColor="background1"/>
            </w:tcBorders>
            <w:shd w:val="clear" w:color="auto" w:fill="44546A" w:themeFill="text2"/>
          </w:tcPr>
          <w:p w:rsidR="00311BB8" w:rsidRDefault="00D91061">
            <w:pPr>
              <w:pStyle w:val="AMPRTABLEA-HEADERText-WHITE"/>
              <w:rPr>
                <w:noProof/>
                <w:color w:val="FFFFFF" w:themeColor="background1"/>
              </w:rPr>
            </w:pPr>
            <w:r>
              <w:rPr>
                <w:noProof/>
              </w:rPr>
              <w:t>Department</w:t>
            </w:r>
          </w:p>
        </w:tc>
        <w:tc>
          <w:tcPr>
            <w:tcW w:w="1293" w:type="dxa"/>
            <w:tcBorders>
              <w:left w:val="single" w:sz="4" w:space="0" w:color="FFFFFF" w:themeColor="background1"/>
              <w:bottom w:val="single" w:sz="4" w:space="0" w:color="5B9BD5" w:themeColor="accent1"/>
              <w:right w:val="single" w:sz="4" w:space="0" w:color="FFFFFF" w:themeColor="background1"/>
            </w:tcBorders>
            <w:shd w:val="clear" w:color="auto" w:fill="44546A" w:themeFill="text2"/>
          </w:tcPr>
          <w:p w:rsidR="00311BB8" w:rsidRDefault="00D91061">
            <w:pPr>
              <w:pStyle w:val="AMPRTABLEA-HEADERText-WHITE"/>
              <w:rPr>
                <w:noProof/>
                <w:color w:val="FFFFFF" w:themeColor="background1"/>
                <w:lang w:val="en-GB"/>
              </w:rPr>
            </w:pPr>
            <w:r>
              <w:rPr>
                <w:noProof/>
                <w:lang w:val="en-GB"/>
              </w:rPr>
              <w:t>Impact on legality and regularity</w:t>
            </w:r>
          </w:p>
        </w:tc>
        <w:tc>
          <w:tcPr>
            <w:tcW w:w="1293" w:type="dxa"/>
            <w:tcBorders>
              <w:left w:val="single" w:sz="4" w:space="0" w:color="FFFFFF" w:themeColor="background1"/>
              <w:bottom w:val="single" w:sz="4" w:space="0" w:color="5B9BD5" w:themeColor="accent1"/>
              <w:right w:val="nil"/>
            </w:tcBorders>
            <w:shd w:val="clear" w:color="auto" w:fill="44546A" w:themeFill="text2"/>
          </w:tcPr>
          <w:p w:rsidR="00311BB8" w:rsidRDefault="00D91061">
            <w:pPr>
              <w:pStyle w:val="AMPRTABLEA-HEADERText-WHITE"/>
              <w:rPr>
                <w:noProof/>
                <w:color w:val="FFFFFF" w:themeColor="background1"/>
                <w:highlight w:val="yellow"/>
              </w:rPr>
            </w:pPr>
            <w:r>
              <w:rPr>
                <w:noProof/>
              </w:rPr>
              <w:t>Financial impact (million</w:t>
            </w:r>
            <w:r>
              <w:rPr>
                <w:rFonts w:ascii="Calibri" w:hAnsi="Calibri" w:cs="Calibri"/>
                <w:noProof/>
              </w:rPr>
              <w:t> </w:t>
            </w:r>
            <w:r>
              <w:rPr>
                <w:noProof/>
              </w:rPr>
              <w:t>EUR)</w:t>
            </w:r>
          </w:p>
        </w:tc>
      </w:tr>
      <w:tr w:rsidR="00311BB8">
        <w:trPr>
          <w:cantSplit/>
          <w:trHeight w:val="450"/>
        </w:trPr>
        <w:tc>
          <w:tcPr>
            <w:tcW w:w="1645" w:type="dxa"/>
            <w:tcBorders>
              <w:top w:val="single" w:sz="4" w:space="0" w:color="5B9BD5" w:themeColor="accent1"/>
              <w:left w:val="nil"/>
              <w:bottom w:val="single" w:sz="4" w:space="0" w:color="5B9BD5" w:themeColor="accent1"/>
              <w:right w:val="single" w:sz="4" w:space="0" w:color="5B9BD5" w:themeColor="accent1"/>
            </w:tcBorders>
          </w:tcPr>
          <w:p w:rsidR="00311BB8" w:rsidRDefault="00D91061">
            <w:pPr>
              <w:pStyle w:val="AMPRTABLEA-TextLEFTalligned-BLACK"/>
              <w:rPr>
                <w:b/>
                <w:bCs/>
                <w:strike/>
                <w:noProof/>
              </w:rPr>
            </w:pPr>
            <w:r>
              <w:rPr>
                <w:b/>
                <w:bCs/>
                <w:noProof/>
              </w:rPr>
              <w:t>Natural resources</w:t>
            </w:r>
          </w:p>
        </w:tc>
        <w:tc>
          <w:tcPr>
            <w:tcW w:w="12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311BB8" w:rsidRDefault="00311BB8">
            <w:pPr>
              <w:pStyle w:val="AMPRTABLEA-TextLEFTalligned-BLACK"/>
              <w:rPr>
                <w:b/>
                <w:bCs/>
                <w:noProof/>
              </w:rPr>
            </w:pP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311BB8" w:rsidRDefault="00D91061">
            <w:pPr>
              <w:pStyle w:val="AMPRTABLEA-TextLEFTalligned-BLACK"/>
              <w:rPr>
                <w:strike/>
                <w:noProof/>
              </w:rPr>
            </w:pPr>
            <w:r>
              <w:rPr>
                <w:noProof/>
              </w:rPr>
              <w:t>(</w:t>
            </w:r>
            <w:r>
              <w:rPr>
                <w:i/>
                <w:iCs/>
                <w:noProof/>
              </w:rPr>
              <w:t>None</w:t>
            </w:r>
            <w:r>
              <w:rPr>
                <w:noProof/>
              </w:rPr>
              <w:t>)</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11BB8" w:rsidRDefault="00311BB8">
            <w:pPr>
              <w:pStyle w:val="AMPRTABLEA-TextLEFTalligned-BLACK"/>
              <w:jc w:val="center"/>
              <w:rPr>
                <w:strike/>
                <w:noProof/>
              </w:rPr>
            </w:pP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11BB8" w:rsidRDefault="00311BB8">
            <w:pPr>
              <w:pStyle w:val="AMPRTABLEA-TextLEFTalligned-BLACK"/>
              <w:jc w:val="center"/>
              <w:rPr>
                <w:strike/>
                <w:noProof/>
              </w:rPr>
            </w:pP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311BB8">
            <w:pPr>
              <w:pStyle w:val="AMPRTABLEA-TextRIGHTalligned-BLACK"/>
              <w:rPr>
                <w:noProof/>
                <w:highlight w:val="yellow"/>
              </w:rPr>
            </w:pPr>
          </w:p>
        </w:tc>
      </w:tr>
      <w:tr w:rsidR="00311BB8">
        <w:trPr>
          <w:cantSplit/>
          <w:trHeight w:val="446"/>
        </w:trPr>
        <w:tc>
          <w:tcPr>
            <w:tcW w:w="1645" w:type="dxa"/>
            <w:tcBorders>
              <w:top w:val="single" w:sz="4" w:space="0" w:color="5B9BD5" w:themeColor="accent1"/>
              <w:left w:val="nil"/>
              <w:bottom w:val="single" w:sz="4" w:space="0" w:color="ED7D31" w:themeColor="accent2"/>
              <w:right w:val="single" w:sz="4" w:space="0" w:color="5B9BD5" w:themeColor="accent1"/>
            </w:tcBorders>
          </w:tcPr>
          <w:p w:rsidR="00311BB8" w:rsidRDefault="00D91061">
            <w:pPr>
              <w:pStyle w:val="AMPRTABLEA-TextLEFTalligned-BLACK"/>
              <w:rPr>
                <w:b/>
                <w:bCs/>
                <w:noProof/>
                <w:lang w:val="en-GB"/>
              </w:rPr>
            </w:pPr>
            <w:r>
              <w:rPr>
                <w:b/>
                <w:bCs/>
                <w:noProof/>
                <w:lang w:val="en-GB"/>
              </w:rPr>
              <w:t>Economic, social and territorial cohesion</w:t>
            </w:r>
          </w:p>
        </w:tc>
        <w:tc>
          <w:tcPr>
            <w:tcW w:w="1281" w:type="dxa"/>
            <w:tcBorders>
              <w:top w:val="single" w:sz="4" w:space="0" w:color="5B9BD5" w:themeColor="accent1"/>
              <w:left w:val="single" w:sz="4" w:space="0" w:color="5B9BD5" w:themeColor="accent1"/>
              <w:bottom w:val="single" w:sz="4" w:space="0" w:color="ED7D31" w:themeColor="accent2"/>
              <w:right w:val="single" w:sz="4" w:space="0" w:color="5B9BD5" w:themeColor="accent1"/>
            </w:tcBorders>
            <w:shd w:val="clear" w:color="auto" w:fill="auto"/>
          </w:tcPr>
          <w:p w:rsidR="00311BB8" w:rsidRDefault="00311BB8">
            <w:pPr>
              <w:pStyle w:val="AMPRTABLEA-TextLEFTalligned-BLACK"/>
              <w:rPr>
                <w:b/>
                <w:bCs/>
                <w:noProof/>
                <w:lang w:val="en-GB"/>
              </w:rPr>
            </w:pP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strike/>
                <w:noProof/>
              </w:rPr>
            </w:pPr>
            <w:r>
              <w:rPr>
                <w:noProof/>
              </w:rPr>
              <w:t>(</w:t>
            </w:r>
            <w:r>
              <w:rPr>
                <w:i/>
                <w:iCs/>
                <w:noProof/>
              </w:rPr>
              <w:t>None</w:t>
            </w:r>
            <w:r>
              <w:rPr>
                <w:noProof/>
              </w:rPr>
              <w:t>)</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311BB8">
            <w:pPr>
              <w:pStyle w:val="AMPRTABLEA-TextLEFTalligned-BLACK"/>
              <w:jc w:val="center"/>
              <w:rPr>
                <w:strike/>
                <w:noProof/>
              </w:rPr>
            </w:pP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311BB8">
            <w:pPr>
              <w:pStyle w:val="AMPRTABLEA-TextLEFTalligned-BLACK"/>
              <w:jc w:val="center"/>
              <w:rPr>
                <w:strike/>
                <w:noProof/>
              </w:rPr>
            </w:pP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311BB8">
            <w:pPr>
              <w:pStyle w:val="AMPRTABLEA-TextRIGHTalligned-BLACK"/>
              <w:rPr>
                <w:noProof/>
                <w:highlight w:val="yellow"/>
              </w:rPr>
            </w:pPr>
          </w:p>
        </w:tc>
      </w:tr>
      <w:tr w:rsidR="00311BB8">
        <w:trPr>
          <w:cantSplit/>
        </w:trPr>
        <w:tc>
          <w:tcPr>
            <w:tcW w:w="1645" w:type="dxa"/>
            <w:tcBorders>
              <w:top w:val="single" w:sz="4" w:space="0" w:color="ED7D31" w:themeColor="accent2"/>
              <w:left w:val="nil"/>
              <w:bottom w:val="nil"/>
              <w:right w:val="single" w:sz="4" w:space="0" w:color="ED7D31" w:themeColor="accent2"/>
            </w:tcBorders>
          </w:tcPr>
          <w:p w:rsidR="00311BB8" w:rsidRDefault="00D91061">
            <w:pPr>
              <w:pStyle w:val="AMPRTABLEA-TextLEFTalligned-BLACK"/>
              <w:rPr>
                <w:b/>
                <w:bCs/>
                <w:strike/>
                <w:noProof/>
              </w:rPr>
            </w:pPr>
            <w:r>
              <w:rPr>
                <w:b/>
                <w:bCs/>
                <w:noProof/>
              </w:rPr>
              <w:t>External relations</w:t>
            </w:r>
          </w:p>
        </w:tc>
        <w:tc>
          <w:tcPr>
            <w:tcW w:w="1281" w:type="dxa"/>
            <w:tcBorders>
              <w:top w:val="single" w:sz="4" w:space="0" w:color="ED7D31" w:themeColor="accent2"/>
              <w:left w:val="single" w:sz="4" w:space="0" w:color="ED7D31" w:themeColor="accent2"/>
              <w:bottom w:val="nil"/>
              <w:right w:val="single" w:sz="4" w:space="0" w:color="ED7D31" w:themeColor="accent2"/>
            </w:tcBorders>
            <w:shd w:val="clear" w:color="auto" w:fill="auto"/>
          </w:tcPr>
          <w:p w:rsidR="00311BB8" w:rsidRDefault="00311BB8">
            <w:pPr>
              <w:pStyle w:val="AMPRTABLEA-TextLEFTalligned-BLACK"/>
              <w:rPr>
                <w:b/>
                <w:bCs/>
                <w:noProof/>
              </w:rPr>
            </w:pPr>
          </w:p>
        </w:tc>
        <w:tc>
          <w:tcPr>
            <w:tcW w:w="2268" w:type="dxa"/>
            <w:tcBorders>
              <w:top w:val="single" w:sz="4" w:space="0" w:color="5B9BD5" w:themeColor="accent1"/>
              <w:left w:val="single" w:sz="4" w:space="0" w:color="ED7D31" w:themeColor="accent2"/>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lang w:val="en-GB"/>
              </w:rPr>
            </w:pPr>
            <w:r>
              <w:rPr>
                <w:noProof/>
                <w:lang w:val="en-GB"/>
              </w:rPr>
              <w:t>Direct management grants</w:t>
            </w:r>
            <w:r>
              <w:rPr>
                <w:rFonts w:ascii="Calibri" w:hAnsi="Calibri" w:cs="Calibri"/>
                <w:noProof/>
                <w:lang w:val="en-GB"/>
              </w:rPr>
              <w:t> </w:t>
            </w:r>
            <w:r>
              <w:rPr>
                <w:noProof/>
                <w:lang w:val="en-GB"/>
              </w:rPr>
              <w:t xml:space="preserve">– cross-delegation </w:t>
            </w:r>
            <w:r>
              <w:rPr>
                <w:i/>
                <w:noProof/>
                <w:lang w:val="en-GB"/>
              </w:rPr>
              <w:t>(</w:t>
            </w:r>
            <w:r>
              <w:rPr>
                <w:i/>
                <w:iCs/>
                <w:noProof/>
                <w:lang w:val="en-GB"/>
              </w:rPr>
              <w:t>and indirect management grants)</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jc w:val="center"/>
              <w:rPr>
                <w:noProof/>
                <w:lang w:val="en-GB"/>
              </w:rPr>
            </w:pPr>
            <w:r>
              <w:rPr>
                <w:noProof/>
                <w:lang w:val="en-GB"/>
              </w:rPr>
              <w:t>DG International Cooperation and Development</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jc w:val="center"/>
              <w:rPr>
                <w:noProof/>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rPr>
            </w:pPr>
            <w:r>
              <w:rPr>
                <w:noProof/>
              </w:rPr>
              <w:t>3.2</w:t>
            </w:r>
          </w:p>
        </w:tc>
      </w:tr>
      <w:tr w:rsidR="00311BB8">
        <w:trPr>
          <w:cantSplit/>
        </w:trPr>
        <w:tc>
          <w:tcPr>
            <w:tcW w:w="1645" w:type="dxa"/>
            <w:tcBorders>
              <w:top w:val="nil"/>
              <w:left w:val="nil"/>
              <w:bottom w:val="single" w:sz="4" w:space="0" w:color="ED7D31" w:themeColor="accent2"/>
              <w:right w:val="single" w:sz="4" w:space="0" w:color="ED7D31" w:themeColor="accent2"/>
            </w:tcBorders>
          </w:tcPr>
          <w:p w:rsidR="00311BB8" w:rsidRDefault="00311BB8">
            <w:pPr>
              <w:pStyle w:val="AMPRTABLEA-TextLEFTalligned-BLACK"/>
              <w:rPr>
                <w:b/>
                <w:bCs/>
                <w:noProof/>
              </w:rPr>
            </w:pPr>
          </w:p>
        </w:tc>
        <w:tc>
          <w:tcPr>
            <w:tcW w:w="1281" w:type="dxa"/>
            <w:tcBorders>
              <w:top w:val="nil"/>
              <w:left w:val="single" w:sz="4" w:space="0" w:color="ED7D31" w:themeColor="accent2"/>
              <w:bottom w:val="single" w:sz="4" w:space="0" w:color="ED7D31" w:themeColor="accent2"/>
              <w:right w:val="single" w:sz="4" w:space="0" w:color="ED7D31" w:themeColor="accent2"/>
            </w:tcBorders>
            <w:shd w:val="clear" w:color="auto" w:fill="auto"/>
          </w:tcPr>
          <w:p w:rsidR="00311BB8" w:rsidRDefault="00311BB8">
            <w:pPr>
              <w:pStyle w:val="AMPRTABLEA-TextLEFTalligned-BLACK"/>
              <w:rPr>
                <w:b/>
                <w:bCs/>
                <w:noProof/>
              </w:rPr>
            </w:pPr>
          </w:p>
        </w:tc>
        <w:tc>
          <w:tcPr>
            <w:tcW w:w="2268" w:type="dxa"/>
            <w:tcBorders>
              <w:top w:val="single" w:sz="4" w:space="0" w:color="5B9BD5" w:themeColor="accent1"/>
              <w:left w:val="single" w:sz="4" w:space="0" w:color="ED7D31" w:themeColor="accent2"/>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lang w:val="en-GB"/>
              </w:rPr>
            </w:pPr>
            <w:r>
              <w:rPr>
                <w:noProof/>
                <w:lang w:val="en-GB"/>
              </w:rPr>
              <w:t>Instrument for Cooperation with Industrialised Countries</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jc w:val="center"/>
              <w:rPr>
                <w:noProof/>
                <w:color w:val="000000" w:themeColor="text1"/>
                <w:lang w:val="en-GB"/>
              </w:rPr>
            </w:pPr>
            <w:r>
              <w:rPr>
                <w:noProof/>
                <w:lang w:val="en-GB"/>
              </w:rPr>
              <w:t>Service for Foreign Policy Instruments</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jc w:val="center"/>
              <w:rPr>
                <w:noProof/>
                <w:color w:val="000000" w:themeColor="text1"/>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color w:val="000000" w:themeColor="text1"/>
              </w:rPr>
            </w:pPr>
            <w:r>
              <w:rPr>
                <w:noProof/>
              </w:rPr>
              <w:t>3.9</w:t>
            </w:r>
          </w:p>
        </w:tc>
      </w:tr>
      <w:tr w:rsidR="00311BB8">
        <w:trPr>
          <w:cantSplit/>
          <w:trHeight w:val="20"/>
        </w:trPr>
        <w:tc>
          <w:tcPr>
            <w:tcW w:w="1645" w:type="dxa"/>
            <w:tcBorders>
              <w:top w:val="single" w:sz="4" w:space="0" w:color="ED7D31" w:themeColor="accent2"/>
              <w:left w:val="nil"/>
              <w:bottom w:val="nil"/>
              <w:right w:val="single" w:sz="4" w:space="0" w:color="ED7D31" w:themeColor="accent2"/>
            </w:tcBorders>
          </w:tcPr>
          <w:p w:rsidR="00311BB8" w:rsidRDefault="00D91061">
            <w:pPr>
              <w:pStyle w:val="AMPRTABLEA-TextLEFTalligned-BLACK"/>
              <w:rPr>
                <w:b/>
                <w:bCs/>
                <w:strike/>
                <w:noProof/>
                <w:lang w:val="en-GB"/>
              </w:rPr>
            </w:pPr>
            <w:r>
              <w:rPr>
                <w:b/>
                <w:bCs/>
                <w:noProof/>
                <w:lang w:val="en-GB"/>
              </w:rPr>
              <w:t>Research, industry, space, energy and transport</w:t>
            </w:r>
          </w:p>
        </w:tc>
        <w:tc>
          <w:tcPr>
            <w:tcW w:w="1281" w:type="dxa"/>
            <w:tcBorders>
              <w:top w:val="single" w:sz="4" w:space="0" w:color="ED7D31" w:themeColor="accent2"/>
              <w:left w:val="single" w:sz="4" w:space="0" w:color="ED7D31" w:themeColor="accent2"/>
              <w:bottom w:val="single" w:sz="4" w:space="0" w:color="ED7D31" w:themeColor="accent2"/>
              <w:right w:val="single" w:sz="4" w:space="0" w:color="5B9BD5" w:themeColor="accent1"/>
            </w:tcBorders>
            <w:shd w:val="clear" w:color="auto" w:fill="auto"/>
          </w:tcPr>
          <w:p w:rsidR="00311BB8" w:rsidRDefault="00311BB8">
            <w:pPr>
              <w:pStyle w:val="AMPRTABLEA-TextLEFTalligned-BLACK"/>
              <w:rPr>
                <w:b/>
                <w:bCs/>
                <w:noProof/>
                <w:lang w:val="en-GB"/>
              </w:rPr>
            </w:pP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lang w:val="en-GB"/>
              </w:rPr>
            </w:pPr>
            <w:r>
              <w:rPr>
                <w:noProof/>
                <w:lang w:val="en-GB"/>
              </w:rPr>
              <w:t>Research Fund for Coal and Steel</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DG Research and Innovation</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rPr>
            </w:pPr>
            <w:r>
              <w:rPr>
                <w:noProof/>
              </w:rPr>
              <w:t>1.6</w:t>
            </w:r>
          </w:p>
        </w:tc>
      </w:tr>
      <w:tr w:rsidR="00311BB8">
        <w:trPr>
          <w:cantSplit/>
        </w:trPr>
        <w:tc>
          <w:tcPr>
            <w:tcW w:w="1645" w:type="dxa"/>
            <w:tcBorders>
              <w:top w:val="nil"/>
              <w:left w:val="nil"/>
              <w:bottom w:val="nil"/>
              <w:right w:val="single" w:sz="4" w:space="0" w:color="ED7D31" w:themeColor="accent2"/>
            </w:tcBorders>
          </w:tcPr>
          <w:p w:rsidR="00311BB8" w:rsidRDefault="00311BB8">
            <w:pPr>
              <w:pStyle w:val="AMPRTABLEA-TextLEFTalligned-BLACK"/>
              <w:rPr>
                <w:b/>
                <w:bCs/>
                <w:noProof/>
              </w:rPr>
            </w:pPr>
          </w:p>
        </w:tc>
        <w:tc>
          <w:tcPr>
            <w:tcW w:w="1281" w:type="dxa"/>
            <w:tcBorders>
              <w:top w:val="single" w:sz="4" w:space="0" w:color="ED7D31" w:themeColor="accent2"/>
              <w:left w:val="single" w:sz="4" w:space="0" w:color="ED7D31" w:themeColor="accent2"/>
              <w:bottom w:val="nil"/>
              <w:right w:val="single" w:sz="4" w:space="0" w:color="ED7D31" w:themeColor="accent2"/>
            </w:tcBorders>
            <w:shd w:val="clear" w:color="auto" w:fill="auto"/>
          </w:tcPr>
          <w:p w:rsidR="00311BB8" w:rsidRDefault="00D91061">
            <w:pPr>
              <w:pStyle w:val="AMPRTABLEA-TextLEFTalligned-BLACK"/>
              <w:rPr>
                <w:b/>
                <w:bCs/>
                <w:noProof/>
                <w:lang w:val="en-GB"/>
              </w:rPr>
            </w:pPr>
            <w:r>
              <w:rPr>
                <w:b/>
                <w:bCs/>
                <w:noProof/>
                <w:lang w:val="en-GB"/>
              </w:rPr>
              <w:t>Seventh framework programme for research and technological development</w:t>
            </w:r>
          </w:p>
        </w:tc>
        <w:tc>
          <w:tcPr>
            <w:tcW w:w="2268" w:type="dxa"/>
            <w:tcBorders>
              <w:top w:val="single" w:sz="4" w:space="0" w:color="5B9BD5" w:themeColor="accent1"/>
              <w:left w:val="single" w:sz="4" w:space="0" w:color="ED7D31" w:themeColor="accent2"/>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lang w:val="en-GB"/>
              </w:rPr>
            </w:pPr>
            <w:r>
              <w:rPr>
                <w:noProof/>
                <w:lang w:val="en-GB"/>
              </w:rPr>
              <w:t>Seventh framework programme</w:t>
            </w:r>
            <w:r>
              <w:rPr>
                <w:rFonts w:ascii="Calibri" w:hAnsi="Calibri" w:cs="Calibri"/>
                <w:noProof/>
                <w:lang w:val="en-GB"/>
              </w:rPr>
              <w:t> </w:t>
            </w:r>
            <w:r>
              <w:rPr>
                <w:noProof/>
                <w:lang w:val="en-GB"/>
              </w:rPr>
              <w:t>– including funds paid to Active and Assisted Living Association and Electronic Components and Systems for European Leadership Joint Undertaking</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lang w:val="en-GB"/>
              </w:rPr>
            </w:pPr>
            <w:r>
              <w:rPr>
                <w:noProof/>
                <w:lang w:val="en-GB"/>
              </w:rPr>
              <w:t>DG Communications Networks, Content and Technology</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rPr>
            </w:pPr>
            <w:r>
              <w:rPr>
                <w:noProof/>
              </w:rPr>
              <w:t>0.7</w:t>
            </w:r>
          </w:p>
        </w:tc>
      </w:tr>
      <w:tr w:rsidR="00311BB8">
        <w:trPr>
          <w:cantSplit/>
        </w:trPr>
        <w:tc>
          <w:tcPr>
            <w:tcW w:w="1645" w:type="dxa"/>
            <w:tcBorders>
              <w:top w:val="nil"/>
              <w:left w:val="nil"/>
              <w:bottom w:val="nil"/>
              <w:right w:val="single" w:sz="4" w:space="0" w:color="ED7D31" w:themeColor="accent2"/>
            </w:tcBorders>
          </w:tcPr>
          <w:p w:rsidR="00311BB8" w:rsidRDefault="00311BB8">
            <w:pPr>
              <w:pStyle w:val="AMPRTABLEA-TextLEFTalligned-BLACK"/>
              <w:rPr>
                <w:b/>
                <w:bCs/>
                <w:noProof/>
              </w:rPr>
            </w:pPr>
          </w:p>
        </w:tc>
        <w:tc>
          <w:tcPr>
            <w:tcW w:w="1281" w:type="dxa"/>
            <w:tcBorders>
              <w:top w:val="nil"/>
              <w:left w:val="single" w:sz="4" w:space="0" w:color="ED7D31" w:themeColor="accent2"/>
              <w:bottom w:val="nil"/>
              <w:right w:val="single" w:sz="4" w:space="0" w:color="ED7D31" w:themeColor="accent2"/>
            </w:tcBorders>
            <w:shd w:val="clear" w:color="auto" w:fill="auto"/>
          </w:tcPr>
          <w:p w:rsidR="00311BB8" w:rsidRDefault="00311BB8">
            <w:pPr>
              <w:pStyle w:val="AMPRTABLEA-TextLEFTalligned-BLACK"/>
              <w:rPr>
                <w:b/>
                <w:bCs/>
                <w:noProof/>
              </w:rPr>
            </w:pPr>
          </w:p>
        </w:tc>
        <w:tc>
          <w:tcPr>
            <w:tcW w:w="2268" w:type="dxa"/>
            <w:tcBorders>
              <w:top w:val="single" w:sz="4" w:space="0" w:color="5B9BD5" w:themeColor="accent1"/>
              <w:left w:val="single" w:sz="4" w:space="0" w:color="ED7D31" w:themeColor="accent2"/>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lang w:val="en-GB"/>
              </w:rPr>
            </w:pPr>
            <w:r>
              <w:rPr>
                <w:noProof/>
                <w:lang w:val="en-GB"/>
              </w:rPr>
              <w:t>Seventh framework programme</w:t>
            </w:r>
            <w:r>
              <w:rPr>
                <w:rFonts w:ascii="Calibri" w:hAnsi="Calibri" w:cs="Calibri"/>
                <w:noProof/>
                <w:lang w:val="en-GB"/>
              </w:rPr>
              <w:t> </w:t>
            </w:r>
            <w:r>
              <w:rPr>
                <w:noProof/>
                <w:lang w:val="en-GB"/>
              </w:rPr>
              <w:t>– including its funds paid to European Global Navigation Satellite Systems Agency and cross-delegation</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lang w:val="en-GB"/>
              </w:rPr>
            </w:pPr>
            <w:r>
              <w:rPr>
                <w:noProof/>
                <w:lang w:val="en-GB"/>
              </w:rPr>
              <w:t>DG Internal Market, Industry, Entrepreneurship and SMEs</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rPr>
            </w:pPr>
            <w:r>
              <w:rPr>
                <w:noProof/>
              </w:rPr>
              <w:t>0.0</w:t>
            </w:r>
          </w:p>
        </w:tc>
      </w:tr>
      <w:tr w:rsidR="00311BB8">
        <w:trPr>
          <w:cantSplit/>
        </w:trPr>
        <w:tc>
          <w:tcPr>
            <w:tcW w:w="1645" w:type="dxa"/>
            <w:tcBorders>
              <w:top w:val="nil"/>
              <w:left w:val="nil"/>
              <w:bottom w:val="nil"/>
              <w:right w:val="single" w:sz="4" w:space="0" w:color="ED7D31" w:themeColor="accent2"/>
            </w:tcBorders>
          </w:tcPr>
          <w:p w:rsidR="00311BB8" w:rsidRDefault="00311BB8">
            <w:pPr>
              <w:pStyle w:val="AMPRTABLEA-TextLEFTalligned-BLACK"/>
              <w:rPr>
                <w:b/>
                <w:bCs/>
                <w:noProof/>
              </w:rPr>
            </w:pPr>
          </w:p>
        </w:tc>
        <w:tc>
          <w:tcPr>
            <w:tcW w:w="1281" w:type="dxa"/>
            <w:tcBorders>
              <w:top w:val="nil"/>
              <w:left w:val="single" w:sz="4" w:space="0" w:color="ED7D31" w:themeColor="accent2"/>
              <w:bottom w:val="nil"/>
              <w:right w:val="single" w:sz="4" w:space="0" w:color="ED7D31" w:themeColor="accent2"/>
            </w:tcBorders>
            <w:shd w:val="clear" w:color="auto" w:fill="auto"/>
          </w:tcPr>
          <w:p w:rsidR="00311BB8" w:rsidRDefault="00311BB8">
            <w:pPr>
              <w:pStyle w:val="AMPRTABLEA-TextLEFTalligned-BLACK"/>
              <w:rPr>
                <w:b/>
                <w:bCs/>
                <w:noProof/>
              </w:rPr>
            </w:pPr>
          </w:p>
        </w:tc>
        <w:tc>
          <w:tcPr>
            <w:tcW w:w="2268" w:type="dxa"/>
            <w:tcBorders>
              <w:top w:val="single" w:sz="4" w:space="0" w:color="5B9BD5" w:themeColor="accent1"/>
              <w:left w:val="single" w:sz="4" w:space="0" w:color="ED7D31" w:themeColor="accent2"/>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rPr>
            </w:pPr>
            <w:r>
              <w:rPr>
                <w:noProof/>
              </w:rPr>
              <w:t>Seventh framework programme</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lang w:val="en-GB"/>
              </w:rPr>
            </w:pPr>
            <w:r>
              <w:rPr>
                <w:noProof/>
                <w:lang w:val="en-GB"/>
              </w:rPr>
              <w:t>DG Migration and Home Affairs</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rPr>
            </w:pPr>
            <w:r>
              <w:rPr>
                <w:noProof/>
              </w:rPr>
              <w:t>0.5</w:t>
            </w:r>
          </w:p>
        </w:tc>
      </w:tr>
      <w:tr w:rsidR="00311BB8">
        <w:trPr>
          <w:cantSplit/>
        </w:trPr>
        <w:tc>
          <w:tcPr>
            <w:tcW w:w="1645" w:type="dxa"/>
            <w:tcBorders>
              <w:top w:val="nil"/>
              <w:left w:val="nil"/>
              <w:bottom w:val="nil"/>
              <w:right w:val="single" w:sz="4" w:space="0" w:color="ED7D31" w:themeColor="accent2"/>
            </w:tcBorders>
          </w:tcPr>
          <w:p w:rsidR="00311BB8" w:rsidRDefault="00311BB8">
            <w:pPr>
              <w:pStyle w:val="AMPRTABLEA-TextLEFTalligned-BLACK"/>
              <w:rPr>
                <w:b/>
                <w:bCs/>
                <w:noProof/>
              </w:rPr>
            </w:pPr>
          </w:p>
        </w:tc>
        <w:tc>
          <w:tcPr>
            <w:tcW w:w="1281" w:type="dxa"/>
            <w:tcBorders>
              <w:top w:val="nil"/>
              <w:left w:val="single" w:sz="4" w:space="0" w:color="ED7D31" w:themeColor="accent2"/>
              <w:bottom w:val="nil"/>
              <w:right w:val="single" w:sz="4" w:space="0" w:color="ED7D31" w:themeColor="accent2"/>
            </w:tcBorders>
            <w:shd w:val="clear" w:color="auto" w:fill="auto"/>
          </w:tcPr>
          <w:p w:rsidR="00311BB8" w:rsidRDefault="00311BB8">
            <w:pPr>
              <w:pStyle w:val="AMPRTABLEA-TextLEFTalligned-BLACK"/>
              <w:rPr>
                <w:b/>
                <w:bCs/>
                <w:noProof/>
              </w:rPr>
            </w:pPr>
          </w:p>
        </w:tc>
        <w:tc>
          <w:tcPr>
            <w:tcW w:w="2268" w:type="dxa"/>
            <w:tcBorders>
              <w:top w:val="single" w:sz="4" w:space="0" w:color="5B9BD5" w:themeColor="accent1"/>
              <w:left w:val="single" w:sz="4" w:space="0" w:color="ED7D31" w:themeColor="accent2"/>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rPr>
            </w:pPr>
            <w:r>
              <w:rPr>
                <w:noProof/>
              </w:rPr>
              <w:t>Seventh framework programme</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DG Energy</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rPr>
            </w:pPr>
            <w:r>
              <w:rPr>
                <w:noProof/>
              </w:rPr>
              <w:t>0.7</w:t>
            </w:r>
          </w:p>
        </w:tc>
      </w:tr>
      <w:tr w:rsidR="00311BB8">
        <w:trPr>
          <w:cantSplit/>
        </w:trPr>
        <w:tc>
          <w:tcPr>
            <w:tcW w:w="1645" w:type="dxa"/>
            <w:tcBorders>
              <w:top w:val="nil"/>
              <w:left w:val="nil"/>
              <w:bottom w:val="nil"/>
              <w:right w:val="single" w:sz="4" w:space="0" w:color="ED7D31" w:themeColor="accent2"/>
            </w:tcBorders>
          </w:tcPr>
          <w:p w:rsidR="00311BB8" w:rsidRDefault="00311BB8">
            <w:pPr>
              <w:pStyle w:val="AMPRTABLEA-TextLEFTalligned-BLACK"/>
              <w:rPr>
                <w:b/>
                <w:bCs/>
                <w:noProof/>
              </w:rPr>
            </w:pPr>
          </w:p>
        </w:tc>
        <w:tc>
          <w:tcPr>
            <w:tcW w:w="1281" w:type="dxa"/>
            <w:tcBorders>
              <w:top w:val="nil"/>
              <w:left w:val="single" w:sz="4" w:space="0" w:color="ED7D31" w:themeColor="accent2"/>
              <w:bottom w:val="nil"/>
              <w:right w:val="single" w:sz="4" w:space="0" w:color="ED7D31" w:themeColor="accent2"/>
            </w:tcBorders>
            <w:shd w:val="clear" w:color="auto" w:fill="auto"/>
          </w:tcPr>
          <w:p w:rsidR="00311BB8" w:rsidRDefault="00311BB8">
            <w:pPr>
              <w:pStyle w:val="AMPRTABLEA-TextLEFTalligned-BLACK"/>
              <w:rPr>
                <w:b/>
                <w:bCs/>
                <w:noProof/>
              </w:rPr>
            </w:pPr>
          </w:p>
        </w:tc>
        <w:tc>
          <w:tcPr>
            <w:tcW w:w="2268" w:type="dxa"/>
            <w:tcBorders>
              <w:top w:val="single" w:sz="4" w:space="0" w:color="5B9BD5" w:themeColor="accent1"/>
              <w:left w:val="single" w:sz="4" w:space="0" w:color="ED7D31" w:themeColor="accent2"/>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rPr>
            </w:pPr>
            <w:r>
              <w:rPr>
                <w:noProof/>
              </w:rPr>
              <w:t>Seventh framework programme</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DG Mobility and Transport</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rPr>
            </w:pPr>
            <w:r>
              <w:rPr>
                <w:noProof/>
              </w:rPr>
              <w:t>0.3</w:t>
            </w:r>
          </w:p>
        </w:tc>
      </w:tr>
      <w:tr w:rsidR="00311BB8">
        <w:trPr>
          <w:cantSplit/>
        </w:trPr>
        <w:tc>
          <w:tcPr>
            <w:tcW w:w="1645" w:type="dxa"/>
            <w:tcBorders>
              <w:top w:val="nil"/>
              <w:left w:val="nil"/>
              <w:bottom w:val="nil"/>
              <w:right w:val="single" w:sz="4" w:space="0" w:color="ED7D31" w:themeColor="accent2"/>
            </w:tcBorders>
          </w:tcPr>
          <w:p w:rsidR="00311BB8" w:rsidRDefault="00311BB8">
            <w:pPr>
              <w:pStyle w:val="AMPRTABLEA-TextLEFTalligned-BLACK"/>
              <w:rPr>
                <w:b/>
                <w:bCs/>
                <w:noProof/>
              </w:rPr>
            </w:pPr>
          </w:p>
        </w:tc>
        <w:tc>
          <w:tcPr>
            <w:tcW w:w="1281" w:type="dxa"/>
            <w:tcBorders>
              <w:top w:val="nil"/>
              <w:left w:val="single" w:sz="4" w:space="0" w:color="ED7D31" w:themeColor="accent2"/>
              <w:bottom w:val="nil"/>
              <w:right w:val="single" w:sz="4" w:space="0" w:color="ED7D31" w:themeColor="accent2"/>
            </w:tcBorders>
            <w:shd w:val="clear" w:color="auto" w:fill="auto"/>
          </w:tcPr>
          <w:p w:rsidR="00311BB8" w:rsidRDefault="00311BB8">
            <w:pPr>
              <w:pStyle w:val="AMPRTABLEA-TextLEFTalligned-BLACK"/>
              <w:rPr>
                <w:b/>
                <w:bCs/>
                <w:noProof/>
              </w:rPr>
            </w:pPr>
          </w:p>
        </w:tc>
        <w:tc>
          <w:tcPr>
            <w:tcW w:w="2268" w:type="dxa"/>
            <w:tcBorders>
              <w:top w:val="single" w:sz="4" w:space="0" w:color="5B9BD5" w:themeColor="accent1"/>
              <w:left w:val="single" w:sz="4" w:space="0" w:color="ED7D31" w:themeColor="accent2"/>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lang w:val="en-GB"/>
              </w:rPr>
            </w:pPr>
            <w:r>
              <w:rPr>
                <w:noProof/>
                <w:lang w:val="en-GB"/>
              </w:rPr>
              <w:t>Seventh framework programme</w:t>
            </w:r>
            <w:r>
              <w:rPr>
                <w:rFonts w:ascii="Calibri" w:hAnsi="Calibri" w:cs="Calibri"/>
                <w:noProof/>
                <w:lang w:val="en-GB"/>
              </w:rPr>
              <w:t> </w:t>
            </w:r>
            <w:r>
              <w:rPr>
                <w:noProof/>
                <w:lang w:val="en-GB"/>
              </w:rPr>
              <w:t>– space and security</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Research Executive Agency</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rPr>
            </w:pPr>
            <w:r>
              <w:rPr>
                <w:noProof/>
              </w:rPr>
              <w:t>1.3</w:t>
            </w:r>
          </w:p>
        </w:tc>
      </w:tr>
      <w:tr w:rsidR="00311BB8">
        <w:trPr>
          <w:cantSplit/>
        </w:trPr>
        <w:tc>
          <w:tcPr>
            <w:tcW w:w="1645" w:type="dxa"/>
            <w:tcBorders>
              <w:top w:val="nil"/>
              <w:left w:val="nil"/>
              <w:bottom w:val="nil"/>
              <w:right w:val="single" w:sz="4" w:space="0" w:color="ED7D31" w:themeColor="accent2"/>
            </w:tcBorders>
          </w:tcPr>
          <w:p w:rsidR="00311BB8" w:rsidRDefault="00311BB8">
            <w:pPr>
              <w:pStyle w:val="AMPRTABLEA-TextLEFTalligned-BLACK"/>
              <w:rPr>
                <w:b/>
                <w:bCs/>
                <w:noProof/>
              </w:rPr>
            </w:pPr>
          </w:p>
        </w:tc>
        <w:tc>
          <w:tcPr>
            <w:tcW w:w="1281" w:type="dxa"/>
            <w:tcBorders>
              <w:top w:val="nil"/>
              <w:left w:val="single" w:sz="4" w:space="0" w:color="ED7D31" w:themeColor="accent2"/>
              <w:bottom w:val="single" w:sz="4" w:space="0" w:color="ED7D31" w:themeColor="accent2"/>
              <w:right w:val="single" w:sz="4" w:space="0" w:color="ED7D31" w:themeColor="accent2"/>
            </w:tcBorders>
            <w:shd w:val="clear" w:color="auto" w:fill="auto"/>
          </w:tcPr>
          <w:p w:rsidR="00311BB8" w:rsidRDefault="00311BB8">
            <w:pPr>
              <w:pStyle w:val="AMPRTABLEA-TextLEFTalligned-BLACK"/>
              <w:rPr>
                <w:b/>
                <w:bCs/>
                <w:noProof/>
              </w:rPr>
            </w:pPr>
          </w:p>
        </w:tc>
        <w:tc>
          <w:tcPr>
            <w:tcW w:w="2268" w:type="dxa"/>
            <w:tcBorders>
              <w:top w:val="single" w:sz="4" w:space="0" w:color="5B9BD5" w:themeColor="accent1"/>
              <w:left w:val="single" w:sz="4" w:space="0" w:color="ED7D31" w:themeColor="accent2"/>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lang w:val="en-GB"/>
              </w:rPr>
            </w:pPr>
            <w:r>
              <w:rPr>
                <w:noProof/>
                <w:lang w:val="en-GB"/>
              </w:rPr>
              <w:t>Seventh framework programme</w:t>
            </w:r>
            <w:r>
              <w:rPr>
                <w:rFonts w:ascii="Calibri" w:hAnsi="Calibri" w:cs="Calibri"/>
                <w:noProof/>
                <w:lang w:val="en-GB"/>
              </w:rPr>
              <w:t> </w:t>
            </w:r>
            <w:r>
              <w:rPr>
                <w:noProof/>
                <w:lang w:val="en-GB"/>
              </w:rPr>
              <w:t>– small and medium-sized enterprises</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Research Executive Agency</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rPr>
            </w:pPr>
            <w:r>
              <w:rPr>
                <w:noProof/>
              </w:rPr>
              <w:t>0.7</w:t>
            </w:r>
          </w:p>
        </w:tc>
      </w:tr>
      <w:tr w:rsidR="00311BB8">
        <w:trPr>
          <w:cantSplit/>
        </w:trPr>
        <w:tc>
          <w:tcPr>
            <w:tcW w:w="1645" w:type="dxa"/>
            <w:tcBorders>
              <w:top w:val="nil"/>
              <w:left w:val="nil"/>
              <w:bottom w:val="nil"/>
              <w:right w:val="single" w:sz="4" w:space="0" w:color="ED7D31" w:themeColor="accent2"/>
            </w:tcBorders>
          </w:tcPr>
          <w:p w:rsidR="00311BB8" w:rsidRDefault="00311BB8">
            <w:pPr>
              <w:pStyle w:val="AMPRTABLEA-TextLEFTalligned-BLACK"/>
              <w:rPr>
                <w:b/>
                <w:bCs/>
                <w:noProof/>
              </w:rPr>
            </w:pPr>
          </w:p>
        </w:tc>
        <w:tc>
          <w:tcPr>
            <w:tcW w:w="1281" w:type="dxa"/>
            <w:tcBorders>
              <w:top w:val="single" w:sz="4" w:space="0" w:color="ED7D31" w:themeColor="accent2"/>
              <w:left w:val="single" w:sz="4" w:space="0" w:color="ED7D31" w:themeColor="accent2"/>
              <w:bottom w:val="nil"/>
              <w:right w:val="single" w:sz="4" w:space="0" w:color="ED7D31" w:themeColor="accent2"/>
            </w:tcBorders>
            <w:shd w:val="clear" w:color="auto" w:fill="auto"/>
          </w:tcPr>
          <w:p w:rsidR="00311BB8" w:rsidRDefault="00D91061">
            <w:pPr>
              <w:pStyle w:val="AMPRTABLEA-TextLEFTalligned-BLACK"/>
              <w:rPr>
                <w:b/>
                <w:bCs/>
                <w:noProof/>
              </w:rPr>
            </w:pPr>
            <w:r>
              <w:rPr>
                <w:b/>
                <w:bCs/>
                <w:noProof/>
              </w:rPr>
              <w:t>Competitiveness and innovation programme</w:t>
            </w:r>
          </w:p>
        </w:tc>
        <w:tc>
          <w:tcPr>
            <w:tcW w:w="2268" w:type="dxa"/>
            <w:tcBorders>
              <w:top w:val="single" w:sz="4" w:space="0" w:color="5B9BD5" w:themeColor="accent1"/>
              <w:left w:val="single" w:sz="4" w:space="0" w:color="ED7D31" w:themeColor="accent2"/>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rPr>
            </w:pPr>
            <w:r>
              <w:rPr>
                <w:noProof/>
              </w:rPr>
              <w:t>Competitiveness and innovation programme</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lang w:val="en-GB"/>
              </w:rPr>
            </w:pPr>
            <w:r>
              <w:rPr>
                <w:noProof/>
                <w:lang w:val="en-GB"/>
              </w:rPr>
              <w:t>DG Internal Market, Industry, Entrepreneurship and SMEs</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rPr>
            </w:pPr>
            <w:r>
              <w:rPr>
                <w:noProof/>
              </w:rPr>
              <w:t>0.2</w:t>
            </w:r>
          </w:p>
        </w:tc>
      </w:tr>
      <w:tr w:rsidR="00311BB8">
        <w:trPr>
          <w:cantSplit/>
        </w:trPr>
        <w:tc>
          <w:tcPr>
            <w:tcW w:w="1645" w:type="dxa"/>
            <w:tcBorders>
              <w:top w:val="nil"/>
              <w:left w:val="nil"/>
              <w:bottom w:val="nil"/>
              <w:right w:val="single" w:sz="4" w:space="0" w:color="ED7D31" w:themeColor="accent2"/>
            </w:tcBorders>
          </w:tcPr>
          <w:p w:rsidR="00311BB8" w:rsidRDefault="00311BB8">
            <w:pPr>
              <w:pStyle w:val="AMPRTABLEA-TextLEFTalligned-BLACK"/>
              <w:rPr>
                <w:b/>
                <w:bCs/>
                <w:noProof/>
              </w:rPr>
            </w:pPr>
          </w:p>
        </w:tc>
        <w:tc>
          <w:tcPr>
            <w:tcW w:w="1281" w:type="dxa"/>
            <w:tcBorders>
              <w:top w:val="nil"/>
              <w:left w:val="single" w:sz="4" w:space="0" w:color="ED7D31" w:themeColor="accent2"/>
              <w:bottom w:val="nil"/>
              <w:right w:val="single" w:sz="4" w:space="0" w:color="ED7D31" w:themeColor="accent2"/>
            </w:tcBorders>
            <w:shd w:val="clear" w:color="auto" w:fill="auto"/>
          </w:tcPr>
          <w:p w:rsidR="00311BB8" w:rsidRDefault="00311BB8">
            <w:pPr>
              <w:pStyle w:val="AMPRTABLEA-TextLEFTalligned-BLACK"/>
              <w:rPr>
                <w:b/>
                <w:bCs/>
                <w:noProof/>
              </w:rPr>
            </w:pPr>
          </w:p>
        </w:tc>
        <w:tc>
          <w:tcPr>
            <w:tcW w:w="2268" w:type="dxa"/>
            <w:tcBorders>
              <w:top w:val="single" w:sz="4" w:space="0" w:color="5B9BD5" w:themeColor="accent1"/>
              <w:left w:val="single" w:sz="4" w:space="0" w:color="ED7D31" w:themeColor="accent2"/>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lang w:val="en-GB"/>
              </w:rPr>
            </w:pPr>
            <w:r>
              <w:rPr>
                <w:noProof/>
                <w:lang w:val="en-GB"/>
              </w:rPr>
              <w:t>Competitiveness and innovation programme</w:t>
            </w:r>
            <w:r>
              <w:rPr>
                <w:rFonts w:ascii="Calibri" w:hAnsi="Calibri" w:cs="Calibri"/>
                <w:noProof/>
                <w:lang w:val="en-GB"/>
              </w:rPr>
              <w:t> </w:t>
            </w:r>
            <w:r>
              <w:rPr>
                <w:rFonts w:ascii="EC Square Sans Pro" w:hAnsi="EC Square Sans Pro" w:cs="EC Square Sans Pro"/>
                <w:noProof/>
                <w:lang w:val="en-GB"/>
              </w:rPr>
              <w:t>–</w:t>
            </w:r>
            <w:r>
              <w:rPr>
                <w:noProof/>
                <w:lang w:val="en-GB"/>
              </w:rPr>
              <w:t xml:space="preserve"> information and communications technology policy support programme</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lang w:val="en-GB"/>
              </w:rPr>
            </w:pPr>
            <w:r>
              <w:rPr>
                <w:noProof/>
                <w:lang w:val="en-GB"/>
              </w:rPr>
              <w:t>DG Communications Networks, Content and Technology</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highlight w:val="yellow"/>
              </w:rPr>
            </w:pPr>
            <w:r>
              <w:rPr>
                <w:noProof/>
              </w:rPr>
              <w:t>0.0</w:t>
            </w:r>
          </w:p>
        </w:tc>
      </w:tr>
      <w:tr w:rsidR="00311BB8">
        <w:trPr>
          <w:cantSplit/>
        </w:trPr>
        <w:tc>
          <w:tcPr>
            <w:tcW w:w="1645" w:type="dxa"/>
            <w:tcBorders>
              <w:top w:val="nil"/>
              <w:left w:val="nil"/>
              <w:bottom w:val="nil"/>
              <w:right w:val="single" w:sz="4" w:space="0" w:color="ED7D31" w:themeColor="accent2"/>
            </w:tcBorders>
          </w:tcPr>
          <w:p w:rsidR="00311BB8" w:rsidRDefault="00311BB8">
            <w:pPr>
              <w:pStyle w:val="AMPRTABLEA-TextLEFTalligned-BLACK"/>
              <w:rPr>
                <w:b/>
                <w:bCs/>
                <w:noProof/>
              </w:rPr>
            </w:pPr>
          </w:p>
        </w:tc>
        <w:tc>
          <w:tcPr>
            <w:tcW w:w="1281" w:type="dxa"/>
            <w:tcBorders>
              <w:top w:val="nil"/>
              <w:left w:val="single" w:sz="4" w:space="0" w:color="ED7D31" w:themeColor="accent2"/>
              <w:bottom w:val="nil"/>
              <w:right w:val="single" w:sz="4" w:space="0" w:color="ED7D31" w:themeColor="accent2"/>
            </w:tcBorders>
            <w:shd w:val="clear" w:color="auto" w:fill="auto"/>
          </w:tcPr>
          <w:p w:rsidR="00311BB8" w:rsidRDefault="00311BB8">
            <w:pPr>
              <w:pStyle w:val="AMPRTABLEA-TextLEFTalligned-BLACK"/>
              <w:rPr>
                <w:b/>
                <w:bCs/>
                <w:noProof/>
              </w:rPr>
            </w:pPr>
          </w:p>
        </w:tc>
        <w:tc>
          <w:tcPr>
            <w:tcW w:w="2268" w:type="dxa"/>
            <w:tcBorders>
              <w:top w:val="single" w:sz="4" w:space="0" w:color="5B9BD5" w:themeColor="accent1"/>
              <w:left w:val="single" w:sz="4" w:space="0" w:color="ED7D31" w:themeColor="accent2"/>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lang w:val="en-GB"/>
              </w:rPr>
            </w:pPr>
            <w:r>
              <w:rPr>
                <w:noProof/>
                <w:lang w:val="en-GB"/>
              </w:rPr>
              <w:t>Competitiveness and innovation programme</w:t>
            </w:r>
            <w:r>
              <w:rPr>
                <w:rFonts w:ascii="Calibri" w:hAnsi="Calibri" w:cs="Calibri"/>
                <w:noProof/>
                <w:lang w:val="en-GB"/>
              </w:rPr>
              <w:t> –</w:t>
            </w:r>
            <w:r>
              <w:rPr>
                <w:noProof/>
                <w:lang w:val="en-GB"/>
              </w:rPr>
              <w:t xml:space="preserve"> intelligent energy Europe</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lang w:val="en-GB"/>
              </w:rPr>
            </w:pPr>
            <w:r>
              <w:rPr>
                <w:noProof/>
                <w:lang w:val="en-GB"/>
              </w:rPr>
              <w:t>Executive Agency for Small and Medium-sized Enterprises</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rPr>
            </w:pPr>
            <w:r>
              <w:rPr>
                <w:noProof/>
              </w:rPr>
              <w:t>0.0</w:t>
            </w:r>
          </w:p>
        </w:tc>
      </w:tr>
      <w:tr w:rsidR="00311BB8">
        <w:trPr>
          <w:cantSplit/>
        </w:trPr>
        <w:tc>
          <w:tcPr>
            <w:tcW w:w="1645" w:type="dxa"/>
            <w:tcBorders>
              <w:top w:val="nil"/>
              <w:left w:val="nil"/>
              <w:bottom w:val="single" w:sz="4" w:space="0" w:color="ED7D31" w:themeColor="accent2"/>
              <w:right w:val="single" w:sz="4" w:space="0" w:color="ED7D31" w:themeColor="accent2"/>
            </w:tcBorders>
          </w:tcPr>
          <w:p w:rsidR="00311BB8" w:rsidRDefault="00311BB8">
            <w:pPr>
              <w:pStyle w:val="AMPRTABLEA-TextLEFTalligned-BLACK"/>
              <w:rPr>
                <w:b/>
                <w:bCs/>
                <w:noProof/>
              </w:rPr>
            </w:pPr>
          </w:p>
        </w:tc>
        <w:tc>
          <w:tcPr>
            <w:tcW w:w="1281" w:type="dxa"/>
            <w:tcBorders>
              <w:top w:val="nil"/>
              <w:left w:val="single" w:sz="4" w:space="0" w:color="ED7D31" w:themeColor="accent2"/>
              <w:bottom w:val="single" w:sz="4" w:space="0" w:color="ED7D31" w:themeColor="accent2"/>
              <w:right w:val="single" w:sz="4" w:space="0" w:color="ED7D31" w:themeColor="accent2"/>
            </w:tcBorders>
            <w:shd w:val="clear" w:color="auto" w:fill="auto"/>
          </w:tcPr>
          <w:p w:rsidR="00311BB8" w:rsidRDefault="00311BB8">
            <w:pPr>
              <w:pStyle w:val="AMPRTABLEA-TextLEFTalligned-BLACK"/>
              <w:rPr>
                <w:b/>
                <w:bCs/>
                <w:noProof/>
              </w:rPr>
            </w:pPr>
          </w:p>
        </w:tc>
        <w:tc>
          <w:tcPr>
            <w:tcW w:w="2268" w:type="dxa"/>
            <w:tcBorders>
              <w:top w:val="single" w:sz="4" w:space="0" w:color="5B9BD5" w:themeColor="accent1"/>
              <w:left w:val="single" w:sz="4" w:space="0" w:color="ED7D31" w:themeColor="accent2"/>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lang w:val="en-GB"/>
              </w:rPr>
            </w:pPr>
            <w:r>
              <w:rPr>
                <w:noProof/>
                <w:lang w:val="en-GB"/>
              </w:rPr>
              <w:t>Competitiveness and innovation programme</w:t>
            </w:r>
            <w:r>
              <w:rPr>
                <w:rFonts w:ascii="Calibri" w:hAnsi="Calibri" w:cs="Calibri"/>
                <w:noProof/>
                <w:lang w:val="en-GB"/>
              </w:rPr>
              <w:t> –</w:t>
            </w:r>
            <w:r>
              <w:rPr>
                <w:noProof/>
                <w:lang w:val="en-GB"/>
              </w:rPr>
              <w:t xml:space="preserve"> eco-innovation</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lang w:val="en-GB"/>
              </w:rPr>
            </w:pPr>
            <w:r>
              <w:rPr>
                <w:noProof/>
                <w:lang w:val="en-GB"/>
              </w:rPr>
              <w:t>Executive Agency for Small and Medium-sized Enterprises</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rPr>
            </w:pPr>
            <w:r>
              <w:rPr>
                <w:noProof/>
              </w:rPr>
              <w:t>1.4</w:t>
            </w:r>
          </w:p>
        </w:tc>
      </w:tr>
      <w:tr w:rsidR="00311BB8">
        <w:trPr>
          <w:cantSplit/>
        </w:trPr>
        <w:tc>
          <w:tcPr>
            <w:tcW w:w="1645" w:type="dxa"/>
            <w:tcBorders>
              <w:top w:val="single" w:sz="4" w:space="0" w:color="ED7D31" w:themeColor="accent2"/>
              <w:left w:val="nil"/>
              <w:bottom w:val="nil"/>
              <w:right w:val="single" w:sz="4" w:space="0" w:color="ED7D31" w:themeColor="accent2"/>
            </w:tcBorders>
          </w:tcPr>
          <w:p w:rsidR="00311BB8" w:rsidRDefault="00D91061">
            <w:pPr>
              <w:pStyle w:val="AMPRTABLEA-TextLEFTalligned-BLACK"/>
              <w:rPr>
                <w:b/>
                <w:bCs/>
                <w:noProof/>
              </w:rPr>
            </w:pPr>
            <w:r>
              <w:rPr>
                <w:b/>
                <w:bCs/>
                <w:noProof/>
              </w:rPr>
              <w:t>Other internal policies</w:t>
            </w:r>
          </w:p>
        </w:tc>
        <w:tc>
          <w:tcPr>
            <w:tcW w:w="1281" w:type="dxa"/>
            <w:tcBorders>
              <w:top w:val="single" w:sz="4" w:space="0" w:color="ED7D31" w:themeColor="accent2"/>
              <w:left w:val="single" w:sz="4" w:space="0" w:color="ED7D31" w:themeColor="accent2"/>
              <w:bottom w:val="nil"/>
              <w:right w:val="single" w:sz="4" w:space="0" w:color="ED7D31" w:themeColor="accent2"/>
            </w:tcBorders>
            <w:shd w:val="clear" w:color="auto" w:fill="auto"/>
          </w:tcPr>
          <w:p w:rsidR="00311BB8" w:rsidRDefault="00D91061">
            <w:pPr>
              <w:pStyle w:val="AMPRTABLEA-TextLEFTalligned-BLACK"/>
              <w:rPr>
                <w:b/>
                <w:bCs/>
                <w:noProof/>
                <w:lang w:val="en-GB"/>
              </w:rPr>
            </w:pPr>
            <w:r>
              <w:rPr>
                <w:b/>
                <w:bCs/>
                <w:noProof/>
                <w:lang w:val="en-GB"/>
              </w:rPr>
              <w:t>Education, Youth, Sport and Culture</w:t>
            </w:r>
          </w:p>
        </w:tc>
        <w:tc>
          <w:tcPr>
            <w:tcW w:w="2268" w:type="dxa"/>
            <w:tcBorders>
              <w:top w:val="single" w:sz="4" w:space="0" w:color="5B9BD5" w:themeColor="accent1"/>
              <w:left w:val="single" w:sz="4" w:space="0" w:color="ED7D31" w:themeColor="accent2"/>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rPr>
            </w:pPr>
            <w:r>
              <w:rPr>
                <w:noProof/>
              </w:rPr>
              <w:t>2007-2013 lifelong learning programme</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lang w:val="en-GB"/>
              </w:rPr>
            </w:pPr>
            <w:r>
              <w:rPr>
                <w:noProof/>
                <w:lang w:val="en-GB"/>
              </w:rPr>
              <w:t>Education, Audiovisual and Culture Executive Agency</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rPr>
            </w:pPr>
            <w:r>
              <w:rPr>
                <w:noProof/>
              </w:rPr>
              <w:t>0.0</w:t>
            </w:r>
          </w:p>
        </w:tc>
      </w:tr>
      <w:tr w:rsidR="00311BB8">
        <w:trPr>
          <w:cantSplit/>
        </w:trPr>
        <w:tc>
          <w:tcPr>
            <w:tcW w:w="1645" w:type="dxa"/>
            <w:tcBorders>
              <w:top w:val="nil"/>
              <w:left w:val="nil"/>
              <w:bottom w:val="nil"/>
              <w:right w:val="single" w:sz="4" w:space="0" w:color="ED7D31" w:themeColor="accent2"/>
            </w:tcBorders>
          </w:tcPr>
          <w:p w:rsidR="00311BB8" w:rsidRDefault="00311BB8">
            <w:pPr>
              <w:pStyle w:val="AMPRTABLEA-TextLEFTalligned-BLACK"/>
              <w:rPr>
                <w:b/>
                <w:bCs/>
                <w:noProof/>
              </w:rPr>
            </w:pPr>
          </w:p>
        </w:tc>
        <w:tc>
          <w:tcPr>
            <w:tcW w:w="1281" w:type="dxa"/>
            <w:tcBorders>
              <w:top w:val="nil"/>
              <w:left w:val="single" w:sz="4" w:space="0" w:color="ED7D31" w:themeColor="accent2"/>
              <w:bottom w:val="nil"/>
              <w:right w:val="single" w:sz="4" w:space="0" w:color="ED7D31" w:themeColor="accent2"/>
            </w:tcBorders>
            <w:shd w:val="clear" w:color="auto" w:fill="auto"/>
          </w:tcPr>
          <w:p w:rsidR="00311BB8" w:rsidRDefault="00311BB8">
            <w:pPr>
              <w:pStyle w:val="AMPRTABLEA-TextLEFTalligned-BLACK"/>
              <w:rPr>
                <w:b/>
                <w:bCs/>
                <w:noProof/>
              </w:rPr>
            </w:pPr>
          </w:p>
        </w:tc>
        <w:tc>
          <w:tcPr>
            <w:tcW w:w="2268" w:type="dxa"/>
            <w:tcBorders>
              <w:top w:val="single" w:sz="4" w:space="0" w:color="5B9BD5" w:themeColor="accent1"/>
              <w:left w:val="single" w:sz="4" w:space="0" w:color="ED7D31" w:themeColor="accent2"/>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rPr>
            </w:pPr>
            <w:r>
              <w:rPr>
                <w:noProof/>
              </w:rPr>
              <w:t>2007-2013 culture programme</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lang w:val="en-GB"/>
              </w:rPr>
            </w:pPr>
            <w:r>
              <w:rPr>
                <w:noProof/>
                <w:lang w:val="en-GB"/>
              </w:rPr>
              <w:t>Education, Audiovisual and Culture Executive Agency</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rPr>
            </w:pPr>
            <w:r>
              <w:rPr>
                <w:noProof/>
              </w:rPr>
              <w:t>0.5</w:t>
            </w:r>
          </w:p>
        </w:tc>
      </w:tr>
      <w:tr w:rsidR="00311BB8">
        <w:trPr>
          <w:cantSplit/>
        </w:trPr>
        <w:tc>
          <w:tcPr>
            <w:tcW w:w="1645" w:type="dxa"/>
            <w:tcBorders>
              <w:top w:val="nil"/>
              <w:left w:val="nil"/>
              <w:bottom w:val="single" w:sz="4" w:space="0" w:color="ED7D31" w:themeColor="accent2"/>
              <w:right w:val="single" w:sz="4" w:space="0" w:color="ED7D31" w:themeColor="accent2"/>
            </w:tcBorders>
          </w:tcPr>
          <w:p w:rsidR="00311BB8" w:rsidRDefault="00311BB8">
            <w:pPr>
              <w:pStyle w:val="AMPRTABLEA-TextLEFTalligned-BLACK"/>
              <w:rPr>
                <w:b/>
                <w:bCs/>
                <w:noProof/>
              </w:rPr>
            </w:pPr>
          </w:p>
        </w:tc>
        <w:tc>
          <w:tcPr>
            <w:tcW w:w="1281" w:type="dxa"/>
            <w:tcBorders>
              <w:top w:val="nil"/>
              <w:left w:val="single" w:sz="4" w:space="0" w:color="ED7D31" w:themeColor="accent2"/>
              <w:bottom w:val="single" w:sz="4" w:space="0" w:color="ED7D31" w:themeColor="accent2"/>
              <w:right w:val="single" w:sz="4" w:space="0" w:color="ED7D31" w:themeColor="accent2"/>
            </w:tcBorders>
            <w:shd w:val="clear" w:color="auto" w:fill="auto"/>
          </w:tcPr>
          <w:p w:rsidR="00311BB8" w:rsidRDefault="00311BB8">
            <w:pPr>
              <w:pStyle w:val="AMPRTABLEA-TextLEFTalligned-BLACK"/>
              <w:rPr>
                <w:b/>
                <w:bCs/>
                <w:noProof/>
              </w:rPr>
            </w:pPr>
          </w:p>
        </w:tc>
        <w:tc>
          <w:tcPr>
            <w:tcW w:w="2268" w:type="dxa"/>
            <w:tcBorders>
              <w:top w:val="single" w:sz="4" w:space="0" w:color="5B9BD5" w:themeColor="accent1"/>
              <w:left w:val="single" w:sz="4" w:space="0" w:color="ED7D31" w:themeColor="accent2"/>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rPr>
            </w:pPr>
            <w:r>
              <w:rPr>
                <w:noProof/>
              </w:rPr>
              <w:t>2007-2013 Tempus programme</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lang w:val="en-GB"/>
              </w:rPr>
            </w:pPr>
            <w:r>
              <w:rPr>
                <w:noProof/>
                <w:lang w:val="en-GB"/>
              </w:rPr>
              <w:t>Education, Audiovisual and Culture Executive Agency</w:t>
            </w: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11BB8" w:rsidRDefault="00D91061">
            <w:pPr>
              <w:pStyle w:val="AMPRTABLEA-TextLEFTalligned-BLACK"/>
              <w:jc w:val="center"/>
              <w:rPr>
                <w:noProof/>
              </w:rPr>
            </w:pPr>
            <w:r>
              <w:rPr>
                <w:noProof/>
              </w:rPr>
              <w:t>Quantified</w:t>
            </w: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D91061">
            <w:pPr>
              <w:pStyle w:val="AMPRTABLEA-TextRIGHTalligned-BLACK"/>
              <w:rPr>
                <w:noProof/>
              </w:rPr>
            </w:pPr>
            <w:r>
              <w:rPr>
                <w:noProof/>
              </w:rPr>
              <w:t>0.2</w:t>
            </w:r>
          </w:p>
        </w:tc>
      </w:tr>
      <w:tr w:rsidR="00311BB8">
        <w:trPr>
          <w:cantSplit/>
        </w:trPr>
        <w:tc>
          <w:tcPr>
            <w:tcW w:w="1645" w:type="dxa"/>
            <w:tcBorders>
              <w:top w:val="single" w:sz="4" w:space="0" w:color="ED7D31" w:themeColor="accent2"/>
              <w:left w:val="nil"/>
              <w:bottom w:val="single" w:sz="4" w:space="0" w:color="5B9BD5" w:themeColor="accent1"/>
              <w:right w:val="single" w:sz="4" w:space="0" w:color="5B9BD5" w:themeColor="accent1"/>
            </w:tcBorders>
          </w:tcPr>
          <w:p w:rsidR="00311BB8" w:rsidRDefault="00D91061">
            <w:pPr>
              <w:pStyle w:val="AMPRTABLEA-TextLEFTalligned-BLACK"/>
              <w:rPr>
                <w:b/>
                <w:bCs/>
                <w:noProof/>
              </w:rPr>
            </w:pPr>
            <w:r>
              <w:rPr>
                <w:b/>
                <w:bCs/>
                <w:noProof/>
              </w:rPr>
              <w:t>Other services and administration</w:t>
            </w:r>
          </w:p>
        </w:tc>
        <w:tc>
          <w:tcPr>
            <w:tcW w:w="1281" w:type="dxa"/>
            <w:tcBorders>
              <w:top w:val="single" w:sz="4" w:space="0" w:color="ED7D31" w:themeColor="accent2"/>
              <w:left w:val="single" w:sz="4" w:space="0" w:color="5B9BD5" w:themeColor="accent1"/>
              <w:bottom w:val="single" w:sz="4" w:space="0" w:color="5B9BD5" w:themeColor="accent1"/>
              <w:right w:val="single" w:sz="4" w:space="0" w:color="5B9BD5" w:themeColor="accent1"/>
            </w:tcBorders>
            <w:shd w:val="clear" w:color="auto" w:fill="auto"/>
          </w:tcPr>
          <w:p w:rsidR="00311BB8" w:rsidRDefault="00311BB8">
            <w:pPr>
              <w:pStyle w:val="AMPRTABLEA-TextLEFTalligned-BLACK"/>
              <w:rPr>
                <w:b/>
                <w:bCs/>
                <w:noProof/>
              </w:rPr>
            </w:pP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11BB8" w:rsidRDefault="00D91061">
            <w:pPr>
              <w:pStyle w:val="AMPRTABLEA-TextLEFTalligned-BLACK"/>
              <w:rPr>
                <w:noProof/>
              </w:rPr>
            </w:pPr>
            <w:r>
              <w:rPr>
                <w:noProof/>
              </w:rPr>
              <w:t>(</w:t>
            </w:r>
            <w:r>
              <w:rPr>
                <w:i/>
                <w:iCs/>
                <w:noProof/>
              </w:rPr>
              <w:t>None</w:t>
            </w:r>
            <w:r>
              <w:rPr>
                <w:noProof/>
              </w:rPr>
              <w:t>)</w:t>
            </w: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11BB8" w:rsidRDefault="00311BB8">
            <w:pPr>
              <w:pStyle w:val="AMPRTABLEA-TextLEFTalligned-BLACK"/>
              <w:jc w:val="center"/>
              <w:rPr>
                <w:noProof/>
              </w:rPr>
            </w:pP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11BB8" w:rsidRDefault="00311BB8">
            <w:pPr>
              <w:pStyle w:val="AMPRTABLEA-TextLEFTalligned-BLACK"/>
              <w:jc w:val="center"/>
              <w:rPr>
                <w:noProof/>
              </w:rPr>
            </w:pPr>
          </w:p>
        </w:tc>
        <w:tc>
          <w:tcPr>
            <w:tcW w:w="1293" w:type="dxa"/>
            <w:tcBorders>
              <w:top w:val="single" w:sz="4" w:space="0" w:color="5B9BD5" w:themeColor="accent1"/>
              <w:left w:val="single" w:sz="4" w:space="0" w:color="5B9BD5" w:themeColor="accent1"/>
              <w:bottom w:val="single" w:sz="4" w:space="0" w:color="5B9BD5" w:themeColor="accent1"/>
              <w:right w:val="nil"/>
            </w:tcBorders>
            <w:vAlign w:val="center"/>
          </w:tcPr>
          <w:p w:rsidR="00311BB8" w:rsidRDefault="00311BB8">
            <w:pPr>
              <w:pStyle w:val="AMPRTABLEA-TextRIGHTalligned-BLACK"/>
              <w:rPr>
                <w:noProof/>
                <w:highlight w:val="yellow"/>
              </w:rPr>
            </w:pPr>
          </w:p>
        </w:tc>
      </w:tr>
      <w:tr w:rsidR="00311BB8">
        <w:trPr>
          <w:cantSplit/>
        </w:trPr>
        <w:tc>
          <w:tcPr>
            <w:tcW w:w="1645" w:type="dxa"/>
            <w:tcBorders>
              <w:top w:val="single" w:sz="4" w:space="0" w:color="5B9BD5" w:themeColor="accent1"/>
              <w:left w:val="nil"/>
              <w:bottom w:val="single" w:sz="4" w:space="0" w:color="5B9BD5" w:themeColor="accent1"/>
              <w:right w:val="single" w:sz="4" w:space="0" w:color="5B9BD5" w:themeColor="accent1"/>
            </w:tcBorders>
            <w:shd w:val="clear" w:color="auto" w:fill="DEEAF6" w:themeFill="accent1" w:themeFillTint="33"/>
          </w:tcPr>
          <w:p w:rsidR="00311BB8" w:rsidRDefault="00D91061">
            <w:pPr>
              <w:pStyle w:val="AMPRTABLEA-TOTALLEFTalligned-BLACK"/>
              <w:rPr>
                <w:noProof/>
                <w:color w:val="000000" w:themeColor="text1"/>
              </w:rPr>
            </w:pPr>
            <w:r>
              <w:rPr>
                <w:noProof/>
              </w:rPr>
              <w:t>Total</w:t>
            </w:r>
          </w:p>
        </w:tc>
        <w:tc>
          <w:tcPr>
            <w:tcW w:w="354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rsidR="00311BB8" w:rsidRDefault="00311BB8">
            <w:pPr>
              <w:pStyle w:val="AMPRTABLEA-TOTALRIGHTalligned-BLACK"/>
              <w:rPr>
                <w:noProof/>
              </w:rPr>
            </w:pPr>
          </w:p>
        </w:tc>
        <w:tc>
          <w:tcPr>
            <w:tcW w:w="12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rsidR="00311BB8" w:rsidRDefault="00311BB8">
            <w:pPr>
              <w:pStyle w:val="AMPRTABLEA-TOTALRIGHTalligned-BLACK"/>
              <w:rPr>
                <w:noProof/>
              </w:rPr>
            </w:pPr>
          </w:p>
        </w:tc>
        <w:tc>
          <w:tcPr>
            <w:tcW w:w="12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rsidR="00311BB8" w:rsidRDefault="00311BB8">
            <w:pPr>
              <w:pStyle w:val="AMPRTABLEA-TOTALRIGHTalligned-BLACK"/>
              <w:rPr>
                <w:noProof/>
              </w:rPr>
            </w:pPr>
          </w:p>
        </w:tc>
        <w:tc>
          <w:tcPr>
            <w:tcW w:w="1293" w:type="dxa"/>
            <w:tcBorders>
              <w:top w:val="single" w:sz="4" w:space="0" w:color="5B9BD5" w:themeColor="accent1"/>
              <w:left w:val="single" w:sz="4" w:space="0" w:color="5B9BD5" w:themeColor="accent1"/>
              <w:bottom w:val="single" w:sz="4" w:space="0" w:color="5B9BD5" w:themeColor="accent1"/>
              <w:right w:val="nil"/>
            </w:tcBorders>
            <w:shd w:val="clear" w:color="auto" w:fill="DEEAF6" w:themeFill="accent1" w:themeFillTint="33"/>
            <w:vAlign w:val="center"/>
          </w:tcPr>
          <w:p w:rsidR="00311BB8" w:rsidRDefault="00D91061">
            <w:pPr>
              <w:pStyle w:val="AMPRTABLEA-TOTALRIGHTalligned-BLACK"/>
              <w:rPr>
                <w:noProof/>
                <w:color w:val="000000" w:themeColor="text1"/>
              </w:rPr>
            </w:pPr>
            <w:r>
              <w:rPr>
                <w:noProof/>
              </w:rPr>
              <w:t>15.2</w:t>
            </w:r>
          </w:p>
        </w:tc>
      </w:tr>
    </w:tbl>
    <w:p w:rsidR="00311BB8" w:rsidRDefault="00D91061">
      <w:pPr>
        <w:pStyle w:val="AMPRChart-Tabletitle"/>
        <w:rPr>
          <w:noProof/>
        </w:rPr>
      </w:pPr>
      <w:r>
        <w:rPr>
          <w:noProof/>
        </w:rPr>
        <w:t>Table</w:t>
      </w:r>
      <w:r>
        <w:rPr>
          <w:rFonts w:ascii="Calibri" w:hAnsi="Calibri" w:cs="Calibri"/>
          <w:noProof/>
        </w:rPr>
        <w:t> </w:t>
      </w:r>
      <w:r>
        <w:rPr>
          <w:noProof/>
        </w:rPr>
        <w:t>H: 2018 reservations that were lifted during 2019 by application of the de minimis rule</w:t>
      </w:r>
      <w:r>
        <w:rPr>
          <w:rFonts w:ascii="Calibri" w:hAnsi="Calibri" w:cs="Calibri"/>
          <w:noProof/>
        </w:rPr>
        <w:t> </w:t>
      </w:r>
      <w:r>
        <w:rPr>
          <w:noProof/>
        </w:rPr>
        <w:t>(</w:t>
      </w:r>
      <w:r>
        <w:rPr>
          <w:noProof/>
          <w:vertAlign w:val="superscript"/>
        </w:rPr>
        <w:footnoteReference w:id="24"/>
      </w:r>
      <w:r>
        <w:rPr>
          <w:noProof/>
        </w:rPr>
        <w:t>)</w:t>
      </w:r>
    </w:p>
    <w:p w:rsidR="00311BB8" w:rsidRDefault="00311BB8">
      <w:pPr>
        <w:pStyle w:val="AMPRBodyText"/>
        <w:rPr>
          <w:noProof/>
        </w:rPr>
        <w:sectPr w:rsidR="00311BB8">
          <w:headerReference w:type="even" r:id="rId48"/>
          <w:headerReference w:type="default" r:id="rId49"/>
          <w:footerReference w:type="even" r:id="rId50"/>
          <w:footerReference w:type="default" r:id="rId51"/>
          <w:headerReference w:type="first" r:id="rId52"/>
          <w:footerReference w:type="first" r:id="rId53"/>
          <w:footnotePr>
            <w:numStart w:val="94"/>
          </w:footnotePr>
          <w:pgSz w:w="11906" w:h="16838" w:code="9"/>
          <w:pgMar w:top="1417" w:right="1417" w:bottom="1134" w:left="1417" w:header="567" w:footer="454" w:gutter="0"/>
          <w:cols w:space="720"/>
          <w:docGrid w:linePitch="360"/>
        </w:sectPr>
      </w:pPr>
    </w:p>
    <w:p w:rsidR="00311BB8" w:rsidRDefault="00311BB8">
      <w:pPr>
        <w:rPr>
          <w:noProof/>
        </w:rPr>
        <w:sectPr w:rsidR="00311BB8">
          <w:headerReference w:type="even" r:id="rId54"/>
          <w:headerReference w:type="default" r:id="rId55"/>
          <w:footerReference w:type="even" r:id="rId56"/>
          <w:footerReference w:type="default" r:id="rId57"/>
          <w:headerReference w:type="first" r:id="rId58"/>
          <w:footerReference w:type="first" r:id="rId59"/>
          <w:footnotePr>
            <w:numStart w:val="94"/>
          </w:footnotePr>
          <w:type w:val="continuous"/>
          <w:pgSz w:w="11906" w:h="16838" w:code="9"/>
          <w:pgMar w:top="1417" w:right="1417" w:bottom="1134" w:left="1417" w:header="567" w:footer="454" w:gutter="0"/>
          <w:cols w:space="720"/>
          <w:docGrid w:linePitch="360"/>
        </w:sectPr>
      </w:pPr>
      <w:bookmarkStart w:id="19" w:name="_Toc6304471"/>
      <w:bookmarkStart w:id="20" w:name="_Toc8386193"/>
      <w:bookmarkStart w:id="21" w:name="_Toc11679102"/>
    </w:p>
    <w:p w:rsidR="00311BB8" w:rsidRDefault="00311BB8">
      <w:pPr>
        <w:rPr>
          <w:noProof/>
        </w:rPr>
        <w:sectPr w:rsidR="00311BB8">
          <w:headerReference w:type="even" r:id="rId60"/>
          <w:headerReference w:type="default" r:id="rId61"/>
          <w:footerReference w:type="even" r:id="rId62"/>
          <w:footerReference w:type="default" r:id="rId63"/>
          <w:headerReference w:type="first" r:id="rId64"/>
          <w:footerReference w:type="first" r:id="rId65"/>
          <w:footnotePr>
            <w:numStart w:val="94"/>
          </w:footnotePr>
          <w:pgSz w:w="11906" w:h="16838" w:code="9"/>
          <w:pgMar w:top="1417" w:right="1417" w:bottom="1134" w:left="1417" w:header="567" w:footer="454" w:gutter="0"/>
          <w:cols w:space="720"/>
          <w:docGrid w:linePitch="360"/>
        </w:sectPr>
      </w:pPr>
    </w:p>
    <w:p w:rsidR="00311BB8" w:rsidRDefault="00D91061">
      <w:pPr>
        <w:pStyle w:val="AMPRAnnexesTITLE2"/>
        <w:rPr>
          <w:noProof/>
        </w:rPr>
      </w:pPr>
      <w:r>
        <w:rPr>
          <w:noProof/>
        </w:rPr>
        <w:t>Annex</w:t>
      </w:r>
      <w:r>
        <w:rPr>
          <w:rFonts w:ascii="Calibri" w:hAnsi="Calibri" w:cs="Calibri"/>
          <w:noProof/>
        </w:rPr>
        <w:t> </w:t>
      </w:r>
      <w:r>
        <w:rPr>
          <w:noProof/>
        </w:rPr>
        <w:t xml:space="preserve">5: </w:t>
      </w:r>
      <w:r>
        <w:rPr>
          <w:noProof/>
        </w:rPr>
        <w:br/>
        <w:t>The multiannual control cycle protecting the EU budget</w:t>
      </w:r>
      <w:bookmarkEnd w:id="19"/>
      <w:bookmarkEnd w:id="20"/>
      <w:bookmarkEnd w:id="21"/>
    </w:p>
    <w:p w:rsidR="00311BB8" w:rsidRDefault="00D91061">
      <w:pPr>
        <w:pStyle w:val="AMPRBodyText"/>
        <w:rPr>
          <w:rStyle w:val="Emphasis"/>
          <w:noProof/>
        </w:rPr>
      </w:pPr>
      <w:r>
        <w:rPr>
          <w:noProof/>
        </w:rPr>
        <w:t>This annex describes the functioning of the preventive and corrective mechanisms provided for in EU legislation and the actions taken by the Commission services to protect the EU budget from illegal or irregular expenditure. It also provides a best estimate of the effects these mechanisms generate and indicates how Member States are involved and impacted. The following information focuses primarily on the results of the Commission’s supervisory tasks, but also provides an insight into the results of Member States’ controls.</w:t>
      </w:r>
    </w:p>
    <w:p w:rsidR="00311BB8" w:rsidRDefault="00D91061">
      <w:pPr>
        <w:pStyle w:val="AMPRBodyText"/>
        <w:rPr>
          <w:noProof/>
        </w:rPr>
      </w:pPr>
      <w:r>
        <w:rPr>
          <w:noProof/>
        </w:rPr>
        <w:t>When implementing the EU budget it is especially important to prevent</w:t>
      </w:r>
      <w:r>
        <w:rPr>
          <w:rFonts w:ascii="Calibri" w:hAnsi="Calibri" w:cs="Calibri"/>
          <w:noProof/>
        </w:rPr>
        <w:t> </w:t>
      </w:r>
      <w:r>
        <w:rPr>
          <w:rFonts w:asciiTheme="minorHAnsi" w:hAnsiTheme="minorHAnsi" w:cs="Calibri"/>
          <w:noProof/>
        </w:rPr>
        <w:t>–</w:t>
      </w:r>
      <w:r>
        <w:rPr>
          <w:rFonts w:asciiTheme="minorHAnsi" w:hAnsiTheme="minorHAnsi"/>
          <w:noProof/>
        </w:rPr>
        <w:t xml:space="preserve"> </w:t>
      </w:r>
      <w:r>
        <w:rPr>
          <w:noProof/>
        </w:rPr>
        <w:t>or detect and subsequently correct</w:t>
      </w:r>
      <w:r>
        <w:rPr>
          <w:rFonts w:ascii="Calibri" w:hAnsi="Calibri" w:cs="Calibri"/>
          <w:noProof/>
        </w:rPr>
        <w:t> </w:t>
      </w:r>
      <w:r>
        <w:rPr>
          <w:rFonts w:cs="EC Square Sans Pro"/>
          <w:noProof/>
        </w:rPr>
        <w:t>–</w:t>
      </w:r>
      <w:r>
        <w:rPr>
          <w:rFonts w:asciiTheme="minorHAnsi" w:hAnsiTheme="minorHAnsi"/>
          <w:noProof/>
        </w:rPr>
        <w:t xml:space="preserve"> </w:t>
      </w:r>
      <w:r>
        <w:rPr>
          <w:noProof/>
        </w:rPr>
        <w:t>system weaknesses leading to errors, irregularities or fraud. The Commission and</w:t>
      </w:r>
      <w:r>
        <w:rPr>
          <w:rFonts w:ascii="Calibri" w:hAnsi="Calibri" w:cs="Calibri"/>
          <w:noProof/>
        </w:rPr>
        <w:t> </w:t>
      </w:r>
      <w:r>
        <w:rPr>
          <w:noProof/>
        </w:rPr>
        <w:t>– for programmes under shared management</w:t>
      </w:r>
      <w:r>
        <w:rPr>
          <w:rFonts w:ascii="Calibri" w:hAnsi="Calibri" w:cs="Calibri"/>
          <w:noProof/>
        </w:rPr>
        <w:t> </w:t>
      </w:r>
      <w:r>
        <w:rPr>
          <w:noProof/>
        </w:rPr>
        <w:t>– Member State authorities take preventive and corrective measures (i.e. financial corrections and recoveries) as provided for in EU legislation to protect the EU budget from illegal or irregular expenditure</w:t>
      </w:r>
      <w:r>
        <w:rPr>
          <w:rFonts w:ascii="Calibri" w:hAnsi="Calibri" w:cs="Calibri"/>
          <w:noProof/>
        </w:rPr>
        <w:t> </w:t>
      </w:r>
      <w:r>
        <w:rPr>
          <w:noProof/>
        </w:rPr>
        <w:t xml:space="preserve">– see also </w:t>
      </w:r>
      <w:r>
        <w:rPr>
          <w:rStyle w:val="Emphasis"/>
          <w:noProof/>
        </w:rPr>
        <w:t>Annex</w:t>
      </w:r>
      <w:r>
        <w:rPr>
          <w:rStyle w:val="Emphasis"/>
          <w:rFonts w:ascii="Calibri" w:hAnsi="Calibri" w:cs="Calibri"/>
          <w:noProof/>
        </w:rPr>
        <w:t> </w:t>
      </w:r>
      <w:r>
        <w:rPr>
          <w:rStyle w:val="Emphasis"/>
          <w:noProof/>
        </w:rPr>
        <w:t>3.</w:t>
      </w:r>
    </w:p>
    <w:p w:rsidR="00311BB8" w:rsidRDefault="00D91061">
      <w:pPr>
        <w:pStyle w:val="AMPRBOXE-bgBLUE-WHITEtext"/>
        <w:rPr>
          <w:noProof/>
        </w:rPr>
      </w:pPr>
      <w:r>
        <w:rPr>
          <w:noProof/>
        </w:rPr>
        <w:t>The primary objective of financial corrections and recoveries is to ensure that only expenditure in accordance with the legal framework is financed by the EU budget.</w:t>
      </w:r>
    </w:p>
    <w:p w:rsidR="00311BB8" w:rsidRDefault="00D91061">
      <w:pPr>
        <w:pStyle w:val="AMPRAnnexesTITLE3-Numbered"/>
        <w:rPr>
          <w:noProof/>
        </w:rPr>
      </w:pPr>
      <w:r>
        <w:rPr>
          <w:noProof/>
        </w:rPr>
        <w:t>Key considerations for the protection of the EU budget</w:t>
      </w:r>
    </w:p>
    <w:p w:rsidR="00311BB8" w:rsidRDefault="00D91061">
      <w:pPr>
        <w:pStyle w:val="AMPRBodyText"/>
        <w:rPr>
          <w:noProof/>
          <w:lang w:eastAsia="fr-BE"/>
        </w:rPr>
      </w:pPr>
      <w:r>
        <w:rPr>
          <w:noProof/>
          <w:lang w:eastAsia="fr-BE"/>
        </w:rPr>
        <w:t xml:space="preserve">One important objective of the Commission is to ensure cost-effectiveness when designing and implementing management and control systems that prevent or identify and correct errors. Control strategies should therefore maintain higher, more frequent scrutiny in riskier areas and ensure cost-effectiveness. </w:t>
      </w:r>
    </w:p>
    <w:p w:rsidR="00311BB8" w:rsidRDefault="00D91061">
      <w:pPr>
        <w:pStyle w:val="AMPRBodyText"/>
        <w:rPr>
          <w:rFonts w:eastAsia="EC Square Sans Pro"/>
          <w:noProof/>
        </w:rPr>
      </w:pPr>
      <w:r>
        <w:rPr>
          <w:rFonts w:eastAsia="Arial" w:cs="Arial"/>
          <w:noProof/>
          <w:lang w:bidi="en-US"/>
        </w:rPr>
        <w:t xml:space="preserve">The </w:t>
      </w:r>
      <w:r>
        <w:rPr>
          <w:rStyle w:val="AMPRcharBoldOrange"/>
          <w:noProof/>
        </w:rPr>
        <w:t>confirmed</w:t>
      </w:r>
      <w:r>
        <w:rPr>
          <w:rFonts w:eastAsia="Arial" w:cs="Arial"/>
          <w:noProof/>
          <w:lang w:bidi="en-US"/>
        </w:rPr>
        <w:t xml:space="preserve"> financial corrections and recoveries for </w:t>
      </w:r>
      <w:r>
        <w:rPr>
          <w:rStyle w:val="AMPRcharBoldOrange"/>
          <w:noProof/>
        </w:rPr>
        <w:t>2019</w:t>
      </w:r>
      <w:r>
        <w:rPr>
          <w:rFonts w:eastAsia="Arial" w:cs="Arial"/>
          <w:noProof/>
          <w:lang w:bidi="en-US"/>
        </w:rPr>
        <w:t xml:space="preserve"> amount to </w:t>
      </w:r>
      <w:r>
        <w:rPr>
          <w:rStyle w:val="AMPRcharBoldOrange"/>
          <w:noProof/>
        </w:rPr>
        <w:t>EUR</w:t>
      </w:r>
      <w:r>
        <w:rPr>
          <w:rStyle w:val="AMPRcharBoldOrange"/>
          <w:rFonts w:ascii="Calibri" w:hAnsi="Calibri" w:cs="Calibri"/>
          <w:noProof/>
        </w:rPr>
        <w:t> </w:t>
      </w:r>
      <w:r>
        <w:rPr>
          <w:rStyle w:val="AMPRcharBoldOrange"/>
          <w:noProof/>
        </w:rPr>
        <w:t>1</w:t>
      </w:r>
      <w:r>
        <w:rPr>
          <w:rStyle w:val="AMPRcharBoldOrange"/>
          <w:rFonts w:ascii="Calibri" w:hAnsi="Calibri" w:cs="Calibri"/>
          <w:noProof/>
        </w:rPr>
        <w:t> </w:t>
      </w:r>
      <w:r>
        <w:rPr>
          <w:rStyle w:val="AMPRcharBoldOrange"/>
          <w:noProof/>
        </w:rPr>
        <w:t>942</w:t>
      </w:r>
      <w:r>
        <w:rPr>
          <w:rStyle w:val="AMPRcharBoldOrange"/>
          <w:rFonts w:ascii="Calibri" w:hAnsi="Calibri" w:cs="Calibri"/>
          <w:noProof/>
        </w:rPr>
        <w:t> </w:t>
      </w:r>
      <w:r>
        <w:rPr>
          <w:rStyle w:val="AMPRcharBoldOrange"/>
          <w:noProof/>
        </w:rPr>
        <w:t>million</w:t>
      </w:r>
      <w:r>
        <w:rPr>
          <w:rFonts w:eastAsia="Arial" w:cs="Arial"/>
          <w:noProof/>
          <w:lang w:bidi="en-US"/>
        </w:rPr>
        <w:t xml:space="preserve">. During </w:t>
      </w:r>
      <w:r>
        <w:rPr>
          <w:rStyle w:val="AMPRcharBoldOrange"/>
          <w:noProof/>
        </w:rPr>
        <w:t>2013 to 2019</w:t>
      </w:r>
      <w:r>
        <w:rPr>
          <w:rFonts w:eastAsia="Arial" w:cs="Arial"/>
          <w:noProof/>
          <w:lang w:bidi="en-US"/>
        </w:rPr>
        <w:t xml:space="preserve"> the </w:t>
      </w:r>
      <w:r>
        <w:rPr>
          <w:rStyle w:val="AMPRcharBoldOrange"/>
          <w:noProof/>
        </w:rPr>
        <w:t>average amount of confirmed financial corrections and recoveries</w:t>
      </w:r>
      <w:r>
        <w:rPr>
          <w:rFonts w:eastAsia="Arial" w:cs="Arial"/>
          <w:noProof/>
          <w:lang w:bidi="en-US"/>
        </w:rPr>
        <w:t xml:space="preserve"> was </w:t>
      </w:r>
      <w:r>
        <w:rPr>
          <w:rStyle w:val="AMPRcharBoldOrange"/>
          <w:noProof/>
        </w:rPr>
        <w:t>EUR</w:t>
      </w:r>
      <w:r>
        <w:rPr>
          <w:rStyle w:val="AMPRcharBoldOrange"/>
          <w:rFonts w:ascii="Calibri" w:hAnsi="Calibri" w:cs="Calibri"/>
          <w:noProof/>
        </w:rPr>
        <w:t> </w:t>
      </w:r>
      <w:r>
        <w:rPr>
          <w:rStyle w:val="AMPRcharBoldOrange"/>
          <w:noProof/>
        </w:rPr>
        <w:t>3</w:t>
      </w:r>
      <w:r>
        <w:rPr>
          <w:rStyle w:val="AMPRcharBoldOrange"/>
          <w:rFonts w:ascii="Calibri" w:hAnsi="Calibri" w:cs="Calibri"/>
          <w:noProof/>
        </w:rPr>
        <w:t> </w:t>
      </w:r>
      <w:r>
        <w:rPr>
          <w:rStyle w:val="AMPRcharBoldOrange"/>
          <w:noProof/>
        </w:rPr>
        <w:t>102</w:t>
      </w:r>
      <w:r>
        <w:rPr>
          <w:rStyle w:val="AMPRcharBoldOrange"/>
          <w:rFonts w:ascii="Calibri" w:hAnsi="Calibri" w:cs="Calibri"/>
          <w:noProof/>
        </w:rPr>
        <w:t> </w:t>
      </w:r>
      <w:r>
        <w:rPr>
          <w:rStyle w:val="AMPRcharBoldOrange"/>
          <w:noProof/>
        </w:rPr>
        <w:t>million</w:t>
      </w:r>
      <w:r>
        <w:rPr>
          <w:noProof/>
        </w:rPr>
        <w:t>,</w:t>
      </w:r>
      <w:r>
        <w:rPr>
          <w:rFonts w:eastAsia="Arial" w:cs="Arial"/>
          <w:noProof/>
          <w:lang w:bidi="en-US"/>
        </w:rPr>
        <w:t xml:space="preserve"> which </w:t>
      </w:r>
      <w:r>
        <w:rPr>
          <w:rStyle w:val="AMPRcharBoldOrange"/>
          <w:noProof/>
        </w:rPr>
        <w:t>represents 2.1% of the average amount of payments</w:t>
      </w:r>
      <w:r>
        <w:rPr>
          <w:rFonts w:eastAsia="Arial" w:cs="Arial"/>
          <w:noProof/>
          <w:lang w:bidi="en-US"/>
        </w:rPr>
        <w:t xml:space="preserve"> made from the </w:t>
      </w:r>
      <w:r>
        <w:rPr>
          <w:rFonts w:eastAsia="Arial" w:cs="Arial"/>
          <w:noProof/>
          <w:lang w:eastAsia="fr-FR" w:bidi="fr-FR"/>
        </w:rPr>
        <w:t xml:space="preserve">EU </w:t>
      </w:r>
      <w:r>
        <w:rPr>
          <w:rFonts w:eastAsia="Arial" w:cs="Arial"/>
          <w:noProof/>
          <w:lang w:bidi="en-US"/>
        </w:rPr>
        <w:t>budget</w:t>
      </w:r>
      <w:r>
        <w:rPr>
          <w:rFonts w:eastAsia="EC Square Sans Pro" w:cs="Arial"/>
          <w:noProof/>
        </w:rPr>
        <w:t xml:space="preserve">. </w:t>
      </w:r>
      <w:r>
        <w:rPr>
          <w:rFonts w:eastAsia="EC Square Sans Pro"/>
          <w:noProof/>
        </w:rPr>
        <w:t xml:space="preserve">In addition, for </w:t>
      </w:r>
      <w:r>
        <w:rPr>
          <w:rStyle w:val="AMPRcharBoldOrange"/>
          <w:noProof/>
        </w:rPr>
        <w:t>cohesion policy funds</w:t>
      </w:r>
      <w:r>
        <w:rPr>
          <w:rFonts w:eastAsia="EC Square Sans Pro"/>
          <w:noProof/>
        </w:rPr>
        <w:t xml:space="preserve">, for 2014 to 2020, the Member States have themselves applied corrections totalling </w:t>
      </w:r>
      <w:r>
        <w:rPr>
          <w:rStyle w:val="AMPRcharBoldOrange"/>
          <w:noProof/>
        </w:rPr>
        <w:t>EUR</w:t>
      </w:r>
      <w:r>
        <w:rPr>
          <w:rStyle w:val="AMPRcharBoldOrange"/>
          <w:rFonts w:ascii="Calibri" w:hAnsi="Calibri" w:cs="Calibri"/>
          <w:noProof/>
        </w:rPr>
        <w:t> </w:t>
      </w:r>
      <w:r>
        <w:rPr>
          <w:rStyle w:val="AMPRcharBoldOrange"/>
          <w:noProof/>
        </w:rPr>
        <w:t>670</w:t>
      </w:r>
      <w:r>
        <w:rPr>
          <w:rStyle w:val="AMPRcharBoldOrange"/>
          <w:rFonts w:ascii="Calibri" w:hAnsi="Calibri" w:cs="Calibri"/>
          <w:noProof/>
        </w:rPr>
        <w:t> </w:t>
      </w:r>
      <w:r>
        <w:rPr>
          <w:rStyle w:val="AMPRcharBoldOrange"/>
          <w:noProof/>
        </w:rPr>
        <w:t>million</w:t>
      </w:r>
      <w:r>
        <w:rPr>
          <w:rFonts w:eastAsia="EC Square Sans Pro"/>
          <w:noProof/>
        </w:rPr>
        <w:t xml:space="preserve">, in line with the regulatory provisions, which increase programme managing authorities’ accountability and significantly strengthen the Commission’s position on protecting the EU budget from irregular expenditure. </w:t>
      </w:r>
    </w:p>
    <w:p w:rsidR="00311BB8" w:rsidRDefault="00D91061">
      <w:pPr>
        <w:pStyle w:val="AMPRBodyText"/>
        <w:rPr>
          <w:noProof/>
          <w:lang w:eastAsia="fr-BE"/>
        </w:rPr>
      </w:pPr>
      <w:r>
        <w:rPr>
          <w:rFonts w:cs="Arial"/>
          <w:noProof/>
          <w:lang w:eastAsia="fr-BE"/>
        </w:rPr>
        <w:t>The figures reported confirm the success of the</w:t>
      </w:r>
      <w:r>
        <w:rPr>
          <w:noProof/>
          <w:lang w:eastAsia="fr-BE"/>
        </w:rPr>
        <w:t xml:space="preserve"> multiannual preventive and corrective activities undertaken by the Commission and the Member States by demonstrating that these activities ensure that the EU budget is protected from expenditure that is in breach of law.</w:t>
      </w:r>
    </w:p>
    <w:p w:rsidR="00311BB8" w:rsidRDefault="00D91061">
      <w:pPr>
        <w:pStyle w:val="AMPRBodyText"/>
        <w:rPr>
          <w:noProof/>
          <w:lang w:eastAsia="fr-BE"/>
        </w:rPr>
      </w:pPr>
      <w:r>
        <w:rPr>
          <w:noProof/>
          <w:lang w:eastAsia="fr-BE"/>
        </w:rPr>
        <w:t>Under shared management, the Member States are primarily responsible for identifying any amounts unduly paid</w:t>
      </w:r>
      <w:r>
        <w:rPr>
          <w:noProof/>
        </w:rPr>
        <w:t xml:space="preserve"> </w:t>
      </w:r>
      <w:r>
        <w:rPr>
          <w:noProof/>
          <w:lang w:eastAsia="fr-BE"/>
        </w:rPr>
        <w:t>and recovering them from beneficiaries. Controls carried out by Member States represent the first layer of control in the activities to protect the EU budget. The Commission can apply preventive measures and/or financial corrections on the basis of irregularities or serious deficiencies identified by Member State authorities, on the basis of its own verifications and audits or European Anti-Fraud Office investigations, or as a result of audits by the European Court of Auditors.</w:t>
      </w:r>
    </w:p>
    <w:p w:rsidR="00311BB8" w:rsidRDefault="00D91061">
      <w:pPr>
        <w:pStyle w:val="AMPRBodyText"/>
        <w:rPr>
          <w:noProof/>
          <w:lang w:eastAsia="fr-BE"/>
        </w:rPr>
      </w:pPr>
      <w:r>
        <w:rPr>
          <w:noProof/>
          <w:lang w:eastAsia="fr-BE"/>
        </w:rPr>
        <w:t xml:space="preserve">For the </w:t>
      </w:r>
      <w:r>
        <w:rPr>
          <w:rStyle w:val="AMPRcharBoldOrange"/>
          <w:noProof/>
        </w:rPr>
        <w:t>Cohesion Fund</w:t>
      </w:r>
      <w:r>
        <w:rPr>
          <w:noProof/>
          <w:lang w:eastAsia="fr-BE"/>
        </w:rPr>
        <w:t xml:space="preserve"> and the </w:t>
      </w:r>
      <w:r>
        <w:rPr>
          <w:rStyle w:val="AMPRcharBoldOrange"/>
          <w:noProof/>
        </w:rPr>
        <w:t>European Agricultural Fund for Rural Development</w:t>
      </w:r>
      <w:r>
        <w:rPr>
          <w:noProof/>
          <w:lang w:eastAsia="fr-BE"/>
        </w:rPr>
        <w:t xml:space="preserve">, the vast majority of the financial corrections confirmed/implemented in 2019 relate to the 2007-2013 programme period. The corrections confirmed or implemented during the year relate to errors and irregularities detected in 2019 or in previous years. Overall, </w:t>
      </w:r>
      <w:r>
        <w:rPr>
          <w:noProof/>
        </w:rPr>
        <w:t>98.6</w:t>
      </w:r>
      <w:r>
        <w:rPr>
          <w:noProof/>
          <w:lang w:eastAsia="fr-BE"/>
        </w:rPr>
        <w:t>% of the total financial corrections confirmed had been implemented by the end of 2019.</w:t>
      </w:r>
    </w:p>
    <w:p w:rsidR="00311BB8" w:rsidRDefault="00D91061">
      <w:pPr>
        <w:pStyle w:val="AMPRBodyText"/>
        <w:rPr>
          <w:rFonts w:eastAsia="Calibri"/>
          <w:noProof/>
          <w:lang w:eastAsia="fr-BE"/>
        </w:rPr>
      </w:pPr>
      <w:r>
        <w:rPr>
          <w:noProof/>
        </w:rPr>
        <w:br w:type="page"/>
      </w:r>
    </w:p>
    <w:p w:rsidR="00311BB8" w:rsidRDefault="00D91061">
      <w:pPr>
        <w:pStyle w:val="AMPRAnnexesTITLE4-Numbered"/>
        <w:rPr>
          <w:noProof/>
        </w:rPr>
      </w:pPr>
      <w:bookmarkStart w:id="22" w:name="_Toc479609261"/>
      <w:bookmarkStart w:id="23" w:name="_Toc479611808"/>
      <w:bookmarkStart w:id="24" w:name="_Toc479693356"/>
      <w:bookmarkStart w:id="25" w:name="_Toc479700590"/>
      <w:r>
        <w:rPr>
          <w:noProof/>
        </w:rPr>
        <w:t>Agriculture and rural development</w:t>
      </w:r>
      <w:bookmarkEnd w:id="22"/>
      <w:bookmarkEnd w:id="23"/>
      <w:bookmarkEnd w:id="24"/>
      <w:bookmarkEnd w:id="25"/>
    </w:p>
    <w:p w:rsidR="00311BB8" w:rsidRDefault="00D91061">
      <w:pPr>
        <w:pStyle w:val="AMPRBodyText"/>
        <w:rPr>
          <w:noProof/>
          <w:lang w:eastAsia="fr-BE"/>
        </w:rPr>
      </w:pPr>
      <w:r>
        <w:rPr>
          <w:noProof/>
          <w:lang w:eastAsia="fr-BE"/>
        </w:rPr>
        <w:t xml:space="preserve">For the </w:t>
      </w:r>
      <w:r>
        <w:rPr>
          <w:rStyle w:val="AMPRcharBoldOrange"/>
          <w:noProof/>
        </w:rPr>
        <w:t>European Agricultural Guarantee Fund</w:t>
      </w:r>
      <w:r>
        <w:rPr>
          <w:noProof/>
          <w:lang w:eastAsia="fr-BE"/>
        </w:rPr>
        <w:t>, the average correction rate for Commission financial corrections under conformity clearance of accounts from 1999 to the end of 2019 was 1.7% of expenditure (all of which are net financial corrections).</w:t>
      </w:r>
    </w:p>
    <w:p w:rsidR="00311BB8" w:rsidRDefault="00D91061">
      <w:pPr>
        <w:pStyle w:val="AMPRBodyText"/>
        <w:rPr>
          <w:noProof/>
        </w:rPr>
      </w:pPr>
      <w:r>
        <w:rPr>
          <w:noProof/>
        </w:rPr>
        <w:t xml:space="preserve">Net corrections leading to a reimbursement to the EU budget are characteristic of agriculture and rural development (the European Agricultural Guarantee Fund and the European Agricultural Fund for Rural Development). In 2019 the main corrections related notably to specific deficiencies in the Integrated Administration and Control System in some Member States, </w:t>
      </w:r>
      <w:r>
        <w:rPr>
          <w:noProof/>
          <w:color w:val="auto"/>
        </w:rPr>
        <w:t>insufficient checks on eligibility criteria in some rural development measures, issues detected in the checks to establish access to the aid claimed and in the on-site checks in the fruit and vegetable sector and</w:t>
      </w:r>
      <w:r>
        <w:rPr>
          <w:noProof/>
        </w:rPr>
        <w:t xml:space="preserve"> deficiencies in cross-compliance controls and in the application of sanctions.</w:t>
      </w:r>
    </w:p>
    <w:p w:rsidR="00311BB8" w:rsidRDefault="00D91061">
      <w:pPr>
        <w:pStyle w:val="AMPRBodyText"/>
        <w:rPr>
          <w:noProof/>
          <w:color w:val="auto"/>
        </w:rPr>
      </w:pPr>
      <w:r>
        <w:rPr>
          <w:noProof/>
        </w:rPr>
        <w:t>The Commission applies a number of available preventive instruments such as the interruption, suspension and reduction of EU financing with a view to better protecting the EU budget and incentivising Member States to reduce irregular payments. In 2019, the Commission issued common agricultural policy-related decisions for interruptions of EUR</w:t>
      </w:r>
      <w:r>
        <w:rPr>
          <w:rStyle w:val="Bodytext2Bold"/>
          <w:rFonts w:ascii="Calibri" w:eastAsiaTheme="minorHAnsi" w:hAnsi="Calibri" w:cs="Calibri"/>
          <w:b w:val="0"/>
          <w:noProof/>
          <w:color w:val="auto"/>
        </w:rPr>
        <w:t> </w:t>
      </w:r>
      <w:r>
        <w:rPr>
          <w:noProof/>
        </w:rPr>
        <w:t>4</w:t>
      </w:r>
      <w:r>
        <w:rPr>
          <w:rFonts w:ascii="Calibri" w:hAnsi="Calibri" w:cs="Calibri"/>
          <w:noProof/>
        </w:rPr>
        <w:t> </w:t>
      </w:r>
      <w:r>
        <w:rPr>
          <w:noProof/>
        </w:rPr>
        <w:t>million, for the reduction of payments of EUR</w:t>
      </w:r>
      <w:r>
        <w:rPr>
          <w:rStyle w:val="Bodytext2Bold"/>
          <w:rFonts w:ascii="Calibri" w:eastAsiaTheme="minorHAnsi" w:hAnsi="Calibri" w:cs="Calibri"/>
          <w:b w:val="0"/>
          <w:noProof/>
          <w:color w:val="auto"/>
        </w:rPr>
        <w:t> </w:t>
      </w:r>
      <w:r>
        <w:rPr>
          <w:noProof/>
        </w:rPr>
        <w:t>68</w:t>
      </w:r>
      <w:r>
        <w:rPr>
          <w:rFonts w:ascii="Calibri" w:hAnsi="Calibri" w:cs="Calibri"/>
          <w:noProof/>
        </w:rPr>
        <w:t> </w:t>
      </w:r>
      <w:r>
        <w:rPr>
          <w:noProof/>
        </w:rPr>
        <w:t>million, and for suspensions of EUR</w:t>
      </w:r>
      <w:r>
        <w:rPr>
          <w:rStyle w:val="Bodytext2Bold"/>
          <w:rFonts w:ascii="Calibri" w:eastAsiaTheme="minorHAnsi" w:hAnsi="Calibri" w:cs="Calibri"/>
          <w:b w:val="0"/>
          <w:noProof/>
          <w:color w:val="auto"/>
        </w:rPr>
        <w:t> </w:t>
      </w:r>
      <w:r>
        <w:rPr>
          <w:noProof/>
        </w:rPr>
        <w:t>0.33</w:t>
      </w:r>
      <w:r>
        <w:rPr>
          <w:rFonts w:ascii="Calibri" w:hAnsi="Calibri" w:cs="Calibri"/>
          <w:noProof/>
        </w:rPr>
        <w:t> </w:t>
      </w:r>
      <w:r>
        <w:rPr>
          <w:noProof/>
        </w:rPr>
        <w:t xml:space="preserve">million. </w:t>
      </w:r>
      <w:r>
        <w:rPr>
          <w:noProof/>
          <w:color w:val="auto"/>
        </w:rPr>
        <w:t>Reductions include amounts for late payments or ceiling overruns by Member States.</w:t>
      </w:r>
    </w:p>
    <w:p w:rsidR="00311BB8" w:rsidRDefault="00D91061">
      <w:pPr>
        <w:pStyle w:val="AMPRBodyText"/>
        <w:rPr>
          <w:noProof/>
          <w:color w:val="auto"/>
        </w:rPr>
      </w:pPr>
      <w:r>
        <w:rPr>
          <w:noProof/>
          <w:color w:val="auto"/>
        </w:rPr>
        <w:t xml:space="preserve">As regards the </w:t>
      </w:r>
      <w:r>
        <w:rPr>
          <w:rStyle w:val="AMPRcharBoldOrange"/>
          <w:noProof/>
        </w:rPr>
        <w:t>European Agricultural Guarantee Fund</w:t>
      </w:r>
      <w:r>
        <w:rPr>
          <w:noProof/>
          <w:color w:val="auto"/>
        </w:rPr>
        <w:t>, the Member States where, for example, the Integrated Administration and Control System, including the Land Parcel Identification System, does not reach the necessary quality level are required to put in place appropriate action plans; they risk suspension of reimbursements should the action plan not be properly implemented.</w:t>
      </w:r>
    </w:p>
    <w:p w:rsidR="00311BB8" w:rsidRDefault="00D91061">
      <w:pPr>
        <w:pStyle w:val="AMPRBodyText"/>
        <w:rPr>
          <w:noProof/>
        </w:rPr>
      </w:pPr>
      <w:r>
        <w:rPr>
          <w:noProof/>
        </w:rPr>
        <w:t xml:space="preserve">For the </w:t>
      </w:r>
      <w:r>
        <w:rPr>
          <w:rStyle w:val="AMPRcharBoldOrange"/>
          <w:noProof/>
        </w:rPr>
        <w:t>European Agricultural Fund for Rural Development</w:t>
      </w:r>
      <w:r>
        <w:rPr>
          <w:noProof/>
        </w:rPr>
        <w:t>, the Commission interrupts payments in the event of problems and also has recourse to suspensions and reductions. Similarly as for the European Agricultural Guarantee Fund, Member States are asked to put in place action plans where serious deficiencies are detected in the management and control system; they face the same risk of suspensions as for the European Agricultural Guarantee Fund should they not follow through properly.</w:t>
      </w:r>
    </w:p>
    <w:p w:rsidR="00311BB8" w:rsidRDefault="00D91061">
      <w:pPr>
        <w:pStyle w:val="AMPRBodyText"/>
        <w:rPr>
          <w:noProof/>
        </w:rPr>
      </w:pPr>
      <w:r>
        <w:rPr>
          <w:noProof/>
        </w:rPr>
        <w:t>In general, the Commission is implementing an ambitious simplification process which has already begun to reduce complexity and the administrative burden and will continue to do so, contributing to further reducing the risk of error.</w:t>
      </w:r>
    </w:p>
    <w:p w:rsidR="00311BB8" w:rsidRDefault="00D91061">
      <w:pPr>
        <w:pStyle w:val="AMPRBodyText"/>
        <w:rPr>
          <w:noProof/>
        </w:rPr>
      </w:pPr>
      <w:r>
        <w:rPr>
          <w:noProof/>
        </w:rPr>
        <w:t>In addition to the financial corrections, Member States’ own reductions before payments to beneficiaries amounted to EUR</w:t>
      </w:r>
      <w:r>
        <w:rPr>
          <w:rStyle w:val="Bodytext2Bold"/>
          <w:rFonts w:ascii="Calibri" w:eastAsiaTheme="minorHAnsi" w:hAnsi="Calibri" w:cs="Calibri"/>
          <w:b w:val="0"/>
          <w:noProof/>
          <w:color w:val="auto"/>
        </w:rPr>
        <w:t> </w:t>
      </w:r>
      <w:r>
        <w:rPr>
          <w:noProof/>
        </w:rPr>
        <w:t>542</w:t>
      </w:r>
      <w:r>
        <w:rPr>
          <w:rStyle w:val="Bodytext2Bold"/>
          <w:rFonts w:ascii="Calibri" w:eastAsiaTheme="minorHAnsi" w:hAnsi="Calibri" w:cs="Calibri"/>
          <w:b w:val="0"/>
          <w:noProof/>
          <w:color w:val="auto"/>
        </w:rPr>
        <w:t> </w:t>
      </w:r>
      <w:r>
        <w:rPr>
          <w:noProof/>
        </w:rPr>
        <w:t>million at the end of the 2019 financial year.</w:t>
      </w:r>
    </w:p>
    <w:p w:rsidR="00311BB8" w:rsidRDefault="00D91061">
      <w:pPr>
        <w:pStyle w:val="AMPRAnnexesTITLE4-Numbered"/>
        <w:rPr>
          <w:noProof/>
        </w:rPr>
      </w:pPr>
      <w:bookmarkStart w:id="26" w:name="_Toc479609262"/>
      <w:bookmarkStart w:id="27" w:name="_Toc479611809"/>
      <w:bookmarkStart w:id="28" w:name="_Toc479693357"/>
      <w:bookmarkStart w:id="29" w:name="_Toc479700591"/>
      <w:bookmarkStart w:id="30" w:name="_Toc480559529"/>
      <w:bookmarkStart w:id="31" w:name="_Toc480559699"/>
      <w:bookmarkStart w:id="32" w:name="_Toc480559979"/>
      <w:bookmarkStart w:id="33" w:name="_Toc480799697"/>
      <w:bookmarkStart w:id="34" w:name="_Toc480969171"/>
      <w:bookmarkStart w:id="35" w:name="_Toc480971010"/>
      <w:bookmarkStart w:id="36" w:name="_Toc480975093"/>
      <w:bookmarkStart w:id="37" w:name="_Toc480975262"/>
      <w:bookmarkStart w:id="38" w:name="_Toc480983323"/>
      <w:r>
        <w:rPr>
          <w:noProof/>
        </w:rPr>
        <w:t>Cohesion</w:t>
      </w:r>
      <w:bookmarkEnd w:id="26"/>
      <w:bookmarkEnd w:id="27"/>
      <w:bookmarkEnd w:id="28"/>
      <w:bookmarkEnd w:id="29"/>
      <w:bookmarkEnd w:id="30"/>
      <w:bookmarkEnd w:id="31"/>
      <w:bookmarkEnd w:id="32"/>
      <w:bookmarkEnd w:id="33"/>
      <w:bookmarkEnd w:id="34"/>
      <w:bookmarkEnd w:id="35"/>
      <w:bookmarkEnd w:id="36"/>
      <w:bookmarkEnd w:id="37"/>
      <w:bookmarkEnd w:id="38"/>
    </w:p>
    <w:p w:rsidR="00311BB8" w:rsidRDefault="00D91061">
      <w:pPr>
        <w:pStyle w:val="AMPRBodyText"/>
        <w:rPr>
          <w:noProof/>
          <w:lang w:eastAsia="fr-BE"/>
        </w:rPr>
      </w:pPr>
      <w:r>
        <w:rPr>
          <w:noProof/>
          <w:lang w:eastAsia="fr-BE"/>
        </w:rPr>
        <w:t xml:space="preserve">As regards the 2007-2013 funds of the </w:t>
      </w:r>
      <w:r>
        <w:rPr>
          <w:rStyle w:val="AMPRcharBoldOrange"/>
          <w:noProof/>
        </w:rPr>
        <w:t>European Regional Development Fund</w:t>
      </w:r>
      <w:r>
        <w:rPr>
          <w:noProof/>
          <w:lang w:eastAsia="fr-BE"/>
        </w:rPr>
        <w:t xml:space="preserve">, the </w:t>
      </w:r>
      <w:r>
        <w:rPr>
          <w:rStyle w:val="AMPRcharBoldOrange"/>
          <w:noProof/>
        </w:rPr>
        <w:t>Cohesion Fund</w:t>
      </w:r>
      <w:r>
        <w:rPr>
          <w:noProof/>
          <w:lang w:eastAsia="fr-BE"/>
        </w:rPr>
        <w:t xml:space="preserve"> and the </w:t>
      </w:r>
      <w:r>
        <w:rPr>
          <w:rStyle w:val="AMPRcharBoldOrange"/>
          <w:noProof/>
        </w:rPr>
        <w:t>European Social Fund</w:t>
      </w:r>
      <w:r>
        <w:rPr>
          <w:noProof/>
          <w:lang w:eastAsia="fr-BE"/>
        </w:rPr>
        <w:t xml:space="preserve">, at the end of 2019 the combined rate of financial corrections, based on Commission supervision work only, amounted to 2.1% of the allocations made. </w:t>
      </w:r>
    </w:p>
    <w:p w:rsidR="00311BB8" w:rsidRDefault="00D91061">
      <w:pPr>
        <w:pStyle w:val="AMPRBodyText"/>
        <w:rPr>
          <w:noProof/>
          <w:lang w:eastAsia="fr-BE"/>
        </w:rPr>
      </w:pPr>
      <w:r>
        <w:rPr>
          <w:noProof/>
          <w:lang w:eastAsia="fr-BE"/>
        </w:rPr>
        <w:t xml:space="preserve">For cohesion policy, net corrections are rather the exception, due to the different legal framework </w:t>
      </w:r>
      <w:r>
        <w:rPr>
          <w:noProof/>
        </w:rPr>
        <w:t xml:space="preserve">compared to that of agriculture </w:t>
      </w:r>
      <w:r>
        <w:rPr>
          <w:noProof/>
          <w:lang w:eastAsia="fr-BE"/>
        </w:rPr>
        <w:t xml:space="preserve">and type of budget management (reinforced preventive mechanism). Where the Commission identifies individual irregularities (including ones of a systemic nature) or serious deficiencies in the Member State management and control systems, it can apply financial corrections </w:t>
      </w:r>
      <w:r>
        <w:rPr>
          <w:noProof/>
        </w:rPr>
        <w:t xml:space="preserve">(including at a flat rate) </w:t>
      </w:r>
      <w:r>
        <w:rPr>
          <w:noProof/>
          <w:lang w:eastAsia="fr-BE"/>
        </w:rPr>
        <w:t>with the purpose of restoring a situation where all or part of the expenditure declared for co-financing from the European Regional Development Fund, the Cohesion Fund or the European Social Fund</w:t>
      </w:r>
      <w:r>
        <w:rPr>
          <w:b/>
          <w:bCs/>
          <w:noProof/>
          <w:lang w:eastAsia="fr-BE"/>
        </w:rPr>
        <w:t xml:space="preserve"> </w:t>
      </w:r>
      <w:r>
        <w:rPr>
          <w:noProof/>
          <w:lang w:eastAsia="fr-BE"/>
        </w:rPr>
        <w:t>and reimbursed by the Commission is in line with the applicable rules.</w:t>
      </w:r>
    </w:p>
    <w:p w:rsidR="00311BB8" w:rsidRDefault="00D91061">
      <w:pPr>
        <w:pStyle w:val="AMPRBodyText"/>
        <w:rPr>
          <w:noProof/>
          <w:highlight w:val="lightGray"/>
          <w:lang w:eastAsia="fr-BE"/>
        </w:rPr>
      </w:pPr>
      <w:r>
        <w:rPr>
          <w:noProof/>
          <w:lang w:eastAsia="fr-BE"/>
        </w:rPr>
        <w:t xml:space="preserve">During the </w:t>
      </w:r>
      <w:r>
        <w:rPr>
          <w:rStyle w:val="AMPRcharBoldOrange"/>
          <w:noProof/>
        </w:rPr>
        <w:t>2000-2006</w:t>
      </w:r>
      <w:r>
        <w:rPr>
          <w:noProof/>
          <w:lang w:eastAsia="fr-BE"/>
        </w:rPr>
        <w:t xml:space="preserve"> and </w:t>
      </w:r>
      <w:r>
        <w:rPr>
          <w:rStyle w:val="AMPRcharBoldOrange"/>
          <w:noProof/>
        </w:rPr>
        <w:t>2007-2013 programming periods</w:t>
      </w:r>
      <w:r>
        <w:rPr>
          <w:noProof/>
          <w:lang w:eastAsia="fr-BE"/>
        </w:rPr>
        <w:t>, Member States were able to replace irregular expenditure with new expenditure if they took the necessary corrective actions and applied the related financial correction. If the Member State did not have such additional expenditure to declare, the financial correction resulted in a net correction (i.e. loss of EU assistance)</w:t>
      </w:r>
      <w:r>
        <w:rPr>
          <w:noProof/>
        </w:rPr>
        <w:t>, in particular at closure</w:t>
      </w:r>
      <w:r>
        <w:rPr>
          <w:noProof/>
          <w:lang w:eastAsia="fr-BE"/>
        </w:rPr>
        <w:t xml:space="preserve">. In contrast, a Commission financial correction decision </w:t>
      </w:r>
      <w:r>
        <w:rPr>
          <w:noProof/>
        </w:rPr>
        <w:t xml:space="preserve">(in case the Member State continued to disagree on the need for a correction) </w:t>
      </w:r>
      <w:r>
        <w:rPr>
          <w:noProof/>
          <w:lang w:eastAsia="fr-BE"/>
        </w:rPr>
        <w:t xml:space="preserve">always had a direct, net impact on the Member State: the Member State had to pay the amount back and its financial allocation was reduced (i.e. the Member State could not spend as much money throughout the programme period). </w:t>
      </w:r>
      <w:r>
        <w:rPr>
          <w:noProof/>
        </w:rPr>
        <w:t>For the European Social Fund, there are still 27 programmes for the 2000-2006 programming period and 17 for the 2007-2013 period with outstanding pending recoveries and administrative and judicial proceedings at Member State level, mainly for Germany and Italy. The full closure is in progress.</w:t>
      </w:r>
    </w:p>
    <w:p w:rsidR="00311BB8" w:rsidRDefault="00D91061">
      <w:pPr>
        <w:pStyle w:val="AMPRBodyText"/>
        <w:rPr>
          <w:noProof/>
          <w:highlight w:val="lightGray"/>
          <w:lang w:eastAsia="fr-BE"/>
        </w:rPr>
      </w:pPr>
      <w:r>
        <w:rPr>
          <w:noProof/>
          <w:lang w:eastAsia="fr-BE"/>
        </w:rPr>
        <w:t>The European Court of Auditors assessed the effectiveness of the preventive and corrective measures taken by the Commission in the cohesion policy for 2007 to 2013</w:t>
      </w:r>
      <w:r>
        <w:rPr>
          <w:rFonts w:ascii="Calibri" w:hAnsi="Calibri" w:cs="Calibri"/>
          <w:noProof/>
          <w:lang w:eastAsia="fr-BE"/>
        </w:rPr>
        <w:t> </w:t>
      </w:r>
      <w:r>
        <w:rPr>
          <w:noProof/>
          <w:lang w:eastAsia="fr-BE"/>
        </w:rPr>
        <w:t>(</w:t>
      </w:r>
      <w:r>
        <w:rPr>
          <w:noProof/>
          <w:vertAlign w:val="superscript"/>
          <w:lang w:eastAsia="fr-BE"/>
        </w:rPr>
        <w:footnoteReference w:id="25"/>
      </w:r>
      <w:r>
        <w:rPr>
          <w:noProof/>
          <w:lang w:eastAsia="fr-BE"/>
        </w:rPr>
        <w:t>) and concluded that, overall, the Commission had made effective use of the measures at its disposal to protect the EU budget from irregular expenditure and that the Commission’s corrective measures put pressure on Member States to address weaknesses in their management and control systems.</w:t>
      </w:r>
    </w:p>
    <w:p w:rsidR="00311BB8" w:rsidRDefault="00D91061">
      <w:pPr>
        <w:pStyle w:val="AMPRBodyText"/>
        <w:rPr>
          <w:noProof/>
          <w:lang w:eastAsia="fr-BE"/>
        </w:rPr>
      </w:pPr>
      <w:r>
        <w:rPr>
          <w:noProof/>
          <w:lang w:eastAsia="fr-BE"/>
        </w:rPr>
        <w:t xml:space="preserve">The regulatory provisions for the </w:t>
      </w:r>
      <w:r>
        <w:rPr>
          <w:rStyle w:val="AMPRcharBoldOrange"/>
          <w:noProof/>
        </w:rPr>
        <w:t>2014-2020 programming period</w:t>
      </w:r>
      <w:r>
        <w:rPr>
          <w:noProof/>
          <w:lang w:eastAsia="fr-BE"/>
        </w:rPr>
        <w:t xml:space="preserve"> significantly strengthen the Commission’s position on protecting the EU budget from irregular expenditure. </w:t>
      </w:r>
    </w:p>
    <w:p w:rsidR="00311BB8" w:rsidRDefault="00D91061">
      <w:pPr>
        <w:pStyle w:val="AMPRBodyText"/>
        <w:rPr>
          <w:noProof/>
          <w:lang w:eastAsia="fr-BE"/>
        </w:rPr>
      </w:pPr>
      <w:r>
        <w:rPr>
          <w:noProof/>
          <w:lang w:eastAsia="fr-BE"/>
        </w:rPr>
        <w:t>This is mainly due to the set-up of the assurance model for the 2014-2020 programming period, which reduces the risk of a material level of error appearing in the accounts submitted on a yearly basis. In fact, the new legal framework provides for the increased accountability of programme managing authorities, which have to perform sound management verifications in time for the submission of programme accounts each year. During the accounting year the Commission retains 10% of each interim payment until the finalisation of the national control cycle. Member States have the opportunity to correct the declared expenditure during the accounting year by withdrawing the irregular expenditure and replacing it with a new, regular one. In addition, financial corrections in the accounts, as preventive or corrective measures, provide more assurance.</w:t>
      </w:r>
    </w:p>
    <w:p w:rsidR="00311BB8" w:rsidRDefault="00D91061">
      <w:pPr>
        <w:pStyle w:val="AMPRBodyText"/>
        <w:rPr>
          <w:noProof/>
          <w:highlight w:val="lightGray"/>
          <w:lang w:eastAsia="fr-BE"/>
        </w:rPr>
      </w:pPr>
      <w:r>
        <w:rPr>
          <w:noProof/>
          <w:lang w:eastAsia="fr-BE"/>
        </w:rPr>
        <w:t xml:space="preserve">It is in the Member States’ best interests to ensure the timely identification of deficiencies in the functioning of the management and control system and in the reporting of reliable error rates, since the Commission will make net financial corrections if Member States have not appropriately addressed any deficiencies before submitting their annual accounts to the Commission. </w:t>
      </w:r>
      <w:r>
        <w:rPr>
          <w:noProof/>
        </w:rPr>
        <w:t>The co-legislator however set strict conditions for the application of such net financial corrections, which the Commission needs to scrupulously assess and respect in each case.</w:t>
      </w:r>
    </w:p>
    <w:p w:rsidR="00311BB8" w:rsidRDefault="00D91061">
      <w:pPr>
        <w:pStyle w:val="AMPRBodyText"/>
        <w:rPr>
          <w:noProof/>
        </w:rPr>
      </w:pPr>
      <w:r>
        <w:rPr>
          <w:noProof/>
        </w:rPr>
        <w:t>For 2014 to 2020, the Member States themselves applied financial corrections in 2019 totalling EUR</w:t>
      </w:r>
      <w:r>
        <w:rPr>
          <w:rFonts w:ascii="Calibri" w:eastAsia="Arial" w:hAnsi="Calibri" w:cs="Calibri"/>
          <w:noProof/>
          <w:lang w:bidi="en-US"/>
        </w:rPr>
        <w:t> </w:t>
      </w:r>
      <w:r>
        <w:rPr>
          <w:noProof/>
        </w:rPr>
        <w:t>527.0</w:t>
      </w:r>
      <w:r>
        <w:rPr>
          <w:rFonts w:ascii="Arial" w:hAnsi="Arial" w:cs="Arial"/>
          <w:noProof/>
        </w:rPr>
        <w:t> </w:t>
      </w:r>
      <w:r>
        <w:rPr>
          <w:noProof/>
        </w:rPr>
        <w:t xml:space="preserve">million for the </w:t>
      </w:r>
      <w:r>
        <w:rPr>
          <w:rStyle w:val="AMPRcharBoldOrange"/>
          <w:noProof/>
        </w:rPr>
        <w:t>European Regional Development Fund</w:t>
      </w:r>
      <w:r>
        <w:rPr>
          <w:rStyle w:val="AMPRcharBoldOrange"/>
          <w:rFonts w:ascii="Calibri" w:hAnsi="Calibri" w:cs="Calibri"/>
          <w:noProof/>
        </w:rPr>
        <w:t> </w:t>
      </w:r>
      <w:r>
        <w:rPr>
          <w:rStyle w:val="AMPRcharBoldOrange"/>
          <w:noProof/>
        </w:rPr>
        <w:t>/ Cohesion Fund</w:t>
      </w:r>
      <w:r>
        <w:rPr>
          <w:noProof/>
        </w:rPr>
        <w:t xml:space="preserve">, while the financial corrections imposed for the </w:t>
      </w:r>
      <w:r>
        <w:rPr>
          <w:rStyle w:val="AMPRcharBoldOrange"/>
          <w:noProof/>
        </w:rPr>
        <w:t>European Social Fund</w:t>
      </w:r>
      <w:r>
        <w:rPr>
          <w:rStyle w:val="AMPRcharBoldOrange"/>
          <w:rFonts w:ascii="Calibri" w:hAnsi="Calibri" w:cs="Calibri"/>
          <w:noProof/>
        </w:rPr>
        <w:t> </w:t>
      </w:r>
      <w:r>
        <w:rPr>
          <w:rStyle w:val="AMPRcharBoldOrange"/>
          <w:noProof/>
        </w:rPr>
        <w:t>/ Youth Employment Initiative</w:t>
      </w:r>
      <w:r>
        <w:rPr>
          <w:b/>
          <w:noProof/>
          <w:color w:val="E48C32"/>
        </w:rPr>
        <w:t xml:space="preserve"> </w:t>
      </w:r>
      <w:r>
        <w:rPr>
          <w:noProof/>
        </w:rPr>
        <w:t xml:space="preserve">and the </w:t>
      </w:r>
      <w:r>
        <w:rPr>
          <w:rStyle w:val="AMPRcharBoldOrange"/>
          <w:noProof/>
        </w:rPr>
        <w:t>Fund for European Aid to the Most Deprived</w:t>
      </w:r>
      <w:r>
        <w:rPr>
          <w:noProof/>
        </w:rPr>
        <w:t xml:space="preserve"> amounted to EUR</w:t>
      </w:r>
      <w:r>
        <w:rPr>
          <w:rFonts w:ascii="Calibri" w:eastAsia="Arial" w:hAnsi="Calibri" w:cs="Calibri"/>
          <w:noProof/>
          <w:lang w:bidi="en-US"/>
        </w:rPr>
        <w:t> </w:t>
      </w:r>
      <w:r>
        <w:rPr>
          <w:noProof/>
        </w:rPr>
        <w:t>134.4</w:t>
      </w:r>
      <w:r>
        <w:rPr>
          <w:rFonts w:ascii="Calibri" w:eastAsia="Arial" w:hAnsi="Calibri" w:cs="Calibri"/>
          <w:noProof/>
          <w:lang w:bidi="en-US"/>
        </w:rPr>
        <w:t> </w:t>
      </w:r>
      <w:r>
        <w:rPr>
          <w:noProof/>
        </w:rPr>
        <w:t>million. The financial corrections reported for</w:t>
      </w:r>
      <w:r>
        <w:rPr>
          <w:rFonts w:eastAsia="Calibri"/>
          <w:noProof/>
          <w:lang w:eastAsia="fr-BE"/>
        </w:rPr>
        <w:t xml:space="preserve"> the </w:t>
      </w:r>
      <w:r>
        <w:rPr>
          <w:rStyle w:val="AMPRcharBoldOrange"/>
          <w:noProof/>
        </w:rPr>
        <w:t>European Maritime and Fisheries Fund</w:t>
      </w:r>
      <w:r>
        <w:rPr>
          <w:rFonts w:eastAsia="Calibri"/>
          <w:noProof/>
          <w:lang w:eastAsia="fr-BE"/>
        </w:rPr>
        <w:t xml:space="preserve"> amounted</w:t>
      </w:r>
      <w:r>
        <w:rPr>
          <w:rFonts w:asciiTheme="minorHAnsi" w:eastAsia="Calibri" w:hAnsiTheme="minorHAnsi"/>
          <w:noProof/>
          <w:lang w:eastAsia="fr-BE"/>
        </w:rPr>
        <w:t xml:space="preserve"> to EUR</w:t>
      </w:r>
      <w:r>
        <w:rPr>
          <w:rFonts w:asciiTheme="minorHAnsi" w:eastAsia="Calibri" w:hAnsiTheme="minorHAnsi" w:cs="Calibri"/>
          <w:noProof/>
          <w:lang w:eastAsia="fr-BE"/>
        </w:rPr>
        <w:t> </w:t>
      </w:r>
      <w:r>
        <w:rPr>
          <w:rFonts w:asciiTheme="minorHAnsi" w:eastAsia="Calibri" w:hAnsiTheme="minorHAnsi"/>
          <w:noProof/>
          <w:lang w:eastAsia="fr-BE"/>
        </w:rPr>
        <w:t>8.3</w:t>
      </w:r>
      <w:r>
        <w:rPr>
          <w:rFonts w:asciiTheme="minorHAnsi" w:eastAsia="Calibri" w:hAnsiTheme="minorHAnsi" w:cs="Calibri"/>
          <w:noProof/>
          <w:lang w:eastAsia="fr-BE"/>
        </w:rPr>
        <w:t> million.</w:t>
      </w:r>
    </w:p>
    <w:p w:rsidR="00311BB8" w:rsidRDefault="00D91061">
      <w:pPr>
        <w:pStyle w:val="AMPRBodyText"/>
        <w:rPr>
          <w:noProof/>
          <w:lang w:eastAsia="fr-BE"/>
        </w:rPr>
      </w:pPr>
      <w:r>
        <w:rPr>
          <w:noProof/>
          <w:lang w:eastAsia="fr-BE"/>
        </w:rPr>
        <w:t xml:space="preserve">In addition, Member States have deducted from the accounts significant amounts that were under ongoing assessments of legality and regularity </w:t>
      </w:r>
      <w:r>
        <w:rPr>
          <w:noProof/>
        </w:rPr>
        <w:t>and for which the programme’s certifying authorities were therefore not in a position to certify the legality and regularity of the expenditure at the time of submitting the accounts, as per their regulatory obligation.</w:t>
      </w:r>
    </w:p>
    <w:p w:rsidR="00311BB8" w:rsidRDefault="00D91061">
      <w:pPr>
        <w:pStyle w:val="AMPRAnnexesTITLE4-Numbered"/>
        <w:rPr>
          <w:noProof/>
        </w:rPr>
      </w:pPr>
      <w:bookmarkStart w:id="39" w:name="_Toc479609263"/>
      <w:bookmarkStart w:id="40" w:name="_Toc479611810"/>
      <w:bookmarkStart w:id="41" w:name="_Toc479693358"/>
      <w:bookmarkStart w:id="42" w:name="_Toc479700592"/>
      <w:bookmarkStart w:id="43" w:name="_Toc480559530"/>
      <w:bookmarkStart w:id="44" w:name="_Toc480559700"/>
      <w:bookmarkStart w:id="45" w:name="_Toc480559980"/>
      <w:bookmarkStart w:id="46" w:name="_Toc480799698"/>
      <w:bookmarkStart w:id="47" w:name="_Toc480969172"/>
      <w:bookmarkStart w:id="48" w:name="_Toc480971011"/>
      <w:bookmarkStart w:id="49" w:name="_Toc480975094"/>
      <w:bookmarkStart w:id="50" w:name="_Toc480975263"/>
      <w:bookmarkStart w:id="51" w:name="_Toc480983324"/>
      <w:r>
        <w:rPr>
          <w:noProof/>
        </w:rPr>
        <w:t>Direct and indirect management</w:t>
      </w:r>
      <w:bookmarkEnd w:id="39"/>
      <w:bookmarkEnd w:id="40"/>
      <w:bookmarkEnd w:id="41"/>
      <w:bookmarkEnd w:id="42"/>
      <w:bookmarkEnd w:id="43"/>
      <w:bookmarkEnd w:id="44"/>
      <w:bookmarkEnd w:id="45"/>
      <w:bookmarkEnd w:id="46"/>
      <w:bookmarkEnd w:id="47"/>
      <w:bookmarkEnd w:id="48"/>
      <w:bookmarkEnd w:id="49"/>
      <w:bookmarkEnd w:id="50"/>
      <w:bookmarkEnd w:id="51"/>
    </w:p>
    <w:p w:rsidR="00311BB8" w:rsidRDefault="00D91061">
      <w:pPr>
        <w:pStyle w:val="AMPRBodyText"/>
        <w:rPr>
          <w:noProof/>
          <w:lang w:eastAsia="fr-BE"/>
        </w:rPr>
      </w:pPr>
      <w:r>
        <w:rPr>
          <w:noProof/>
          <w:lang w:eastAsia="fr-BE"/>
        </w:rPr>
        <w:t xml:space="preserve">The Commission has established a control framework for direct and indirect management which focuses on </w:t>
      </w:r>
      <w:r>
        <w:rPr>
          <w:i/>
          <w:noProof/>
          <w:lang w:eastAsia="fr-BE"/>
        </w:rPr>
        <w:t>ex</w:t>
      </w:r>
      <w:r>
        <w:rPr>
          <w:rFonts w:ascii="Calibri" w:hAnsi="Calibri"/>
          <w:i/>
          <w:noProof/>
          <w:lang w:eastAsia="fr-BE"/>
        </w:rPr>
        <w:t> </w:t>
      </w:r>
      <w:r>
        <w:rPr>
          <w:i/>
          <w:noProof/>
          <w:lang w:eastAsia="fr-BE"/>
        </w:rPr>
        <w:t>ante</w:t>
      </w:r>
      <w:r>
        <w:rPr>
          <w:noProof/>
          <w:lang w:eastAsia="fr-BE"/>
        </w:rPr>
        <w:t xml:space="preserve"> checks on payments, in-depth </w:t>
      </w:r>
      <w:r>
        <w:rPr>
          <w:i/>
          <w:noProof/>
          <w:lang w:eastAsia="fr-BE"/>
        </w:rPr>
        <w:t>ex</w:t>
      </w:r>
      <w:r>
        <w:rPr>
          <w:rFonts w:ascii="Calibri" w:hAnsi="Calibri"/>
          <w:i/>
          <w:noProof/>
          <w:lang w:eastAsia="fr-BE"/>
        </w:rPr>
        <w:t> </w:t>
      </w:r>
      <w:r>
        <w:rPr>
          <w:i/>
          <w:noProof/>
          <w:lang w:eastAsia="fr-BE"/>
        </w:rPr>
        <w:t>post</w:t>
      </w:r>
      <w:r>
        <w:rPr>
          <w:noProof/>
          <w:lang w:eastAsia="fr-BE"/>
        </w:rPr>
        <w:t xml:space="preserve"> checks carried out at the beneficiaries’ premises after costs have been incurred and declared, and verification missions to international organisations. Net corrections leading to a reimbursement to the EU budget are characteristic of programmes under direct and indirect management.</w:t>
      </w:r>
    </w:p>
    <w:p w:rsidR="00311BB8" w:rsidRDefault="00D91061">
      <w:pPr>
        <w:pStyle w:val="AMPRBodyText"/>
        <w:rPr>
          <w:noProof/>
          <w:lang w:eastAsia="fr-BE"/>
        </w:rPr>
      </w:pPr>
      <w:r>
        <w:rPr>
          <w:noProof/>
          <w:lang w:eastAsia="fr-BE"/>
        </w:rPr>
        <w:t>Specific control frameworks are put in place for spending under direct and indirect management, primarily covering the grant management process, because this addresses existing risks.</w:t>
      </w:r>
    </w:p>
    <w:p w:rsidR="00311BB8" w:rsidRDefault="00D91061">
      <w:pPr>
        <w:pStyle w:val="AMPRBodyText"/>
        <w:rPr>
          <w:rFonts w:eastAsia="Calibri"/>
          <w:noProof/>
          <w:lang w:eastAsia="fr-BE"/>
        </w:rPr>
      </w:pPr>
      <w:r>
        <w:rPr>
          <w:noProof/>
        </w:rPr>
        <w:br w:type="page"/>
      </w:r>
    </w:p>
    <w:p w:rsidR="00311BB8" w:rsidRDefault="00D91061">
      <w:pPr>
        <w:pStyle w:val="AMPRAnnexesTITLE3-Numbered"/>
        <w:rPr>
          <w:noProof/>
        </w:rPr>
      </w:pPr>
      <w:r>
        <w:rPr>
          <w:noProof/>
        </w:rPr>
        <w:t xml:space="preserve">Overview of </w:t>
      </w:r>
      <w:r>
        <w:rPr>
          <w:i/>
          <w:noProof/>
        </w:rPr>
        <w:t>ex ante</w:t>
      </w:r>
      <w:r>
        <w:rPr>
          <w:noProof/>
        </w:rPr>
        <w:t xml:space="preserve"> and </w:t>
      </w:r>
      <w:r>
        <w:rPr>
          <w:i/>
          <w:noProof/>
        </w:rPr>
        <w:t>ex post</w:t>
      </w:r>
      <w:r>
        <w:rPr>
          <w:noProof/>
        </w:rPr>
        <w:t xml:space="preserve"> controls</w:t>
      </w:r>
    </w:p>
    <w:p w:rsidR="00311BB8" w:rsidRDefault="00D91061">
      <w:pPr>
        <w:pStyle w:val="AMPRAnnexesTITLE4-Numbered"/>
        <w:rPr>
          <w:rFonts w:eastAsia="Calibri"/>
          <w:noProof/>
          <w:color w:val="E48C32"/>
          <w:lang w:eastAsia="fr-BE"/>
        </w:rPr>
      </w:pPr>
      <w:r>
        <w:rPr>
          <w:i/>
          <w:noProof/>
        </w:rPr>
        <w:t>Ex ante</w:t>
      </w:r>
      <w:r>
        <w:rPr>
          <w:noProof/>
        </w:rPr>
        <w:t xml:space="preserve"> controls</w:t>
      </w:r>
    </w:p>
    <w:p w:rsidR="00311BB8" w:rsidRDefault="00D91061">
      <w:pPr>
        <w:pStyle w:val="AMPRBodyText"/>
        <w:spacing w:after="360"/>
        <w:rPr>
          <w:noProof/>
          <w:lang w:eastAsia="fr-BE"/>
        </w:rPr>
      </w:pPr>
      <w:r>
        <w:rPr>
          <w:noProof/>
          <w:lang w:eastAsia="fr-BE"/>
        </w:rPr>
        <w:t>Prevention is the first line of defence against errors. The Commission’s key preventive mechanisms include interrupting and suspending payments</w:t>
      </w:r>
      <w:r>
        <w:rPr>
          <w:rFonts w:ascii="Calibri" w:hAnsi="Calibri" w:cs="Calibri"/>
          <w:noProof/>
          <w:lang w:eastAsia="fr-BE"/>
        </w:rPr>
        <w:t> </w:t>
      </w:r>
      <w:r>
        <w:rPr>
          <w:noProof/>
          <w:lang w:eastAsia="fr-BE"/>
        </w:rPr>
        <w:t>(</w:t>
      </w:r>
      <w:r>
        <w:rPr>
          <w:noProof/>
          <w:vertAlign w:val="superscript"/>
          <w:lang w:eastAsia="fr-BE"/>
        </w:rPr>
        <w:footnoteReference w:id="26"/>
      </w:r>
      <w:r>
        <w:rPr>
          <w:noProof/>
          <w:lang w:eastAsia="fr-BE"/>
        </w:rPr>
        <w:t xml:space="preserve">) as well as carrying out </w:t>
      </w:r>
      <w:r>
        <w:rPr>
          <w:i/>
          <w:noProof/>
          <w:lang w:eastAsia="fr-BE"/>
        </w:rPr>
        <w:t>ex ante</w:t>
      </w:r>
      <w:r>
        <w:rPr>
          <w:noProof/>
          <w:lang w:eastAsia="fr-BE"/>
        </w:rPr>
        <w:t xml:space="preserve"> controls leading to the rejection of ineligible amounts before the Commission accepts the expenditure and makes payments. The Commission is focusing more and more on such preventive measures with a view to better protecting the EU budget. These also serve as incentives for Member States to reduce irregular payments. </w:t>
      </w:r>
      <w:r>
        <w:rPr>
          <w:rStyle w:val="AMPRcharBoldOrange"/>
          <w:noProof/>
        </w:rPr>
        <w:t>In 2019, the confirmed preventive measures amounted to EUR</w:t>
      </w:r>
      <w:r>
        <w:rPr>
          <w:rStyle w:val="AMPRcharBoldOrange"/>
          <w:rFonts w:ascii="Calibri" w:hAnsi="Calibri" w:cs="Calibri"/>
          <w:noProof/>
        </w:rPr>
        <w:t> </w:t>
      </w:r>
      <w:r>
        <w:rPr>
          <w:rStyle w:val="AMPRcharBoldOrange"/>
          <w:noProof/>
        </w:rPr>
        <w:t>416</w:t>
      </w:r>
      <w:r>
        <w:rPr>
          <w:rStyle w:val="AMPRcharBoldOrange"/>
          <w:rFonts w:ascii="Calibri" w:hAnsi="Calibri" w:cs="Calibri"/>
          <w:noProof/>
        </w:rPr>
        <w:t> </w:t>
      </w:r>
      <w:r>
        <w:rPr>
          <w:rStyle w:val="AMPRcharBoldOrange"/>
          <w:noProof/>
        </w:rPr>
        <w:t>million and the implemented preventive measures amounted to EUR</w:t>
      </w:r>
      <w:r>
        <w:rPr>
          <w:rStyle w:val="AMPRcharBoldOrange"/>
          <w:rFonts w:ascii="Calibri" w:hAnsi="Calibri" w:cs="Calibri"/>
          <w:noProof/>
        </w:rPr>
        <w:t> </w:t>
      </w:r>
      <w:r>
        <w:rPr>
          <w:rStyle w:val="AMPRcharBoldOrange"/>
          <w:noProof/>
        </w:rPr>
        <w:t>483</w:t>
      </w:r>
      <w:r>
        <w:rPr>
          <w:rStyle w:val="AMPRcharBoldOrange"/>
          <w:rFonts w:ascii="Calibri" w:hAnsi="Calibri" w:cs="Calibri"/>
          <w:noProof/>
        </w:rPr>
        <w:t> </w:t>
      </w:r>
      <w:r>
        <w:rPr>
          <w:rStyle w:val="AMPRcharBoldOrange"/>
          <w:noProof/>
        </w:rPr>
        <w:t>million</w:t>
      </w:r>
      <w:r>
        <w:rPr>
          <w:noProof/>
          <w:lang w:eastAsia="fr-BE"/>
        </w:rPr>
        <w:t xml:space="preserve">. These included </w:t>
      </w:r>
      <w:r>
        <w:rPr>
          <w:i/>
          <w:noProof/>
          <w:lang w:eastAsia="fr-BE"/>
        </w:rPr>
        <w:t>ex ante</w:t>
      </w:r>
      <w:r>
        <w:rPr>
          <w:noProof/>
          <w:lang w:eastAsia="fr-BE"/>
        </w:rPr>
        <w:t xml:space="preserve"> controls such as deductions before payment/acceptance by the Commission, Member State deductions from new expenditure declared to the Commission (‘at-source’ deductions) and other </w:t>
      </w:r>
      <w:r>
        <w:rPr>
          <w:i/>
          <w:iCs/>
          <w:noProof/>
          <w:lang w:eastAsia="fr-BE"/>
        </w:rPr>
        <w:t>ex ante</w:t>
      </w:r>
      <w:r>
        <w:rPr>
          <w:noProof/>
          <w:lang w:eastAsia="fr-BE"/>
        </w:rPr>
        <w:t xml:space="preserve"> adjustments which, if not performed, would otherwise have led to expenditure being incurred that was not in line with the legal framework. </w:t>
      </w:r>
    </w:p>
    <w:tbl>
      <w:tblPr>
        <w:tblStyle w:val="AMPRTABLEA-Template"/>
        <w:tblW w:w="9071" w:type="dxa"/>
        <w:tblLayout w:type="fixed"/>
        <w:tblLook w:val="04E0" w:firstRow="1" w:lastRow="1" w:firstColumn="1" w:lastColumn="0" w:noHBand="0" w:noVBand="1"/>
      </w:tblPr>
      <w:tblGrid>
        <w:gridCol w:w="2596"/>
        <w:gridCol w:w="1677"/>
        <w:gridCol w:w="510"/>
        <w:gridCol w:w="2630"/>
        <w:gridCol w:w="1658"/>
      </w:tblGrid>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96" w:type="dxa"/>
          </w:tcPr>
          <w:p w:rsidR="00311BB8" w:rsidRDefault="00D91061">
            <w:pPr>
              <w:pStyle w:val="AMPRTABLEA-HEADERText-WHITE"/>
              <w:spacing w:before="144" w:after="144"/>
              <w:rPr>
                <w:noProof/>
              </w:rPr>
            </w:pPr>
            <w:r>
              <w:rPr>
                <w:noProof/>
              </w:rPr>
              <w:t>Fund</w:t>
            </w:r>
          </w:p>
        </w:tc>
        <w:tc>
          <w:tcPr>
            <w:tcW w:w="1677" w:type="dxa"/>
            <w:tcBorders>
              <w:right w:val="nil"/>
            </w:tcBorders>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Value of preventive measures confirmed</w:t>
            </w:r>
          </w:p>
        </w:tc>
        <w:tc>
          <w:tcPr>
            <w:tcW w:w="510" w:type="dxa"/>
            <w:tcBorders>
              <w:left w:val="nil"/>
              <w:right w:val="nil"/>
            </w:tcBorders>
            <w:shd w:val="clear" w:color="auto" w:fill="auto"/>
          </w:tcPr>
          <w:p w:rsidR="00311BB8" w:rsidRDefault="00311BB8">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p>
        </w:tc>
        <w:tc>
          <w:tcPr>
            <w:tcW w:w="2630" w:type="dxa"/>
            <w:tcBorders>
              <w:left w:val="nil"/>
            </w:tcBorders>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Fund</w:t>
            </w:r>
          </w:p>
        </w:tc>
        <w:tc>
          <w:tcPr>
            <w:tcW w:w="1658"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Value of preventive measures implemented</w:t>
            </w:r>
          </w:p>
        </w:tc>
      </w:tr>
      <w:tr w:rsidR="00311BB8" w:rsidTr="00311BB8">
        <w:tc>
          <w:tcPr>
            <w:cnfStyle w:val="001000000000" w:firstRow="0" w:lastRow="0" w:firstColumn="1" w:lastColumn="0" w:oddVBand="0" w:evenVBand="0" w:oddHBand="0" w:evenHBand="0" w:firstRowFirstColumn="0" w:firstRowLastColumn="0" w:lastRowFirstColumn="0" w:lastRowLastColumn="0"/>
            <w:tcW w:w="2596" w:type="dxa"/>
          </w:tcPr>
          <w:p w:rsidR="00311BB8" w:rsidRDefault="00D91061">
            <w:pPr>
              <w:pStyle w:val="AMPRTABLEA-TextLEFTalligned-BLACK"/>
              <w:rPr>
                <w:b/>
                <w:bCs/>
                <w:noProof/>
              </w:rPr>
            </w:pPr>
            <w:r>
              <w:rPr>
                <w:b/>
                <w:bCs/>
                <w:noProof/>
              </w:rPr>
              <w:t>Agricultural policy:</w:t>
            </w:r>
          </w:p>
        </w:tc>
        <w:tc>
          <w:tcPr>
            <w:tcW w:w="1677"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0</w:t>
            </w:r>
          </w:p>
        </w:tc>
        <w:tc>
          <w:tcPr>
            <w:tcW w:w="510" w:type="dxa"/>
            <w:tcBorders>
              <w:top w:val="nil"/>
              <w:left w:val="nil"/>
              <w:bottom w:val="nil"/>
              <w:right w:val="nil"/>
            </w:tcBorders>
            <w:shd w:val="clear" w:color="auto" w:fill="auto"/>
          </w:tcPr>
          <w:p w:rsidR="00311BB8" w:rsidRDefault="00311BB8">
            <w:pPr>
              <w:cnfStyle w:val="000000000000" w:firstRow="0" w:lastRow="0" w:firstColumn="0" w:lastColumn="0" w:oddVBand="0" w:evenVBand="0" w:oddHBand="0" w:evenHBand="0" w:firstRowFirstColumn="0" w:firstRowLastColumn="0" w:lastRowFirstColumn="0" w:lastRowLastColumn="0"/>
              <w:rPr>
                <w:noProof/>
              </w:rPr>
            </w:pPr>
          </w:p>
        </w:tc>
        <w:tc>
          <w:tcPr>
            <w:tcW w:w="2630" w:type="dxa"/>
            <w:tcBorders>
              <w:left w:val="nil"/>
            </w:tcBorders>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b/>
                <w:bCs/>
                <w:noProof/>
              </w:rPr>
            </w:pPr>
            <w:r>
              <w:rPr>
                <w:b/>
                <w:bCs/>
                <w:noProof/>
              </w:rPr>
              <w:t>Agricultural policy:</w:t>
            </w:r>
          </w:p>
        </w:tc>
        <w:tc>
          <w:tcPr>
            <w:tcW w:w="165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0</w:t>
            </w:r>
          </w:p>
        </w:tc>
      </w:tr>
      <w:tr w:rsidR="00311BB8" w:rsidTr="00311BB8">
        <w:tc>
          <w:tcPr>
            <w:cnfStyle w:val="001000000000" w:firstRow="0" w:lastRow="0" w:firstColumn="1" w:lastColumn="0" w:oddVBand="0" w:evenVBand="0" w:oddHBand="0" w:evenHBand="0" w:firstRowFirstColumn="0" w:firstRowLastColumn="0" w:lastRowFirstColumn="0" w:lastRowLastColumn="0"/>
            <w:tcW w:w="2596" w:type="dxa"/>
          </w:tcPr>
          <w:p w:rsidR="00311BB8" w:rsidRDefault="00D91061">
            <w:pPr>
              <w:pStyle w:val="AMPRTABLEA-TextLEFTalligned-BLACK"/>
              <w:ind w:left="142"/>
              <w:rPr>
                <w:noProof/>
              </w:rPr>
            </w:pPr>
            <w:r>
              <w:rPr>
                <w:noProof/>
              </w:rPr>
              <w:t>European Agricultural Guarantee Fund</w:t>
            </w:r>
          </w:p>
        </w:tc>
        <w:tc>
          <w:tcPr>
            <w:tcW w:w="1677"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510" w:type="dxa"/>
            <w:tcBorders>
              <w:top w:val="nil"/>
              <w:left w:val="nil"/>
              <w:bottom w:val="nil"/>
              <w:right w:val="nil"/>
            </w:tcBorders>
            <w:shd w:val="clear" w:color="auto" w:fill="auto"/>
          </w:tcPr>
          <w:p w:rsidR="00311BB8" w:rsidRDefault="00311BB8">
            <w:pPr>
              <w:cnfStyle w:val="000000000000" w:firstRow="0" w:lastRow="0" w:firstColumn="0" w:lastColumn="0" w:oddVBand="0" w:evenVBand="0" w:oddHBand="0" w:evenHBand="0" w:firstRowFirstColumn="0" w:firstRowLastColumn="0" w:lastRowFirstColumn="0" w:lastRowLastColumn="0"/>
              <w:rPr>
                <w:noProof/>
              </w:rPr>
            </w:pPr>
          </w:p>
        </w:tc>
        <w:tc>
          <w:tcPr>
            <w:tcW w:w="2630" w:type="dxa"/>
            <w:tcBorders>
              <w:left w:val="nil"/>
            </w:tcBorders>
          </w:tcPr>
          <w:p w:rsidR="00311BB8" w:rsidRDefault="00D91061">
            <w:pPr>
              <w:pStyle w:val="AMPRTABLEA-TextLEFTalligned-BLACK"/>
              <w:ind w:left="142"/>
              <w:cnfStyle w:val="000000000000" w:firstRow="0" w:lastRow="0" w:firstColumn="0" w:lastColumn="0" w:oddVBand="0" w:evenVBand="0" w:oddHBand="0" w:evenHBand="0" w:firstRowFirstColumn="0" w:firstRowLastColumn="0" w:lastRowFirstColumn="0" w:lastRowLastColumn="0"/>
              <w:rPr>
                <w:noProof/>
              </w:rPr>
            </w:pPr>
            <w:r>
              <w:rPr>
                <w:noProof/>
              </w:rPr>
              <w:t>European Agricultural Guarantee Fund</w:t>
            </w:r>
          </w:p>
        </w:tc>
        <w:tc>
          <w:tcPr>
            <w:tcW w:w="165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r>
      <w:tr w:rsidR="00311BB8" w:rsidTr="00311BB8">
        <w:tc>
          <w:tcPr>
            <w:cnfStyle w:val="001000000000" w:firstRow="0" w:lastRow="0" w:firstColumn="1" w:lastColumn="0" w:oddVBand="0" w:evenVBand="0" w:oddHBand="0" w:evenHBand="0" w:firstRowFirstColumn="0" w:firstRowLastColumn="0" w:lastRowFirstColumn="0" w:lastRowLastColumn="0"/>
            <w:tcW w:w="2596" w:type="dxa"/>
          </w:tcPr>
          <w:p w:rsidR="00311BB8" w:rsidRDefault="00D91061">
            <w:pPr>
              <w:pStyle w:val="AMPRTABLEA-TextLEFTalligned-BLACK"/>
              <w:ind w:left="142"/>
              <w:rPr>
                <w:noProof/>
              </w:rPr>
            </w:pPr>
            <w:r>
              <w:rPr>
                <w:noProof/>
              </w:rPr>
              <w:t>Rural development</w:t>
            </w:r>
          </w:p>
        </w:tc>
        <w:tc>
          <w:tcPr>
            <w:tcW w:w="1677"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510" w:type="dxa"/>
            <w:tcBorders>
              <w:top w:val="nil"/>
              <w:left w:val="nil"/>
              <w:bottom w:val="nil"/>
              <w:right w:val="nil"/>
            </w:tcBorders>
            <w:shd w:val="clear" w:color="auto" w:fill="auto"/>
          </w:tcPr>
          <w:p w:rsidR="00311BB8" w:rsidRDefault="00311BB8">
            <w:pPr>
              <w:cnfStyle w:val="000000000000" w:firstRow="0" w:lastRow="0" w:firstColumn="0" w:lastColumn="0" w:oddVBand="0" w:evenVBand="0" w:oddHBand="0" w:evenHBand="0" w:firstRowFirstColumn="0" w:firstRowLastColumn="0" w:lastRowFirstColumn="0" w:lastRowLastColumn="0"/>
              <w:rPr>
                <w:noProof/>
              </w:rPr>
            </w:pPr>
          </w:p>
        </w:tc>
        <w:tc>
          <w:tcPr>
            <w:tcW w:w="2630" w:type="dxa"/>
            <w:tcBorders>
              <w:left w:val="nil"/>
            </w:tcBorders>
          </w:tcPr>
          <w:p w:rsidR="00311BB8" w:rsidRDefault="00D91061">
            <w:pPr>
              <w:pStyle w:val="AMPRTABLEA-TextLEFTalligned-BLACK"/>
              <w:ind w:left="142"/>
              <w:cnfStyle w:val="000000000000" w:firstRow="0" w:lastRow="0" w:firstColumn="0" w:lastColumn="0" w:oddVBand="0" w:evenVBand="0" w:oddHBand="0" w:evenHBand="0" w:firstRowFirstColumn="0" w:firstRowLastColumn="0" w:lastRowFirstColumn="0" w:lastRowLastColumn="0"/>
              <w:rPr>
                <w:noProof/>
              </w:rPr>
            </w:pPr>
            <w:r>
              <w:rPr>
                <w:noProof/>
              </w:rPr>
              <w:t>Rural development</w:t>
            </w:r>
          </w:p>
        </w:tc>
        <w:tc>
          <w:tcPr>
            <w:tcW w:w="165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r>
      <w:tr w:rsidR="00311BB8" w:rsidTr="00311BB8">
        <w:tc>
          <w:tcPr>
            <w:cnfStyle w:val="001000000000" w:firstRow="0" w:lastRow="0" w:firstColumn="1" w:lastColumn="0" w:oddVBand="0" w:evenVBand="0" w:oddHBand="0" w:evenHBand="0" w:firstRowFirstColumn="0" w:firstRowLastColumn="0" w:lastRowFirstColumn="0" w:lastRowLastColumn="0"/>
            <w:tcW w:w="2596" w:type="dxa"/>
          </w:tcPr>
          <w:p w:rsidR="00311BB8" w:rsidRDefault="00D91061">
            <w:pPr>
              <w:pStyle w:val="AMPRTABLEA-TextLEFTalligned-BLACK"/>
              <w:rPr>
                <w:b/>
                <w:bCs/>
                <w:noProof/>
              </w:rPr>
            </w:pPr>
            <w:r>
              <w:rPr>
                <w:b/>
                <w:bCs/>
                <w:noProof/>
              </w:rPr>
              <w:t>Cohesion policy:</w:t>
            </w:r>
          </w:p>
        </w:tc>
        <w:tc>
          <w:tcPr>
            <w:tcW w:w="1677"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0</w:t>
            </w:r>
          </w:p>
        </w:tc>
        <w:tc>
          <w:tcPr>
            <w:tcW w:w="510" w:type="dxa"/>
            <w:tcBorders>
              <w:top w:val="nil"/>
              <w:left w:val="nil"/>
              <w:bottom w:val="nil"/>
              <w:right w:val="nil"/>
            </w:tcBorders>
            <w:shd w:val="clear" w:color="auto" w:fill="auto"/>
          </w:tcPr>
          <w:p w:rsidR="00311BB8" w:rsidRDefault="00311BB8">
            <w:pPr>
              <w:cnfStyle w:val="000000000000" w:firstRow="0" w:lastRow="0" w:firstColumn="0" w:lastColumn="0" w:oddVBand="0" w:evenVBand="0" w:oddHBand="0" w:evenHBand="0" w:firstRowFirstColumn="0" w:firstRowLastColumn="0" w:lastRowFirstColumn="0" w:lastRowLastColumn="0"/>
              <w:rPr>
                <w:noProof/>
              </w:rPr>
            </w:pPr>
          </w:p>
        </w:tc>
        <w:tc>
          <w:tcPr>
            <w:tcW w:w="2630" w:type="dxa"/>
            <w:tcBorders>
              <w:left w:val="nil"/>
            </w:tcBorders>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b/>
                <w:bCs/>
                <w:noProof/>
              </w:rPr>
            </w:pPr>
            <w:r>
              <w:rPr>
                <w:b/>
                <w:bCs/>
                <w:noProof/>
              </w:rPr>
              <w:t>Cohesion policy:</w:t>
            </w:r>
          </w:p>
        </w:tc>
        <w:tc>
          <w:tcPr>
            <w:tcW w:w="165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68</w:t>
            </w:r>
          </w:p>
        </w:tc>
      </w:tr>
      <w:tr w:rsidR="00311BB8" w:rsidTr="00311BB8">
        <w:tc>
          <w:tcPr>
            <w:cnfStyle w:val="001000000000" w:firstRow="0" w:lastRow="0" w:firstColumn="1" w:lastColumn="0" w:oddVBand="0" w:evenVBand="0" w:oddHBand="0" w:evenHBand="0" w:firstRowFirstColumn="0" w:firstRowLastColumn="0" w:lastRowFirstColumn="0" w:lastRowLastColumn="0"/>
            <w:tcW w:w="2596" w:type="dxa"/>
          </w:tcPr>
          <w:p w:rsidR="00311BB8" w:rsidRDefault="00D91061">
            <w:pPr>
              <w:pStyle w:val="AMPRTABLEA-TextLEFTalligned-BLACK"/>
              <w:ind w:left="142"/>
              <w:rPr>
                <w:noProof/>
              </w:rPr>
            </w:pPr>
            <w:r>
              <w:rPr>
                <w:noProof/>
              </w:rPr>
              <w:t>European Regional Development Fund</w:t>
            </w:r>
          </w:p>
        </w:tc>
        <w:tc>
          <w:tcPr>
            <w:tcW w:w="1677"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510" w:type="dxa"/>
            <w:tcBorders>
              <w:top w:val="nil"/>
              <w:left w:val="nil"/>
              <w:bottom w:val="nil"/>
              <w:right w:val="nil"/>
            </w:tcBorders>
            <w:shd w:val="clear" w:color="auto" w:fill="auto"/>
          </w:tcPr>
          <w:p w:rsidR="00311BB8" w:rsidRDefault="00311BB8">
            <w:pPr>
              <w:cnfStyle w:val="000000000000" w:firstRow="0" w:lastRow="0" w:firstColumn="0" w:lastColumn="0" w:oddVBand="0" w:evenVBand="0" w:oddHBand="0" w:evenHBand="0" w:firstRowFirstColumn="0" w:firstRowLastColumn="0" w:lastRowFirstColumn="0" w:lastRowLastColumn="0"/>
              <w:rPr>
                <w:noProof/>
              </w:rPr>
            </w:pPr>
          </w:p>
        </w:tc>
        <w:tc>
          <w:tcPr>
            <w:tcW w:w="2630" w:type="dxa"/>
            <w:tcBorders>
              <w:left w:val="nil"/>
            </w:tcBorders>
          </w:tcPr>
          <w:p w:rsidR="00311BB8" w:rsidRDefault="00D91061">
            <w:pPr>
              <w:pStyle w:val="AMPRTABLEA-TextLEFTalligned-BLACK"/>
              <w:ind w:left="142"/>
              <w:cnfStyle w:val="000000000000" w:firstRow="0" w:lastRow="0" w:firstColumn="0" w:lastColumn="0" w:oddVBand="0" w:evenVBand="0" w:oddHBand="0" w:evenHBand="0" w:firstRowFirstColumn="0" w:firstRowLastColumn="0" w:lastRowFirstColumn="0" w:lastRowLastColumn="0"/>
              <w:rPr>
                <w:noProof/>
              </w:rPr>
            </w:pPr>
            <w:r>
              <w:rPr>
                <w:noProof/>
              </w:rPr>
              <w:t>European Regional Development Fund</w:t>
            </w:r>
          </w:p>
        </w:tc>
        <w:tc>
          <w:tcPr>
            <w:tcW w:w="165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67</w:t>
            </w:r>
          </w:p>
        </w:tc>
      </w:tr>
      <w:tr w:rsidR="00311BB8" w:rsidTr="00311BB8">
        <w:tc>
          <w:tcPr>
            <w:cnfStyle w:val="001000000000" w:firstRow="0" w:lastRow="0" w:firstColumn="1" w:lastColumn="0" w:oddVBand="0" w:evenVBand="0" w:oddHBand="0" w:evenHBand="0" w:firstRowFirstColumn="0" w:firstRowLastColumn="0" w:lastRowFirstColumn="0" w:lastRowLastColumn="0"/>
            <w:tcW w:w="2596" w:type="dxa"/>
          </w:tcPr>
          <w:p w:rsidR="00311BB8" w:rsidRDefault="00D91061">
            <w:pPr>
              <w:pStyle w:val="AMPRTABLEA-TextLEFTalligned-BLACK"/>
              <w:ind w:left="142"/>
              <w:rPr>
                <w:noProof/>
              </w:rPr>
            </w:pPr>
            <w:r>
              <w:rPr>
                <w:noProof/>
              </w:rPr>
              <w:t>Cohesion Fund</w:t>
            </w:r>
          </w:p>
        </w:tc>
        <w:tc>
          <w:tcPr>
            <w:tcW w:w="1677"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r>
              <w:rPr>
                <w:rFonts w:eastAsia="EC Square Sans Pro"/>
                <w:noProof/>
              </w:rPr>
              <w:br/>
            </w:r>
          </w:p>
        </w:tc>
        <w:tc>
          <w:tcPr>
            <w:tcW w:w="510" w:type="dxa"/>
            <w:tcBorders>
              <w:top w:val="nil"/>
              <w:left w:val="nil"/>
              <w:bottom w:val="nil"/>
              <w:right w:val="nil"/>
            </w:tcBorders>
            <w:shd w:val="clear" w:color="auto" w:fill="auto"/>
          </w:tcPr>
          <w:p w:rsidR="00311BB8" w:rsidRDefault="00311BB8">
            <w:pPr>
              <w:cnfStyle w:val="000000000000" w:firstRow="0" w:lastRow="0" w:firstColumn="0" w:lastColumn="0" w:oddVBand="0" w:evenVBand="0" w:oddHBand="0" w:evenHBand="0" w:firstRowFirstColumn="0" w:firstRowLastColumn="0" w:lastRowFirstColumn="0" w:lastRowLastColumn="0"/>
              <w:rPr>
                <w:noProof/>
              </w:rPr>
            </w:pPr>
          </w:p>
        </w:tc>
        <w:tc>
          <w:tcPr>
            <w:tcW w:w="2630" w:type="dxa"/>
            <w:tcBorders>
              <w:left w:val="nil"/>
            </w:tcBorders>
          </w:tcPr>
          <w:p w:rsidR="00311BB8" w:rsidRDefault="00D91061">
            <w:pPr>
              <w:pStyle w:val="AMPRTABLEA-TextLEFTalligned-BLACK"/>
              <w:ind w:left="142"/>
              <w:cnfStyle w:val="000000000000" w:firstRow="0" w:lastRow="0" w:firstColumn="0" w:lastColumn="0" w:oddVBand="0" w:evenVBand="0" w:oddHBand="0" w:evenHBand="0" w:firstRowFirstColumn="0" w:firstRowLastColumn="0" w:lastRowFirstColumn="0" w:lastRowLastColumn="0"/>
              <w:rPr>
                <w:noProof/>
              </w:rPr>
            </w:pPr>
            <w:r>
              <w:rPr>
                <w:noProof/>
              </w:rPr>
              <w:t>Cohesion Fund</w:t>
            </w:r>
          </w:p>
        </w:tc>
        <w:tc>
          <w:tcPr>
            <w:tcW w:w="165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r>
      <w:tr w:rsidR="00311BB8" w:rsidTr="00311BB8">
        <w:tc>
          <w:tcPr>
            <w:cnfStyle w:val="001000000000" w:firstRow="0" w:lastRow="0" w:firstColumn="1" w:lastColumn="0" w:oddVBand="0" w:evenVBand="0" w:oddHBand="0" w:evenHBand="0" w:firstRowFirstColumn="0" w:firstRowLastColumn="0" w:lastRowFirstColumn="0" w:lastRowLastColumn="0"/>
            <w:tcW w:w="2596" w:type="dxa"/>
          </w:tcPr>
          <w:p w:rsidR="00311BB8" w:rsidRDefault="00D91061">
            <w:pPr>
              <w:pStyle w:val="AMPRTABLEA-TextLEFTalligned-BLACK"/>
              <w:ind w:left="142"/>
              <w:rPr>
                <w:noProof/>
              </w:rPr>
            </w:pPr>
            <w:r>
              <w:rPr>
                <w:noProof/>
              </w:rPr>
              <w:t>European Social Fund</w:t>
            </w:r>
          </w:p>
        </w:tc>
        <w:tc>
          <w:tcPr>
            <w:tcW w:w="1677"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510" w:type="dxa"/>
            <w:tcBorders>
              <w:top w:val="nil"/>
              <w:left w:val="nil"/>
              <w:bottom w:val="nil"/>
              <w:right w:val="nil"/>
            </w:tcBorders>
            <w:shd w:val="clear" w:color="auto" w:fill="auto"/>
          </w:tcPr>
          <w:p w:rsidR="00311BB8" w:rsidRDefault="00311BB8">
            <w:pPr>
              <w:cnfStyle w:val="000000000000" w:firstRow="0" w:lastRow="0" w:firstColumn="0" w:lastColumn="0" w:oddVBand="0" w:evenVBand="0" w:oddHBand="0" w:evenHBand="0" w:firstRowFirstColumn="0" w:firstRowLastColumn="0" w:lastRowFirstColumn="0" w:lastRowLastColumn="0"/>
              <w:rPr>
                <w:noProof/>
              </w:rPr>
            </w:pPr>
          </w:p>
        </w:tc>
        <w:tc>
          <w:tcPr>
            <w:tcW w:w="2630" w:type="dxa"/>
            <w:tcBorders>
              <w:left w:val="nil"/>
            </w:tcBorders>
          </w:tcPr>
          <w:p w:rsidR="00311BB8" w:rsidRDefault="00D91061">
            <w:pPr>
              <w:pStyle w:val="AMPRTABLEA-TextLEFTalligned-BLACK"/>
              <w:ind w:left="142"/>
              <w:cnfStyle w:val="000000000000" w:firstRow="0" w:lastRow="0" w:firstColumn="0" w:lastColumn="0" w:oddVBand="0" w:evenVBand="0" w:oddHBand="0" w:evenHBand="0" w:firstRowFirstColumn="0" w:firstRowLastColumn="0" w:lastRowFirstColumn="0" w:lastRowLastColumn="0"/>
              <w:rPr>
                <w:noProof/>
              </w:rPr>
            </w:pPr>
            <w:r>
              <w:rPr>
                <w:noProof/>
              </w:rPr>
              <w:t>European Social Fund</w:t>
            </w:r>
          </w:p>
        </w:tc>
        <w:tc>
          <w:tcPr>
            <w:tcW w:w="165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r>
      <w:tr w:rsidR="00311BB8" w:rsidTr="00311BB8">
        <w:tc>
          <w:tcPr>
            <w:cnfStyle w:val="001000000000" w:firstRow="0" w:lastRow="0" w:firstColumn="1" w:lastColumn="0" w:oddVBand="0" w:evenVBand="0" w:oddHBand="0" w:evenHBand="0" w:firstRowFirstColumn="0" w:firstRowLastColumn="0" w:lastRowFirstColumn="0" w:lastRowLastColumn="0"/>
            <w:tcW w:w="2596" w:type="dxa"/>
          </w:tcPr>
          <w:p w:rsidR="00311BB8" w:rsidRDefault="00D91061">
            <w:pPr>
              <w:pStyle w:val="AMPRTABLEA-TextLEFTalligned-BLACK"/>
              <w:ind w:left="142"/>
              <w:rPr>
                <w:noProof/>
                <w:lang w:val="en-GB"/>
              </w:rPr>
            </w:pPr>
            <w:r>
              <w:rPr>
                <w:noProof/>
                <w:lang w:val="en-GB"/>
              </w:rPr>
              <w:t>Financial Instrument for Fisheries Guidance</w:t>
            </w:r>
            <w:r>
              <w:rPr>
                <w:rFonts w:ascii="Calibri" w:hAnsi="Calibri" w:cs="Calibri"/>
                <w:noProof/>
                <w:lang w:val="en-GB"/>
              </w:rPr>
              <w:t> </w:t>
            </w:r>
            <w:r>
              <w:rPr>
                <w:noProof/>
                <w:lang w:val="en-GB"/>
              </w:rPr>
              <w:t>/ European Fisheries Fund / European Maritime and Fisheries Fund</w:t>
            </w:r>
          </w:p>
        </w:tc>
        <w:tc>
          <w:tcPr>
            <w:tcW w:w="1677"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510" w:type="dxa"/>
            <w:tcBorders>
              <w:top w:val="nil"/>
              <w:left w:val="nil"/>
              <w:bottom w:val="nil"/>
              <w:right w:val="nil"/>
            </w:tcBorders>
            <w:shd w:val="clear" w:color="auto" w:fill="auto"/>
          </w:tcPr>
          <w:p w:rsidR="00311BB8" w:rsidRDefault="00311BB8">
            <w:pPr>
              <w:cnfStyle w:val="000000000000" w:firstRow="0" w:lastRow="0" w:firstColumn="0" w:lastColumn="0" w:oddVBand="0" w:evenVBand="0" w:oddHBand="0" w:evenHBand="0" w:firstRowFirstColumn="0" w:firstRowLastColumn="0" w:lastRowFirstColumn="0" w:lastRowLastColumn="0"/>
              <w:rPr>
                <w:noProof/>
              </w:rPr>
            </w:pPr>
          </w:p>
        </w:tc>
        <w:tc>
          <w:tcPr>
            <w:tcW w:w="2630" w:type="dxa"/>
            <w:tcBorders>
              <w:left w:val="nil"/>
            </w:tcBorders>
          </w:tcPr>
          <w:p w:rsidR="00311BB8" w:rsidRDefault="00D91061">
            <w:pPr>
              <w:pStyle w:val="AMPRTABLEA-TextLEFTalligned-BLACK"/>
              <w:ind w:left="142"/>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Financial Instrument for Fisheries Guidance</w:t>
            </w:r>
            <w:r>
              <w:rPr>
                <w:rFonts w:ascii="Calibri" w:hAnsi="Calibri" w:cs="Calibri"/>
                <w:noProof/>
                <w:lang w:val="en-GB"/>
              </w:rPr>
              <w:t> </w:t>
            </w:r>
            <w:r>
              <w:rPr>
                <w:noProof/>
                <w:lang w:val="en-GB"/>
              </w:rPr>
              <w:t>/ European Fisheries Fund / European Maritime and Fisheries Fund</w:t>
            </w:r>
          </w:p>
        </w:tc>
        <w:tc>
          <w:tcPr>
            <w:tcW w:w="165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r>
      <w:tr w:rsidR="00311BB8" w:rsidTr="00311BB8">
        <w:tc>
          <w:tcPr>
            <w:cnfStyle w:val="001000000000" w:firstRow="0" w:lastRow="0" w:firstColumn="1" w:lastColumn="0" w:oddVBand="0" w:evenVBand="0" w:oddHBand="0" w:evenHBand="0" w:firstRowFirstColumn="0" w:firstRowLastColumn="0" w:lastRowFirstColumn="0" w:lastRowLastColumn="0"/>
            <w:tcW w:w="2596" w:type="dxa"/>
          </w:tcPr>
          <w:p w:rsidR="00311BB8" w:rsidRDefault="00D91061">
            <w:pPr>
              <w:pStyle w:val="AMPRTABLEA-TextLEFTalligned-BLACK"/>
              <w:ind w:left="142"/>
              <w:rPr>
                <w:noProof/>
                <w:lang w:val="en-GB"/>
              </w:rPr>
            </w:pPr>
            <w:r>
              <w:rPr>
                <w:noProof/>
                <w:lang w:val="en-GB"/>
              </w:rPr>
              <w:t>European Agricultural Guidance and Guarantee Fund</w:t>
            </w:r>
          </w:p>
        </w:tc>
        <w:tc>
          <w:tcPr>
            <w:tcW w:w="1677"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510" w:type="dxa"/>
            <w:tcBorders>
              <w:top w:val="nil"/>
              <w:left w:val="nil"/>
              <w:bottom w:val="nil"/>
              <w:right w:val="nil"/>
            </w:tcBorders>
            <w:shd w:val="clear" w:color="auto" w:fill="auto"/>
          </w:tcPr>
          <w:p w:rsidR="00311BB8" w:rsidRDefault="00311BB8">
            <w:pPr>
              <w:cnfStyle w:val="000000000000" w:firstRow="0" w:lastRow="0" w:firstColumn="0" w:lastColumn="0" w:oddVBand="0" w:evenVBand="0" w:oddHBand="0" w:evenHBand="0" w:firstRowFirstColumn="0" w:firstRowLastColumn="0" w:lastRowFirstColumn="0" w:lastRowLastColumn="0"/>
              <w:rPr>
                <w:noProof/>
              </w:rPr>
            </w:pPr>
          </w:p>
        </w:tc>
        <w:tc>
          <w:tcPr>
            <w:tcW w:w="2630" w:type="dxa"/>
            <w:tcBorders>
              <w:left w:val="nil"/>
            </w:tcBorders>
          </w:tcPr>
          <w:p w:rsidR="00311BB8" w:rsidRDefault="00D91061">
            <w:pPr>
              <w:pStyle w:val="AMPRTABLEA-TextLEFTalligned-BLACK"/>
              <w:ind w:left="142"/>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European Agricultural Guidance and Guarantee Fund</w:t>
            </w:r>
          </w:p>
        </w:tc>
        <w:tc>
          <w:tcPr>
            <w:tcW w:w="165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r>
      <w:tr w:rsidR="00311BB8" w:rsidTr="00311BB8">
        <w:tc>
          <w:tcPr>
            <w:cnfStyle w:val="001000000000" w:firstRow="0" w:lastRow="0" w:firstColumn="1" w:lastColumn="0" w:oddVBand="0" w:evenVBand="0" w:oddHBand="0" w:evenHBand="0" w:firstRowFirstColumn="0" w:firstRowLastColumn="0" w:lastRowFirstColumn="0" w:lastRowLastColumn="0"/>
            <w:tcW w:w="2596" w:type="dxa"/>
          </w:tcPr>
          <w:p w:rsidR="00311BB8" w:rsidRDefault="00D91061">
            <w:pPr>
              <w:pStyle w:val="AMPRTABLEA-TextLEFTalligned-BLACK"/>
              <w:rPr>
                <w:b/>
                <w:bCs/>
                <w:noProof/>
              </w:rPr>
            </w:pPr>
            <w:r>
              <w:rPr>
                <w:b/>
                <w:bCs/>
                <w:noProof/>
              </w:rPr>
              <w:t>Internal policies</w:t>
            </w:r>
          </w:p>
        </w:tc>
        <w:tc>
          <w:tcPr>
            <w:tcW w:w="1677"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210</w:t>
            </w:r>
          </w:p>
        </w:tc>
        <w:tc>
          <w:tcPr>
            <w:tcW w:w="510" w:type="dxa"/>
            <w:tcBorders>
              <w:top w:val="nil"/>
              <w:left w:val="nil"/>
              <w:bottom w:val="nil"/>
              <w:right w:val="nil"/>
            </w:tcBorders>
            <w:shd w:val="clear" w:color="auto" w:fill="auto"/>
          </w:tcPr>
          <w:p w:rsidR="00311BB8" w:rsidRDefault="00311BB8">
            <w:pPr>
              <w:cnfStyle w:val="000000000000" w:firstRow="0" w:lastRow="0" w:firstColumn="0" w:lastColumn="0" w:oddVBand="0" w:evenVBand="0" w:oddHBand="0" w:evenHBand="0" w:firstRowFirstColumn="0" w:firstRowLastColumn="0" w:lastRowFirstColumn="0" w:lastRowLastColumn="0"/>
              <w:rPr>
                <w:noProof/>
              </w:rPr>
            </w:pPr>
          </w:p>
        </w:tc>
        <w:tc>
          <w:tcPr>
            <w:tcW w:w="2630" w:type="dxa"/>
            <w:tcBorders>
              <w:left w:val="nil"/>
            </w:tcBorders>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b/>
                <w:bCs/>
                <w:noProof/>
              </w:rPr>
            </w:pPr>
            <w:r>
              <w:rPr>
                <w:b/>
                <w:bCs/>
                <w:noProof/>
              </w:rPr>
              <w:t>Internal policies</w:t>
            </w:r>
          </w:p>
        </w:tc>
        <w:tc>
          <w:tcPr>
            <w:tcW w:w="165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210</w:t>
            </w:r>
          </w:p>
        </w:tc>
      </w:tr>
      <w:tr w:rsidR="00311BB8" w:rsidTr="00311BB8">
        <w:tc>
          <w:tcPr>
            <w:cnfStyle w:val="001000000000" w:firstRow="0" w:lastRow="0" w:firstColumn="1" w:lastColumn="0" w:oddVBand="0" w:evenVBand="0" w:oddHBand="0" w:evenHBand="0" w:firstRowFirstColumn="0" w:firstRowLastColumn="0" w:lastRowFirstColumn="0" w:lastRowLastColumn="0"/>
            <w:tcW w:w="2596" w:type="dxa"/>
          </w:tcPr>
          <w:p w:rsidR="00311BB8" w:rsidRDefault="00D91061">
            <w:pPr>
              <w:pStyle w:val="AMPRTABLEA-TextLEFTalligned-BLACK"/>
              <w:rPr>
                <w:b/>
                <w:bCs/>
                <w:noProof/>
              </w:rPr>
            </w:pPr>
            <w:r>
              <w:rPr>
                <w:b/>
                <w:bCs/>
                <w:noProof/>
              </w:rPr>
              <w:t>External policies</w:t>
            </w:r>
          </w:p>
        </w:tc>
        <w:tc>
          <w:tcPr>
            <w:tcW w:w="1677"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200</w:t>
            </w:r>
          </w:p>
        </w:tc>
        <w:tc>
          <w:tcPr>
            <w:tcW w:w="510" w:type="dxa"/>
            <w:tcBorders>
              <w:top w:val="nil"/>
              <w:left w:val="nil"/>
              <w:bottom w:val="nil"/>
              <w:right w:val="nil"/>
            </w:tcBorders>
            <w:shd w:val="clear" w:color="auto" w:fill="auto"/>
          </w:tcPr>
          <w:p w:rsidR="00311BB8" w:rsidRDefault="00311BB8">
            <w:pPr>
              <w:cnfStyle w:val="000000000000" w:firstRow="0" w:lastRow="0" w:firstColumn="0" w:lastColumn="0" w:oddVBand="0" w:evenVBand="0" w:oddHBand="0" w:evenHBand="0" w:firstRowFirstColumn="0" w:firstRowLastColumn="0" w:lastRowFirstColumn="0" w:lastRowLastColumn="0"/>
              <w:rPr>
                <w:noProof/>
              </w:rPr>
            </w:pPr>
          </w:p>
        </w:tc>
        <w:tc>
          <w:tcPr>
            <w:tcW w:w="2630" w:type="dxa"/>
            <w:tcBorders>
              <w:left w:val="nil"/>
            </w:tcBorders>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b/>
                <w:bCs/>
                <w:noProof/>
              </w:rPr>
            </w:pPr>
            <w:r>
              <w:rPr>
                <w:b/>
                <w:bCs/>
                <w:noProof/>
              </w:rPr>
              <w:t>External policies</w:t>
            </w:r>
          </w:p>
        </w:tc>
        <w:tc>
          <w:tcPr>
            <w:tcW w:w="165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200</w:t>
            </w:r>
          </w:p>
        </w:tc>
      </w:tr>
      <w:tr w:rsidR="00311BB8" w:rsidTr="00311BB8">
        <w:tc>
          <w:tcPr>
            <w:cnfStyle w:val="001000000000" w:firstRow="0" w:lastRow="0" w:firstColumn="1" w:lastColumn="0" w:oddVBand="0" w:evenVBand="0" w:oddHBand="0" w:evenHBand="0" w:firstRowFirstColumn="0" w:firstRowLastColumn="0" w:lastRowFirstColumn="0" w:lastRowLastColumn="0"/>
            <w:tcW w:w="2596" w:type="dxa"/>
          </w:tcPr>
          <w:p w:rsidR="00311BB8" w:rsidRDefault="00D91061">
            <w:pPr>
              <w:pStyle w:val="AMPRTABLEA-TextLEFTalligned-BLACK"/>
              <w:rPr>
                <w:b/>
                <w:bCs/>
                <w:noProof/>
              </w:rPr>
            </w:pPr>
            <w:r>
              <w:rPr>
                <w:b/>
                <w:bCs/>
                <w:noProof/>
              </w:rPr>
              <w:t>Administration</w:t>
            </w:r>
          </w:p>
        </w:tc>
        <w:tc>
          <w:tcPr>
            <w:tcW w:w="1677"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6</w:t>
            </w:r>
          </w:p>
        </w:tc>
        <w:tc>
          <w:tcPr>
            <w:tcW w:w="510" w:type="dxa"/>
            <w:tcBorders>
              <w:top w:val="nil"/>
              <w:left w:val="nil"/>
              <w:bottom w:val="nil"/>
              <w:right w:val="nil"/>
            </w:tcBorders>
            <w:shd w:val="clear" w:color="auto" w:fill="auto"/>
          </w:tcPr>
          <w:p w:rsidR="00311BB8" w:rsidRDefault="00311BB8">
            <w:pPr>
              <w:cnfStyle w:val="000000000000" w:firstRow="0" w:lastRow="0" w:firstColumn="0" w:lastColumn="0" w:oddVBand="0" w:evenVBand="0" w:oddHBand="0" w:evenHBand="0" w:firstRowFirstColumn="0" w:firstRowLastColumn="0" w:lastRowFirstColumn="0" w:lastRowLastColumn="0"/>
              <w:rPr>
                <w:noProof/>
              </w:rPr>
            </w:pPr>
          </w:p>
        </w:tc>
        <w:tc>
          <w:tcPr>
            <w:tcW w:w="2630" w:type="dxa"/>
            <w:tcBorders>
              <w:left w:val="nil"/>
            </w:tcBorders>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b/>
                <w:bCs/>
                <w:noProof/>
              </w:rPr>
            </w:pPr>
            <w:r>
              <w:rPr>
                <w:b/>
                <w:bCs/>
                <w:noProof/>
              </w:rPr>
              <w:t>Administration</w:t>
            </w:r>
          </w:p>
        </w:tc>
        <w:tc>
          <w:tcPr>
            <w:tcW w:w="165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6</w:t>
            </w:r>
          </w:p>
        </w:tc>
      </w:tr>
      <w:tr w:rsidR="00311BB8" w:rsidTr="00311B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rsidR="00311BB8" w:rsidRDefault="00D91061">
            <w:pPr>
              <w:pStyle w:val="AMPRTABLEA-TOTALLEFTalligned-BLACK"/>
              <w:rPr>
                <w:rFonts w:eastAsia="EC Square Sans Pro"/>
                <w:noProof/>
              </w:rPr>
            </w:pPr>
            <w:r>
              <w:rPr>
                <w:rFonts w:eastAsia="EC Square Sans Pro"/>
                <w:noProof/>
              </w:rPr>
              <w:t>Total</w:t>
            </w:r>
          </w:p>
        </w:tc>
        <w:tc>
          <w:tcPr>
            <w:tcW w:w="1677" w:type="dxa"/>
            <w:tcBorders>
              <w:right w:val="nil"/>
            </w:tcBorders>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416</w:t>
            </w:r>
          </w:p>
        </w:tc>
        <w:tc>
          <w:tcPr>
            <w:tcW w:w="510" w:type="dxa"/>
            <w:tcBorders>
              <w:top w:val="nil"/>
              <w:left w:val="nil"/>
              <w:bottom w:val="nil"/>
              <w:right w:val="nil"/>
            </w:tcBorders>
            <w:shd w:val="clear" w:color="auto" w:fill="auto"/>
          </w:tcPr>
          <w:p w:rsidR="00311BB8" w:rsidRDefault="00311BB8">
            <w:pPr>
              <w:cnfStyle w:val="010000000000" w:firstRow="0" w:lastRow="1" w:firstColumn="0" w:lastColumn="0" w:oddVBand="0" w:evenVBand="0" w:oddHBand="0" w:evenHBand="0" w:firstRowFirstColumn="0" w:firstRowLastColumn="0" w:lastRowFirstColumn="0" w:lastRowLastColumn="0"/>
              <w:rPr>
                <w:noProof/>
              </w:rPr>
            </w:pPr>
          </w:p>
        </w:tc>
        <w:tc>
          <w:tcPr>
            <w:tcW w:w="2630" w:type="dxa"/>
            <w:tcBorders>
              <w:left w:val="nil"/>
            </w:tcBorders>
          </w:tcPr>
          <w:p w:rsidR="00311BB8" w:rsidRDefault="00D91061">
            <w:pPr>
              <w:pStyle w:val="AMPRTABLEA-TOTALLEFTalligned-BLACK"/>
              <w:cnfStyle w:val="010000000000" w:firstRow="0" w:lastRow="1" w:firstColumn="0" w:lastColumn="0" w:oddVBand="0" w:evenVBand="0" w:oddHBand="0" w:evenHBand="0" w:firstRowFirstColumn="0" w:firstRowLastColumn="0" w:lastRowFirstColumn="0" w:lastRowLastColumn="0"/>
              <w:rPr>
                <w:rFonts w:eastAsia="EC Square Sans Pro"/>
                <w:noProof/>
              </w:rPr>
            </w:pPr>
            <w:r>
              <w:rPr>
                <w:rFonts w:eastAsia="EC Square Sans Pro"/>
                <w:noProof/>
              </w:rPr>
              <w:t>Total</w:t>
            </w:r>
          </w:p>
        </w:tc>
        <w:tc>
          <w:tcPr>
            <w:tcW w:w="1658"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483</w:t>
            </w:r>
          </w:p>
        </w:tc>
      </w:tr>
    </w:tbl>
    <w:p w:rsidR="00311BB8" w:rsidRDefault="00D91061">
      <w:pPr>
        <w:pStyle w:val="AMPRChart-Tabletitle"/>
        <w:rPr>
          <w:noProof/>
        </w:rPr>
      </w:pPr>
      <w:r>
        <w:rPr>
          <w:noProof/>
        </w:rPr>
        <w:t>Overview of preventive measures for 2019 (million</w:t>
      </w:r>
      <w:r>
        <w:rPr>
          <w:rFonts w:ascii="Calibri" w:hAnsi="Calibri" w:cs="Calibri"/>
          <w:noProof/>
        </w:rPr>
        <w:t> </w:t>
      </w:r>
      <w:r>
        <w:rPr>
          <w:noProof/>
        </w:rPr>
        <w:t>EUR)</w:t>
      </w:r>
    </w:p>
    <w:p w:rsidR="00311BB8" w:rsidRDefault="00D91061">
      <w:pPr>
        <w:pStyle w:val="AMPRSource-Table-Chart-Photo-Caption"/>
        <w:rPr>
          <w:noProof/>
          <w:spacing w:val="-2"/>
        </w:rPr>
      </w:pPr>
      <w:r>
        <w:rPr>
          <w:noProof/>
          <w:spacing w:val="-2"/>
        </w:rPr>
        <w:t>NB:</w:t>
      </w:r>
      <w:r>
        <w:rPr>
          <w:noProof/>
        </w:rPr>
        <w:t xml:space="preserve"> </w:t>
      </w:r>
      <w:r>
        <w:rPr>
          <w:noProof/>
          <w:spacing w:val="-2"/>
        </w:rPr>
        <w:t>Due to the rounding of figures to the nearest million</w:t>
      </w:r>
      <w:r>
        <w:rPr>
          <w:rFonts w:ascii="Calibri" w:hAnsi="Calibri" w:cs="Calibri"/>
          <w:noProof/>
          <w:spacing w:val="-2"/>
        </w:rPr>
        <w:t> </w:t>
      </w:r>
      <w:r>
        <w:rPr>
          <w:noProof/>
          <w:spacing w:val="-2"/>
        </w:rPr>
        <w:t>EUR, some financial data in the tables above may appear not to add up.</w:t>
      </w:r>
    </w:p>
    <w:p w:rsidR="00311BB8" w:rsidRDefault="00D91061">
      <w:pPr>
        <w:pStyle w:val="AMPRSource-Table-Chart-Photo-Caption"/>
        <w:rPr>
          <w:rFonts w:eastAsia="EC Square Sans Pro"/>
          <w:noProof/>
          <w:color w:val="000000"/>
          <w:lang w:val="fr-BE"/>
        </w:rPr>
      </w:pPr>
      <w:r>
        <w:rPr>
          <w:rFonts w:eastAsia="EC Square Sans Pro"/>
          <w:i/>
          <w:noProof/>
          <w:color w:val="000000"/>
          <w:lang w:val="fr-BE"/>
        </w:rPr>
        <w:t>Source:</w:t>
      </w:r>
      <w:r>
        <w:rPr>
          <w:rFonts w:eastAsia="EC Square Sans Pro"/>
          <w:noProof/>
          <w:color w:val="000000"/>
          <w:lang w:val="fr-BE"/>
        </w:rPr>
        <w:t xml:space="preserve"> European Commission.</w:t>
      </w:r>
    </w:p>
    <w:p w:rsidR="00311BB8" w:rsidRDefault="00D91061">
      <w:pPr>
        <w:pStyle w:val="AMPRBodyText"/>
        <w:rPr>
          <w:noProof/>
          <w:lang w:val="fr-BE" w:eastAsia="fr-BE"/>
        </w:rPr>
      </w:pPr>
      <w:r>
        <w:rPr>
          <w:noProof/>
          <w:lang w:val="fr-BE"/>
        </w:rPr>
        <w:br w:type="page"/>
      </w:r>
    </w:p>
    <w:p w:rsidR="00311BB8" w:rsidRDefault="00D91061">
      <w:pPr>
        <w:pStyle w:val="AMPRAnnexesTITLE4-Numbered"/>
        <w:rPr>
          <w:rFonts w:eastAsia="Calibri"/>
          <w:noProof/>
          <w:color w:val="E48C32"/>
          <w:lang w:val="fr-BE" w:eastAsia="fr-BE"/>
        </w:rPr>
      </w:pPr>
      <w:r>
        <w:rPr>
          <w:i/>
          <w:noProof/>
          <w:lang w:val="fr-BE"/>
        </w:rPr>
        <w:t>Ex post</w:t>
      </w:r>
      <w:r>
        <w:rPr>
          <w:noProof/>
          <w:lang w:val="fr-BE"/>
        </w:rPr>
        <w:t xml:space="preserve"> controls</w:t>
      </w:r>
    </w:p>
    <w:p w:rsidR="00311BB8" w:rsidRDefault="00D91061">
      <w:pPr>
        <w:pStyle w:val="AMPRBodyText"/>
        <w:spacing w:after="360"/>
        <w:rPr>
          <w:noProof/>
        </w:rPr>
      </w:pPr>
      <w:r>
        <w:rPr>
          <w:noProof/>
        </w:rPr>
        <w:t xml:space="preserve">Where preventive mechanisms are not effective, the Commission, as part of its supervisory role, applies corrective mechanisms. The Commission’s main corrective mechanisms include </w:t>
      </w:r>
      <w:r>
        <w:rPr>
          <w:i/>
          <w:noProof/>
        </w:rPr>
        <w:t>ex post</w:t>
      </w:r>
      <w:r>
        <w:rPr>
          <w:noProof/>
        </w:rPr>
        <w:t xml:space="preserve"> controls on amounts it has accepted and paid out. In shared management these lead to financial corrections, and in direct and indirect management they result in recoveries from final recipients. </w:t>
      </w:r>
      <w:r>
        <w:rPr>
          <w:rStyle w:val="AMPRcharBoldOrange"/>
          <w:noProof/>
        </w:rPr>
        <w:t>In 2019, the confirmed corrective measures amounted to EUR</w:t>
      </w:r>
      <w:r>
        <w:rPr>
          <w:rStyle w:val="AMPRcharBoldOrange"/>
          <w:rFonts w:ascii="Calibri" w:hAnsi="Calibri" w:cs="Calibri"/>
          <w:noProof/>
        </w:rPr>
        <w:t> </w:t>
      </w:r>
      <w:r>
        <w:rPr>
          <w:rStyle w:val="AMPRcharBoldOrange"/>
          <w:noProof/>
        </w:rPr>
        <w:t>1.5</w:t>
      </w:r>
      <w:r>
        <w:rPr>
          <w:rStyle w:val="AMPRcharBoldOrange"/>
          <w:rFonts w:ascii="Calibri" w:hAnsi="Calibri" w:cs="Calibri"/>
          <w:noProof/>
        </w:rPr>
        <w:t> </w:t>
      </w:r>
      <w:r>
        <w:rPr>
          <w:rStyle w:val="AMPRcharBoldOrange"/>
          <w:noProof/>
        </w:rPr>
        <w:t>billion and the implemented corrective measures amounted to EUR</w:t>
      </w:r>
      <w:r>
        <w:rPr>
          <w:rStyle w:val="AMPRcharBoldOrange"/>
          <w:rFonts w:ascii="Calibri" w:hAnsi="Calibri" w:cs="Calibri"/>
          <w:noProof/>
        </w:rPr>
        <w:t> </w:t>
      </w:r>
      <w:r>
        <w:rPr>
          <w:rStyle w:val="AMPRcharBoldOrange"/>
          <w:noProof/>
        </w:rPr>
        <w:t>2.4</w:t>
      </w:r>
      <w:r>
        <w:rPr>
          <w:rStyle w:val="AMPRcharBoldOrange"/>
          <w:rFonts w:ascii="Calibri" w:hAnsi="Calibri" w:cs="Calibri"/>
          <w:noProof/>
        </w:rPr>
        <w:t> </w:t>
      </w:r>
      <w:r>
        <w:rPr>
          <w:rStyle w:val="AMPRcharBoldOrange"/>
          <w:noProof/>
        </w:rPr>
        <w:t>billion.</w:t>
      </w:r>
      <w:r>
        <w:rPr>
          <w:noProof/>
        </w:rPr>
        <w:t xml:space="preserve"> These include the recovery orders issued, the implementation of the results of the </w:t>
      </w:r>
      <w:r>
        <w:rPr>
          <w:i/>
          <w:noProof/>
        </w:rPr>
        <w:t>ex post</w:t>
      </w:r>
      <w:r>
        <w:rPr>
          <w:noProof/>
        </w:rPr>
        <w:t xml:space="preserve"> controls in cost claims and invoices, the financial corrections applied and the replacement of expenditure (‘withdrawals’). </w:t>
      </w:r>
    </w:p>
    <w:tbl>
      <w:tblPr>
        <w:tblStyle w:val="AMPRTABLEA-Template"/>
        <w:tblW w:w="9093" w:type="dxa"/>
        <w:tblLook w:val="04A0" w:firstRow="1" w:lastRow="0" w:firstColumn="1" w:lastColumn="0" w:noHBand="0" w:noVBand="1"/>
      </w:tblPr>
      <w:tblGrid>
        <w:gridCol w:w="2694"/>
        <w:gridCol w:w="1559"/>
        <w:gridCol w:w="567"/>
        <w:gridCol w:w="2693"/>
        <w:gridCol w:w="1580"/>
      </w:tblGrid>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rsidR="00311BB8" w:rsidRDefault="00D91061">
            <w:pPr>
              <w:pStyle w:val="AMPRTABLEA-HEADERText-WHITE"/>
              <w:spacing w:before="144" w:after="144"/>
              <w:rPr>
                <w:noProof/>
              </w:rPr>
            </w:pPr>
            <w:r>
              <w:rPr>
                <w:noProof/>
              </w:rPr>
              <w:t>Fund</w:t>
            </w:r>
          </w:p>
        </w:tc>
        <w:tc>
          <w:tcPr>
            <w:tcW w:w="1559" w:type="dxa"/>
            <w:tcBorders>
              <w:right w:val="nil"/>
            </w:tcBorders>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Value of corrective measures confirmed</w:t>
            </w:r>
          </w:p>
        </w:tc>
        <w:tc>
          <w:tcPr>
            <w:tcW w:w="567" w:type="dxa"/>
            <w:tcBorders>
              <w:left w:val="nil"/>
              <w:right w:val="nil"/>
            </w:tcBorders>
            <w:shd w:val="clear" w:color="auto" w:fill="auto"/>
          </w:tcPr>
          <w:p w:rsidR="00311BB8" w:rsidRDefault="00311BB8">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p>
        </w:tc>
        <w:tc>
          <w:tcPr>
            <w:tcW w:w="2693" w:type="dxa"/>
            <w:tcBorders>
              <w:left w:val="nil"/>
            </w:tcBorders>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Fund</w:t>
            </w:r>
          </w:p>
        </w:tc>
        <w:tc>
          <w:tcPr>
            <w:tcW w:w="1580"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Value of corrective measures implemented</w:t>
            </w:r>
          </w:p>
        </w:tc>
      </w:tr>
      <w:tr w:rsidR="00311BB8" w:rsidTr="00311BB8">
        <w:tc>
          <w:tcPr>
            <w:cnfStyle w:val="001000000000" w:firstRow="0" w:lastRow="0" w:firstColumn="1" w:lastColumn="0" w:oddVBand="0" w:evenVBand="0" w:oddHBand="0" w:evenHBand="0" w:firstRowFirstColumn="0" w:firstRowLastColumn="0" w:lastRowFirstColumn="0" w:lastRowLastColumn="0"/>
            <w:tcW w:w="2694" w:type="dxa"/>
          </w:tcPr>
          <w:p w:rsidR="00311BB8" w:rsidRDefault="00D91061">
            <w:pPr>
              <w:pStyle w:val="AMPRTABLEA-TextLEFTalligned-BLACK"/>
              <w:rPr>
                <w:b/>
                <w:bCs/>
                <w:noProof/>
              </w:rPr>
            </w:pPr>
            <w:r>
              <w:rPr>
                <w:b/>
                <w:bCs/>
                <w:noProof/>
              </w:rPr>
              <w:t>Agricultural policy:</w:t>
            </w:r>
          </w:p>
        </w:tc>
        <w:tc>
          <w:tcPr>
            <w:tcW w:w="1559"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noProof/>
              </w:rPr>
            </w:pPr>
            <w:r>
              <w:rPr>
                <w:rFonts w:eastAsia="EC Square Sans Pro"/>
                <w:b/>
                <w:bCs/>
                <w:noProof/>
              </w:rPr>
              <w:t>710</w:t>
            </w:r>
          </w:p>
        </w:tc>
        <w:tc>
          <w:tcPr>
            <w:tcW w:w="567" w:type="dxa"/>
            <w:tcBorders>
              <w:top w:val="nil"/>
              <w:left w:val="nil"/>
              <w:bottom w:val="nil"/>
              <w:right w:val="nil"/>
            </w:tcBorders>
            <w:shd w:val="clear" w:color="auto" w:fill="auto"/>
          </w:tcPr>
          <w:p w:rsidR="00311BB8" w:rsidRDefault="00311BB8">
            <w:pPr>
              <w:keepNext/>
              <w:spacing w:after="120"/>
              <w:cnfStyle w:val="000000000000" w:firstRow="0" w:lastRow="0" w:firstColumn="0" w:lastColumn="0" w:oddVBand="0" w:evenVBand="0" w:oddHBand="0" w:evenHBand="0" w:firstRowFirstColumn="0" w:firstRowLastColumn="0" w:lastRowFirstColumn="0" w:lastRowLastColumn="0"/>
              <w:rPr>
                <w:rFonts w:eastAsia="EC Square Sans Pro"/>
                <w:b/>
                <w:noProof/>
              </w:rPr>
            </w:pPr>
          </w:p>
        </w:tc>
        <w:tc>
          <w:tcPr>
            <w:tcW w:w="2693" w:type="dxa"/>
            <w:tcBorders>
              <w:left w:val="nil"/>
            </w:tcBorders>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b/>
                <w:bCs/>
                <w:noProof/>
              </w:rPr>
            </w:pPr>
            <w:r>
              <w:rPr>
                <w:b/>
                <w:bCs/>
                <w:noProof/>
              </w:rPr>
              <w:t>Agricultural policy:</w:t>
            </w:r>
          </w:p>
        </w:tc>
        <w:tc>
          <w:tcPr>
            <w:tcW w:w="1580"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noProof/>
              </w:rPr>
            </w:pPr>
            <w:r>
              <w:rPr>
                <w:rFonts w:eastAsia="EC Square Sans Pro"/>
                <w:b/>
                <w:bCs/>
                <w:noProof/>
              </w:rPr>
              <w:t>1</w:t>
            </w:r>
            <w:r>
              <w:rPr>
                <w:rFonts w:ascii="Calibri" w:eastAsia="EC Square Sans Pro" w:hAnsi="Calibri" w:cs="Calibri"/>
                <w:b/>
                <w:bCs/>
                <w:noProof/>
              </w:rPr>
              <w:t> </w:t>
            </w:r>
            <w:r>
              <w:rPr>
                <w:rFonts w:eastAsia="EC Square Sans Pro"/>
                <w:b/>
                <w:bCs/>
                <w:noProof/>
              </w:rPr>
              <w:t>500</w:t>
            </w:r>
          </w:p>
        </w:tc>
      </w:tr>
      <w:tr w:rsidR="00311BB8" w:rsidTr="00311BB8">
        <w:tc>
          <w:tcPr>
            <w:cnfStyle w:val="001000000000" w:firstRow="0" w:lastRow="0" w:firstColumn="1" w:lastColumn="0" w:oddVBand="0" w:evenVBand="0" w:oddHBand="0" w:evenHBand="0" w:firstRowFirstColumn="0" w:firstRowLastColumn="0" w:lastRowFirstColumn="0" w:lastRowLastColumn="0"/>
            <w:tcW w:w="2694" w:type="dxa"/>
          </w:tcPr>
          <w:p w:rsidR="00311BB8" w:rsidRDefault="00D91061">
            <w:pPr>
              <w:pStyle w:val="AMPRTABLEA-TextLEFTalligned-BLACK"/>
              <w:ind w:left="142"/>
              <w:rPr>
                <w:noProof/>
              </w:rPr>
            </w:pPr>
            <w:r>
              <w:rPr>
                <w:noProof/>
              </w:rPr>
              <w:t>European Agricultural Guarantee Fund</w:t>
            </w:r>
          </w:p>
        </w:tc>
        <w:tc>
          <w:tcPr>
            <w:tcW w:w="1559"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343</w:t>
            </w:r>
          </w:p>
        </w:tc>
        <w:tc>
          <w:tcPr>
            <w:tcW w:w="567" w:type="dxa"/>
            <w:tcBorders>
              <w:top w:val="nil"/>
              <w:left w:val="nil"/>
              <w:bottom w:val="nil"/>
              <w:right w:val="nil"/>
            </w:tcBorders>
            <w:shd w:val="clear" w:color="auto" w:fill="auto"/>
          </w:tcPr>
          <w:p w:rsidR="00311BB8" w:rsidRDefault="00311BB8">
            <w:pPr>
              <w:keepNext/>
              <w:spacing w:after="120"/>
              <w:cnfStyle w:val="000000000000" w:firstRow="0" w:lastRow="0" w:firstColumn="0" w:lastColumn="0" w:oddVBand="0" w:evenVBand="0" w:oddHBand="0" w:evenHBand="0" w:firstRowFirstColumn="0" w:firstRowLastColumn="0" w:lastRowFirstColumn="0" w:lastRowLastColumn="0"/>
              <w:rPr>
                <w:rFonts w:eastAsia="EC Square Sans Pro"/>
                <w:noProof/>
              </w:rPr>
            </w:pPr>
          </w:p>
        </w:tc>
        <w:tc>
          <w:tcPr>
            <w:tcW w:w="2693" w:type="dxa"/>
            <w:tcBorders>
              <w:left w:val="nil"/>
            </w:tcBorders>
          </w:tcPr>
          <w:p w:rsidR="00311BB8" w:rsidRDefault="00D91061">
            <w:pPr>
              <w:pStyle w:val="AMPRTABLEA-TextLEFTalligned-BLACK"/>
              <w:ind w:left="142"/>
              <w:cnfStyle w:val="000000000000" w:firstRow="0" w:lastRow="0" w:firstColumn="0" w:lastColumn="0" w:oddVBand="0" w:evenVBand="0" w:oddHBand="0" w:evenHBand="0" w:firstRowFirstColumn="0" w:firstRowLastColumn="0" w:lastRowFirstColumn="0" w:lastRowLastColumn="0"/>
              <w:rPr>
                <w:noProof/>
              </w:rPr>
            </w:pPr>
            <w:r>
              <w:rPr>
                <w:noProof/>
              </w:rPr>
              <w:t>European Agricultural Guarantee Fund</w:t>
            </w:r>
          </w:p>
        </w:tc>
        <w:tc>
          <w:tcPr>
            <w:tcW w:w="1580"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w:t>
            </w:r>
            <w:r>
              <w:rPr>
                <w:rFonts w:ascii="Calibri" w:eastAsia="EC Square Sans Pro" w:hAnsi="Calibri" w:cs="Calibri"/>
                <w:noProof/>
              </w:rPr>
              <w:t> </w:t>
            </w:r>
            <w:r>
              <w:rPr>
                <w:rFonts w:eastAsia="EC Square Sans Pro"/>
                <w:noProof/>
              </w:rPr>
              <w:t>138</w:t>
            </w:r>
          </w:p>
        </w:tc>
      </w:tr>
      <w:tr w:rsidR="00311BB8" w:rsidTr="00311BB8">
        <w:tc>
          <w:tcPr>
            <w:cnfStyle w:val="001000000000" w:firstRow="0" w:lastRow="0" w:firstColumn="1" w:lastColumn="0" w:oddVBand="0" w:evenVBand="0" w:oddHBand="0" w:evenHBand="0" w:firstRowFirstColumn="0" w:firstRowLastColumn="0" w:lastRowFirstColumn="0" w:lastRowLastColumn="0"/>
            <w:tcW w:w="2694" w:type="dxa"/>
          </w:tcPr>
          <w:p w:rsidR="00311BB8" w:rsidRDefault="00D91061">
            <w:pPr>
              <w:pStyle w:val="AMPRTABLEA-TextLEFTalligned-BLACK"/>
              <w:ind w:left="142"/>
              <w:rPr>
                <w:noProof/>
              </w:rPr>
            </w:pPr>
            <w:r>
              <w:rPr>
                <w:noProof/>
              </w:rPr>
              <w:t>Rural development</w:t>
            </w:r>
          </w:p>
        </w:tc>
        <w:tc>
          <w:tcPr>
            <w:tcW w:w="1559"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367</w:t>
            </w:r>
          </w:p>
        </w:tc>
        <w:tc>
          <w:tcPr>
            <w:tcW w:w="567" w:type="dxa"/>
            <w:tcBorders>
              <w:top w:val="nil"/>
              <w:left w:val="nil"/>
              <w:bottom w:val="nil"/>
              <w:right w:val="nil"/>
            </w:tcBorders>
            <w:shd w:val="clear" w:color="auto" w:fill="auto"/>
          </w:tcPr>
          <w:p w:rsidR="00311BB8" w:rsidRDefault="00311BB8">
            <w:pPr>
              <w:keepNext/>
              <w:spacing w:after="120"/>
              <w:cnfStyle w:val="000000000000" w:firstRow="0" w:lastRow="0" w:firstColumn="0" w:lastColumn="0" w:oddVBand="0" w:evenVBand="0" w:oddHBand="0" w:evenHBand="0" w:firstRowFirstColumn="0" w:firstRowLastColumn="0" w:lastRowFirstColumn="0" w:lastRowLastColumn="0"/>
              <w:rPr>
                <w:rFonts w:eastAsia="EC Square Sans Pro"/>
                <w:noProof/>
              </w:rPr>
            </w:pPr>
          </w:p>
        </w:tc>
        <w:tc>
          <w:tcPr>
            <w:tcW w:w="2693" w:type="dxa"/>
            <w:tcBorders>
              <w:left w:val="nil"/>
            </w:tcBorders>
          </w:tcPr>
          <w:p w:rsidR="00311BB8" w:rsidRDefault="00D91061">
            <w:pPr>
              <w:pStyle w:val="AMPRTABLEA-TextLEFTalligned-BLACK"/>
              <w:ind w:left="142"/>
              <w:cnfStyle w:val="000000000000" w:firstRow="0" w:lastRow="0" w:firstColumn="0" w:lastColumn="0" w:oddVBand="0" w:evenVBand="0" w:oddHBand="0" w:evenHBand="0" w:firstRowFirstColumn="0" w:firstRowLastColumn="0" w:lastRowFirstColumn="0" w:lastRowLastColumn="0"/>
              <w:rPr>
                <w:noProof/>
              </w:rPr>
            </w:pPr>
            <w:r>
              <w:rPr>
                <w:noProof/>
              </w:rPr>
              <w:t>Rural development</w:t>
            </w:r>
          </w:p>
        </w:tc>
        <w:tc>
          <w:tcPr>
            <w:tcW w:w="1580"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362</w:t>
            </w:r>
          </w:p>
        </w:tc>
      </w:tr>
      <w:tr w:rsidR="00311BB8" w:rsidTr="00311BB8">
        <w:tc>
          <w:tcPr>
            <w:cnfStyle w:val="001000000000" w:firstRow="0" w:lastRow="0" w:firstColumn="1" w:lastColumn="0" w:oddVBand="0" w:evenVBand="0" w:oddHBand="0" w:evenHBand="0" w:firstRowFirstColumn="0" w:firstRowLastColumn="0" w:lastRowFirstColumn="0" w:lastRowLastColumn="0"/>
            <w:tcW w:w="2694" w:type="dxa"/>
          </w:tcPr>
          <w:p w:rsidR="00311BB8" w:rsidRDefault="00D91061">
            <w:pPr>
              <w:pStyle w:val="AMPRTABLEA-TextLEFTalligned-BLACK"/>
              <w:rPr>
                <w:b/>
                <w:bCs/>
                <w:noProof/>
              </w:rPr>
            </w:pPr>
            <w:r>
              <w:rPr>
                <w:b/>
                <w:bCs/>
                <w:noProof/>
              </w:rPr>
              <w:t>Cohesion policy:</w:t>
            </w:r>
          </w:p>
        </w:tc>
        <w:tc>
          <w:tcPr>
            <w:tcW w:w="1559"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noProof/>
              </w:rPr>
            </w:pPr>
            <w:r>
              <w:rPr>
                <w:rFonts w:eastAsia="EC Square Sans Pro"/>
                <w:b/>
                <w:bCs/>
                <w:noProof/>
              </w:rPr>
              <w:t>739</w:t>
            </w:r>
          </w:p>
        </w:tc>
        <w:tc>
          <w:tcPr>
            <w:tcW w:w="567" w:type="dxa"/>
            <w:tcBorders>
              <w:top w:val="nil"/>
              <w:left w:val="nil"/>
              <w:bottom w:val="nil"/>
              <w:right w:val="nil"/>
            </w:tcBorders>
            <w:shd w:val="clear" w:color="auto" w:fill="auto"/>
          </w:tcPr>
          <w:p w:rsidR="00311BB8" w:rsidRDefault="00311BB8">
            <w:pPr>
              <w:keepNext/>
              <w:spacing w:after="120"/>
              <w:cnfStyle w:val="000000000000" w:firstRow="0" w:lastRow="0" w:firstColumn="0" w:lastColumn="0" w:oddVBand="0" w:evenVBand="0" w:oddHBand="0" w:evenHBand="0" w:firstRowFirstColumn="0" w:firstRowLastColumn="0" w:lastRowFirstColumn="0" w:lastRowLastColumn="0"/>
              <w:rPr>
                <w:rFonts w:eastAsia="EC Square Sans Pro"/>
                <w:b/>
                <w:noProof/>
              </w:rPr>
            </w:pPr>
          </w:p>
        </w:tc>
        <w:tc>
          <w:tcPr>
            <w:tcW w:w="2693" w:type="dxa"/>
            <w:tcBorders>
              <w:left w:val="nil"/>
            </w:tcBorders>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b/>
                <w:bCs/>
                <w:noProof/>
              </w:rPr>
            </w:pPr>
            <w:r>
              <w:rPr>
                <w:b/>
                <w:bCs/>
                <w:noProof/>
              </w:rPr>
              <w:t>Cohesion policy:</w:t>
            </w:r>
          </w:p>
        </w:tc>
        <w:tc>
          <w:tcPr>
            <w:tcW w:w="1580"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noProof/>
              </w:rPr>
            </w:pPr>
            <w:r>
              <w:rPr>
                <w:rFonts w:eastAsia="EC Square Sans Pro"/>
                <w:b/>
                <w:bCs/>
                <w:noProof/>
              </w:rPr>
              <w:t>819</w:t>
            </w:r>
          </w:p>
        </w:tc>
      </w:tr>
      <w:tr w:rsidR="00311BB8" w:rsidTr="00311BB8">
        <w:tc>
          <w:tcPr>
            <w:cnfStyle w:val="001000000000" w:firstRow="0" w:lastRow="0" w:firstColumn="1" w:lastColumn="0" w:oddVBand="0" w:evenVBand="0" w:oddHBand="0" w:evenHBand="0" w:firstRowFirstColumn="0" w:firstRowLastColumn="0" w:lastRowFirstColumn="0" w:lastRowLastColumn="0"/>
            <w:tcW w:w="2694" w:type="dxa"/>
          </w:tcPr>
          <w:p w:rsidR="00311BB8" w:rsidRDefault="00D91061">
            <w:pPr>
              <w:pStyle w:val="AMPRTABLEA-TextLEFTalligned-BLACK"/>
              <w:ind w:left="142"/>
              <w:rPr>
                <w:noProof/>
              </w:rPr>
            </w:pPr>
            <w:r>
              <w:rPr>
                <w:noProof/>
              </w:rPr>
              <w:t>European Regional Development Fund</w:t>
            </w:r>
          </w:p>
        </w:tc>
        <w:tc>
          <w:tcPr>
            <w:tcW w:w="1559"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443</w:t>
            </w:r>
          </w:p>
        </w:tc>
        <w:tc>
          <w:tcPr>
            <w:tcW w:w="567" w:type="dxa"/>
            <w:tcBorders>
              <w:top w:val="nil"/>
              <w:left w:val="nil"/>
              <w:bottom w:val="nil"/>
              <w:right w:val="nil"/>
            </w:tcBorders>
            <w:shd w:val="clear" w:color="auto" w:fill="auto"/>
          </w:tcPr>
          <w:p w:rsidR="00311BB8" w:rsidRDefault="00311BB8">
            <w:pPr>
              <w:keepNext/>
              <w:spacing w:after="120"/>
              <w:cnfStyle w:val="000000000000" w:firstRow="0" w:lastRow="0" w:firstColumn="0" w:lastColumn="0" w:oddVBand="0" w:evenVBand="0" w:oddHBand="0" w:evenHBand="0" w:firstRowFirstColumn="0" w:firstRowLastColumn="0" w:lastRowFirstColumn="0" w:lastRowLastColumn="0"/>
              <w:rPr>
                <w:rFonts w:eastAsia="EC Square Sans Pro"/>
                <w:noProof/>
              </w:rPr>
            </w:pPr>
          </w:p>
        </w:tc>
        <w:tc>
          <w:tcPr>
            <w:tcW w:w="2693" w:type="dxa"/>
            <w:tcBorders>
              <w:left w:val="nil"/>
            </w:tcBorders>
          </w:tcPr>
          <w:p w:rsidR="00311BB8" w:rsidRDefault="00D91061">
            <w:pPr>
              <w:pStyle w:val="AMPRTABLEA-TextLEFTalligned-BLACK"/>
              <w:ind w:left="142"/>
              <w:cnfStyle w:val="000000000000" w:firstRow="0" w:lastRow="0" w:firstColumn="0" w:lastColumn="0" w:oddVBand="0" w:evenVBand="0" w:oddHBand="0" w:evenHBand="0" w:firstRowFirstColumn="0" w:firstRowLastColumn="0" w:lastRowFirstColumn="0" w:lastRowLastColumn="0"/>
              <w:rPr>
                <w:noProof/>
              </w:rPr>
            </w:pPr>
            <w:r>
              <w:rPr>
                <w:noProof/>
              </w:rPr>
              <w:t>European Regional Development Fund</w:t>
            </w:r>
          </w:p>
        </w:tc>
        <w:tc>
          <w:tcPr>
            <w:tcW w:w="1580"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324</w:t>
            </w:r>
          </w:p>
        </w:tc>
      </w:tr>
      <w:tr w:rsidR="00311BB8" w:rsidTr="00311BB8">
        <w:tc>
          <w:tcPr>
            <w:cnfStyle w:val="001000000000" w:firstRow="0" w:lastRow="0" w:firstColumn="1" w:lastColumn="0" w:oddVBand="0" w:evenVBand="0" w:oddHBand="0" w:evenHBand="0" w:firstRowFirstColumn="0" w:firstRowLastColumn="0" w:lastRowFirstColumn="0" w:lastRowLastColumn="0"/>
            <w:tcW w:w="2694" w:type="dxa"/>
          </w:tcPr>
          <w:p w:rsidR="00311BB8" w:rsidRDefault="00D91061">
            <w:pPr>
              <w:pStyle w:val="AMPRTABLEA-TextLEFTalligned-BLACK"/>
              <w:ind w:left="142"/>
              <w:rPr>
                <w:noProof/>
              </w:rPr>
            </w:pPr>
            <w:r>
              <w:rPr>
                <w:noProof/>
              </w:rPr>
              <w:t>Cohesion Fund</w:t>
            </w:r>
          </w:p>
        </w:tc>
        <w:tc>
          <w:tcPr>
            <w:tcW w:w="1559"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68</w:t>
            </w:r>
          </w:p>
        </w:tc>
        <w:tc>
          <w:tcPr>
            <w:tcW w:w="567" w:type="dxa"/>
            <w:tcBorders>
              <w:top w:val="nil"/>
              <w:left w:val="nil"/>
              <w:bottom w:val="nil"/>
              <w:right w:val="nil"/>
            </w:tcBorders>
            <w:shd w:val="clear" w:color="auto" w:fill="auto"/>
          </w:tcPr>
          <w:p w:rsidR="00311BB8" w:rsidRDefault="00311BB8">
            <w:pPr>
              <w:keepNext/>
              <w:spacing w:after="120"/>
              <w:cnfStyle w:val="000000000000" w:firstRow="0" w:lastRow="0" w:firstColumn="0" w:lastColumn="0" w:oddVBand="0" w:evenVBand="0" w:oddHBand="0" w:evenHBand="0" w:firstRowFirstColumn="0" w:firstRowLastColumn="0" w:lastRowFirstColumn="0" w:lastRowLastColumn="0"/>
              <w:rPr>
                <w:rFonts w:eastAsia="EC Square Sans Pro"/>
                <w:noProof/>
              </w:rPr>
            </w:pPr>
          </w:p>
        </w:tc>
        <w:tc>
          <w:tcPr>
            <w:tcW w:w="2693" w:type="dxa"/>
            <w:tcBorders>
              <w:left w:val="nil"/>
            </w:tcBorders>
          </w:tcPr>
          <w:p w:rsidR="00311BB8" w:rsidRDefault="00D91061">
            <w:pPr>
              <w:pStyle w:val="AMPRTABLEA-TextLEFTalligned-BLACK"/>
              <w:ind w:left="142"/>
              <w:cnfStyle w:val="000000000000" w:firstRow="0" w:lastRow="0" w:firstColumn="0" w:lastColumn="0" w:oddVBand="0" w:evenVBand="0" w:oddHBand="0" w:evenHBand="0" w:firstRowFirstColumn="0" w:firstRowLastColumn="0" w:lastRowFirstColumn="0" w:lastRowLastColumn="0"/>
              <w:rPr>
                <w:noProof/>
              </w:rPr>
            </w:pPr>
            <w:r>
              <w:rPr>
                <w:noProof/>
              </w:rPr>
              <w:t>Cohesion Fund</w:t>
            </w:r>
          </w:p>
        </w:tc>
        <w:tc>
          <w:tcPr>
            <w:tcW w:w="1580"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88</w:t>
            </w:r>
          </w:p>
        </w:tc>
      </w:tr>
      <w:tr w:rsidR="00311BB8" w:rsidTr="00311BB8">
        <w:tc>
          <w:tcPr>
            <w:cnfStyle w:val="001000000000" w:firstRow="0" w:lastRow="0" w:firstColumn="1" w:lastColumn="0" w:oddVBand="0" w:evenVBand="0" w:oddHBand="0" w:evenHBand="0" w:firstRowFirstColumn="0" w:firstRowLastColumn="0" w:lastRowFirstColumn="0" w:lastRowLastColumn="0"/>
            <w:tcW w:w="2694" w:type="dxa"/>
          </w:tcPr>
          <w:p w:rsidR="00311BB8" w:rsidRDefault="00D91061">
            <w:pPr>
              <w:pStyle w:val="AMPRTABLEA-TextLEFTalligned-BLACK"/>
              <w:ind w:left="142"/>
              <w:rPr>
                <w:noProof/>
              </w:rPr>
            </w:pPr>
            <w:r>
              <w:rPr>
                <w:noProof/>
              </w:rPr>
              <w:t>European Social Fund</w:t>
            </w:r>
          </w:p>
        </w:tc>
        <w:tc>
          <w:tcPr>
            <w:tcW w:w="1559"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299</w:t>
            </w:r>
          </w:p>
        </w:tc>
        <w:tc>
          <w:tcPr>
            <w:tcW w:w="567" w:type="dxa"/>
            <w:tcBorders>
              <w:top w:val="nil"/>
              <w:left w:val="nil"/>
              <w:bottom w:val="nil"/>
              <w:right w:val="nil"/>
            </w:tcBorders>
            <w:shd w:val="clear" w:color="auto" w:fill="auto"/>
          </w:tcPr>
          <w:p w:rsidR="00311BB8" w:rsidRDefault="00311BB8">
            <w:pPr>
              <w:keepNext/>
              <w:spacing w:after="120"/>
              <w:cnfStyle w:val="000000000000" w:firstRow="0" w:lastRow="0" w:firstColumn="0" w:lastColumn="0" w:oddVBand="0" w:evenVBand="0" w:oddHBand="0" w:evenHBand="0" w:firstRowFirstColumn="0" w:firstRowLastColumn="0" w:lastRowFirstColumn="0" w:lastRowLastColumn="0"/>
              <w:rPr>
                <w:rFonts w:eastAsia="EC Square Sans Pro"/>
                <w:noProof/>
              </w:rPr>
            </w:pPr>
          </w:p>
        </w:tc>
        <w:tc>
          <w:tcPr>
            <w:tcW w:w="2693" w:type="dxa"/>
            <w:tcBorders>
              <w:left w:val="nil"/>
            </w:tcBorders>
          </w:tcPr>
          <w:p w:rsidR="00311BB8" w:rsidRDefault="00D91061">
            <w:pPr>
              <w:pStyle w:val="AMPRTABLEA-TextLEFTalligned-BLACK"/>
              <w:ind w:left="142"/>
              <w:cnfStyle w:val="000000000000" w:firstRow="0" w:lastRow="0" w:firstColumn="0" w:lastColumn="0" w:oddVBand="0" w:evenVBand="0" w:oddHBand="0" w:evenHBand="0" w:firstRowFirstColumn="0" w:firstRowLastColumn="0" w:lastRowFirstColumn="0" w:lastRowLastColumn="0"/>
              <w:rPr>
                <w:noProof/>
              </w:rPr>
            </w:pPr>
            <w:r>
              <w:rPr>
                <w:noProof/>
              </w:rPr>
              <w:t>European Social Fund</w:t>
            </w:r>
          </w:p>
        </w:tc>
        <w:tc>
          <w:tcPr>
            <w:tcW w:w="1580"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479</w:t>
            </w:r>
          </w:p>
        </w:tc>
      </w:tr>
      <w:tr w:rsidR="00311BB8" w:rsidTr="00311BB8">
        <w:tc>
          <w:tcPr>
            <w:cnfStyle w:val="001000000000" w:firstRow="0" w:lastRow="0" w:firstColumn="1" w:lastColumn="0" w:oddVBand="0" w:evenVBand="0" w:oddHBand="0" w:evenHBand="0" w:firstRowFirstColumn="0" w:firstRowLastColumn="0" w:lastRowFirstColumn="0" w:lastRowLastColumn="0"/>
            <w:tcW w:w="2694" w:type="dxa"/>
          </w:tcPr>
          <w:p w:rsidR="00311BB8" w:rsidRDefault="00D91061">
            <w:pPr>
              <w:pStyle w:val="AMPRTABLEA-TextLEFTalligned-BLACK"/>
              <w:ind w:left="142"/>
              <w:rPr>
                <w:noProof/>
                <w:lang w:val="en-GB"/>
              </w:rPr>
            </w:pPr>
            <w:r>
              <w:rPr>
                <w:noProof/>
                <w:lang w:val="en-GB"/>
              </w:rPr>
              <w:t>Financial Instrument for Fisheries Guidance</w:t>
            </w:r>
            <w:r>
              <w:rPr>
                <w:rFonts w:ascii="Calibri" w:hAnsi="Calibri" w:cs="Calibri"/>
                <w:noProof/>
                <w:lang w:val="en-GB"/>
              </w:rPr>
              <w:t> </w:t>
            </w:r>
            <w:r>
              <w:rPr>
                <w:noProof/>
                <w:lang w:val="en-GB"/>
              </w:rPr>
              <w:t>/ European Fisheries Fund / European Maritime and Fisheries Fund</w:t>
            </w:r>
          </w:p>
        </w:tc>
        <w:tc>
          <w:tcPr>
            <w:tcW w:w="1559"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567" w:type="dxa"/>
            <w:tcBorders>
              <w:top w:val="nil"/>
              <w:left w:val="nil"/>
              <w:bottom w:val="nil"/>
              <w:right w:val="nil"/>
            </w:tcBorders>
            <w:shd w:val="clear" w:color="auto" w:fill="auto"/>
          </w:tcPr>
          <w:p w:rsidR="00311BB8" w:rsidRDefault="00311BB8">
            <w:pPr>
              <w:keepNext/>
              <w:spacing w:after="120"/>
              <w:cnfStyle w:val="000000000000" w:firstRow="0" w:lastRow="0" w:firstColumn="0" w:lastColumn="0" w:oddVBand="0" w:evenVBand="0" w:oddHBand="0" w:evenHBand="0" w:firstRowFirstColumn="0" w:firstRowLastColumn="0" w:lastRowFirstColumn="0" w:lastRowLastColumn="0"/>
              <w:rPr>
                <w:rFonts w:eastAsia="EC Square Sans Pro"/>
                <w:noProof/>
              </w:rPr>
            </w:pPr>
          </w:p>
        </w:tc>
        <w:tc>
          <w:tcPr>
            <w:tcW w:w="2693" w:type="dxa"/>
            <w:tcBorders>
              <w:left w:val="nil"/>
            </w:tcBorders>
          </w:tcPr>
          <w:p w:rsidR="00311BB8" w:rsidRDefault="00D91061">
            <w:pPr>
              <w:pStyle w:val="AMPRTABLEA-TextLEFTalligned-BLACK"/>
              <w:ind w:left="142"/>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Financial Instrument for Fisheries Guidance</w:t>
            </w:r>
            <w:r>
              <w:rPr>
                <w:rFonts w:ascii="Calibri" w:hAnsi="Calibri" w:cs="Calibri"/>
                <w:noProof/>
                <w:lang w:val="en-GB"/>
              </w:rPr>
              <w:t> </w:t>
            </w:r>
            <w:r>
              <w:rPr>
                <w:noProof/>
                <w:lang w:val="en-GB"/>
              </w:rPr>
              <w:t>/ European Fisheries Fund / European Maritime and Fisheries Fund</w:t>
            </w:r>
          </w:p>
        </w:tc>
        <w:tc>
          <w:tcPr>
            <w:tcW w:w="1580"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r>
      <w:tr w:rsidR="00311BB8" w:rsidTr="00311BB8">
        <w:tc>
          <w:tcPr>
            <w:cnfStyle w:val="001000000000" w:firstRow="0" w:lastRow="0" w:firstColumn="1" w:lastColumn="0" w:oddVBand="0" w:evenVBand="0" w:oddHBand="0" w:evenHBand="0" w:firstRowFirstColumn="0" w:firstRowLastColumn="0" w:lastRowFirstColumn="0" w:lastRowLastColumn="0"/>
            <w:tcW w:w="2694" w:type="dxa"/>
          </w:tcPr>
          <w:p w:rsidR="00311BB8" w:rsidRDefault="00D91061">
            <w:pPr>
              <w:pStyle w:val="AMPRTABLEA-TextLEFTalligned-BLACK"/>
              <w:ind w:left="142"/>
              <w:rPr>
                <w:noProof/>
                <w:lang w:val="en-GB"/>
              </w:rPr>
            </w:pPr>
            <w:r>
              <w:rPr>
                <w:noProof/>
                <w:lang w:val="en-GB"/>
              </w:rPr>
              <w:t xml:space="preserve">European Agricultural Guidance and Guarantee Fund </w:t>
            </w:r>
          </w:p>
        </w:tc>
        <w:tc>
          <w:tcPr>
            <w:tcW w:w="1559"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(72)</w:t>
            </w:r>
          </w:p>
        </w:tc>
        <w:tc>
          <w:tcPr>
            <w:tcW w:w="567" w:type="dxa"/>
            <w:tcBorders>
              <w:top w:val="nil"/>
              <w:left w:val="nil"/>
              <w:bottom w:val="nil"/>
              <w:right w:val="nil"/>
            </w:tcBorders>
            <w:shd w:val="clear" w:color="auto" w:fill="auto"/>
          </w:tcPr>
          <w:p w:rsidR="00311BB8" w:rsidRDefault="00311BB8">
            <w:pPr>
              <w:keepNext/>
              <w:spacing w:after="120"/>
              <w:cnfStyle w:val="000000000000" w:firstRow="0" w:lastRow="0" w:firstColumn="0" w:lastColumn="0" w:oddVBand="0" w:evenVBand="0" w:oddHBand="0" w:evenHBand="0" w:firstRowFirstColumn="0" w:firstRowLastColumn="0" w:lastRowFirstColumn="0" w:lastRowLastColumn="0"/>
              <w:rPr>
                <w:rFonts w:eastAsia="EC Square Sans Pro"/>
                <w:noProof/>
              </w:rPr>
            </w:pPr>
          </w:p>
        </w:tc>
        <w:tc>
          <w:tcPr>
            <w:tcW w:w="2693" w:type="dxa"/>
            <w:tcBorders>
              <w:left w:val="nil"/>
            </w:tcBorders>
          </w:tcPr>
          <w:p w:rsidR="00311BB8" w:rsidRDefault="00D91061">
            <w:pPr>
              <w:pStyle w:val="AMPRTABLEA-TextLEFTalligned-BLACK"/>
              <w:ind w:left="142"/>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 xml:space="preserve">European Agricultural Guidance and Guarantee Fund </w:t>
            </w:r>
          </w:p>
        </w:tc>
        <w:tc>
          <w:tcPr>
            <w:tcW w:w="1580"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(72)</w:t>
            </w:r>
          </w:p>
        </w:tc>
      </w:tr>
      <w:tr w:rsidR="00311BB8" w:rsidTr="00311BB8">
        <w:tc>
          <w:tcPr>
            <w:cnfStyle w:val="001000000000" w:firstRow="0" w:lastRow="0" w:firstColumn="1" w:lastColumn="0" w:oddVBand="0" w:evenVBand="0" w:oddHBand="0" w:evenHBand="0" w:firstRowFirstColumn="0" w:firstRowLastColumn="0" w:lastRowFirstColumn="0" w:lastRowLastColumn="0"/>
            <w:tcW w:w="2694" w:type="dxa"/>
          </w:tcPr>
          <w:p w:rsidR="00311BB8" w:rsidRDefault="00D91061">
            <w:pPr>
              <w:pStyle w:val="AMPRTABLEA-TextLEFTalligned-BLACK"/>
              <w:rPr>
                <w:b/>
                <w:bCs/>
                <w:noProof/>
              </w:rPr>
            </w:pPr>
            <w:r>
              <w:rPr>
                <w:b/>
                <w:bCs/>
                <w:noProof/>
              </w:rPr>
              <w:t>Internal Policies</w:t>
            </w:r>
          </w:p>
        </w:tc>
        <w:tc>
          <w:tcPr>
            <w:tcW w:w="1559"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noProof/>
              </w:rPr>
            </w:pPr>
            <w:r>
              <w:rPr>
                <w:rFonts w:eastAsia="EC Square Sans Pro"/>
                <w:b/>
                <w:bCs/>
                <w:noProof/>
              </w:rPr>
              <w:t>63</w:t>
            </w:r>
          </w:p>
        </w:tc>
        <w:tc>
          <w:tcPr>
            <w:tcW w:w="567" w:type="dxa"/>
            <w:tcBorders>
              <w:top w:val="nil"/>
              <w:left w:val="nil"/>
              <w:bottom w:val="nil"/>
              <w:right w:val="nil"/>
            </w:tcBorders>
            <w:shd w:val="clear" w:color="auto" w:fill="auto"/>
          </w:tcPr>
          <w:p w:rsidR="00311BB8" w:rsidRDefault="00311BB8">
            <w:pPr>
              <w:keepNext/>
              <w:spacing w:after="120"/>
              <w:cnfStyle w:val="000000000000" w:firstRow="0" w:lastRow="0" w:firstColumn="0" w:lastColumn="0" w:oddVBand="0" w:evenVBand="0" w:oddHBand="0" w:evenHBand="0" w:firstRowFirstColumn="0" w:firstRowLastColumn="0" w:lastRowFirstColumn="0" w:lastRowLastColumn="0"/>
              <w:rPr>
                <w:rFonts w:eastAsia="EC Square Sans Pro"/>
                <w:b/>
                <w:noProof/>
              </w:rPr>
            </w:pPr>
          </w:p>
        </w:tc>
        <w:tc>
          <w:tcPr>
            <w:tcW w:w="2693" w:type="dxa"/>
            <w:tcBorders>
              <w:left w:val="nil"/>
            </w:tcBorders>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b/>
                <w:bCs/>
                <w:noProof/>
              </w:rPr>
            </w:pPr>
            <w:r>
              <w:rPr>
                <w:b/>
                <w:bCs/>
                <w:noProof/>
              </w:rPr>
              <w:t>Internal Policies</w:t>
            </w:r>
          </w:p>
        </w:tc>
        <w:tc>
          <w:tcPr>
            <w:tcW w:w="1580"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noProof/>
              </w:rPr>
            </w:pPr>
            <w:r>
              <w:rPr>
                <w:rFonts w:eastAsia="EC Square Sans Pro"/>
                <w:b/>
                <w:bCs/>
                <w:noProof/>
              </w:rPr>
              <w:t>68</w:t>
            </w:r>
          </w:p>
        </w:tc>
      </w:tr>
      <w:tr w:rsidR="00311BB8" w:rsidTr="00311BB8">
        <w:tc>
          <w:tcPr>
            <w:cnfStyle w:val="001000000000" w:firstRow="0" w:lastRow="0" w:firstColumn="1" w:lastColumn="0" w:oddVBand="0" w:evenVBand="0" w:oddHBand="0" w:evenHBand="0" w:firstRowFirstColumn="0" w:firstRowLastColumn="0" w:lastRowFirstColumn="0" w:lastRowLastColumn="0"/>
            <w:tcW w:w="2694" w:type="dxa"/>
          </w:tcPr>
          <w:p w:rsidR="00311BB8" w:rsidRDefault="00D91061">
            <w:pPr>
              <w:pStyle w:val="AMPRTABLEA-TextLEFTalligned-BLACK"/>
              <w:rPr>
                <w:b/>
                <w:bCs/>
                <w:noProof/>
              </w:rPr>
            </w:pPr>
            <w:r>
              <w:rPr>
                <w:b/>
                <w:bCs/>
                <w:noProof/>
              </w:rPr>
              <w:t>External Policies</w:t>
            </w:r>
          </w:p>
        </w:tc>
        <w:tc>
          <w:tcPr>
            <w:tcW w:w="1559" w:type="dxa"/>
            <w:tcBorders>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noProof/>
              </w:rPr>
            </w:pPr>
            <w:r>
              <w:rPr>
                <w:rFonts w:eastAsia="EC Square Sans Pro"/>
                <w:b/>
                <w:bCs/>
                <w:noProof/>
              </w:rPr>
              <w:t>14</w:t>
            </w:r>
          </w:p>
        </w:tc>
        <w:tc>
          <w:tcPr>
            <w:tcW w:w="567" w:type="dxa"/>
            <w:tcBorders>
              <w:top w:val="nil"/>
              <w:left w:val="nil"/>
              <w:bottom w:val="nil"/>
              <w:right w:val="nil"/>
            </w:tcBorders>
            <w:shd w:val="clear" w:color="auto" w:fill="auto"/>
          </w:tcPr>
          <w:p w:rsidR="00311BB8" w:rsidRDefault="00311BB8">
            <w:pPr>
              <w:keepNext/>
              <w:spacing w:after="120"/>
              <w:cnfStyle w:val="000000000000" w:firstRow="0" w:lastRow="0" w:firstColumn="0" w:lastColumn="0" w:oddVBand="0" w:evenVBand="0" w:oddHBand="0" w:evenHBand="0" w:firstRowFirstColumn="0" w:firstRowLastColumn="0" w:lastRowFirstColumn="0" w:lastRowLastColumn="0"/>
              <w:rPr>
                <w:rFonts w:eastAsia="EC Square Sans Pro"/>
                <w:b/>
                <w:noProof/>
              </w:rPr>
            </w:pPr>
          </w:p>
        </w:tc>
        <w:tc>
          <w:tcPr>
            <w:tcW w:w="2693" w:type="dxa"/>
            <w:tcBorders>
              <w:left w:val="nil"/>
            </w:tcBorders>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b/>
                <w:bCs/>
                <w:noProof/>
              </w:rPr>
            </w:pPr>
            <w:r>
              <w:rPr>
                <w:b/>
                <w:bCs/>
                <w:noProof/>
              </w:rPr>
              <w:t>External Policies</w:t>
            </w:r>
          </w:p>
        </w:tc>
        <w:tc>
          <w:tcPr>
            <w:tcW w:w="1580"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noProof/>
              </w:rPr>
            </w:pPr>
            <w:r>
              <w:rPr>
                <w:rFonts w:eastAsia="EC Square Sans Pro"/>
                <w:b/>
                <w:bCs/>
                <w:noProof/>
              </w:rPr>
              <w:t>15</w:t>
            </w:r>
          </w:p>
        </w:tc>
      </w:tr>
      <w:tr w:rsidR="00311BB8" w:rsidTr="00311BB8">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F68A42"/>
            </w:tcBorders>
          </w:tcPr>
          <w:p w:rsidR="00311BB8" w:rsidRDefault="00D91061">
            <w:pPr>
              <w:pStyle w:val="AMPRTABLEA-TextLEFTalligned-BLACK"/>
              <w:rPr>
                <w:b/>
                <w:bCs/>
                <w:noProof/>
              </w:rPr>
            </w:pPr>
            <w:r>
              <w:rPr>
                <w:b/>
                <w:bCs/>
                <w:noProof/>
              </w:rPr>
              <w:t>Administration</w:t>
            </w:r>
          </w:p>
        </w:tc>
        <w:tc>
          <w:tcPr>
            <w:tcW w:w="1559" w:type="dxa"/>
            <w:tcBorders>
              <w:bottom w:val="single" w:sz="4" w:space="0" w:color="F68A42"/>
              <w:right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noProof/>
              </w:rPr>
            </w:pPr>
            <w:r>
              <w:rPr>
                <w:rFonts w:eastAsia="EC Square Sans Pro"/>
                <w:b/>
                <w:bCs/>
                <w:noProof/>
              </w:rPr>
              <w:t>0</w:t>
            </w:r>
          </w:p>
        </w:tc>
        <w:tc>
          <w:tcPr>
            <w:tcW w:w="567" w:type="dxa"/>
            <w:tcBorders>
              <w:top w:val="nil"/>
              <w:left w:val="nil"/>
              <w:bottom w:val="nil"/>
              <w:right w:val="nil"/>
            </w:tcBorders>
            <w:shd w:val="clear" w:color="auto" w:fill="auto"/>
          </w:tcPr>
          <w:p w:rsidR="00311BB8" w:rsidRDefault="00311BB8">
            <w:pPr>
              <w:keepNext/>
              <w:spacing w:after="120"/>
              <w:cnfStyle w:val="000000000000" w:firstRow="0" w:lastRow="0" w:firstColumn="0" w:lastColumn="0" w:oddVBand="0" w:evenVBand="0" w:oddHBand="0" w:evenHBand="0" w:firstRowFirstColumn="0" w:firstRowLastColumn="0" w:lastRowFirstColumn="0" w:lastRowLastColumn="0"/>
              <w:rPr>
                <w:rFonts w:eastAsia="EC Square Sans Pro"/>
                <w:noProof/>
              </w:rPr>
            </w:pPr>
          </w:p>
        </w:tc>
        <w:tc>
          <w:tcPr>
            <w:tcW w:w="2693" w:type="dxa"/>
            <w:tcBorders>
              <w:left w:val="nil"/>
              <w:bottom w:val="single" w:sz="4" w:space="0" w:color="F68A42"/>
            </w:tcBorders>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b/>
                <w:bCs/>
                <w:noProof/>
              </w:rPr>
            </w:pPr>
            <w:r>
              <w:rPr>
                <w:b/>
                <w:bCs/>
                <w:noProof/>
              </w:rPr>
              <w:t>Administration</w:t>
            </w:r>
          </w:p>
        </w:tc>
        <w:tc>
          <w:tcPr>
            <w:tcW w:w="1580" w:type="dxa"/>
            <w:tcBorders>
              <w:bottom w:val="single" w:sz="4" w:space="0" w:color="F68A42"/>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noProof/>
              </w:rPr>
            </w:pPr>
            <w:r>
              <w:rPr>
                <w:rFonts w:eastAsia="EC Square Sans Pro"/>
                <w:b/>
                <w:bCs/>
                <w:noProof/>
              </w:rPr>
              <w:t>0</w:t>
            </w:r>
          </w:p>
        </w:tc>
      </w:tr>
      <w:tr w:rsidR="00311BB8" w:rsidTr="00311BB8">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68A42"/>
            </w:tcBorders>
            <w:shd w:val="clear" w:color="auto" w:fill="DEEAF6" w:themeFill="accent1" w:themeFillTint="33"/>
          </w:tcPr>
          <w:p w:rsidR="00311BB8" w:rsidRDefault="00D91061">
            <w:pPr>
              <w:pStyle w:val="AMPRTABLEA-TOTALLEFTalligned-BLACK"/>
              <w:rPr>
                <w:rFonts w:eastAsia="EC Square Sans Pro"/>
                <w:noProof/>
              </w:rPr>
            </w:pPr>
            <w:r>
              <w:rPr>
                <w:rFonts w:eastAsia="EC Square Sans Pro"/>
                <w:noProof/>
              </w:rPr>
              <w:t>Total</w:t>
            </w:r>
          </w:p>
        </w:tc>
        <w:tc>
          <w:tcPr>
            <w:tcW w:w="1559" w:type="dxa"/>
            <w:tcBorders>
              <w:top w:val="single" w:sz="4" w:space="0" w:color="F68A42"/>
              <w:right w:val="nil"/>
            </w:tcBorders>
            <w:shd w:val="clear" w:color="auto" w:fill="DEEAF6" w:themeFill="accent1" w:themeFillTint="33"/>
          </w:tcPr>
          <w:p w:rsidR="00311BB8" w:rsidRDefault="00D91061">
            <w:pPr>
              <w:pStyle w:val="AMPRTABLEA-TOTAL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w:t>
            </w:r>
            <w:r>
              <w:rPr>
                <w:rFonts w:ascii="Calibri" w:eastAsia="EC Square Sans Pro" w:hAnsi="Calibri" w:cs="Calibri"/>
                <w:noProof/>
              </w:rPr>
              <w:t> </w:t>
            </w:r>
            <w:r>
              <w:rPr>
                <w:rFonts w:eastAsia="EC Square Sans Pro"/>
                <w:noProof/>
              </w:rPr>
              <w:t>526</w:t>
            </w:r>
          </w:p>
        </w:tc>
        <w:tc>
          <w:tcPr>
            <w:tcW w:w="567" w:type="dxa"/>
            <w:tcBorders>
              <w:top w:val="nil"/>
              <w:left w:val="nil"/>
              <w:bottom w:val="nil"/>
              <w:right w:val="nil"/>
            </w:tcBorders>
            <w:shd w:val="clear" w:color="auto" w:fill="auto"/>
          </w:tcPr>
          <w:p w:rsidR="00311BB8" w:rsidRDefault="00311BB8">
            <w:pPr>
              <w:pStyle w:val="AMPRTABLEA-TOTALLEF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p>
        </w:tc>
        <w:tc>
          <w:tcPr>
            <w:tcW w:w="2693" w:type="dxa"/>
            <w:tcBorders>
              <w:top w:val="single" w:sz="4" w:space="0" w:color="F68A42"/>
              <w:left w:val="nil"/>
            </w:tcBorders>
            <w:shd w:val="clear" w:color="auto" w:fill="DEEAF6" w:themeFill="accent1" w:themeFillTint="33"/>
          </w:tcPr>
          <w:p w:rsidR="00311BB8" w:rsidRDefault="00D91061">
            <w:pPr>
              <w:pStyle w:val="AMPRTABLEA-TOTALLEF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Total</w:t>
            </w:r>
          </w:p>
        </w:tc>
        <w:tc>
          <w:tcPr>
            <w:tcW w:w="1580" w:type="dxa"/>
            <w:tcBorders>
              <w:top w:val="single" w:sz="4" w:space="0" w:color="F68A42"/>
            </w:tcBorders>
            <w:shd w:val="clear" w:color="auto" w:fill="DEEAF6" w:themeFill="accent1" w:themeFillTint="33"/>
          </w:tcPr>
          <w:p w:rsidR="00311BB8" w:rsidRDefault="00D91061">
            <w:pPr>
              <w:pStyle w:val="AMPRTABLEA-TOTALRIGHTalligned-BLACK"/>
              <w:cnfStyle w:val="000000000000" w:firstRow="0" w:lastRow="0" w:firstColumn="0" w:lastColumn="0" w:oddVBand="0" w:evenVBand="0" w:oddHBand="0" w:evenHBand="0" w:firstRowFirstColumn="0" w:firstRowLastColumn="0" w:lastRowFirstColumn="0" w:lastRowLastColumn="0"/>
              <w:rPr>
                <w:bCs/>
                <w:noProof/>
                <w:szCs w:val="20"/>
              </w:rPr>
            </w:pPr>
            <w:r>
              <w:rPr>
                <w:noProof/>
              </w:rPr>
              <w:t>2</w:t>
            </w:r>
            <w:r>
              <w:rPr>
                <w:rFonts w:ascii="Calibri" w:hAnsi="Calibri" w:cs="Calibri"/>
                <w:noProof/>
              </w:rPr>
              <w:t> </w:t>
            </w:r>
            <w:r>
              <w:rPr>
                <w:noProof/>
              </w:rPr>
              <w:t>402</w:t>
            </w:r>
          </w:p>
        </w:tc>
      </w:tr>
    </w:tbl>
    <w:p w:rsidR="00311BB8" w:rsidRDefault="00D91061">
      <w:pPr>
        <w:pStyle w:val="AMPRChart-Tabletitle"/>
        <w:rPr>
          <w:noProof/>
        </w:rPr>
      </w:pPr>
      <w:r>
        <w:rPr>
          <w:noProof/>
        </w:rPr>
        <w:t>Overview of corrective measures for 2019 (million</w:t>
      </w:r>
      <w:r>
        <w:rPr>
          <w:rFonts w:ascii="Calibri" w:hAnsi="Calibri" w:cs="Calibri"/>
          <w:noProof/>
        </w:rPr>
        <w:t> </w:t>
      </w:r>
      <w:r>
        <w:rPr>
          <w:noProof/>
        </w:rPr>
        <w:t>EUR)</w:t>
      </w:r>
    </w:p>
    <w:p w:rsidR="00311BB8" w:rsidRDefault="00D91061">
      <w:pPr>
        <w:pStyle w:val="AMPRSource-Table-Chart-Photo-Caption"/>
        <w:rPr>
          <w:noProof/>
          <w:spacing w:val="-2"/>
        </w:rPr>
      </w:pPr>
      <w:r>
        <w:rPr>
          <w:noProof/>
        </w:rPr>
        <w:t>NB: Due to the rounding of figures to the nearest million</w:t>
      </w:r>
      <w:r>
        <w:rPr>
          <w:rFonts w:ascii="Calibri" w:hAnsi="Calibri" w:cs="Calibri"/>
          <w:noProof/>
        </w:rPr>
        <w:t> </w:t>
      </w:r>
      <w:r>
        <w:rPr>
          <w:noProof/>
        </w:rPr>
        <w:t xml:space="preserve">EUR, some </w:t>
      </w:r>
      <w:r>
        <w:rPr>
          <w:noProof/>
          <w:spacing w:val="-2"/>
        </w:rPr>
        <w:t>financial data in the tables above may appear not to add up.</w:t>
      </w:r>
    </w:p>
    <w:p w:rsidR="00311BB8" w:rsidRDefault="00D91061">
      <w:pPr>
        <w:pStyle w:val="AMPRSource-Table-Chart-Photo-Caption"/>
        <w:rPr>
          <w:noProof/>
        </w:rPr>
      </w:pPr>
      <w:r>
        <w:rPr>
          <w:i/>
          <w:noProof/>
        </w:rPr>
        <w:t>Source:</w:t>
      </w:r>
      <w:r>
        <w:rPr>
          <w:noProof/>
        </w:rPr>
        <w:t xml:space="preserve"> European Commission.</w:t>
      </w:r>
    </w:p>
    <w:p w:rsidR="00311BB8" w:rsidRDefault="00D91061">
      <w:pPr>
        <w:pStyle w:val="AMPRBodyText"/>
        <w:spacing w:before="360" w:after="120"/>
        <w:rPr>
          <w:rStyle w:val="AMPRcharBoldOrange"/>
          <w:rFonts w:cs="Times New Roman"/>
          <w:noProof/>
          <w:szCs w:val="22"/>
        </w:rPr>
      </w:pPr>
      <w:r>
        <w:rPr>
          <w:rStyle w:val="AMPRcharBoldOrange"/>
          <w:noProof/>
        </w:rPr>
        <w:t>From confirmation to implementation</w:t>
      </w:r>
    </w:p>
    <w:p w:rsidR="00311BB8" w:rsidRDefault="00D91061">
      <w:pPr>
        <w:pStyle w:val="AMPRBodyText"/>
        <w:spacing w:before="140"/>
        <w:rPr>
          <w:noProof/>
          <w:lang w:eastAsia="fr-BE"/>
        </w:rPr>
      </w:pPr>
      <w:r>
        <w:rPr>
          <w:noProof/>
          <w:lang w:eastAsia="fr-BE"/>
        </w:rPr>
        <w:t xml:space="preserve">The workflow of preventive and corrective mechanisms applied by the Commission involves two significant steps: the confirmation phase and the implementation phase. For example, a deduction before the acceptance of expenditure is </w:t>
      </w:r>
      <w:r>
        <w:rPr>
          <w:rStyle w:val="AMPRcharBoldOrange"/>
          <w:noProof/>
        </w:rPr>
        <w:t>confirmed</w:t>
      </w:r>
      <w:r>
        <w:rPr>
          <w:noProof/>
          <w:lang w:eastAsia="fr-BE"/>
        </w:rPr>
        <w:t xml:space="preserve"> as soon as it is decided by the relevant Commission services, while a financial correction is only confirmed once it is accepted by the Member State or decided by an official Commission decision. </w:t>
      </w:r>
    </w:p>
    <w:p w:rsidR="00311BB8" w:rsidRDefault="00D91061">
      <w:pPr>
        <w:pStyle w:val="AMPRBodyText"/>
        <w:rPr>
          <w:rFonts w:eastAsia="EC Square Sans Pro"/>
          <w:noProof/>
        </w:rPr>
      </w:pPr>
      <w:r>
        <w:rPr>
          <w:noProof/>
          <w:lang w:eastAsia="fr-BE"/>
        </w:rPr>
        <w:t>Some preventive and corrective mechanisms are implemented during the year in which they are confirmed, but in most cases the beneficiary of the spending programme has, based on EU legislation, time to comment or provide additional material on proposed corrections/deductions/rejections. Once this adversarial process is finalised the Commission needs to recover the amount corresponding to the correction proposed and therefore the implementation takes place a year, or often several years, after confirmation</w:t>
      </w:r>
      <w:r>
        <w:rPr>
          <w:rFonts w:ascii="Calibri" w:hAnsi="Calibri" w:cs="Calibri"/>
          <w:noProof/>
          <w:lang w:eastAsia="fr-BE"/>
        </w:rPr>
        <w:t> </w:t>
      </w:r>
      <w:r>
        <w:rPr>
          <w:noProof/>
          <w:lang w:eastAsia="fr-BE"/>
        </w:rPr>
        <w:t>(</w:t>
      </w:r>
      <w:r>
        <w:rPr>
          <w:rStyle w:val="FootnoteReference"/>
          <w:rFonts w:eastAsia="Calibri"/>
          <w:noProof/>
          <w:sz w:val="18"/>
          <w:szCs w:val="18"/>
          <w:vertAlign w:val="superscript"/>
          <w:lang w:eastAsia="fr-BE"/>
        </w:rPr>
        <w:footnoteReference w:id="27"/>
      </w:r>
      <w:r>
        <w:rPr>
          <w:noProof/>
          <w:lang w:eastAsia="fr-BE"/>
        </w:rPr>
        <w:t xml:space="preserve">). </w:t>
      </w:r>
    </w:p>
    <w:p w:rsidR="00311BB8" w:rsidRDefault="00D91061">
      <w:pPr>
        <w:pStyle w:val="AMPRBodyText"/>
        <w:rPr>
          <w:noProof/>
          <w:lang w:eastAsia="fr-BE"/>
        </w:rPr>
      </w:pPr>
      <w:r>
        <w:rPr>
          <w:noProof/>
          <w:lang w:eastAsia="fr-BE"/>
        </w:rPr>
        <w:t xml:space="preserve">A financial correction is considered </w:t>
      </w:r>
      <w:r>
        <w:rPr>
          <w:rStyle w:val="AMPRcharBoldOrange"/>
          <w:noProof/>
        </w:rPr>
        <w:t>implemented</w:t>
      </w:r>
      <w:r>
        <w:rPr>
          <w:noProof/>
          <w:lang w:eastAsia="fr-BE"/>
        </w:rPr>
        <w:t xml:space="preserve"> when it has been applied and recorded in the Commission accounts, which, in the following cases, means that the financial transaction has been validated by the authorising officer responsible: deduction of the financial correction from the amounts declared by the Member State in an interim or final payment claim; a recovery order and/or cancellation of the commitment appropriation(s) corresponding to the financial correction amount</w:t>
      </w:r>
      <w:r>
        <w:rPr>
          <w:rFonts w:ascii="Calibri" w:hAnsi="Calibri" w:cs="Calibri"/>
          <w:noProof/>
          <w:lang w:eastAsia="fr-BE"/>
        </w:rPr>
        <w:t> </w:t>
      </w:r>
      <w:r>
        <w:rPr>
          <w:noProof/>
          <w:lang w:eastAsia="fr-BE"/>
        </w:rPr>
        <w:t>(</w:t>
      </w:r>
      <w:r>
        <w:rPr>
          <w:noProof/>
          <w:vertAlign w:val="superscript"/>
          <w:lang w:eastAsia="fr-BE"/>
        </w:rPr>
        <w:footnoteReference w:id="28"/>
      </w:r>
      <w:r>
        <w:rPr>
          <w:noProof/>
          <w:lang w:eastAsia="fr-BE"/>
        </w:rPr>
        <w:t xml:space="preserve">). </w:t>
      </w:r>
    </w:p>
    <w:p w:rsidR="00311BB8" w:rsidRDefault="00D91061">
      <w:pPr>
        <w:pStyle w:val="AMPRAnnexesTITLE4-Numbered"/>
        <w:rPr>
          <w:rFonts w:eastAsia="Calibri"/>
          <w:noProof/>
          <w:color w:val="E48C32"/>
          <w:lang w:eastAsia="fr-BE"/>
        </w:rPr>
      </w:pPr>
      <w:r>
        <w:rPr>
          <w:noProof/>
        </w:rPr>
        <w:t>Preventive and corrective measures applied in 2019</w:t>
      </w:r>
    </w:p>
    <w:p w:rsidR="00311BB8" w:rsidRDefault="00D91061">
      <w:pPr>
        <w:pStyle w:val="AMPRBodyText"/>
        <w:rPr>
          <w:noProof/>
          <w:lang w:eastAsia="fr-BE"/>
        </w:rPr>
      </w:pPr>
      <w:r>
        <w:rPr>
          <w:noProof/>
          <w:lang w:eastAsia="fr-BE"/>
        </w:rPr>
        <w:t xml:space="preserve">The table below provides a complete picture (including one-off measures) of all preventive and corrective measures applied during 2019 to protect the EU budget – amounting to </w:t>
      </w:r>
      <w:r>
        <w:rPr>
          <w:rStyle w:val="AMPRcharBoldOrange"/>
          <w:noProof/>
        </w:rPr>
        <w:t>EUR</w:t>
      </w:r>
      <w:r>
        <w:rPr>
          <w:rStyle w:val="AMPRcharBoldOrange"/>
          <w:rFonts w:ascii="Calibri" w:hAnsi="Calibri" w:cs="Calibri"/>
          <w:noProof/>
        </w:rPr>
        <w:t> </w:t>
      </w:r>
      <w:r>
        <w:rPr>
          <w:rStyle w:val="AMPRcharBoldOrange"/>
          <w:noProof/>
        </w:rPr>
        <w:t>1.9</w:t>
      </w:r>
      <w:r>
        <w:rPr>
          <w:rStyle w:val="AMPRcharBoldOrange"/>
          <w:rFonts w:ascii="Calibri" w:hAnsi="Calibri" w:cs="Calibri"/>
          <w:noProof/>
        </w:rPr>
        <w:t> </w:t>
      </w:r>
      <w:r>
        <w:rPr>
          <w:rStyle w:val="AMPRcharBoldOrange"/>
          <w:noProof/>
        </w:rPr>
        <w:t>billion confirmed</w:t>
      </w:r>
      <w:r>
        <w:rPr>
          <w:noProof/>
          <w:lang w:eastAsia="fr-BE"/>
        </w:rPr>
        <w:t xml:space="preserve"> and</w:t>
      </w:r>
      <w:r>
        <w:rPr>
          <w:b/>
          <w:noProof/>
          <w:color w:val="E48C32"/>
          <w:lang w:eastAsia="fr-BE"/>
        </w:rPr>
        <w:t xml:space="preserve"> </w:t>
      </w:r>
      <w:r>
        <w:rPr>
          <w:rStyle w:val="AMPRcharBoldOrange"/>
          <w:noProof/>
        </w:rPr>
        <w:t>EUR</w:t>
      </w:r>
      <w:r>
        <w:rPr>
          <w:rStyle w:val="AMPRcharBoldOrange"/>
          <w:rFonts w:ascii="Calibri" w:hAnsi="Calibri" w:cs="Calibri"/>
          <w:noProof/>
        </w:rPr>
        <w:t> </w:t>
      </w:r>
      <w:r>
        <w:rPr>
          <w:rStyle w:val="AMPRcharBoldOrange"/>
          <w:noProof/>
        </w:rPr>
        <w:t>2.9</w:t>
      </w:r>
      <w:r>
        <w:rPr>
          <w:rStyle w:val="AMPRcharBoldOrange"/>
          <w:rFonts w:ascii="Calibri" w:hAnsi="Calibri" w:cs="Calibri"/>
          <w:noProof/>
        </w:rPr>
        <w:t> </w:t>
      </w:r>
      <w:r>
        <w:rPr>
          <w:rStyle w:val="AMPRcharBoldOrange"/>
          <w:noProof/>
        </w:rPr>
        <w:t>billion implemented</w:t>
      </w:r>
      <w:r>
        <w:rPr>
          <w:noProof/>
          <w:lang w:eastAsia="fr-BE"/>
        </w:rPr>
        <w:t xml:space="preserve">. These amounts cover preventive actions and corrective actions made during 2019 irrespective of the year in which the initial expenditure was made. </w:t>
      </w:r>
    </w:p>
    <w:tbl>
      <w:tblPr>
        <w:tblStyle w:val="AMPRTABLEA-Template"/>
        <w:tblW w:w="9557" w:type="dxa"/>
        <w:tblLayout w:type="fixed"/>
        <w:tblLook w:val="04E0" w:firstRow="1" w:lastRow="1" w:firstColumn="1" w:lastColumn="0" w:noHBand="0" w:noVBand="1"/>
      </w:tblPr>
      <w:tblGrid>
        <w:gridCol w:w="3034"/>
        <w:gridCol w:w="1304"/>
        <w:gridCol w:w="1305"/>
        <w:gridCol w:w="1304"/>
        <w:gridCol w:w="1305"/>
        <w:gridCol w:w="1305"/>
      </w:tblGrid>
      <w:tr w:rsidR="00311BB8" w:rsidTr="00311BB8">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034" w:type="dxa"/>
            <w:noWrap/>
            <w:hideMark/>
          </w:tcPr>
          <w:p w:rsidR="00311BB8" w:rsidRDefault="00D91061">
            <w:pPr>
              <w:pStyle w:val="AMPRTABLEA-HEADERText-WHITE"/>
              <w:spacing w:before="144" w:after="144"/>
              <w:rPr>
                <w:noProof/>
                <w:lang w:eastAsia="fr-BE"/>
              </w:rPr>
            </w:pPr>
            <w:r>
              <w:rPr>
                <w:noProof/>
                <w:lang w:eastAsia="fr-BE"/>
              </w:rPr>
              <w:t>Fund</w:t>
            </w:r>
          </w:p>
        </w:tc>
        <w:tc>
          <w:tcPr>
            <w:tcW w:w="1304"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eastAsia="fr-BE"/>
              </w:rPr>
            </w:pPr>
            <w:r>
              <w:rPr>
                <w:noProof/>
                <w:lang w:val="en-GB" w:eastAsia="fr-BE"/>
              </w:rPr>
              <w:t xml:space="preserve">Total payments from EU budget </w:t>
            </w:r>
            <w:r>
              <w:rPr>
                <w:i/>
                <w:iCs/>
                <w:noProof/>
                <w:lang w:val="en-GB" w:eastAsia="fr-BE"/>
              </w:rPr>
              <w:t xml:space="preserve">in 2019 </w:t>
            </w:r>
            <w:r>
              <w:rPr>
                <w:noProof/>
                <w:lang w:val="en-GB" w:eastAsia="fr-BE"/>
              </w:rPr>
              <w:t>(million</w:t>
            </w:r>
            <w:r>
              <w:rPr>
                <w:rFonts w:ascii="Calibri" w:hAnsi="Calibri" w:cs="Calibri"/>
                <w:noProof/>
                <w:lang w:val="en-GB" w:eastAsia="fr-BE"/>
              </w:rPr>
              <w:t> </w:t>
            </w:r>
            <w:r>
              <w:rPr>
                <w:noProof/>
                <w:lang w:val="en-GB" w:eastAsia="fr-BE"/>
              </w:rPr>
              <w:t>EUR)</w:t>
            </w:r>
          </w:p>
        </w:tc>
        <w:tc>
          <w:tcPr>
            <w:tcW w:w="1305"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eastAsia="fr-BE"/>
              </w:rPr>
            </w:pPr>
            <w:r>
              <w:rPr>
                <w:noProof/>
                <w:lang w:val="en-GB" w:eastAsia="fr-BE"/>
              </w:rPr>
              <w:t xml:space="preserve">Total amounts confirmed </w:t>
            </w:r>
            <w:r>
              <w:rPr>
                <w:i/>
                <w:iCs/>
                <w:noProof/>
                <w:lang w:val="en-GB" w:eastAsia="fr-BE"/>
              </w:rPr>
              <w:t>in 2019</w:t>
            </w:r>
            <w:r>
              <w:rPr>
                <w:noProof/>
                <w:lang w:val="en-GB" w:eastAsia="fr-BE"/>
              </w:rPr>
              <w:t xml:space="preserve"> (million</w:t>
            </w:r>
            <w:r>
              <w:rPr>
                <w:rFonts w:ascii="Calibri" w:hAnsi="Calibri"/>
                <w:noProof/>
                <w:lang w:val="en-GB" w:eastAsia="fr-BE"/>
              </w:rPr>
              <w:t> </w:t>
            </w:r>
            <w:r>
              <w:rPr>
                <w:noProof/>
                <w:lang w:val="en-GB" w:eastAsia="fr-BE"/>
              </w:rPr>
              <w:t>EUR)</w:t>
            </w:r>
          </w:p>
        </w:tc>
        <w:tc>
          <w:tcPr>
            <w:tcW w:w="1304"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eastAsia="fr-BE"/>
              </w:rPr>
            </w:pPr>
            <w:r>
              <w:rPr>
                <w:noProof/>
                <w:lang w:val="en-GB" w:eastAsia="fr-BE"/>
              </w:rPr>
              <w:t>% of payments made from the EU budget</w:t>
            </w:r>
          </w:p>
        </w:tc>
        <w:tc>
          <w:tcPr>
            <w:tcW w:w="1305"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eastAsia="fr-BE"/>
              </w:rPr>
            </w:pPr>
            <w:r>
              <w:rPr>
                <w:noProof/>
                <w:lang w:val="en-GB" w:eastAsia="fr-BE"/>
              </w:rPr>
              <w:t xml:space="preserve">Total amounts implemented </w:t>
            </w:r>
            <w:r>
              <w:rPr>
                <w:i/>
                <w:iCs/>
                <w:noProof/>
                <w:lang w:val="en-GB" w:eastAsia="fr-BE"/>
              </w:rPr>
              <w:t>in 2019</w:t>
            </w:r>
            <w:r>
              <w:rPr>
                <w:noProof/>
                <w:lang w:val="en-GB" w:eastAsia="fr-BE"/>
              </w:rPr>
              <w:t xml:space="preserve"> (million</w:t>
            </w:r>
            <w:r>
              <w:rPr>
                <w:rFonts w:ascii="Calibri" w:hAnsi="Calibri"/>
                <w:noProof/>
                <w:lang w:val="en-GB" w:eastAsia="fr-BE"/>
              </w:rPr>
              <w:t> </w:t>
            </w:r>
            <w:r>
              <w:rPr>
                <w:noProof/>
                <w:lang w:val="en-GB" w:eastAsia="fr-BE"/>
              </w:rPr>
              <w:t>EUR)</w:t>
            </w:r>
          </w:p>
        </w:tc>
        <w:tc>
          <w:tcPr>
            <w:tcW w:w="1305"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eastAsia="fr-BE"/>
              </w:rPr>
            </w:pPr>
            <w:r>
              <w:rPr>
                <w:noProof/>
                <w:lang w:val="en-GB" w:eastAsia="fr-BE"/>
              </w:rPr>
              <w:t>% of payments made from the EU budget</w:t>
            </w:r>
          </w:p>
        </w:tc>
      </w:tr>
      <w:tr w:rsidR="00311BB8" w:rsidTr="00311BB8">
        <w:trPr>
          <w:trHeight w:val="255"/>
        </w:trPr>
        <w:tc>
          <w:tcPr>
            <w:cnfStyle w:val="001000000000" w:firstRow="0" w:lastRow="0" w:firstColumn="1" w:lastColumn="0" w:oddVBand="0" w:evenVBand="0" w:oddHBand="0" w:evenHBand="0" w:firstRowFirstColumn="0" w:firstRowLastColumn="0" w:lastRowFirstColumn="0" w:lastRowLastColumn="0"/>
            <w:tcW w:w="3034" w:type="dxa"/>
            <w:hideMark/>
          </w:tcPr>
          <w:p w:rsidR="00311BB8" w:rsidRDefault="00D91061">
            <w:pPr>
              <w:pStyle w:val="AMPRTABLEA-TextLEFTalligned-BLACK"/>
              <w:rPr>
                <w:b/>
                <w:bCs/>
                <w:noProof/>
                <w:lang w:eastAsia="fr-BE"/>
              </w:rPr>
            </w:pPr>
            <w:r>
              <w:rPr>
                <w:b/>
                <w:bCs/>
                <w:noProof/>
                <w:lang w:eastAsia="fr-BE"/>
              </w:rPr>
              <w:t>Agricultural policy:</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58</w:t>
            </w:r>
            <w:r>
              <w:rPr>
                <w:rFonts w:ascii="Calibri" w:eastAsia="EC Square Sans Pro" w:hAnsi="Calibri" w:cs="Calibri"/>
                <w:b/>
                <w:bCs/>
                <w:noProof/>
              </w:rPr>
              <w:t> </w:t>
            </w:r>
            <w:r>
              <w:rPr>
                <w:rFonts w:eastAsia="EC Square Sans Pro"/>
                <w:b/>
                <w:bCs/>
                <w:noProof/>
              </w:rPr>
              <w:t>098</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710</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i/>
                <w:iCs/>
                <w:noProof/>
              </w:rPr>
            </w:pPr>
            <w:r>
              <w:rPr>
                <w:rFonts w:eastAsia="EC Square Sans Pro"/>
                <w:b/>
                <w:bCs/>
                <w:i/>
                <w:iCs/>
                <w:noProof/>
              </w:rPr>
              <w:t>1.2%</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1</w:t>
            </w:r>
            <w:r>
              <w:rPr>
                <w:rFonts w:ascii="Calibri" w:eastAsia="EC Square Sans Pro" w:hAnsi="Calibri" w:cs="Calibri"/>
                <w:b/>
                <w:bCs/>
                <w:noProof/>
              </w:rPr>
              <w:t> </w:t>
            </w:r>
            <w:r>
              <w:rPr>
                <w:rFonts w:eastAsia="EC Square Sans Pro"/>
                <w:b/>
                <w:bCs/>
                <w:noProof/>
              </w:rPr>
              <w:t>500</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i/>
                <w:iCs/>
                <w:noProof/>
              </w:rPr>
            </w:pPr>
            <w:r>
              <w:rPr>
                <w:rFonts w:eastAsia="EC Square Sans Pro"/>
                <w:b/>
                <w:bCs/>
                <w:i/>
                <w:iCs/>
                <w:noProof/>
              </w:rPr>
              <w:t>2.6%</w:t>
            </w:r>
          </w:p>
        </w:tc>
      </w:tr>
      <w:tr w:rsidR="00311BB8" w:rsidTr="00311BB8">
        <w:trPr>
          <w:trHeight w:val="255"/>
        </w:trPr>
        <w:tc>
          <w:tcPr>
            <w:cnfStyle w:val="001000000000" w:firstRow="0" w:lastRow="0" w:firstColumn="1" w:lastColumn="0" w:oddVBand="0" w:evenVBand="0" w:oddHBand="0" w:evenHBand="0" w:firstRowFirstColumn="0" w:firstRowLastColumn="0" w:lastRowFirstColumn="0" w:lastRowLastColumn="0"/>
            <w:tcW w:w="3034" w:type="dxa"/>
            <w:hideMark/>
          </w:tcPr>
          <w:p w:rsidR="00311BB8" w:rsidRDefault="00D91061">
            <w:pPr>
              <w:pStyle w:val="AMPRTABLEA-TextLEFTalligned-BLACK"/>
              <w:ind w:left="142"/>
              <w:rPr>
                <w:bCs/>
                <w:noProof/>
              </w:rPr>
            </w:pPr>
            <w:r>
              <w:rPr>
                <w:noProof/>
              </w:rPr>
              <w:t>European Agricultural Guarantee Fund</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43</w:t>
            </w:r>
            <w:r>
              <w:rPr>
                <w:rFonts w:ascii="Calibri" w:eastAsia="EC Square Sans Pro" w:hAnsi="Calibri" w:cs="Calibri"/>
                <w:noProof/>
              </w:rPr>
              <w:t> </w:t>
            </w:r>
            <w:r>
              <w:rPr>
                <w:rFonts w:eastAsia="EC Square Sans Pro"/>
                <w:noProof/>
              </w:rPr>
              <w:t>885</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343</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iCs/>
                <w:noProof/>
              </w:rPr>
            </w:pPr>
            <w:r>
              <w:rPr>
                <w:rFonts w:eastAsia="EC Square Sans Pro"/>
                <w:i/>
                <w:iCs/>
                <w:noProof/>
              </w:rPr>
              <w:t>0.8%</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w:t>
            </w:r>
            <w:r>
              <w:rPr>
                <w:rFonts w:ascii="Calibri" w:eastAsia="EC Square Sans Pro" w:hAnsi="Calibri" w:cs="Calibri"/>
                <w:noProof/>
              </w:rPr>
              <w:t> </w:t>
            </w:r>
            <w:r>
              <w:rPr>
                <w:rFonts w:eastAsia="EC Square Sans Pro"/>
                <w:noProof/>
              </w:rPr>
              <w:t>138</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iCs/>
                <w:noProof/>
              </w:rPr>
            </w:pPr>
            <w:r>
              <w:rPr>
                <w:rFonts w:eastAsia="EC Square Sans Pro"/>
                <w:i/>
                <w:iCs/>
                <w:noProof/>
              </w:rPr>
              <w:t>2.6%</w:t>
            </w:r>
          </w:p>
        </w:tc>
      </w:tr>
      <w:tr w:rsidR="00311BB8" w:rsidTr="00311BB8">
        <w:trPr>
          <w:trHeight w:val="285"/>
        </w:trPr>
        <w:tc>
          <w:tcPr>
            <w:cnfStyle w:val="001000000000" w:firstRow="0" w:lastRow="0" w:firstColumn="1" w:lastColumn="0" w:oddVBand="0" w:evenVBand="0" w:oddHBand="0" w:evenHBand="0" w:firstRowFirstColumn="0" w:firstRowLastColumn="0" w:lastRowFirstColumn="0" w:lastRowLastColumn="0"/>
            <w:tcW w:w="3034" w:type="dxa"/>
            <w:hideMark/>
          </w:tcPr>
          <w:p w:rsidR="00311BB8" w:rsidRDefault="00D91061">
            <w:pPr>
              <w:pStyle w:val="AMPRTABLEA-TextLEFTalligned-BLACK"/>
              <w:ind w:left="142"/>
              <w:rPr>
                <w:bCs/>
                <w:noProof/>
              </w:rPr>
            </w:pPr>
            <w:r>
              <w:rPr>
                <w:noProof/>
              </w:rPr>
              <w:t>Rural development</w:t>
            </w:r>
          </w:p>
        </w:tc>
        <w:tc>
          <w:tcPr>
            <w:tcW w:w="130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14</w:t>
            </w:r>
            <w:r>
              <w:rPr>
                <w:rFonts w:ascii="Calibri" w:eastAsia="EC Square Sans Pro" w:hAnsi="Calibri" w:cs="Calibri"/>
                <w:noProof/>
              </w:rPr>
              <w:t> </w:t>
            </w:r>
            <w:r>
              <w:rPr>
                <w:rFonts w:eastAsia="EC Square Sans Pro"/>
                <w:noProof/>
              </w:rPr>
              <w:t>213</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367</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iCs/>
                <w:noProof/>
              </w:rPr>
            </w:pPr>
            <w:r>
              <w:rPr>
                <w:rFonts w:eastAsia="EC Square Sans Pro"/>
                <w:i/>
                <w:iCs/>
                <w:noProof/>
              </w:rPr>
              <w:t>2.6%</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362</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iCs/>
                <w:noProof/>
              </w:rPr>
            </w:pPr>
            <w:r>
              <w:rPr>
                <w:rFonts w:eastAsia="EC Square Sans Pro"/>
                <w:i/>
                <w:iCs/>
                <w:noProof/>
              </w:rPr>
              <w:t>2.5%</w:t>
            </w:r>
          </w:p>
        </w:tc>
      </w:tr>
      <w:tr w:rsidR="00311BB8" w:rsidTr="00311BB8">
        <w:trPr>
          <w:trHeight w:val="285"/>
        </w:trPr>
        <w:tc>
          <w:tcPr>
            <w:cnfStyle w:val="001000000000" w:firstRow="0" w:lastRow="0" w:firstColumn="1" w:lastColumn="0" w:oddVBand="0" w:evenVBand="0" w:oddHBand="0" w:evenHBand="0" w:firstRowFirstColumn="0" w:firstRowLastColumn="0" w:lastRowFirstColumn="0" w:lastRowLastColumn="0"/>
            <w:tcW w:w="3034" w:type="dxa"/>
            <w:hideMark/>
          </w:tcPr>
          <w:p w:rsidR="00311BB8" w:rsidRDefault="00D91061">
            <w:pPr>
              <w:pStyle w:val="AMPRTABLEA-TextLEFTalligned-BLACK"/>
              <w:rPr>
                <w:b/>
                <w:bCs/>
                <w:noProof/>
                <w:lang w:eastAsia="fr-BE"/>
              </w:rPr>
            </w:pPr>
            <w:r>
              <w:rPr>
                <w:b/>
                <w:bCs/>
                <w:noProof/>
                <w:lang w:eastAsia="fr-BE"/>
              </w:rPr>
              <w:t>Cohesion policy:</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53</w:t>
            </w:r>
            <w:r>
              <w:rPr>
                <w:rFonts w:ascii="Calibri" w:eastAsia="EC Square Sans Pro" w:hAnsi="Calibri" w:cs="Calibri"/>
                <w:b/>
                <w:bCs/>
                <w:noProof/>
              </w:rPr>
              <w:t> </w:t>
            </w:r>
            <w:r>
              <w:rPr>
                <w:rFonts w:eastAsia="EC Square Sans Pro"/>
                <w:b/>
                <w:bCs/>
                <w:noProof/>
              </w:rPr>
              <w:t>169</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739</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i/>
                <w:iCs/>
                <w:noProof/>
              </w:rPr>
            </w:pPr>
            <w:r>
              <w:rPr>
                <w:rFonts w:eastAsia="EC Square Sans Pro"/>
                <w:b/>
                <w:bCs/>
                <w:i/>
                <w:iCs/>
                <w:noProof/>
              </w:rPr>
              <w:t>1.4%</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887</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i/>
                <w:iCs/>
                <w:noProof/>
              </w:rPr>
            </w:pPr>
            <w:r>
              <w:rPr>
                <w:rFonts w:eastAsia="EC Square Sans Pro"/>
                <w:b/>
                <w:bCs/>
                <w:i/>
                <w:iCs/>
                <w:noProof/>
              </w:rPr>
              <w:t>1.7%</w:t>
            </w:r>
          </w:p>
        </w:tc>
      </w:tr>
      <w:tr w:rsidR="00311BB8" w:rsidTr="00311BB8">
        <w:trPr>
          <w:trHeight w:val="285"/>
        </w:trPr>
        <w:tc>
          <w:tcPr>
            <w:cnfStyle w:val="001000000000" w:firstRow="0" w:lastRow="0" w:firstColumn="1" w:lastColumn="0" w:oddVBand="0" w:evenVBand="0" w:oddHBand="0" w:evenHBand="0" w:firstRowFirstColumn="0" w:firstRowLastColumn="0" w:lastRowFirstColumn="0" w:lastRowLastColumn="0"/>
            <w:tcW w:w="3034" w:type="dxa"/>
            <w:hideMark/>
          </w:tcPr>
          <w:p w:rsidR="00311BB8" w:rsidRDefault="00D91061">
            <w:pPr>
              <w:pStyle w:val="AMPRTABLEA-TextLEFTalligned-BLACK"/>
              <w:ind w:left="142"/>
              <w:rPr>
                <w:bCs/>
                <w:noProof/>
              </w:rPr>
            </w:pPr>
            <w:r>
              <w:rPr>
                <w:noProof/>
              </w:rPr>
              <w:t>European Regional Development Fund</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29</w:t>
            </w:r>
            <w:r>
              <w:rPr>
                <w:rFonts w:ascii="Calibri" w:eastAsia="EC Square Sans Pro" w:hAnsi="Calibri" w:cs="Calibri"/>
                <w:noProof/>
              </w:rPr>
              <w:t> </w:t>
            </w:r>
            <w:r>
              <w:rPr>
                <w:rFonts w:eastAsia="EC Square Sans Pro"/>
                <w:noProof/>
              </w:rPr>
              <w:t>559</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443</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iCs/>
                <w:noProof/>
              </w:rPr>
            </w:pPr>
            <w:r>
              <w:rPr>
                <w:rFonts w:eastAsia="EC Square Sans Pro"/>
                <w:i/>
                <w:iCs/>
                <w:noProof/>
              </w:rPr>
              <w:t>1.5%</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391</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iCs/>
                <w:noProof/>
              </w:rPr>
            </w:pPr>
            <w:r>
              <w:rPr>
                <w:rFonts w:eastAsia="EC Square Sans Pro"/>
                <w:i/>
                <w:iCs/>
                <w:noProof/>
              </w:rPr>
              <w:t>1.3%</w:t>
            </w:r>
          </w:p>
        </w:tc>
      </w:tr>
      <w:tr w:rsidR="00311BB8" w:rsidTr="00311BB8">
        <w:trPr>
          <w:trHeight w:val="285"/>
        </w:trPr>
        <w:tc>
          <w:tcPr>
            <w:cnfStyle w:val="001000000000" w:firstRow="0" w:lastRow="0" w:firstColumn="1" w:lastColumn="0" w:oddVBand="0" w:evenVBand="0" w:oddHBand="0" w:evenHBand="0" w:firstRowFirstColumn="0" w:firstRowLastColumn="0" w:lastRowFirstColumn="0" w:lastRowLastColumn="0"/>
            <w:tcW w:w="3034" w:type="dxa"/>
            <w:hideMark/>
          </w:tcPr>
          <w:p w:rsidR="00311BB8" w:rsidRDefault="00D91061">
            <w:pPr>
              <w:pStyle w:val="AMPRTABLEA-TextLEFTalligned-BLACK"/>
              <w:ind w:left="142"/>
              <w:rPr>
                <w:bCs/>
                <w:noProof/>
              </w:rPr>
            </w:pPr>
            <w:r>
              <w:rPr>
                <w:noProof/>
              </w:rPr>
              <w:t>Cohesion Fund</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8</w:t>
            </w:r>
            <w:r>
              <w:rPr>
                <w:rFonts w:ascii="Calibri" w:eastAsia="EC Square Sans Pro" w:hAnsi="Calibri" w:cs="Calibri"/>
                <w:noProof/>
              </w:rPr>
              <w:t> </w:t>
            </w:r>
            <w:r>
              <w:rPr>
                <w:rFonts w:eastAsia="EC Square Sans Pro"/>
                <w:noProof/>
              </w:rPr>
              <w:t>812</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68</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iCs/>
                <w:noProof/>
              </w:rPr>
            </w:pPr>
            <w:r>
              <w:rPr>
                <w:rFonts w:eastAsia="EC Square Sans Pro"/>
                <w:i/>
                <w:iCs/>
                <w:noProof/>
              </w:rPr>
              <w:t>0.8%</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88</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iCs/>
                <w:noProof/>
              </w:rPr>
            </w:pPr>
            <w:r>
              <w:rPr>
                <w:rFonts w:eastAsia="EC Square Sans Pro"/>
                <w:i/>
                <w:iCs/>
                <w:noProof/>
              </w:rPr>
              <w:t>1.0%</w:t>
            </w:r>
          </w:p>
        </w:tc>
      </w:tr>
      <w:tr w:rsidR="00311BB8" w:rsidTr="00311BB8">
        <w:trPr>
          <w:trHeight w:val="285"/>
        </w:trPr>
        <w:tc>
          <w:tcPr>
            <w:cnfStyle w:val="001000000000" w:firstRow="0" w:lastRow="0" w:firstColumn="1" w:lastColumn="0" w:oddVBand="0" w:evenVBand="0" w:oddHBand="0" w:evenHBand="0" w:firstRowFirstColumn="0" w:firstRowLastColumn="0" w:lastRowFirstColumn="0" w:lastRowLastColumn="0"/>
            <w:tcW w:w="3034" w:type="dxa"/>
            <w:hideMark/>
          </w:tcPr>
          <w:p w:rsidR="00311BB8" w:rsidRDefault="00D91061">
            <w:pPr>
              <w:pStyle w:val="AMPRTABLEA-TextLEFTalligned-BLACK"/>
              <w:ind w:left="142"/>
              <w:rPr>
                <w:bCs/>
                <w:noProof/>
              </w:rPr>
            </w:pPr>
            <w:r>
              <w:rPr>
                <w:noProof/>
              </w:rPr>
              <w:t>European Social Fund</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13</w:t>
            </w:r>
            <w:r>
              <w:rPr>
                <w:rFonts w:ascii="Calibri" w:eastAsia="EC Square Sans Pro" w:hAnsi="Calibri" w:cs="Calibri"/>
                <w:noProof/>
              </w:rPr>
              <w:t> </w:t>
            </w:r>
            <w:r>
              <w:rPr>
                <w:rFonts w:eastAsia="EC Square Sans Pro"/>
                <w:noProof/>
              </w:rPr>
              <w:t>939</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299</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iCs/>
                <w:noProof/>
              </w:rPr>
            </w:pPr>
            <w:r>
              <w:rPr>
                <w:rFonts w:eastAsia="EC Square Sans Pro"/>
                <w:i/>
                <w:iCs/>
                <w:noProof/>
              </w:rPr>
              <w:t>2.1%</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479</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iCs/>
                <w:noProof/>
              </w:rPr>
            </w:pPr>
            <w:r>
              <w:rPr>
                <w:rFonts w:eastAsia="EC Square Sans Pro"/>
                <w:i/>
                <w:iCs/>
                <w:noProof/>
              </w:rPr>
              <w:t>3.4%</w:t>
            </w:r>
          </w:p>
        </w:tc>
      </w:tr>
      <w:tr w:rsidR="00311BB8" w:rsidTr="00311BB8">
        <w:trPr>
          <w:trHeight w:val="285"/>
        </w:trPr>
        <w:tc>
          <w:tcPr>
            <w:cnfStyle w:val="001000000000" w:firstRow="0" w:lastRow="0" w:firstColumn="1" w:lastColumn="0" w:oddVBand="0" w:evenVBand="0" w:oddHBand="0" w:evenHBand="0" w:firstRowFirstColumn="0" w:firstRowLastColumn="0" w:lastRowFirstColumn="0" w:lastRowLastColumn="0"/>
            <w:tcW w:w="3034" w:type="dxa"/>
            <w:hideMark/>
          </w:tcPr>
          <w:p w:rsidR="00311BB8" w:rsidRDefault="00D91061">
            <w:pPr>
              <w:pStyle w:val="AMPRTABLEA-TextLEFTalligned-BLACK"/>
              <w:ind w:left="142"/>
              <w:rPr>
                <w:bCs/>
                <w:noProof/>
                <w:lang w:val="en-GB"/>
              </w:rPr>
            </w:pPr>
            <w:r>
              <w:rPr>
                <w:noProof/>
                <w:lang w:val="en-GB"/>
              </w:rPr>
              <w:t>Financial Instrument for Fisheries Guidance</w:t>
            </w:r>
            <w:r>
              <w:rPr>
                <w:rFonts w:ascii="Calibri" w:hAnsi="Calibri" w:cs="Calibri"/>
                <w:noProof/>
                <w:lang w:val="en-GB"/>
              </w:rPr>
              <w:t> </w:t>
            </w:r>
            <w:r>
              <w:rPr>
                <w:noProof/>
                <w:lang w:val="en-GB"/>
              </w:rPr>
              <w:t>/ European Fisheries Fund / European Maritime and Fisheries Fund</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859</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iCs/>
                <w:noProof/>
              </w:rPr>
            </w:pPr>
            <w:r>
              <w:rPr>
                <w:rFonts w:eastAsia="EC Square Sans Pro"/>
                <w:i/>
                <w:iCs/>
                <w:noProof/>
              </w:rPr>
              <w:t>0.1%</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iCs/>
                <w:noProof/>
              </w:rPr>
            </w:pPr>
            <w:r>
              <w:rPr>
                <w:rFonts w:eastAsia="EC Square Sans Pro"/>
                <w:i/>
                <w:iCs/>
                <w:noProof/>
              </w:rPr>
              <w:t>0.1%</w:t>
            </w:r>
          </w:p>
        </w:tc>
      </w:tr>
      <w:tr w:rsidR="00311BB8" w:rsidTr="00311BB8">
        <w:trPr>
          <w:trHeight w:val="285"/>
        </w:trPr>
        <w:tc>
          <w:tcPr>
            <w:cnfStyle w:val="001000000000" w:firstRow="0" w:lastRow="0" w:firstColumn="1" w:lastColumn="0" w:oddVBand="0" w:evenVBand="0" w:oddHBand="0" w:evenHBand="0" w:firstRowFirstColumn="0" w:firstRowLastColumn="0" w:lastRowFirstColumn="0" w:lastRowLastColumn="0"/>
            <w:tcW w:w="3034" w:type="dxa"/>
            <w:hideMark/>
          </w:tcPr>
          <w:p w:rsidR="00311BB8" w:rsidRDefault="00D91061">
            <w:pPr>
              <w:pStyle w:val="AMPRTABLEA-TextLEFTalligned-BLACK"/>
              <w:ind w:left="142"/>
              <w:rPr>
                <w:bCs/>
                <w:noProof/>
                <w:lang w:val="en-GB"/>
              </w:rPr>
            </w:pPr>
            <w:r>
              <w:rPr>
                <w:noProof/>
                <w:lang w:val="en-GB"/>
              </w:rPr>
              <w:t xml:space="preserve">European Agricultural Guidance and Guarantee Fund </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(72)</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iCs/>
                <w:noProof/>
              </w:rPr>
            </w:pPr>
            <w:r>
              <w:rPr>
                <w:rFonts w:eastAsia="EC Square Sans Pro"/>
                <w:i/>
                <w:iCs/>
                <w:noProof/>
              </w:rPr>
              <w:t>n/a</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(72)</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iCs/>
                <w:noProof/>
              </w:rPr>
            </w:pPr>
            <w:r>
              <w:rPr>
                <w:rFonts w:eastAsia="EC Square Sans Pro"/>
                <w:i/>
                <w:iCs/>
                <w:noProof/>
              </w:rPr>
              <w:t>n/a</w:t>
            </w:r>
          </w:p>
        </w:tc>
      </w:tr>
      <w:tr w:rsidR="00311BB8" w:rsidTr="00311BB8">
        <w:trPr>
          <w:trHeight w:val="285"/>
        </w:trPr>
        <w:tc>
          <w:tcPr>
            <w:cnfStyle w:val="001000000000" w:firstRow="0" w:lastRow="0" w:firstColumn="1" w:lastColumn="0" w:oddVBand="0" w:evenVBand="0" w:oddHBand="0" w:evenHBand="0" w:firstRowFirstColumn="0" w:firstRowLastColumn="0" w:lastRowFirstColumn="0" w:lastRowLastColumn="0"/>
            <w:tcW w:w="3034" w:type="dxa"/>
            <w:hideMark/>
          </w:tcPr>
          <w:p w:rsidR="00311BB8" w:rsidRDefault="00D91061">
            <w:pPr>
              <w:pStyle w:val="AMPRTABLEA-TextLEFTalligned-BLACK"/>
              <w:rPr>
                <w:b/>
                <w:bCs/>
                <w:noProof/>
                <w:lang w:eastAsia="fr-BE"/>
              </w:rPr>
            </w:pPr>
            <w:r>
              <w:rPr>
                <w:b/>
                <w:bCs/>
                <w:noProof/>
                <w:lang w:eastAsia="fr-BE"/>
              </w:rPr>
              <w:t>Internal policies</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27</w:t>
            </w:r>
            <w:r>
              <w:rPr>
                <w:rFonts w:ascii="Calibri" w:eastAsia="EC Square Sans Pro" w:hAnsi="Calibri" w:cs="Calibri"/>
                <w:b/>
                <w:bCs/>
                <w:noProof/>
              </w:rPr>
              <w:t> </w:t>
            </w:r>
            <w:r>
              <w:rPr>
                <w:rFonts w:eastAsia="EC Square Sans Pro"/>
                <w:b/>
                <w:bCs/>
                <w:noProof/>
              </w:rPr>
              <w:t>045</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273</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i/>
                <w:iCs/>
                <w:noProof/>
              </w:rPr>
            </w:pPr>
            <w:r>
              <w:rPr>
                <w:rFonts w:eastAsia="EC Square Sans Pro"/>
                <w:b/>
                <w:bCs/>
                <w:i/>
                <w:iCs/>
                <w:noProof/>
              </w:rPr>
              <w:t>1.0%</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278</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i/>
                <w:iCs/>
                <w:noProof/>
              </w:rPr>
            </w:pPr>
            <w:r>
              <w:rPr>
                <w:rFonts w:eastAsia="EC Square Sans Pro"/>
                <w:b/>
                <w:bCs/>
                <w:i/>
                <w:iCs/>
                <w:noProof/>
              </w:rPr>
              <w:t>1.0%</w:t>
            </w:r>
          </w:p>
        </w:tc>
      </w:tr>
      <w:tr w:rsidR="00311BB8" w:rsidTr="00311BB8">
        <w:trPr>
          <w:trHeight w:val="285"/>
        </w:trPr>
        <w:tc>
          <w:tcPr>
            <w:cnfStyle w:val="001000000000" w:firstRow="0" w:lastRow="0" w:firstColumn="1" w:lastColumn="0" w:oddVBand="0" w:evenVBand="0" w:oddHBand="0" w:evenHBand="0" w:firstRowFirstColumn="0" w:firstRowLastColumn="0" w:lastRowFirstColumn="0" w:lastRowLastColumn="0"/>
            <w:tcW w:w="3034" w:type="dxa"/>
            <w:hideMark/>
          </w:tcPr>
          <w:p w:rsidR="00311BB8" w:rsidRDefault="00D91061">
            <w:pPr>
              <w:pStyle w:val="AMPRTABLEA-TextLEFTalligned-BLACK"/>
              <w:rPr>
                <w:b/>
                <w:bCs/>
                <w:noProof/>
                <w:lang w:eastAsia="fr-BE"/>
              </w:rPr>
            </w:pPr>
            <w:r>
              <w:rPr>
                <w:b/>
                <w:bCs/>
                <w:noProof/>
                <w:lang w:eastAsia="fr-BE"/>
              </w:rPr>
              <w:t>External policies</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10</w:t>
            </w:r>
            <w:r>
              <w:rPr>
                <w:rFonts w:ascii="Calibri" w:eastAsia="EC Square Sans Pro" w:hAnsi="Calibri" w:cs="Calibri"/>
                <w:b/>
                <w:bCs/>
                <w:noProof/>
              </w:rPr>
              <w:t> </w:t>
            </w:r>
            <w:r>
              <w:rPr>
                <w:rFonts w:eastAsia="EC Square Sans Pro"/>
                <w:b/>
                <w:bCs/>
                <w:noProof/>
              </w:rPr>
              <w:t>108</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214</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i/>
                <w:iCs/>
                <w:noProof/>
              </w:rPr>
            </w:pPr>
            <w:r>
              <w:rPr>
                <w:rFonts w:eastAsia="EC Square Sans Pro"/>
                <w:b/>
                <w:bCs/>
                <w:i/>
                <w:iCs/>
                <w:noProof/>
              </w:rPr>
              <w:t>2.1%</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215</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i/>
                <w:iCs/>
                <w:noProof/>
              </w:rPr>
            </w:pPr>
            <w:r>
              <w:rPr>
                <w:rFonts w:eastAsia="EC Square Sans Pro"/>
                <w:b/>
                <w:bCs/>
                <w:i/>
                <w:iCs/>
                <w:noProof/>
              </w:rPr>
              <w:t>2.1%</w:t>
            </w:r>
          </w:p>
        </w:tc>
      </w:tr>
      <w:tr w:rsidR="00311BB8" w:rsidTr="00311BB8">
        <w:trPr>
          <w:trHeight w:val="300"/>
        </w:trPr>
        <w:tc>
          <w:tcPr>
            <w:cnfStyle w:val="001000000000" w:firstRow="0" w:lastRow="0" w:firstColumn="1" w:lastColumn="0" w:oddVBand="0" w:evenVBand="0" w:oddHBand="0" w:evenHBand="0" w:firstRowFirstColumn="0" w:firstRowLastColumn="0" w:lastRowFirstColumn="0" w:lastRowLastColumn="0"/>
            <w:tcW w:w="3034" w:type="dxa"/>
            <w:noWrap/>
            <w:hideMark/>
          </w:tcPr>
          <w:p w:rsidR="00311BB8" w:rsidRDefault="00D91061">
            <w:pPr>
              <w:pStyle w:val="AMPRTABLEA-TextLEFTalligned-BLACK"/>
              <w:rPr>
                <w:b/>
                <w:bCs/>
                <w:noProof/>
                <w:lang w:eastAsia="fr-BE"/>
              </w:rPr>
            </w:pPr>
            <w:r>
              <w:rPr>
                <w:b/>
                <w:bCs/>
                <w:noProof/>
                <w:lang w:eastAsia="fr-BE"/>
              </w:rPr>
              <w:t>Administration</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10</w:t>
            </w:r>
            <w:r>
              <w:rPr>
                <w:rFonts w:ascii="Calibri" w:eastAsia="EC Square Sans Pro" w:hAnsi="Calibri" w:cs="Calibri"/>
                <w:b/>
                <w:bCs/>
                <w:noProof/>
              </w:rPr>
              <w:t> </w:t>
            </w:r>
            <w:r>
              <w:rPr>
                <w:rFonts w:eastAsia="EC Square Sans Pro"/>
                <w:b/>
                <w:bCs/>
                <w:noProof/>
              </w:rPr>
              <w:t>381</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6</w:t>
            </w:r>
          </w:p>
        </w:tc>
        <w:tc>
          <w:tcPr>
            <w:tcW w:w="1304"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i/>
                <w:iCs/>
                <w:noProof/>
              </w:rPr>
            </w:pPr>
            <w:r>
              <w:rPr>
                <w:rFonts w:eastAsia="EC Square Sans Pro"/>
                <w:b/>
                <w:bCs/>
                <w:i/>
                <w:iCs/>
                <w:noProof/>
              </w:rPr>
              <w:t>0.1%</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6</w:t>
            </w:r>
          </w:p>
        </w:tc>
        <w:tc>
          <w:tcPr>
            <w:tcW w:w="1305"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i/>
                <w:iCs/>
                <w:noProof/>
              </w:rPr>
            </w:pPr>
            <w:r>
              <w:rPr>
                <w:rFonts w:eastAsia="EC Square Sans Pro"/>
                <w:b/>
                <w:bCs/>
                <w:i/>
                <w:iCs/>
                <w:noProof/>
              </w:rPr>
              <w:t>0.1%</w:t>
            </w:r>
          </w:p>
        </w:tc>
      </w:tr>
      <w:tr w:rsidR="00311BB8" w:rsidTr="00311BB8">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4" w:type="dxa"/>
            <w:noWrap/>
            <w:hideMark/>
          </w:tcPr>
          <w:p w:rsidR="00311BB8" w:rsidRDefault="00D91061">
            <w:pPr>
              <w:pStyle w:val="AMPRTABLEA-TOTALLEFTalligned-BLACK"/>
              <w:rPr>
                <w:noProof/>
                <w:lang w:eastAsia="fr-BE"/>
              </w:rPr>
            </w:pPr>
            <w:r>
              <w:rPr>
                <w:noProof/>
                <w:lang w:eastAsia="fr-BE"/>
              </w:rPr>
              <w:t>Total</w:t>
            </w:r>
          </w:p>
        </w:tc>
        <w:tc>
          <w:tcPr>
            <w:tcW w:w="1304" w:type="dxa"/>
            <w:noWrap/>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158</w:t>
            </w:r>
            <w:r>
              <w:rPr>
                <w:rFonts w:ascii="Calibri" w:hAnsi="Calibri" w:cs="Calibri"/>
                <w:noProof/>
              </w:rPr>
              <w:t> </w:t>
            </w:r>
            <w:r>
              <w:rPr>
                <w:noProof/>
              </w:rPr>
              <w:t>801</w:t>
            </w:r>
            <w:r>
              <w:rPr>
                <w:rFonts w:ascii="Calibri" w:hAnsi="Calibri" w:cs="Calibri"/>
                <w:noProof/>
              </w:rPr>
              <w:t> </w:t>
            </w:r>
            <w:r>
              <w:rPr>
                <w:rFonts w:ascii="Calibri" w:hAnsi="Calibri" w:cs="Calibri"/>
                <w:b w:val="0"/>
                <w:noProof/>
              </w:rPr>
              <w:t>(</w:t>
            </w:r>
            <w:r>
              <w:rPr>
                <w:b w:val="0"/>
                <w:noProof/>
              </w:rPr>
              <w:t>*)</w:t>
            </w:r>
          </w:p>
        </w:tc>
        <w:tc>
          <w:tcPr>
            <w:tcW w:w="1305" w:type="dxa"/>
            <w:noWrap/>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1</w:t>
            </w:r>
            <w:r>
              <w:rPr>
                <w:rFonts w:ascii="Calibri" w:hAnsi="Calibri" w:cs="Calibri"/>
                <w:noProof/>
              </w:rPr>
              <w:t> </w:t>
            </w:r>
            <w:r>
              <w:rPr>
                <w:noProof/>
              </w:rPr>
              <w:t>942</w:t>
            </w:r>
          </w:p>
        </w:tc>
        <w:tc>
          <w:tcPr>
            <w:tcW w:w="1304" w:type="dxa"/>
            <w:noWrap/>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i/>
                <w:iCs/>
                <w:noProof/>
              </w:rPr>
            </w:pPr>
            <w:r>
              <w:rPr>
                <w:i/>
                <w:iCs/>
                <w:noProof/>
              </w:rPr>
              <w:t>1.2%</w:t>
            </w:r>
          </w:p>
        </w:tc>
        <w:tc>
          <w:tcPr>
            <w:tcW w:w="1305" w:type="dxa"/>
            <w:noWrap/>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2</w:t>
            </w:r>
            <w:r>
              <w:rPr>
                <w:rFonts w:ascii="Calibri" w:hAnsi="Calibri" w:cs="Calibri"/>
                <w:noProof/>
              </w:rPr>
              <w:t> </w:t>
            </w:r>
            <w:r>
              <w:rPr>
                <w:noProof/>
              </w:rPr>
              <w:t>885</w:t>
            </w:r>
          </w:p>
        </w:tc>
        <w:tc>
          <w:tcPr>
            <w:tcW w:w="1305" w:type="dxa"/>
            <w:noWrap/>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i/>
                <w:iCs/>
                <w:noProof/>
              </w:rPr>
            </w:pPr>
            <w:r>
              <w:rPr>
                <w:i/>
                <w:iCs/>
                <w:noProof/>
              </w:rPr>
              <w:t>1.8%</w:t>
            </w:r>
          </w:p>
        </w:tc>
      </w:tr>
    </w:tbl>
    <w:p w:rsidR="00311BB8" w:rsidRDefault="00D91061">
      <w:pPr>
        <w:pStyle w:val="AMPRChart-Tabletitle"/>
        <w:rPr>
          <w:noProof/>
        </w:rPr>
      </w:pPr>
      <w:r>
        <w:rPr>
          <w:noProof/>
        </w:rPr>
        <w:t>Overview of financial corrections and recoveries for 2019, including financial corrections at source</w:t>
      </w:r>
    </w:p>
    <w:p w:rsidR="00311BB8" w:rsidRDefault="00D91061">
      <w:pPr>
        <w:pStyle w:val="AMPRSource-Table-Chart-Photo-Caption"/>
        <w:rPr>
          <w:rStyle w:val="FootnotetextChar0"/>
          <w:noProof/>
        </w:rPr>
      </w:pPr>
      <w:r>
        <w:rPr>
          <w:rStyle w:val="FootnotetextChar0"/>
          <w:noProof/>
        </w:rPr>
        <w:t>NB: Due to the rounding of figures to the nearest million</w:t>
      </w:r>
      <w:r>
        <w:rPr>
          <w:rStyle w:val="FootnotetextChar0"/>
          <w:rFonts w:ascii="Calibri" w:hAnsi="Calibri" w:cs="Calibri"/>
          <w:noProof/>
        </w:rPr>
        <w:t> </w:t>
      </w:r>
      <w:r>
        <w:rPr>
          <w:rStyle w:val="FootnotetextChar0"/>
          <w:noProof/>
        </w:rPr>
        <w:t>EUR, some financial data in the table above may appear not to add up.</w:t>
      </w:r>
    </w:p>
    <w:p w:rsidR="00311BB8" w:rsidRDefault="00D91061">
      <w:pPr>
        <w:pStyle w:val="AMPRSource-Table-Chart-Photo-Caption"/>
        <w:rPr>
          <w:noProof/>
        </w:rPr>
      </w:pPr>
      <w:r>
        <w:rPr>
          <w:rStyle w:val="FootnotetextChar0"/>
          <w:noProof/>
        </w:rPr>
        <w:t>(*)</w:t>
      </w:r>
      <w:r>
        <w:rPr>
          <w:rStyle w:val="FootnotetextChar0"/>
          <w:rFonts w:ascii="Calibri" w:hAnsi="Calibri" w:cs="Calibri"/>
          <w:noProof/>
        </w:rPr>
        <w:t> </w:t>
      </w:r>
      <w:r>
        <w:rPr>
          <w:rStyle w:val="FootnotetextChar0"/>
          <w:noProof/>
        </w:rPr>
        <w:t>Excludes EUR</w:t>
      </w:r>
      <w:r>
        <w:rPr>
          <w:rFonts w:ascii="Calibri" w:hAnsi="Calibri" w:cs="Calibri"/>
          <w:noProof/>
        </w:rPr>
        <w:t> </w:t>
      </w:r>
      <w:r>
        <w:rPr>
          <w:noProof/>
        </w:rPr>
        <w:t>295</w:t>
      </w:r>
      <w:r>
        <w:rPr>
          <w:rFonts w:ascii="Calibri" w:hAnsi="Calibri" w:cs="Calibri"/>
          <w:noProof/>
        </w:rPr>
        <w:t> </w:t>
      </w:r>
      <w:r>
        <w:rPr>
          <w:noProof/>
        </w:rPr>
        <w:t xml:space="preserve">million paid out under the ‘Special instruments’ heading. </w:t>
      </w:r>
    </w:p>
    <w:p w:rsidR="00311BB8" w:rsidRDefault="00D91061">
      <w:pPr>
        <w:pStyle w:val="AMPRSource-Table-Chart-Photo-Caption"/>
        <w:rPr>
          <w:noProof/>
        </w:rPr>
      </w:pPr>
      <w:r>
        <w:rPr>
          <w:rStyle w:val="FootnotetextChar0"/>
          <w:i/>
          <w:noProof/>
        </w:rPr>
        <w:t>Source:</w:t>
      </w:r>
      <w:r>
        <w:rPr>
          <w:noProof/>
        </w:rPr>
        <w:t xml:space="preserve"> European Commission.</w:t>
      </w:r>
    </w:p>
    <w:p w:rsidR="00311BB8" w:rsidRDefault="00D91061">
      <w:pPr>
        <w:pStyle w:val="AMPRBodyText"/>
        <w:rPr>
          <w:noProof/>
          <w:color w:val="65BBC8"/>
          <w:sz w:val="24"/>
          <w:lang w:eastAsia="en-GB"/>
        </w:rPr>
      </w:pPr>
      <w:r>
        <w:rPr>
          <w:rFonts w:asciiTheme="minorHAnsi" w:hAnsiTheme="minorHAnsi"/>
          <w:noProof/>
        </w:rPr>
        <w:t xml:space="preserve">In addition, for </w:t>
      </w:r>
      <w:r>
        <w:rPr>
          <w:rStyle w:val="AMPRcharBoldOrange"/>
          <w:rFonts w:asciiTheme="minorHAnsi" w:hAnsiTheme="minorHAnsi"/>
          <w:noProof/>
        </w:rPr>
        <w:t>cohesion policy funds</w:t>
      </w:r>
      <w:r>
        <w:rPr>
          <w:rFonts w:asciiTheme="minorHAnsi" w:hAnsiTheme="minorHAnsi"/>
          <w:noProof/>
        </w:rPr>
        <w:t>, for 2014 to 2020, the Member States have applied corrections totalling EUR</w:t>
      </w:r>
      <w:r>
        <w:rPr>
          <w:rFonts w:ascii="Calibri" w:eastAsia="Arial" w:hAnsi="Calibri" w:cs="Calibri"/>
          <w:bCs/>
          <w:noProof/>
          <w:lang w:bidi="en-US"/>
        </w:rPr>
        <w:t> </w:t>
      </w:r>
      <w:r>
        <w:rPr>
          <w:rFonts w:asciiTheme="minorHAnsi" w:hAnsiTheme="minorHAnsi"/>
          <w:noProof/>
        </w:rPr>
        <w:t>527.0</w:t>
      </w:r>
      <w:r>
        <w:rPr>
          <w:rFonts w:ascii="Calibri" w:hAnsi="Calibri" w:cs="Calibri"/>
          <w:noProof/>
        </w:rPr>
        <w:t> </w:t>
      </w:r>
      <w:r>
        <w:rPr>
          <w:rFonts w:asciiTheme="minorHAnsi" w:hAnsiTheme="minorHAnsi"/>
          <w:noProof/>
        </w:rPr>
        <w:t xml:space="preserve">million for the </w:t>
      </w:r>
      <w:r>
        <w:rPr>
          <w:rStyle w:val="AMPRcharBoldOrange"/>
          <w:rFonts w:asciiTheme="minorHAnsi" w:hAnsiTheme="minorHAnsi"/>
          <w:noProof/>
        </w:rPr>
        <w:t>European Regional Development Fund</w:t>
      </w:r>
      <w:r>
        <w:rPr>
          <w:rStyle w:val="AMPRcharBoldOrange"/>
          <w:rFonts w:ascii="Calibri" w:hAnsi="Calibri" w:cs="Calibri"/>
          <w:noProof/>
        </w:rPr>
        <w:t> </w:t>
      </w:r>
      <w:r>
        <w:rPr>
          <w:rStyle w:val="AMPRcharBoldOrange"/>
          <w:rFonts w:asciiTheme="minorHAnsi" w:hAnsiTheme="minorHAnsi"/>
          <w:noProof/>
        </w:rPr>
        <w:t>/ Cohesion Fund</w:t>
      </w:r>
      <w:r>
        <w:rPr>
          <w:rFonts w:asciiTheme="minorHAnsi" w:hAnsiTheme="minorHAnsi"/>
          <w:noProof/>
        </w:rPr>
        <w:t xml:space="preserve">, while the financial corrections imposed for the </w:t>
      </w:r>
      <w:r>
        <w:rPr>
          <w:rStyle w:val="AMPRcharBoldOrange"/>
          <w:rFonts w:asciiTheme="minorHAnsi" w:hAnsiTheme="minorHAnsi"/>
          <w:noProof/>
        </w:rPr>
        <w:t>European Social Fund</w:t>
      </w:r>
      <w:r>
        <w:rPr>
          <w:rStyle w:val="AMPRcharBoldOrange"/>
          <w:rFonts w:ascii="Calibri" w:hAnsi="Calibri" w:cs="Calibri"/>
          <w:noProof/>
        </w:rPr>
        <w:t> </w:t>
      </w:r>
      <w:r>
        <w:rPr>
          <w:rStyle w:val="AMPRcharBoldOrange"/>
          <w:rFonts w:asciiTheme="minorHAnsi" w:hAnsiTheme="minorHAnsi"/>
          <w:noProof/>
        </w:rPr>
        <w:t>/ Youth Employment Initiative</w:t>
      </w:r>
      <w:r>
        <w:rPr>
          <w:rFonts w:asciiTheme="minorHAnsi" w:hAnsiTheme="minorHAnsi"/>
          <w:b/>
          <w:noProof/>
          <w:color w:val="E48C32"/>
        </w:rPr>
        <w:t xml:space="preserve"> </w:t>
      </w:r>
      <w:r>
        <w:rPr>
          <w:rFonts w:asciiTheme="minorHAnsi" w:hAnsiTheme="minorHAnsi"/>
          <w:noProof/>
        </w:rPr>
        <w:t xml:space="preserve">and the </w:t>
      </w:r>
      <w:r>
        <w:rPr>
          <w:rStyle w:val="AMPRcharBoldOrange"/>
          <w:rFonts w:asciiTheme="minorHAnsi" w:hAnsiTheme="minorHAnsi"/>
          <w:noProof/>
        </w:rPr>
        <w:t xml:space="preserve">Fund for European Aid to the Most Deprived </w:t>
      </w:r>
      <w:r>
        <w:rPr>
          <w:rFonts w:asciiTheme="minorHAnsi" w:hAnsiTheme="minorHAnsi"/>
          <w:noProof/>
        </w:rPr>
        <w:t>amounted to EUR</w:t>
      </w:r>
      <w:r>
        <w:rPr>
          <w:rFonts w:ascii="Calibri" w:hAnsi="Calibri" w:cs="Calibri"/>
          <w:noProof/>
        </w:rPr>
        <w:t> </w:t>
      </w:r>
      <w:r>
        <w:rPr>
          <w:rFonts w:asciiTheme="minorHAnsi" w:hAnsiTheme="minorHAnsi"/>
          <w:noProof/>
        </w:rPr>
        <w:t>134.4</w:t>
      </w:r>
      <w:r>
        <w:rPr>
          <w:rFonts w:ascii="Calibri" w:eastAsia="Arial" w:hAnsi="Calibri" w:cs="Calibri"/>
          <w:bCs/>
          <w:noProof/>
          <w:lang w:bidi="en-US"/>
        </w:rPr>
        <w:t> </w:t>
      </w:r>
      <w:r>
        <w:rPr>
          <w:rFonts w:asciiTheme="minorHAnsi" w:hAnsiTheme="minorHAnsi"/>
          <w:noProof/>
        </w:rPr>
        <w:t>million. The financial corrections reported for</w:t>
      </w:r>
      <w:r>
        <w:rPr>
          <w:rFonts w:asciiTheme="minorHAnsi" w:eastAsia="Calibri" w:hAnsiTheme="minorHAnsi"/>
          <w:noProof/>
          <w:lang w:eastAsia="fr-BE"/>
        </w:rPr>
        <w:t xml:space="preserve"> the </w:t>
      </w:r>
      <w:r>
        <w:rPr>
          <w:rStyle w:val="AMPRcharBoldOrange"/>
          <w:rFonts w:asciiTheme="minorHAnsi" w:hAnsiTheme="minorHAnsi"/>
          <w:noProof/>
        </w:rPr>
        <w:t>European Maritime and Fisheries Fund</w:t>
      </w:r>
      <w:r>
        <w:rPr>
          <w:rFonts w:asciiTheme="minorHAnsi" w:eastAsia="Calibri" w:hAnsiTheme="minorHAnsi"/>
          <w:noProof/>
          <w:lang w:eastAsia="fr-BE"/>
        </w:rPr>
        <w:t xml:space="preserve"> amounted to EUR</w:t>
      </w:r>
      <w:r>
        <w:rPr>
          <w:rFonts w:ascii="Calibri" w:eastAsia="Calibri" w:hAnsi="Calibri" w:cs="Calibri"/>
          <w:noProof/>
          <w:lang w:eastAsia="fr-BE"/>
        </w:rPr>
        <w:t> </w:t>
      </w:r>
      <w:r>
        <w:rPr>
          <w:rFonts w:asciiTheme="minorHAnsi" w:eastAsia="Calibri" w:hAnsiTheme="minorHAnsi"/>
          <w:noProof/>
          <w:lang w:eastAsia="fr-BE"/>
        </w:rPr>
        <w:t>8.3</w:t>
      </w:r>
      <w:r>
        <w:rPr>
          <w:rFonts w:ascii="Calibri" w:eastAsia="Calibri" w:hAnsi="Calibri" w:cs="Calibri"/>
          <w:noProof/>
          <w:lang w:eastAsia="fr-BE"/>
        </w:rPr>
        <w:t> </w:t>
      </w:r>
      <w:r>
        <w:rPr>
          <w:rFonts w:asciiTheme="minorHAnsi" w:hAnsiTheme="minorHAnsi"/>
          <w:noProof/>
        </w:rPr>
        <w:t>million</w:t>
      </w:r>
      <w:r>
        <w:rPr>
          <w:rFonts w:asciiTheme="minorHAnsi" w:eastAsia="Calibri" w:hAnsiTheme="minorHAnsi" w:cs="Calibri"/>
          <w:noProof/>
          <w:lang w:eastAsia="fr-BE"/>
        </w:rPr>
        <w:t>.</w:t>
      </w:r>
      <w:r>
        <w:rPr>
          <w:rFonts w:ascii="Calibri" w:eastAsia="Calibri" w:hAnsi="Calibri" w:cs="Calibri"/>
          <w:noProof/>
          <w:lang w:eastAsia="fr-BE"/>
        </w:rPr>
        <w:t xml:space="preserve"> </w:t>
      </w:r>
    </w:p>
    <w:p w:rsidR="00311BB8" w:rsidRDefault="00D91061">
      <w:pPr>
        <w:pStyle w:val="AMPRAnnexesTITLE5"/>
        <w:rPr>
          <w:noProof/>
        </w:rPr>
      </w:pPr>
      <w:r>
        <w:rPr>
          <w:noProof/>
        </w:rPr>
        <w:t xml:space="preserve">Types of </w:t>
      </w:r>
      <w:r>
        <w:rPr>
          <w:i/>
          <w:noProof/>
        </w:rPr>
        <w:t>ex ante</w:t>
      </w:r>
      <w:r>
        <w:rPr>
          <w:noProof/>
        </w:rPr>
        <w:t xml:space="preserve"> and </w:t>
      </w:r>
      <w:r>
        <w:rPr>
          <w:i/>
          <w:noProof/>
        </w:rPr>
        <w:t>ex post</w:t>
      </w:r>
      <w:r>
        <w:rPr>
          <w:noProof/>
        </w:rPr>
        <w:t xml:space="preserve"> mechanisms in 2019</w:t>
      </w:r>
    </w:p>
    <w:p w:rsidR="00311BB8" w:rsidRDefault="00D91061">
      <w:pPr>
        <w:spacing w:before="40" w:after="40"/>
        <w:rPr>
          <w:rFonts w:eastAsia="Calibri"/>
          <w:i/>
          <w:iCs/>
          <w:noProof/>
          <w:sz w:val="16"/>
          <w:szCs w:val="16"/>
          <w:lang w:eastAsia="fr-BE"/>
        </w:rPr>
      </w:pPr>
      <w:r>
        <w:rPr>
          <w:noProof/>
          <w:lang w:val="fr-BE" w:eastAsia="fr-BE"/>
        </w:rPr>
        <w:drawing>
          <wp:inline distT="0" distB="0" distL="0" distR="0">
            <wp:extent cx="5760720" cy="23847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2384774"/>
                    </a:xfrm>
                    <a:prstGeom prst="rect">
                      <a:avLst/>
                    </a:prstGeom>
                    <a:noFill/>
                    <a:ln>
                      <a:noFill/>
                    </a:ln>
                  </pic:spPr>
                </pic:pic>
              </a:graphicData>
            </a:graphic>
          </wp:inline>
        </w:drawing>
      </w:r>
    </w:p>
    <w:p w:rsidR="00311BB8" w:rsidRDefault="00D91061">
      <w:pPr>
        <w:pStyle w:val="AMPRChart-Tabletitle"/>
        <w:rPr>
          <w:rFonts w:eastAsia="EC Square Sans Pro"/>
          <w:i/>
          <w:noProof/>
          <w:color w:val="808080"/>
        </w:rPr>
      </w:pPr>
      <w:r>
        <w:rPr>
          <w:noProof/>
        </w:rPr>
        <w:t>Types of financial corrections and recoveries implemented in 2019 (million</w:t>
      </w:r>
      <w:r>
        <w:rPr>
          <w:rFonts w:ascii="Calibri" w:hAnsi="Calibri" w:cs="Calibri"/>
          <w:noProof/>
        </w:rPr>
        <w:t> </w:t>
      </w:r>
      <w:r>
        <w:rPr>
          <w:noProof/>
        </w:rPr>
        <w:t>EUR)</w:t>
      </w:r>
    </w:p>
    <w:p w:rsidR="00311BB8" w:rsidRDefault="00D91061">
      <w:pPr>
        <w:pStyle w:val="AMPRSource-Table-Chart-Photo-Caption"/>
        <w:rPr>
          <w:noProof/>
        </w:rPr>
      </w:pPr>
      <w:r>
        <w:rPr>
          <w:i/>
          <w:noProof/>
        </w:rPr>
        <w:t xml:space="preserve">Source: </w:t>
      </w:r>
      <w:r>
        <w:rPr>
          <w:noProof/>
        </w:rPr>
        <w:t>European Commission.</w:t>
      </w:r>
    </w:p>
    <w:p w:rsidR="00311BB8" w:rsidRDefault="00D91061">
      <w:pPr>
        <w:pStyle w:val="AMPRBodyText"/>
        <w:rPr>
          <w:noProof/>
        </w:rPr>
      </w:pPr>
      <w:r>
        <w:rPr>
          <w:noProof/>
        </w:rPr>
        <w:t xml:space="preserve">Net corrections leading to a reimbursement of the amounts previously paid from the EU budget are characteristic of agriculture and rural development and of direct and indirect management. For </w:t>
      </w:r>
      <w:r>
        <w:rPr>
          <w:rStyle w:val="AMPRcharBoldOrange"/>
          <w:noProof/>
        </w:rPr>
        <w:t>agriculture</w:t>
      </w:r>
      <w:r>
        <w:rPr>
          <w:noProof/>
        </w:rPr>
        <w:t xml:space="preserve">, in </w:t>
      </w:r>
      <w:r>
        <w:rPr>
          <w:rStyle w:val="AMPRcharBold"/>
          <w:noProof/>
        </w:rPr>
        <w:t>2019</w:t>
      </w:r>
      <w:r>
        <w:rPr>
          <w:noProof/>
        </w:rPr>
        <w:t xml:space="preserve"> the Commission continued to apply the net financial corrections in the same way as in previous years. </w:t>
      </w:r>
    </w:p>
    <w:p w:rsidR="00311BB8" w:rsidRDefault="00D91061">
      <w:pPr>
        <w:pStyle w:val="AMPRBodyText"/>
        <w:rPr>
          <w:noProof/>
        </w:rPr>
      </w:pPr>
      <w:r>
        <w:rPr>
          <w:noProof/>
        </w:rPr>
        <w:t xml:space="preserve">For </w:t>
      </w:r>
      <w:r>
        <w:rPr>
          <w:rStyle w:val="AMPRcharBoldOrange"/>
          <w:noProof/>
        </w:rPr>
        <w:t>cohesion</w:t>
      </w:r>
      <w:r>
        <w:rPr>
          <w:noProof/>
        </w:rPr>
        <w:t xml:space="preserve"> policy, net corrections were, prior to the 2007-2013 programming period, the exception. They were only applied in cases where Member States were not able to replace irregular expenditure with new expenditure or, after the corresponding contradictory procedure, they did not agree to implement the financial corrections proposed by the Commission. Under the legal framework for 2014 to 2020, the Commission is to apply net financial corrections</w:t>
      </w:r>
      <w:r>
        <w:rPr>
          <w:rFonts w:ascii="Calibri" w:hAnsi="Calibri" w:cs="Calibri"/>
          <w:noProof/>
        </w:rPr>
        <w:t> </w:t>
      </w:r>
      <w:r>
        <w:rPr>
          <w:noProof/>
        </w:rPr>
        <w:t>– even if the Member State has agreed to the proposed corrections</w:t>
      </w:r>
      <w:r>
        <w:rPr>
          <w:rFonts w:ascii="Calibri" w:hAnsi="Calibri" w:cs="Calibri"/>
          <w:noProof/>
        </w:rPr>
        <w:t> </w:t>
      </w:r>
      <w:r>
        <w:rPr>
          <w:noProof/>
        </w:rPr>
        <w:t>– where EU/Court audits detect that a serious deficiency leading to a material level of risk in reimbursed expenditure remained undetected, uncorrected and unreported by the Member State. In all other circumstances, the Commission will continue to apply financial corrections as before, meaning that the Member State can still reuse the funds if it accepts the corrections and has sufficient additional new expenditure to replace the amounts withdrawn as irregular.</w:t>
      </w:r>
    </w:p>
    <w:p w:rsidR="00311BB8" w:rsidRDefault="00D91061">
      <w:pPr>
        <w:pStyle w:val="AMPRBodyText"/>
        <w:rPr>
          <w:noProof/>
          <w:lang w:eastAsia="fr-BE"/>
        </w:rPr>
      </w:pPr>
      <w:r>
        <w:rPr>
          <w:noProof/>
          <w:lang w:eastAsia="fr-BE"/>
        </w:rPr>
        <w:t>The Commission applies a number of available preventive instruments such as the interruption, suspension and reduction of EU financing with a view to better protecting the EU budget and incentivising Member States to reduce irregular payments.</w:t>
      </w:r>
    </w:p>
    <w:p w:rsidR="00311BB8" w:rsidRDefault="00D91061">
      <w:pPr>
        <w:pStyle w:val="AMPRBodyText"/>
        <w:rPr>
          <w:noProof/>
        </w:rPr>
      </w:pPr>
      <w:r>
        <w:rPr>
          <w:noProof/>
        </w:rPr>
        <w:br w:type="page"/>
      </w:r>
    </w:p>
    <w:p w:rsidR="00311BB8" w:rsidRDefault="00D91061">
      <w:pPr>
        <w:pStyle w:val="AMPRAnnexesTITLE5"/>
        <w:rPr>
          <w:noProof/>
          <w:color w:val="000000" w:themeColor="text1"/>
          <w:lang w:bidi="en-US"/>
        </w:rPr>
      </w:pPr>
      <w:r>
        <w:rPr>
          <w:noProof/>
        </w:rPr>
        <w:t>Multiannual character of EU spending programmes</w:t>
      </w:r>
      <w:r>
        <w:rPr>
          <w:rFonts w:ascii="Arial" w:eastAsia="Arial" w:hAnsi="Arial" w:cs="Arial"/>
          <w:noProof/>
          <w:color w:val="000000"/>
          <w:lang w:bidi="en-US"/>
        </w:rPr>
        <w:t xml:space="preserve"> </w:t>
      </w:r>
    </w:p>
    <w:p w:rsidR="00311BB8" w:rsidRDefault="00D91061">
      <w:pPr>
        <w:spacing w:after="240"/>
        <w:jc w:val="both"/>
        <w:rPr>
          <w:rFonts w:eastAsia="EC Square Sans Pro"/>
          <w:i/>
          <w:iCs/>
          <w:noProof/>
          <w:color w:val="000000"/>
        </w:rPr>
      </w:pPr>
      <w:r>
        <w:rPr>
          <w:noProof/>
          <w:lang w:val="fr-BE" w:eastAsia="fr-BE"/>
        </w:rPr>
        <w:drawing>
          <wp:inline distT="0" distB="0" distL="0" distR="0">
            <wp:extent cx="5760720" cy="31311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3131157"/>
                    </a:xfrm>
                    <a:prstGeom prst="rect">
                      <a:avLst/>
                    </a:prstGeom>
                    <a:noFill/>
                    <a:ln>
                      <a:noFill/>
                    </a:ln>
                  </pic:spPr>
                </pic:pic>
              </a:graphicData>
            </a:graphic>
          </wp:inline>
        </w:drawing>
      </w:r>
    </w:p>
    <w:p w:rsidR="00311BB8" w:rsidRDefault="00D91061">
      <w:pPr>
        <w:pStyle w:val="AMPRChart-Tabletitle"/>
        <w:rPr>
          <w:noProof/>
        </w:rPr>
      </w:pPr>
      <w:r>
        <w:rPr>
          <w:noProof/>
        </w:rPr>
        <w:t>Confirmed cumulative financial corrections and recoveries for 2013-2019 (million</w:t>
      </w:r>
      <w:r>
        <w:rPr>
          <w:rFonts w:ascii="Calibri" w:hAnsi="Calibri" w:cs="Calibri"/>
          <w:noProof/>
        </w:rPr>
        <w:t> </w:t>
      </w:r>
      <w:r>
        <w:rPr>
          <w:noProof/>
        </w:rPr>
        <w:t>EUR)</w:t>
      </w:r>
    </w:p>
    <w:p w:rsidR="00311BB8" w:rsidRDefault="00D91061">
      <w:pPr>
        <w:pStyle w:val="AMPRSource-Table-Chart-Photo-Caption"/>
        <w:rPr>
          <w:noProof/>
        </w:rPr>
      </w:pPr>
      <w:r>
        <w:rPr>
          <w:i/>
          <w:noProof/>
        </w:rPr>
        <w:t>Source:</w:t>
      </w:r>
      <w:r>
        <w:rPr>
          <w:noProof/>
        </w:rPr>
        <w:t xml:space="preserve"> European Commission.</w:t>
      </w:r>
    </w:p>
    <w:p w:rsidR="00311BB8" w:rsidRDefault="00D91061">
      <w:pPr>
        <w:pStyle w:val="AMPRBodyText"/>
        <w:rPr>
          <w:noProof/>
          <w:sz w:val="16"/>
          <w:szCs w:val="16"/>
          <w:lang w:eastAsia="fr-BE"/>
        </w:rPr>
      </w:pPr>
      <w:r>
        <w:rPr>
          <w:noProof/>
          <w:lang w:eastAsia="fr-BE"/>
        </w:rPr>
        <w:t>Cumulative figures provide more useful information on the significance of corrective mechanisms used by the Commission because they take into account the multiannual character of most EU spending and neutralise the impact of one-off events.</w:t>
      </w:r>
    </w:p>
    <w:p w:rsidR="00311BB8" w:rsidRDefault="00D91061">
      <w:pPr>
        <w:pStyle w:val="AMPRBodyText"/>
        <w:rPr>
          <w:noProof/>
          <w:lang w:eastAsia="fr-BE"/>
        </w:rPr>
      </w:pPr>
      <w:r>
        <w:rPr>
          <w:noProof/>
          <w:lang w:eastAsia="fr-BE"/>
        </w:rPr>
        <w:t xml:space="preserve">For the </w:t>
      </w:r>
      <w:r>
        <w:rPr>
          <w:rStyle w:val="AMPRcharBoldOrange"/>
          <w:noProof/>
        </w:rPr>
        <w:t>European Agricultural Guarantee Fund</w:t>
      </w:r>
      <w:r>
        <w:rPr>
          <w:noProof/>
          <w:lang w:eastAsia="fr-BE"/>
        </w:rPr>
        <w:t>, the average correction rate for Commission financial corrections under conformity clearance of accounts for 1999 to the end of 2019 was 1.7% of expenditure (all of which are net financial corrections)</w:t>
      </w:r>
      <w:r>
        <w:rPr>
          <w:rFonts w:ascii="Calibri" w:hAnsi="Calibri" w:cs="Calibri"/>
          <w:noProof/>
          <w:lang w:eastAsia="fr-BE"/>
        </w:rPr>
        <w:t> </w:t>
      </w:r>
      <w:r>
        <w:rPr>
          <w:noProof/>
          <w:lang w:eastAsia="fr-BE"/>
        </w:rPr>
        <w:t>– see ‘Agriculture and rural development – Cumulative figures’.</w:t>
      </w:r>
      <w:r>
        <w:rPr>
          <w:noProof/>
          <w:highlight w:val="green"/>
          <w:lang w:eastAsia="fr-BE"/>
        </w:rPr>
        <w:t xml:space="preserve"> </w:t>
      </w:r>
    </w:p>
    <w:p w:rsidR="00311BB8" w:rsidRDefault="00D91061">
      <w:pPr>
        <w:pStyle w:val="AMPRBodyText"/>
        <w:rPr>
          <w:noProof/>
          <w:lang w:eastAsia="fr-BE"/>
        </w:rPr>
      </w:pPr>
      <w:r>
        <w:rPr>
          <w:noProof/>
          <w:lang w:eastAsia="fr-BE"/>
        </w:rPr>
        <w:t xml:space="preserve">For the 2007-2013 </w:t>
      </w:r>
      <w:r>
        <w:rPr>
          <w:rStyle w:val="AMPRcharBoldOrange"/>
          <w:noProof/>
        </w:rPr>
        <w:t>European Regional Development Fund, Cohesion Fund</w:t>
      </w:r>
      <w:r>
        <w:rPr>
          <w:noProof/>
          <w:lang w:eastAsia="fr-BE"/>
        </w:rPr>
        <w:t xml:space="preserve"> and </w:t>
      </w:r>
      <w:r>
        <w:rPr>
          <w:rStyle w:val="AMPRcharBoldOrange"/>
          <w:noProof/>
        </w:rPr>
        <w:t>European Social Fund</w:t>
      </w:r>
      <w:r>
        <w:rPr>
          <w:noProof/>
          <w:lang w:eastAsia="fr-BE"/>
        </w:rPr>
        <w:t>, at the end of 2019 the combined rate of financial corrections, based on Commission supervision work only, amounted to 2.1% of the allocations made</w:t>
      </w:r>
      <w:r>
        <w:rPr>
          <w:rFonts w:ascii="Calibri" w:hAnsi="Calibri" w:cs="Calibri"/>
          <w:noProof/>
          <w:lang w:eastAsia="fr-BE"/>
        </w:rPr>
        <w:t> </w:t>
      </w:r>
      <w:r>
        <w:rPr>
          <w:noProof/>
          <w:lang w:eastAsia="fr-BE"/>
        </w:rPr>
        <w:t>– see ‘Cohesion policy – Cumulative figures’.</w:t>
      </w:r>
    </w:p>
    <w:p w:rsidR="00311BB8" w:rsidRDefault="00D91061">
      <w:pPr>
        <w:pStyle w:val="AMPRBodyText"/>
        <w:rPr>
          <w:rStyle w:val="AMPRcharBoldOrange"/>
          <w:noProof/>
        </w:rPr>
      </w:pPr>
      <w:r>
        <w:rPr>
          <w:rStyle w:val="AMPRcharBoldOrange"/>
          <w:noProof/>
        </w:rPr>
        <w:t>For 2013 to 2019 the average amount of confirmed financial corrections and recoveries was EUR</w:t>
      </w:r>
      <w:r>
        <w:rPr>
          <w:rStyle w:val="AMPRcharBoldOrange"/>
          <w:rFonts w:ascii="Calibri" w:hAnsi="Calibri" w:cs="Calibri"/>
          <w:noProof/>
        </w:rPr>
        <w:t> </w:t>
      </w:r>
      <w:r>
        <w:rPr>
          <w:rStyle w:val="AMPRcharBoldOrange"/>
          <w:noProof/>
        </w:rPr>
        <w:t>3.1</w:t>
      </w:r>
      <w:r>
        <w:rPr>
          <w:rStyle w:val="AMPRcharBoldOrange"/>
          <w:rFonts w:ascii="Calibri" w:hAnsi="Calibri" w:cs="Calibri"/>
          <w:noProof/>
        </w:rPr>
        <w:t> </w:t>
      </w:r>
      <w:r>
        <w:rPr>
          <w:rStyle w:val="AMPRcharBoldOrange"/>
          <w:noProof/>
        </w:rPr>
        <w:t>billion, or 2.1% of the average amount of payments made from the EU budget, while the average amount implemented in this period was EUR</w:t>
      </w:r>
      <w:r>
        <w:rPr>
          <w:rStyle w:val="AMPRcharBoldOrange"/>
          <w:rFonts w:ascii="Calibri" w:hAnsi="Calibri" w:cs="Calibri"/>
          <w:noProof/>
        </w:rPr>
        <w:t> </w:t>
      </w:r>
      <w:r>
        <w:rPr>
          <w:rStyle w:val="AMPRcharBoldOrange"/>
          <w:noProof/>
        </w:rPr>
        <w:t>3.3</w:t>
      </w:r>
      <w:r>
        <w:rPr>
          <w:rStyle w:val="AMPRcharBoldOrange"/>
          <w:rFonts w:ascii="Calibri" w:hAnsi="Calibri" w:cs="Calibri"/>
          <w:noProof/>
        </w:rPr>
        <w:t> </w:t>
      </w:r>
      <w:r>
        <w:rPr>
          <w:rStyle w:val="AMPRcharBoldOrange"/>
          <w:noProof/>
        </w:rPr>
        <w:t>billion or 2.2% of the payments.</w:t>
      </w:r>
    </w:p>
    <w:p w:rsidR="00311BB8" w:rsidRDefault="00D91061">
      <w:pPr>
        <w:pStyle w:val="AMPRAnnexesTITLE3-Numbered"/>
        <w:rPr>
          <w:noProof/>
        </w:rPr>
      </w:pPr>
      <w:bookmarkStart w:id="52" w:name="_Toc484626480"/>
      <w:bookmarkStart w:id="53" w:name="_Toc512866522"/>
      <w:bookmarkStart w:id="54" w:name="_Toc8386194"/>
      <w:r>
        <w:rPr>
          <w:noProof/>
        </w:rPr>
        <w:t xml:space="preserve">Financial corrections and recoveries at the end </w:t>
      </w:r>
      <w:bookmarkEnd w:id="52"/>
      <w:r>
        <w:rPr>
          <w:noProof/>
        </w:rPr>
        <w:t>of 2019</w:t>
      </w:r>
      <w:bookmarkEnd w:id="53"/>
      <w:bookmarkEnd w:id="54"/>
    </w:p>
    <w:p w:rsidR="00311BB8" w:rsidRDefault="00D91061">
      <w:pPr>
        <w:pStyle w:val="AMPRAnnexesTITLE4-Numbered"/>
        <w:rPr>
          <w:rFonts w:eastAsia="Calibri"/>
          <w:noProof/>
          <w:color w:val="E48C32"/>
          <w:lang w:eastAsia="fr-BE"/>
        </w:rPr>
      </w:pPr>
      <w:bookmarkStart w:id="55" w:name="_Toc456258161"/>
      <w:bookmarkStart w:id="56" w:name="_Toc456686569"/>
      <w:bookmarkStart w:id="57" w:name="_Toc484626481"/>
      <w:bookmarkStart w:id="58" w:name="_Toc512866523"/>
      <w:bookmarkStart w:id="59" w:name="_Toc8386195"/>
      <w:r>
        <w:rPr>
          <w:noProof/>
        </w:rPr>
        <w:t>Overview of financial corrections and recoveries for 2019</w:t>
      </w:r>
    </w:p>
    <w:bookmarkEnd w:id="55"/>
    <w:bookmarkEnd w:id="56"/>
    <w:bookmarkEnd w:id="57"/>
    <w:bookmarkEnd w:id="58"/>
    <w:bookmarkEnd w:id="59"/>
    <w:p w:rsidR="00311BB8" w:rsidRDefault="00D91061">
      <w:pPr>
        <w:pStyle w:val="AMPRBodyText"/>
        <w:rPr>
          <w:noProof/>
          <w:lang w:eastAsia="fr-BE"/>
        </w:rPr>
      </w:pPr>
      <w:r>
        <w:rPr>
          <w:noProof/>
          <w:lang w:eastAsia="fr-BE"/>
        </w:rPr>
        <w:t>The table below provides a complete picture (including one-off measures) of all the preventive and corrective measures confirmed and implemented during 2019 to protect the EU budget</w:t>
      </w:r>
      <w:r>
        <w:rPr>
          <w:rFonts w:ascii="Calibri" w:hAnsi="Calibri" w:cs="Calibri"/>
          <w:noProof/>
          <w:lang w:eastAsia="fr-BE"/>
        </w:rPr>
        <w:t> </w:t>
      </w:r>
      <w:r>
        <w:rPr>
          <w:noProof/>
          <w:lang w:eastAsia="fr-BE"/>
        </w:rPr>
        <w:t>– EUR</w:t>
      </w:r>
      <w:r>
        <w:rPr>
          <w:rFonts w:ascii="Calibri" w:hAnsi="Calibri" w:cs="Calibri"/>
          <w:noProof/>
          <w:lang w:eastAsia="fr-BE"/>
        </w:rPr>
        <w:t> </w:t>
      </w:r>
      <w:r>
        <w:rPr>
          <w:noProof/>
          <w:lang w:eastAsia="fr-BE"/>
        </w:rPr>
        <w:t>1.9</w:t>
      </w:r>
      <w:r>
        <w:rPr>
          <w:rFonts w:ascii="Calibri" w:hAnsi="Calibri" w:cs="Calibri"/>
          <w:noProof/>
          <w:lang w:eastAsia="fr-BE"/>
        </w:rPr>
        <w:t> </w:t>
      </w:r>
      <w:r>
        <w:rPr>
          <w:noProof/>
          <w:lang w:eastAsia="fr-BE"/>
        </w:rPr>
        <w:t xml:space="preserve">billion confirmed and </w:t>
      </w:r>
      <w:r>
        <w:rPr>
          <w:rFonts w:asciiTheme="minorHAnsi" w:hAnsiTheme="minorHAnsi"/>
          <w:noProof/>
          <w:lang w:eastAsia="fr-BE"/>
        </w:rPr>
        <w:t>EUR</w:t>
      </w:r>
      <w:r>
        <w:rPr>
          <w:rFonts w:ascii="Calibri" w:hAnsi="Calibri" w:cs="Calibri"/>
          <w:noProof/>
          <w:lang w:eastAsia="fr-BE"/>
        </w:rPr>
        <w:t> </w:t>
      </w:r>
      <w:r>
        <w:rPr>
          <w:rFonts w:asciiTheme="minorHAnsi" w:hAnsiTheme="minorHAnsi" w:cs="Calibri"/>
          <w:noProof/>
          <w:lang w:eastAsia="fr-BE"/>
        </w:rPr>
        <w:t>2.9</w:t>
      </w:r>
      <w:r>
        <w:rPr>
          <w:rFonts w:ascii="Calibri" w:hAnsi="Calibri" w:cs="Calibri"/>
          <w:noProof/>
          <w:lang w:eastAsia="fr-BE"/>
        </w:rPr>
        <w:t> </w:t>
      </w:r>
      <w:r>
        <w:rPr>
          <w:rFonts w:asciiTheme="minorHAnsi" w:hAnsiTheme="minorHAnsi"/>
          <w:noProof/>
          <w:lang w:eastAsia="fr-BE"/>
        </w:rPr>
        <w:t>bi</w:t>
      </w:r>
      <w:r>
        <w:rPr>
          <w:noProof/>
          <w:lang w:eastAsia="fr-BE"/>
        </w:rPr>
        <w:t>llion implemented. These amounts cover preventive actions and corrective actions made during 2019, irrespective of the year in which the initial expenditure was made.</w:t>
      </w:r>
    </w:p>
    <w:p w:rsidR="00311BB8" w:rsidRDefault="00311BB8">
      <w:pPr>
        <w:spacing w:after="120"/>
        <w:rPr>
          <w:rFonts w:eastAsia="EC Square Sans Pro"/>
          <w:b/>
          <w:noProof/>
          <w:lang w:eastAsia="fr-BE"/>
        </w:rPr>
        <w:sectPr w:rsidR="00311BB8">
          <w:headerReference w:type="even" r:id="rId68"/>
          <w:headerReference w:type="default" r:id="rId69"/>
          <w:footerReference w:type="even" r:id="rId70"/>
          <w:footerReference w:type="default" r:id="rId71"/>
          <w:headerReference w:type="first" r:id="rId72"/>
          <w:footerReference w:type="first" r:id="rId73"/>
          <w:footnotePr>
            <w:numStart w:val="94"/>
          </w:footnotePr>
          <w:pgSz w:w="11906" w:h="16838" w:code="9"/>
          <w:pgMar w:top="1417" w:right="1417" w:bottom="1134" w:left="1417" w:header="567" w:footer="454" w:gutter="0"/>
          <w:cols w:space="720"/>
          <w:docGrid w:linePitch="360"/>
        </w:sectPr>
      </w:pPr>
    </w:p>
    <w:p w:rsidR="00311BB8" w:rsidRDefault="00311BB8">
      <w:pPr>
        <w:pStyle w:val="Hidelastparagraphafterthetable"/>
        <w:rPr>
          <w:noProof/>
          <w:lang w:eastAsia="fr-BE"/>
        </w:rPr>
      </w:pPr>
    </w:p>
    <w:tbl>
      <w:tblPr>
        <w:tblStyle w:val="AMPRTABLEA-Template"/>
        <w:tblW w:w="14288" w:type="dxa"/>
        <w:tblLayout w:type="fixed"/>
        <w:tblLook w:val="04E0" w:firstRow="1" w:lastRow="1" w:firstColumn="1" w:lastColumn="0" w:noHBand="0" w:noVBand="1"/>
      </w:tblPr>
      <w:tblGrid>
        <w:gridCol w:w="3389"/>
        <w:gridCol w:w="1211"/>
        <w:gridCol w:w="1211"/>
        <w:gridCol w:w="1211"/>
        <w:gridCol w:w="1211"/>
        <w:gridCol w:w="1211"/>
        <w:gridCol w:w="1211"/>
        <w:gridCol w:w="1211"/>
        <w:gridCol w:w="1211"/>
        <w:gridCol w:w="1211"/>
      </w:tblGrid>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HEADERText-WHITE"/>
              <w:spacing w:before="144" w:after="144"/>
              <w:rPr>
                <w:noProof/>
                <w:sz w:val="16"/>
              </w:rPr>
            </w:pPr>
            <w:r>
              <w:rPr>
                <w:noProof/>
                <w:sz w:val="16"/>
              </w:rPr>
              <w:t>Multiannual financial framework heading</w:t>
            </w:r>
          </w:p>
          <w:p w:rsidR="00311BB8" w:rsidRDefault="00311BB8">
            <w:pPr>
              <w:pStyle w:val="AMPRTABLEA-HEADERText-WHITE"/>
              <w:spacing w:before="144" w:after="144"/>
              <w:rPr>
                <w:noProof/>
                <w:sz w:val="16"/>
              </w:rPr>
            </w:pPr>
          </w:p>
        </w:tc>
        <w:tc>
          <w:tcPr>
            <w:tcW w:w="1134"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rPr>
            </w:pPr>
            <w:r>
              <w:rPr>
                <w:noProof/>
                <w:sz w:val="16"/>
              </w:rPr>
              <w:t>Total EU budget payments in 2019 (million</w:t>
            </w:r>
            <w:r>
              <w:rPr>
                <w:rFonts w:ascii="Calibri" w:hAnsi="Calibri" w:cs="Calibri"/>
                <w:noProof/>
                <w:sz w:val="16"/>
              </w:rPr>
              <w:t> </w:t>
            </w:r>
            <w:r>
              <w:rPr>
                <w:noProof/>
                <w:sz w:val="16"/>
              </w:rPr>
              <w:t>EUR)</w:t>
            </w:r>
          </w:p>
        </w:tc>
        <w:tc>
          <w:tcPr>
            <w:tcW w:w="1134"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rPr>
            </w:pPr>
            <w:r>
              <w:rPr>
                <w:noProof/>
                <w:sz w:val="16"/>
              </w:rPr>
              <w:t xml:space="preserve">Total financial corrections </w:t>
            </w:r>
            <w:r>
              <w:rPr>
                <w:i/>
                <w:iCs/>
                <w:noProof/>
                <w:sz w:val="16"/>
              </w:rPr>
              <w:t>confirmed</w:t>
            </w:r>
            <w:r>
              <w:rPr>
                <w:noProof/>
                <w:sz w:val="16"/>
              </w:rPr>
              <w:t xml:space="preserve"> in 2019 (million</w:t>
            </w:r>
            <w:r>
              <w:rPr>
                <w:rFonts w:ascii="Calibri" w:hAnsi="Calibri" w:cs="Calibri"/>
                <w:noProof/>
                <w:sz w:val="16"/>
              </w:rPr>
              <w:t> </w:t>
            </w:r>
            <w:r>
              <w:rPr>
                <w:noProof/>
                <w:sz w:val="16"/>
              </w:rPr>
              <w:t>EUR)</w:t>
            </w:r>
          </w:p>
        </w:tc>
        <w:tc>
          <w:tcPr>
            <w:tcW w:w="1134"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lang w:val="en-GB"/>
              </w:rPr>
            </w:pPr>
            <w:r>
              <w:rPr>
                <w:noProof/>
                <w:sz w:val="16"/>
                <w:lang w:val="en-GB"/>
              </w:rPr>
              <w:t xml:space="preserve">Total recoveries </w:t>
            </w:r>
            <w:r>
              <w:rPr>
                <w:i/>
                <w:iCs/>
                <w:noProof/>
                <w:sz w:val="16"/>
                <w:lang w:val="en-GB"/>
              </w:rPr>
              <w:t>confirmed</w:t>
            </w:r>
            <w:r>
              <w:rPr>
                <w:noProof/>
                <w:sz w:val="16"/>
                <w:lang w:val="en-GB"/>
              </w:rPr>
              <w:t xml:space="preserve"> in 2019 (million</w:t>
            </w:r>
            <w:r>
              <w:rPr>
                <w:rFonts w:ascii="Calibri" w:hAnsi="Calibri" w:cs="Calibri"/>
                <w:noProof/>
                <w:sz w:val="16"/>
                <w:lang w:val="en-GB"/>
              </w:rPr>
              <w:t> </w:t>
            </w:r>
            <w:r>
              <w:rPr>
                <w:noProof/>
                <w:sz w:val="16"/>
                <w:lang w:val="en-GB"/>
              </w:rPr>
              <w:t>EUR)</w:t>
            </w:r>
          </w:p>
        </w:tc>
        <w:tc>
          <w:tcPr>
            <w:tcW w:w="1134"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lang w:val="en-GB"/>
              </w:rPr>
            </w:pPr>
            <w:r>
              <w:rPr>
                <w:noProof/>
                <w:sz w:val="16"/>
                <w:lang w:val="en-GB"/>
              </w:rPr>
              <w:t xml:space="preserve">Total financial corrections and recoveries </w:t>
            </w:r>
            <w:r>
              <w:rPr>
                <w:i/>
                <w:iCs/>
                <w:noProof/>
                <w:sz w:val="16"/>
                <w:lang w:val="en-GB"/>
              </w:rPr>
              <w:t>confirmed</w:t>
            </w:r>
            <w:r>
              <w:rPr>
                <w:noProof/>
                <w:sz w:val="16"/>
                <w:lang w:val="en-GB"/>
              </w:rPr>
              <w:t xml:space="preserve"> in 2019 (million</w:t>
            </w:r>
            <w:r>
              <w:rPr>
                <w:rFonts w:ascii="Calibri" w:hAnsi="Calibri" w:cs="Calibri"/>
                <w:noProof/>
                <w:sz w:val="16"/>
                <w:lang w:val="en-GB"/>
              </w:rPr>
              <w:t> </w:t>
            </w:r>
            <w:r>
              <w:rPr>
                <w:noProof/>
                <w:sz w:val="16"/>
                <w:lang w:val="en-GB"/>
              </w:rPr>
              <w:t>EUR)</w:t>
            </w:r>
          </w:p>
        </w:tc>
        <w:tc>
          <w:tcPr>
            <w:tcW w:w="1134"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lang w:val="en-GB"/>
              </w:rPr>
            </w:pPr>
            <w:r>
              <w:rPr>
                <w:noProof/>
                <w:sz w:val="16"/>
                <w:lang w:val="en-GB"/>
              </w:rPr>
              <w:t>% of payments made from the EU budget</w:t>
            </w:r>
          </w:p>
        </w:tc>
        <w:tc>
          <w:tcPr>
            <w:tcW w:w="1134"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rPr>
            </w:pPr>
            <w:r>
              <w:rPr>
                <w:noProof/>
                <w:sz w:val="16"/>
              </w:rPr>
              <w:t xml:space="preserve">Total financial corrections </w:t>
            </w:r>
            <w:r>
              <w:rPr>
                <w:i/>
                <w:iCs/>
                <w:noProof/>
                <w:sz w:val="16"/>
              </w:rPr>
              <w:t>implemented</w:t>
            </w:r>
            <w:r>
              <w:rPr>
                <w:noProof/>
                <w:sz w:val="16"/>
              </w:rPr>
              <w:t xml:space="preserve"> in 2019 (million</w:t>
            </w:r>
            <w:r>
              <w:rPr>
                <w:rFonts w:ascii="Calibri" w:hAnsi="Calibri" w:cs="Calibri"/>
                <w:noProof/>
                <w:sz w:val="16"/>
              </w:rPr>
              <w:t> </w:t>
            </w:r>
            <w:r>
              <w:rPr>
                <w:noProof/>
                <w:sz w:val="16"/>
              </w:rPr>
              <w:t>EUR)</w:t>
            </w:r>
          </w:p>
        </w:tc>
        <w:tc>
          <w:tcPr>
            <w:tcW w:w="1134"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lang w:val="en-GB"/>
              </w:rPr>
            </w:pPr>
            <w:r>
              <w:rPr>
                <w:noProof/>
                <w:sz w:val="16"/>
                <w:lang w:val="en-GB"/>
              </w:rPr>
              <w:t xml:space="preserve">Total recoveries </w:t>
            </w:r>
            <w:r>
              <w:rPr>
                <w:i/>
                <w:iCs/>
                <w:noProof/>
                <w:sz w:val="16"/>
                <w:lang w:val="en-GB"/>
              </w:rPr>
              <w:t>implemented</w:t>
            </w:r>
            <w:r>
              <w:rPr>
                <w:noProof/>
                <w:sz w:val="16"/>
                <w:lang w:val="en-GB"/>
              </w:rPr>
              <w:t xml:space="preserve"> in 2019 (million</w:t>
            </w:r>
            <w:r>
              <w:rPr>
                <w:rFonts w:ascii="Calibri" w:hAnsi="Calibri" w:cs="Calibri"/>
                <w:noProof/>
                <w:sz w:val="16"/>
                <w:lang w:val="en-GB"/>
              </w:rPr>
              <w:t> </w:t>
            </w:r>
            <w:r>
              <w:rPr>
                <w:noProof/>
                <w:sz w:val="16"/>
                <w:lang w:val="en-GB"/>
              </w:rPr>
              <w:t>EUR)</w:t>
            </w:r>
          </w:p>
        </w:tc>
        <w:tc>
          <w:tcPr>
            <w:tcW w:w="1134"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lang w:val="en-GB"/>
              </w:rPr>
            </w:pPr>
            <w:r>
              <w:rPr>
                <w:noProof/>
                <w:sz w:val="16"/>
                <w:lang w:val="en-GB"/>
              </w:rPr>
              <w:t xml:space="preserve">Total financial corrections and recoveries </w:t>
            </w:r>
            <w:r>
              <w:rPr>
                <w:i/>
                <w:iCs/>
                <w:noProof/>
                <w:sz w:val="16"/>
                <w:lang w:val="en-GB"/>
              </w:rPr>
              <w:t>implemented</w:t>
            </w:r>
            <w:r>
              <w:rPr>
                <w:noProof/>
                <w:sz w:val="16"/>
                <w:lang w:val="en-GB"/>
              </w:rPr>
              <w:t xml:space="preserve"> in 2019 (million</w:t>
            </w:r>
            <w:r>
              <w:rPr>
                <w:rFonts w:ascii="Calibri" w:hAnsi="Calibri" w:cs="Calibri"/>
                <w:noProof/>
                <w:sz w:val="16"/>
                <w:lang w:val="en-GB"/>
              </w:rPr>
              <w:t> </w:t>
            </w:r>
            <w:r>
              <w:rPr>
                <w:noProof/>
                <w:sz w:val="16"/>
                <w:lang w:val="en-GB"/>
              </w:rPr>
              <w:t>EUR)</w:t>
            </w:r>
          </w:p>
        </w:tc>
        <w:tc>
          <w:tcPr>
            <w:tcW w:w="1134"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lang w:val="en-GB"/>
              </w:rPr>
            </w:pPr>
            <w:r>
              <w:rPr>
                <w:noProof/>
                <w:sz w:val="16"/>
                <w:lang w:val="en-GB"/>
              </w:rPr>
              <w:t>% of payments made from the EU budget</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hideMark/>
          </w:tcPr>
          <w:p w:rsidR="00311BB8" w:rsidRDefault="00D91061">
            <w:pPr>
              <w:pStyle w:val="AMPRTABLEA-TextLEFTalligned-BLACK"/>
              <w:spacing w:before="40" w:after="40"/>
              <w:rPr>
                <w:b/>
                <w:bCs/>
                <w:noProof/>
                <w:sz w:val="16"/>
                <w:szCs w:val="16"/>
              </w:rPr>
            </w:pPr>
            <w:r>
              <w:rPr>
                <w:b/>
                <w:bCs/>
                <w:noProof/>
                <w:sz w:val="16"/>
                <w:szCs w:val="16"/>
              </w:rPr>
              <w:t>Smart and inclusive growth</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75</w:t>
            </w:r>
            <w:r>
              <w:rPr>
                <w:rFonts w:ascii="Calibri" w:eastAsia="EC Square Sans Pro" w:hAnsi="Calibri" w:cs="Calibri"/>
                <w:b/>
                <w:bCs/>
                <w:noProof/>
                <w:sz w:val="16"/>
                <w:szCs w:val="16"/>
              </w:rPr>
              <w:t> </w:t>
            </w:r>
            <w:r>
              <w:rPr>
                <w:rFonts w:eastAsia="EC Square Sans Pro"/>
                <w:b/>
                <w:bCs/>
                <w:noProof/>
                <w:sz w:val="16"/>
                <w:szCs w:val="16"/>
              </w:rPr>
              <w:t>535</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810</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224</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1</w:t>
            </w:r>
            <w:r>
              <w:rPr>
                <w:rFonts w:ascii="Calibri" w:eastAsia="EC Square Sans Pro" w:hAnsi="Calibri" w:cs="Calibri"/>
                <w:b/>
                <w:bCs/>
                <w:noProof/>
                <w:sz w:val="16"/>
                <w:szCs w:val="16"/>
              </w:rPr>
              <w:t> </w:t>
            </w:r>
            <w:r>
              <w:rPr>
                <w:rFonts w:eastAsia="EC Square Sans Pro"/>
                <w:b/>
                <w:bCs/>
                <w:noProof/>
                <w:sz w:val="16"/>
                <w:szCs w:val="16"/>
              </w:rPr>
              <w:t>035</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Calibri"/>
                <w:b/>
                <w:i/>
                <w:noProof/>
                <w:sz w:val="16"/>
                <w:szCs w:val="16"/>
              </w:rPr>
            </w:pPr>
            <w:r>
              <w:rPr>
                <w:rFonts w:eastAsia="EC Square Sans Pro"/>
                <w:b/>
                <w:bCs/>
                <w:i/>
                <w:iCs/>
                <w:noProof/>
                <w:sz w:val="16"/>
                <w:szCs w:val="16"/>
              </w:rPr>
              <w:t>1.4%</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958</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229</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1</w:t>
            </w:r>
            <w:r>
              <w:rPr>
                <w:rFonts w:ascii="Calibri" w:eastAsia="EC Square Sans Pro" w:hAnsi="Calibri" w:cs="Calibri"/>
                <w:b/>
                <w:bCs/>
                <w:noProof/>
                <w:sz w:val="16"/>
                <w:szCs w:val="16"/>
              </w:rPr>
              <w:t> </w:t>
            </w:r>
            <w:r>
              <w:rPr>
                <w:rFonts w:eastAsia="EC Square Sans Pro"/>
                <w:b/>
                <w:bCs/>
                <w:noProof/>
                <w:sz w:val="16"/>
                <w:szCs w:val="16"/>
              </w:rPr>
              <w:t>187</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Calibri"/>
                <w:b/>
                <w:i/>
                <w:noProof/>
                <w:sz w:val="16"/>
                <w:szCs w:val="16"/>
              </w:rPr>
            </w:pPr>
            <w:r>
              <w:rPr>
                <w:rFonts w:eastAsia="EC Square Sans Pro"/>
                <w:b/>
                <w:bCs/>
                <w:i/>
                <w:iCs/>
                <w:noProof/>
                <w:sz w:val="16"/>
                <w:szCs w:val="16"/>
              </w:rPr>
              <w:t>1.6%</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TextLEFTalligned-BLACK"/>
              <w:spacing w:before="40" w:after="40"/>
              <w:ind w:left="142"/>
              <w:rPr>
                <w:noProof/>
                <w:sz w:val="16"/>
                <w:szCs w:val="16"/>
              </w:rPr>
            </w:pPr>
            <w:r>
              <w:rPr>
                <w:noProof/>
                <w:sz w:val="16"/>
                <w:szCs w:val="16"/>
              </w:rPr>
              <w:t>European Regional Development Fund</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b/>
                <w:bCs/>
                <w:noProof/>
                <w:sz w:val="16"/>
                <w:szCs w:val="16"/>
              </w:rPr>
              <w:t>29</w:t>
            </w:r>
            <w:r>
              <w:rPr>
                <w:rFonts w:ascii="Calibri" w:hAnsi="Calibri" w:cs="Calibri"/>
                <w:b/>
                <w:bCs/>
                <w:noProof/>
                <w:sz w:val="16"/>
                <w:szCs w:val="16"/>
              </w:rPr>
              <w:t> </w:t>
            </w:r>
            <w:r>
              <w:rPr>
                <w:b/>
                <w:bCs/>
                <w:noProof/>
                <w:sz w:val="16"/>
                <w:szCs w:val="16"/>
              </w:rPr>
              <w:t>559</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443</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443</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1.5%</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391</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391</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1.3%</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TextLEFTalligned-BLACK"/>
              <w:spacing w:before="40" w:after="40"/>
              <w:ind w:left="142"/>
              <w:rPr>
                <w:noProof/>
                <w:sz w:val="16"/>
                <w:szCs w:val="16"/>
              </w:rPr>
            </w:pPr>
            <w:r>
              <w:rPr>
                <w:noProof/>
                <w:sz w:val="16"/>
                <w:szCs w:val="16"/>
              </w:rPr>
              <w:t>Cohesion Fund</w:t>
            </w:r>
          </w:p>
        </w:tc>
        <w:tc>
          <w:tcPr>
            <w:tcW w:w="1134" w:type="dxa"/>
            <w:noWrap/>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b/>
                <w:bCs/>
                <w:noProof/>
                <w:sz w:val="16"/>
                <w:szCs w:val="16"/>
              </w:rPr>
              <w:t>8</w:t>
            </w:r>
            <w:r>
              <w:rPr>
                <w:rFonts w:ascii="Calibri" w:hAnsi="Calibri" w:cs="Calibri"/>
                <w:b/>
                <w:bCs/>
                <w:noProof/>
                <w:sz w:val="16"/>
                <w:szCs w:val="16"/>
              </w:rPr>
              <w:t> </w:t>
            </w:r>
            <w:r>
              <w:rPr>
                <w:b/>
                <w:bCs/>
                <w:noProof/>
                <w:sz w:val="16"/>
                <w:szCs w:val="16"/>
              </w:rPr>
              <w:t>812</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68</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68</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0.8%</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88</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88</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1.0%</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TextLEFTalligned-BLACK"/>
              <w:spacing w:before="40" w:after="40"/>
              <w:ind w:left="142"/>
              <w:rPr>
                <w:noProof/>
                <w:sz w:val="16"/>
                <w:szCs w:val="16"/>
              </w:rPr>
            </w:pPr>
            <w:r>
              <w:rPr>
                <w:noProof/>
                <w:sz w:val="16"/>
                <w:szCs w:val="16"/>
              </w:rPr>
              <w:t>European Social Fund</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b/>
                <w:bCs/>
                <w:noProof/>
                <w:sz w:val="16"/>
                <w:szCs w:val="16"/>
              </w:rPr>
              <w:t>13</w:t>
            </w:r>
            <w:r>
              <w:rPr>
                <w:rFonts w:ascii="Calibri" w:hAnsi="Calibri" w:cs="Calibri"/>
                <w:b/>
                <w:bCs/>
                <w:noProof/>
                <w:sz w:val="16"/>
                <w:szCs w:val="16"/>
              </w:rPr>
              <w:t> </w:t>
            </w:r>
            <w:r>
              <w:rPr>
                <w:b/>
                <w:bCs/>
                <w:noProof/>
                <w:sz w:val="16"/>
                <w:szCs w:val="16"/>
              </w:rPr>
              <w:t>939</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299</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299</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2.1%</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479</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479</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3.4%</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TextLEFTalligned-BLACK"/>
              <w:spacing w:before="40" w:after="40"/>
              <w:ind w:left="142"/>
              <w:rPr>
                <w:noProof/>
                <w:sz w:val="16"/>
                <w:szCs w:val="16"/>
              </w:rPr>
            </w:pPr>
            <w:r>
              <w:rPr>
                <w:noProof/>
                <w:sz w:val="16"/>
                <w:szCs w:val="16"/>
              </w:rPr>
              <w:t>Internal policies</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b/>
                <w:bCs/>
                <w:noProof/>
                <w:sz w:val="16"/>
                <w:szCs w:val="16"/>
              </w:rPr>
              <w:t>23</w:t>
            </w:r>
            <w:r>
              <w:rPr>
                <w:rFonts w:ascii="Calibri" w:hAnsi="Calibri" w:cs="Calibri"/>
                <w:b/>
                <w:bCs/>
                <w:noProof/>
                <w:sz w:val="16"/>
                <w:szCs w:val="16"/>
              </w:rPr>
              <w:t> </w:t>
            </w:r>
            <w:r>
              <w:rPr>
                <w:b/>
                <w:bCs/>
                <w:noProof/>
                <w:sz w:val="16"/>
                <w:szCs w:val="16"/>
              </w:rPr>
              <w:t>225</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n/a</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224</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224</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1.0%</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n/a</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229</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229</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1.0%</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hideMark/>
          </w:tcPr>
          <w:p w:rsidR="00311BB8" w:rsidRDefault="00D91061">
            <w:pPr>
              <w:pStyle w:val="AMPRTABLEA-TextLEFTalligned-BLACK"/>
              <w:spacing w:before="40" w:after="40"/>
              <w:rPr>
                <w:b/>
                <w:bCs/>
                <w:noProof/>
                <w:sz w:val="16"/>
                <w:szCs w:val="16"/>
              </w:rPr>
            </w:pPr>
            <w:r>
              <w:rPr>
                <w:b/>
                <w:bCs/>
                <w:noProof/>
                <w:sz w:val="16"/>
                <w:szCs w:val="16"/>
              </w:rPr>
              <w:t>Sustainable growth: natural resources</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b/>
                <w:bCs/>
                <w:i/>
                <w:iCs/>
                <w:noProof/>
                <w:sz w:val="16"/>
                <w:szCs w:val="16"/>
              </w:rPr>
              <w:t>59</w:t>
            </w:r>
            <w:r>
              <w:rPr>
                <w:rFonts w:ascii="Calibri" w:hAnsi="Calibri" w:cs="Calibri"/>
                <w:b/>
                <w:bCs/>
                <w:i/>
                <w:iCs/>
                <w:noProof/>
                <w:sz w:val="16"/>
                <w:szCs w:val="16"/>
              </w:rPr>
              <w:t> </w:t>
            </w:r>
            <w:r>
              <w:rPr>
                <w:b/>
                <w:bCs/>
                <w:i/>
                <w:iCs/>
                <w:noProof/>
                <w:sz w:val="16"/>
                <w:szCs w:val="16"/>
              </w:rPr>
              <w:t>521</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251</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403</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653</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Calibri"/>
                <w:b/>
                <w:i/>
                <w:noProof/>
                <w:sz w:val="16"/>
                <w:szCs w:val="16"/>
              </w:rPr>
            </w:pPr>
            <w:r>
              <w:rPr>
                <w:rFonts w:eastAsia="EC Square Sans Pro"/>
                <w:b/>
                <w:bCs/>
                <w:i/>
                <w:iCs/>
                <w:noProof/>
                <w:sz w:val="16"/>
                <w:szCs w:val="16"/>
              </w:rPr>
              <w:t>1.1%</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1</w:t>
            </w:r>
            <w:r>
              <w:rPr>
                <w:rFonts w:ascii="Calibri" w:eastAsia="EC Square Sans Pro" w:hAnsi="Calibri" w:cs="Calibri"/>
                <w:b/>
                <w:bCs/>
                <w:noProof/>
                <w:sz w:val="16"/>
                <w:szCs w:val="16"/>
              </w:rPr>
              <w:t> </w:t>
            </w:r>
            <w:r>
              <w:rPr>
                <w:rFonts w:eastAsia="EC Square Sans Pro"/>
                <w:b/>
                <w:bCs/>
                <w:noProof/>
                <w:sz w:val="16"/>
                <w:szCs w:val="16"/>
              </w:rPr>
              <w:t>091</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350</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1</w:t>
            </w:r>
            <w:r>
              <w:rPr>
                <w:rFonts w:ascii="Calibri" w:eastAsia="EC Square Sans Pro" w:hAnsi="Calibri" w:cs="Calibri"/>
                <w:b/>
                <w:bCs/>
                <w:noProof/>
                <w:sz w:val="16"/>
                <w:szCs w:val="16"/>
              </w:rPr>
              <w:t> </w:t>
            </w:r>
            <w:r>
              <w:rPr>
                <w:rFonts w:eastAsia="EC Square Sans Pro"/>
                <w:b/>
                <w:bCs/>
                <w:noProof/>
                <w:sz w:val="16"/>
                <w:szCs w:val="16"/>
              </w:rPr>
              <w:t>441</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Calibri"/>
                <w:b/>
                <w:i/>
                <w:noProof/>
                <w:sz w:val="16"/>
                <w:szCs w:val="16"/>
              </w:rPr>
            </w:pPr>
            <w:r>
              <w:rPr>
                <w:rFonts w:eastAsia="EC Square Sans Pro"/>
                <w:b/>
                <w:bCs/>
                <w:i/>
                <w:iCs/>
                <w:noProof/>
                <w:sz w:val="16"/>
                <w:szCs w:val="16"/>
              </w:rPr>
              <w:t>2.4%</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TextLEFTalligned-BLACK"/>
              <w:spacing w:before="40" w:after="40"/>
              <w:ind w:left="142"/>
              <w:rPr>
                <w:noProof/>
                <w:sz w:val="16"/>
                <w:szCs w:val="16"/>
              </w:rPr>
            </w:pPr>
            <w:r>
              <w:rPr>
                <w:noProof/>
                <w:sz w:val="16"/>
                <w:szCs w:val="16"/>
              </w:rPr>
              <w:t>European Agricultural Guarantee Fund</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b/>
                <w:bCs/>
                <w:noProof/>
                <w:sz w:val="16"/>
                <w:szCs w:val="16"/>
              </w:rPr>
              <w:t>43</w:t>
            </w:r>
            <w:r>
              <w:rPr>
                <w:rFonts w:ascii="Calibri" w:hAnsi="Calibri" w:cs="Calibri"/>
                <w:b/>
                <w:bCs/>
                <w:noProof/>
                <w:sz w:val="16"/>
                <w:szCs w:val="16"/>
              </w:rPr>
              <w:t> </w:t>
            </w:r>
            <w:r>
              <w:rPr>
                <w:b/>
                <w:bCs/>
                <w:noProof/>
                <w:sz w:val="16"/>
                <w:szCs w:val="16"/>
              </w:rPr>
              <w:t>885</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141</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202</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343</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0.8%</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982</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156</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1</w:t>
            </w:r>
            <w:r>
              <w:rPr>
                <w:rFonts w:ascii="Calibri" w:eastAsia="EC Square Sans Pro" w:hAnsi="Calibri" w:cs="Calibri"/>
                <w:b/>
                <w:bCs/>
                <w:noProof/>
                <w:sz w:val="16"/>
                <w:szCs w:val="16"/>
              </w:rPr>
              <w:t> </w:t>
            </w:r>
            <w:r>
              <w:rPr>
                <w:rFonts w:eastAsia="EC Square Sans Pro"/>
                <w:b/>
                <w:bCs/>
                <w:noProof/>
                <w:sz w:val="16"/>
                <w:szCs w:val="16"/>
              </w:rPr>
              <w:t>138</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2.6%</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TextLEFTalligned-BLACK"/>
              <w:spacing w:before="40" w:after="40"/>
              <w:ind w:left="142"/>
              <w:rPr>
                <w:noProof/>
                <w:sz w:val="16"/>
                <w:szCs w:val="16"/>
              </w:rPr>
            </w:pPr>
            <w:r>
              <w:rPr>
                <w:noProof/>
                <w:sz w:val="16"/>
                <w:szCs w:val="16"/>
              </w:rPr>
              <w:t>Rural development</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b/>
                <w:bCs/>
                <w:noProof/>
                <w:sz w:val="16"/>
                <w:szCs w:val="16"/>
              </w:rPr>
              <w:t>14</w:t>
            </w:r>
            <w:r>
              <w:rPr>
                <w:rFonts w:ascii="Calibri" w:hAnsi="Calibri" w:cs="Calibri"/>
                <w:b/>
                <w:bCs/>
                <w:noProof/>
                <w:sz w:val="16"/>
                <w:szCs w:val="16"/>
              </w:rPr>
              <w:t> </w:t>
            </w:r>
            <w:r>
              <w:rPr>
                <w:b/>
                <w:bCs/>
                <w:noProof/>
                <w:sz w:val="16"/>
                <w:szCs w:val="16"/>
              </w:rPr>
              <w:t>213</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181</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186</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367</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2.6%</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181</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181</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362</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2.5%</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TextLEFTalligned-BLACK"/>
              <w:spacing w:before="40" w:after="40"/>
              <w:ind w:left="142"/>
              <w:rPr>
                <w:noProof/>
                <w:sz w:val="16"/>
                <w:szCs w:val="16"/>
                <w:lang w:val="en-GB"/>
              </w:rPr>
            </w:pPr>
            <w:r>
              <w:rPr>
                <w:noProof/>
                <w:sz w:val="16"/>
                <w:szCs w:val="16"/>
                <w:lang w:val="en-GB"/>
              </w:rPr>
              <w:t>Financial Instrument for Fisheries Guidance</w:t>
            </w:r>
            <w:r>
              <w:rPr>
                <w:rFonts w:ascii="Calibri" w:hAnsi="Calibri" w:cs="Calibri"/>
                <w:noProof/>
                <w:sz w:val="16"/>
                <w:szCs w:val="16"/>
                <w:lang w:val="en-GB"/>
              </w:rPr>
              <w:t> </w:t>
            </w:r>
            <w:r>
              <w:rPr>
                <w:noProof/>
                <w:sz w:val="16"/>
                <w:szCs w:val="16"/>
                <w:lang w:val="en-GB"/>
              </w:rPr>
              <w:t>/ European Fisheries Fund / European Maritime and Fisheries Fund</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b/>
                <w:bCs/>
                <w:noProof/>
                <w:sz w:val="16"/>
                <w:szCs w:val="16"/>
              </w:rPr>
              <w:t>859</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0</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0</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1</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0.1%</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0</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0</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1</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0.1%</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TextLEFTalligned-BLACK"/>
              <w:spacing w:before="40" w:after="40"/>
              <w:ind w:left="142"/>
              <w:rPr>
                <w:noProof/>
                <w:spacing w:val="-1"/>
                <w:sz w:val="16"/>
                <w:szCs w:val="16"/>
                <w:lang w:val="en-GB"/>
              </w:rPr>
            </w:pPr>
            <w:r>
              <w:rPr>
                <w:noProof/>
                <w:spacing w:val="-1"/>
                <w:sz w:val="16"/>
                <w:szCs w:val="16"/>
                <w:lang w:val="en-GB"/>
              </w:rPr>
              <w:t xml:space="preserve">European Agricultural Guidance and Guarantee Fund </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b/>
                <w:bCs/>
                <w:noProof/>
                <w:sz w:val="16"/>
                <w:szCs w:val="16"/>
              </w:rPr>
              <w:t>—</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(72)</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0</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(72)</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n/a</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(72)</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0</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(72)</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n/a</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TextLEFTalligned-BLACK"/>
              <w:spacing w:before="40" w:after="40"/>
              <w:ind w:left="142"/>
              <w:rPr>
                <w:noProof/>
                <w:sz w:val="16"/>
                <w:szCs w:val="16"/>
              </w:rPr>
            </w:pPr>
            <w:r>
              <w:rPr>
                <w:noProof/>
                <w:sz w:val="16"/>
                <w:szCs w:val="16"/>
              </w:rPr>
              <w:t>Internal policies</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b/>
                <w:bCs/>
                <w:noProof/>
                <w:sz w:val="16"/>
                <w:szCs w:val="16"/>
              </w:rPr>
              <w:t>564</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n/a</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14</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14</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2.5%</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n/a</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13</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13</w:t>
            </w:r>
          </w:p>
        </w:tc>
        <w:tc>
          <w:tcPr>
            <w:tcW w:w="1134" w:type="dxa"/>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2.3%</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hideMark/>
          </w:tcPr>
          <w:p w:rsidR="00311BB8" w:rsidRDefault="00D91061">
            <w:pPr>
              <w:pStyle w:val="AMPRTABLEA-TextLEFTalligned-BLACK"/>
              <w:spacing w:before="40" w:after="40"/>
              <w:rPr>
                <w:b/>
                <w:bCs/>
                <w:noProof/>
                <w:sz w:val="16"/>
                <w:szCs w:val="16"/>
              </w:rPr>
            </w:pPr>
            <w:r>
              <w:rPr>
                <w:b/>
                <w:bCs/>
                <w:noProof/>
                <w:sz w:val="16"/>
                <w:szCs w:val="16"/>
              </w:rPr>
              <w:t xml:space="preserve">Security and citizenship </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3</w:t>
            </w:r>
            <w:r>
              <w:rPr>
                <w:rFonts w:ascii="Calibri" w:eastAsia="EC Square Sans Pro" w:hAnsi="Calibri" w:cs="Calibri"/>
                <w:b/>
                <w:bCs/>
                <w:noProof/>
                <w:sz w:val="16"/>
                <w:szCs w:val="16"/>
              </w:rPr>
              <w:t> </w:t>
            </w:r>
            <w:r>
              <w:rPr>
                <w:rFonts w:eastAsia="EC Square Sans Pro"/>
                <w:b/>
                <w:bCs/>
                <w:noProof/>
                <w:sz w:val="16"/>
                <w:szCs w:val="16"/>
              </w:rPr>
              <w:t>256</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13</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20</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33</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Calibri"/>
                <w:b/>
                <w:i/>
                <w:noProof/>
                <w:sz w:val="16"/>
                <w:szCs w:val="16"/>
              </w:rPr>
            </w:pPr>
            <w:r>
              <w:rPr>
                <w:rFonts w:eastAsia="EC Square Sans Pro"/>
                <w:b/>
                <w:bCs/>
                <w:i/>
                <w:iCs/>
                <w:noProof/>
                <w:sz w:val="16"/>
                <w:szCs w:val="16"/>
              </w:rPr>
              <w:t>1.0%</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13</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22</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35</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Calibri"/>
                <w:b/>
                <w:i/>
                <w:noProof/>
                <w:sz w:val="16"/>
                <w:szCs w:val="16"/>
              </w:rPr>
            </w:pPr>
            <w:r>
              <w:rPr>
                <w:rFonts w:eastAsia="EC Square Sans Pro"/>
                <w:b/>
                <w:bCs/>
                <w:i/>
                <w:iCs/>
                <w:noProof/>
                <w:sz w:val="16"/>
                <w:szCs w:val="16"/>
              </w:rPr>
              <w:t>1.1%</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TextLEFTalligned-BLACK"/>
              <w:spacing w:before="40" w:after="40"/>
              <w:ind w:left="142"/>
              <w:rPr>
                <w:noProof/>
                <w:spacing w:val="-1"/>
                <w:sz w:val="16"/>
                <w:szCs w:val="16"/>
              </w:rPr>
            </w:pPr>
            <w:r>
              <w:rPr>
                <w:noProof/>
                <w:spacing w:val="-1"/>
                <w:sz w:val="16"/>
                <w:szCs w:val="16"/>
              </w:rPr>
              <w:t>Migration and home affairs</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800</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13</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13</w:t>
            </w:r>
          </w:p>
        </w:tc>
        <w:tc>
          <w:tcPr>
            <w:tcW w:w="1134" w:type="dxa"/>
            <w:noWrap/>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1.6%</w:t>
            </w:r>
          </w:p>
        </w:tc>
        <w:tc>
          <w:tcPr>
            <w:tcW w:w="1134" w:type="dxa"/>
            <w:noWrap/>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13</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13</w:t>
            </w:r>
          </w:p>
        </w:tc>
        <w:tc>
          <w:tcPr>
            <w:tcW w:w="1134" w:type="dxa"/>
            <w:noWrap/>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1.6%</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TextLEFTalligned-BLACK"/>
              <w:spacing w:before="40" w:after="40"/>
              <w:ind w:left="142"/>
              <w:rPr>
                <w:noProof/>
                <w:sz w:val="16"/>
                <w:szCs w:val="16"/>
              </w:rPr>
            </w:pPr>
            <w:r>
              <w:rPr>
                <w:noProof/>
                <w:sz w:val="16"/>
                <w:szCs w:val="16"/>
              </w:rPr>
              <w:t>Internal policies</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2</w:t>
            </w:r>
            <w:r>
              <w:rPr>
                <w:rFonts w:ascii="Calibri" w:eastAsia="EC Square Sans Pro" w:hAnsi="Calibri" w:cs="Calibri"/>
                <w:b/>
                <w:bCs/>
                <w:noProof/>
                <w:sz w:val="16"/>
                <w:szCs w:val="16"/>
              </w:rPr>
              <w:t> </w:t>
            </w:r>
            <w:r>
              <w:rPr>
                <w:rFonts w:eastAsia="EC Square Sans Pro"/>
                <w:b/>
                <w:bCs/>
                <w:noProof/>
                <w:sz w:val="16"/>
                <w:szCs w:val="16"/>
              </w:rPr>
              <w:t>456</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n/a</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20</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20</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0.8%</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n/a</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22</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22</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0.9%</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TextLEFTalligned-BLACK"/>
              <w:spacing w:before="40" w:after="40"/>
              <w:rPr>
                <w:b/>
                <w:bCs/>
                <w:noProof/>
                <w:sz w:val="16"/>
                <w:szCs w:val="16"/>
              </w:rPr>
            </w:pPr>
            <w:r>
              <w:rPr>
                <w:b/>
                <w:bCs/>
                <w:noProof/>
                <w:sz w:val="16"/>
                <w:szCs w:val="16"/>
              </w:rPr>
              <w:t xml:space="preserve">Global Europe </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10</w:t>
            </w:r>
            <w:r>
              <w:rPr>
                <w:rFonts w:ascii="Calibri" w:eastAsia="EC Square Sans Pro" w:hAnsi="Calibri" w:cs="Calibri"/>
                <w:b/>
                <w:bCs/>
                <w:noProof/>
                <w:sz w:val="16"/>
                <w:szCs w:val="16"/>
              </w:rPr>
              <w:t> </w:t>
            </w:r>
            <w:r>
              <w:rPr>
                <w:rFonts w:eastAsia="EC Square Sans Pro"/>
                <w:b/>
                <w:bCs/>
                <w:noProof/>
                <w:sz w:val="16"/>
                <w:szCs w:val="16"/>
              </w:rPr>
              <w:t>108</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n/a</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217</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217</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Calibri"/>
                <w:b/>
                <w:i/>
                <w:noProof/>
                <w:sz w:val="16"/>
                <w:szCs w:val="16"/>
              </w:rPr>
            </w:pPr>
            <w:r>
              <w:rPr>
                <w:rFonts w:eastAsia="EC Square Sans Pro"/>
                <w:b/>
                <w:bCs/>
                <w:i/>
                <w:iCs/>
                <w:noProof/>
                <w:sz w:val="16"/>
                <w:szCs w:val="16"/>
              </w:rPr>
              <w:t>2.1%</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n/a</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218</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218</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Calibri"/>
                <w:b/>
                <w:i/>
                <w:noProof/>
                <w:sz w:val="16"/>
                <w:szCs w:val="16"/>
              </w:rPr>
            </w:pPr>
            <w:r>
              <w:rPr>
                <w:rFonts w:eastAsia="EC Square Sans Pro"/>
                <w:b/>
                <w:bCs/>
                <w:i/>
                <w:iCs/>
                <w:noProof/>
                <w:sz w:val="16"/>
                <w:szCs w:val="16"/>
              </w:rPr>
              <w:t>2.2%</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TextLEFTalligned-BLACK"/>
              <w:spacing w:before="40" w:after="40"/>
              <w:ind w:left="142"/>
              <w:rPr>
                <w:noProof/>
                <w:sz w:val="16"/>
                <w:szCs w:val="16"/>
              </w:rPr>
            </w:pPr>
            <w:r>
              <w:rPr>
                <w:noProof/>
                <w:sz w:val="16"/>
                <w:szCs w:val="16"/>
              </w:rPr>
              <w:t>External policies</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10</w:t>
            </w:r>
            <w:r>
              <w:rPr>
                <w:rFonts w:ascii="Calibri" w:eastAsia="EC Square Sans Pro" w:hAnsi="Calibri" w:cs="Calibri"/>
                <w:b/>
                <w:bCs/>
                <w:noProof/>
                <w:sz w:val="16"/>
                <w:szCs w:val="16"/>
              </w:rPr>
              <w:t> </w:t>
            </w:r>
            <w:r>
              <w:rPr>
                <w:rFonts w:eastAsia="EC Square Sans Pro"/>
                <w:b/>
                <w:bCs/>
                <w:noProof/>
                <w:sz w:val="16"/>
                <w:szCs w:val="16"/>
              </w:rPr>
              <w:t>108</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n/a</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217</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217</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Calibri"/>
                <w:i/>
                <w:noProof/>
                <w:sz w:val="16"/>
                <w:szCs w:val="16"/>
              </w:rPr>
            </w:pPr>
            <w:r>
              <w:rPr>
                <w:rFonts w:eastAsia="EC Square Sans Pro"/>
                <w:i/>
                <w:iCs/>
                <w:noProof/>
                <w:sz w:val="16"/>
                <w:szCs w:val="16"/>
              </w:rPr>
              <w:t>2.1%</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n/a</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218</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218</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Calibri"/>
                <w:i/>
                <w:noProof/>
                <w:sz w:val="16"/>
                <w:szCs w:val="16"/>
              </w:rPr>
            </w:pPr>
            <w:r>
              <w:rPr>
                <w:rFonts w:eastAsia="EC Square Sans Pro"/>
                <w:i/>
                <w:iCs/>
                <w:noProof/>
                <w:sz w:val="16"/>
                <w:szCs w:val="16"/>
              </w:rPr>
              <w:t>2.2%</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TextLEFTalligned-BLACK"/>
              <w:spacing w:before="40" w:after="40"/>
              <w:rPr>
                <w:b/>
                <w:bCs/>
                <w:noProof/>
                <w:sz w:val="16"/>
                <w:szCs w:val="16"/>
              </w:rPr>
            </w:pPr>
            <w:r>
              <w:rPr>
                <w:b/>
                <w:bCs/>
                <w:noProof/>
                <w:sz w:val="16"/>
                <w:szCs w:val="16"/>
              </w:rPr>
              <w:t xml:space="preserve">Administration </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10</w:t>
            </w:r>
            <w:r>
              <w:rPr>
                <w:rFonts w:ascii="Calibri" w:eastAsia="EC Square Sans Pro" w:hAnsi="Calibri" w:cs="Calibri"/>
                <w:b/>
                <w:bCs/>
                <w:noProof/>
                <w:sz w:val="16"/>
                <w:szCs w:val="16"/>
              </w:rPr>
              <w:t> </w:t>
            </w:r>
            <w:r>
              <w:rPr>
                <w:rFonts w:eastAsia="EC Square Sans Pro"/>
                <w:b/>
                <w:bCs/>
                <w:noProof/>
                <w:sz w:val="16"/>
                <w:szCs w:val="16"/>
              </w:rPr>
              <w:t>381</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n/a</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4</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4</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Calibri"/>
                <w:b/>
                <w:i/>
                <w:noProof/>
                <w:sz w:val="16"/>
                <w:szCs w:val="16"/>
              </w:rPr>
            </w:pPr>
            <w:r>
              <w:rPr>
                <w:rFonts w:eastAsia="EC Square Sans Pro"/>
                <w:b/>
                <w:bCs/>
                <w:i/>
                <w:iCs/>
                <w:noProof/>
                <w:sz w:val="16"/>
                <w:szCs w:val="16"/>
              </w:rPr>
              <w:t>0.0%</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n/a</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4</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noProof/>
                <w:sz w:val="16"/>
                <w:szCs w:val="16"/>
              </w:rPr>
              <w:t>4</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Calibri"/>
                <w:b/>
                <w:i/>
                <w:noProof/>
                <w:sz w:val="16"/>
                <w:szCs w:val="16"/>
              </w:rPr>
            </w:pPr>
            <w:r>
              <w:rPr>
                <w:rFonts w:eastAsia="EC Square Sans Pro"/>
                <w:b/>
                <w:bCs/>
                <w:i/>
                <w:iCs/>
                <w:noProof/>
                <w:sz w:val="16"/>
                <w:szCs w:val="16"/>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TextLEFTalligned-BLACK"/>
              <w:spacing w:before="40" w:after="40"/>
              <w:ind w:left="142"/>
              <w:rPr>
                <w:noProof/>
                <w:sz w:val="16"/>
                <w:szCs w:val="16"/>
              </w:rPr>
            </w:pPr>
            <w:r>
              <w:rPr>
                <w:noProof/>
                <w:sz w:val="16"/>
                <w:szCs w:val="16"/>
              </w:rPr>
              <w:t>Administration</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10</w:t>
            </w:r>
            <w:r>
              <w:rPr>
                <w:rFonts w:ascii="Calibri" w:eastAsia="EC Square Sans Pro" w:hAnsi="Calibri" w:cs="Calibri"/>
                <w:b/>
                <w:bCs/>
                <w:noProof/>
                <w:sz w:val="16"/>
                <w:szCs w:val="16"/>
              </w:rPr>
              <w:t> </w:t>
            </w:r>
            <w:r>
              <w:rPr>
                <w:rFonts w:eastAsia="EC Square Sans Pro"/>
                <w:b/>
                <w:bCs/>
                <w:noProof/>
                <w:sz w:val="16"/>
                <w:szCs w:val="16"/>
              </w:rPr>
              <w:t>381</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n/a</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4</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4</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Calibri"/>
                <w:i/>
                <w:noProof/>
                <w:sz w:val="16"/>
                <w:szCs w:val="16"/>
              </w:rPr>
            </w:pPr>
            <w:r>
              <w:rPr>
                <w:rFonts w:eastAsia="EC Square Sans Pro"/>
                <w:i/>
                <w:iCs/>
                <w:noProof/>
                <w:sz w:val="16"/>
                <w:szCs w:val="16"/>
              </w:rPr>
              <w:t>0.0%</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n/a</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4</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4</w:t>
            </w:r>
          </w:p>
        </w:tc>
        <w:tc>
          <w:tcPr>
            <w:tcW w:w="1134" w:type="dxa"/>
            <w:hideMark/>
          </w:tcPr>
          <w:p w:rsidR="00311BB8" w:rsidRDefault="00D91061">
            <w:pPr>
              <w:pStyle w:val="AMPRTABLEA-TextRIGHTalligned-BLACK"/>
              <w:spacing w:before="40" w:after="40"/>
              <w:cnfStyle w:val="000000000000" w:firstRow="0" w:lastRow="0" w:firstColumn="0" w:lastColumn="0" w:oddVBand="0" w:evenVBand="0" w:oddHBand="0" w:evenHBand="0" w:firstRowFirstColumn="0" w:firstRowLastColumn="0" w:lastRowFirstColumn="0" w:lastRowLastColumn="0"/>
              <w:rPr>
                <w:rFonts w:eastAsia="Calibri"/>
                <w:i/>
                <w:noProof/>
                <w:sz w:val="16"/>
                <w:szCs w:val="16"/>
              </w:rPr>
            </w:pPr>
            <w:r>
              <w:rPr>
                <w:rFonts w:eastAsia="EC Square Sans Pro"/>
                <w:i/>
                <w:iCs/>
                <w:noProof/>
                <w:sz w:val="16"/>
                <w:szCs w:val="16"/>
              </w:rPr>
              <w:t>0.0%</w:t>
            </w:r>
          </w:p>
        </w:tc>
      </w:tr>
      <w:tr w:rsidR="00311BB8" w:rsidTr="00311B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noWrap/>
            <w:hideMark/>
          </w:tcPr>
          <w:p w:rsidR="00311BB8" w:rsidRDefault="00D91061">
            <w:pPr>
              <w:pStyle w:val="AMPRTABLEA-TOTALLEFTalligned-BLACK"/>
              <w:spacing w:before="40" w:after="40"/>
              <w:rPr>
                <w:rFonts w:eastAsia="EC Square Sans Pro"/>
                <w:noProof/>
                <w:sz w:val="16"/>
                <w:szCs w:val="16"/>
              </w:rPr>
            </w:pPr>
            <w:r>
              <w:rPr>
                <w:rFonts w:eastAsia="EC Square Sans Pro"/>
                <w:noProof/>
                <w:sz w:val="16"/>
                <w:szCs w:val="16"/>
              </w:rPr>
              <w:t>Total</w:t>
            </w:r>
          </w:p>
        </w:tc>
        <w:tc>
          <w:tcPr>
            <w:tcW w:w="1134" w:type="dxa"/>
            <w:noWrap/>
            <w:hideMark/>
          </w:tcPr>
          <w:p w:rsidR="00311BB8" w:rsidRDefault="00D91061">
            <w:pPr>
              <w:pStyle w:val="AMPRTABLEA-TOTALRIGHTalligned-BLACK"/>
              <w:spacing w:before="40" w:after="40"/>
              <w:cnfStyle w:val="010000000000" w:firstRow="0" w:lastRow="1" w:firstColumn="0" w:lastColumn="0" w:oddVBand="0" w:evenVBand="0" w:oddHBand="0" w:evenHBand="0" w:firstRowFirstColumn="0" w:firstRowLastColumn="0" w:lastRowFirstColumn="0" w:lastRowLastColumn="0"/>
              <w:rPr>
                <w:i/>
                <w:noProof/>
                <w:sz w:val="16"/>
                <w:szCs w:val="16"/>
              </w:rPr>
            </w:pPr>
            <w:r>
              <w:rPr>
                <w:noProof/>
                <w:sz w:val="16"/>
                <w:szCs w:val="16"/>
              </w:rPr>
              <w:t>158</w:t>
            </w:r>
            <w:r>
              <w:rPr>
                <w:rFonts w:ascii="Calibri" w:hAnsi="Calibri" w:cs="Calibri"/>
                <w:noProof/>
                <w:sz w:val="16"/>
                <w:szCs w:val="16"/>
              </w:rPr>
              <w:t> </w:t>
            </w:r>
            <w:r>
              <w:rPr>
                <w:noProof/>
                <w:sz w:val="16"/>
                <w:szCs w:val="16"/>
              </w:rPr>
              <w:t>801</w:t>
            </w:r>
            <w:r>
              <w:rPr>
                <w:rFonts w:ascii="Calibri" w:hAnsi="Calibri" w:cs="Calibri"/>
                <w:b w:val="0"/>
                <w:noProof/>
                <w:sz w:val="16"/>
                <w:szCs w:val="16"/>
              </w:rPr>
              <w:t> (</w:t>
            </w:r>
            <w:r>
              <w:rPr>
                <w:b w:val="0"/>
                <w:noProof/>
                <w:sz w:val="16"/>
                <w:szCs w:val="16"/>
              </w:rPr>
              <w:t>*)</w:t>
            </w:r>
          </w:p>
        </w:tc>
        <w:tc>
          <w:tcPr>
            <w:tcW w:w="1134" w:type="dxa"/>
            <w:noWrap/>
            <w:hideMark/>
          </w:tcPr>
          <w:p w:rsidR="00311BB8" w:rsidRDefault="00D91061">
            <w:pPr>
              <w:pStyle w:val="AMPRTABLEA-TOTALRIGHTalligned-BLACK"/>
              <w:spacing w:before="40" w:after="40"/>
              <w:cnfStyle w:val="010000000000" w:firstRow="0" w:lastRow="1" w:firstColumn="0" w:lastColumn="0" w:oddVBand="0" w:evenVBand="0" w:oddHBand="0" w:evenHBand="0" w:firstRowFirstColumn="0" w:firstRowLastColumn="0" w:lastRowFirstColumn="0" w:lastRowLastColumn="0"/>
              <w:rPr>
                <w:i/>
                <w:noProof/>
                <w:sz w:val="16"/>
                <w:szCs w:val="16"/>
              </w:rPr>
            </w:pPr>
            <w:r>
              <w:rPr>
                <w:noProof/>
                <w:sz w:val="16"/>
                <w:szCs w:val="16"/>
              </w:rPr>
              <w:t>1</w:t>
            </w:r>
            <w:r>
              <w:rPr>
                <w:rFonts w:ascii="Calibri" w:hAnsi="Calibri" w:cs="Calibri"/>
                <w:noProof/>
                <w:sz w:val="16"/>
                <w:szCs w:val="16"/>
              </w:rPr>
              <w:t> </w:t>
            </w:r>
            <w:r>
              <w:rPr>
                <w:noProof/>
                <w:sz w:val="16"/>
                <w:szCs w:val="16"/>
              </w:rPr>
              <w:t>074</w:t>
            </w:r>
          </w:p>
        </w:tc>
        <w:tc>
          <w:tcPr>
            <w:tcW w:w="1134" w:type="dxa"/>
            <w:noWrap/>
            <w:hideMark/>
          </w:tcPr>
          <w:p w:rsidR="00311BB8" w:rsidRDefault="00D91061">
            <w:pPr>
              <w:pStyle w:val="AMPRTABLEA-TOTALRIGHTalligned-BLACK"/>
              <w:spacing w:before="40" w:after="40"/>
              <w:cnfStyle w:val="010000000000" w:firstRow="0" w:lastRow="1" w:firstColumn="0" w:lastColumn="0" w:oddVBand="0" w:evenVBand="0" w:oddHBand="0" w:evenHBand="0" w:firstRowFirstColumn="0" w:firstRowLastColumn="0" w:lastRowFirstColumn="0" w:lastRowLastColumn="0"/>
              <w:rPr>
                <w:i/>
                <w:noProof/>
                <w:sz w:val="16"/>
                <w:szCs w:val="16"/>
              </w:rPr>
            </w:pPr>
            <w:r>
              <w:rPr>
                <w:noProof/>
                <w:sz w:val="16"/>
                <w:szCs w:val="16"/>
              </w:rPr>
              <w:t>868</w:t>
            </w:r>
          </w:p>
        </w:tc>
        <w:tc>
          <w:tcPr>
            <w:tcW w:w="1134" w:type="dxa"/>
            <w:noWrap/>
            <w:hideMark/>
          </w:tcPr>
          <w:p w:rsidR="00311BB8" w:rsidRDefault="00D91061">
            <w:pPr>
              <w:pStyle w:val="AMPRTABLEA-TOTALRIGHTalligned-BLACK"/>
              <w:spacing w:before="40" w:after="40"/>
              <w:cnfStyle w:val="010000000000" w:firstRow="0" w:lastRow="1" w:firstColumn="0" w:lastColumn="0" w:oddVBand="0" w:evenVBand="0" w:oddHBand="0" w:evenHBand="0" w:firstRowFirstColumn="0" w:firstRowLastColumn="0" w:lastRowFirstColumn="0" w:lastRowLastColumn="0"/>
              <w:rPr>
                <w:i/>
                <w:noProof/>
                <w:sz w:val="16"/>
                <w:szCs w:val="16"/>
              </w:rPr>
            </w:pPr>
            <w:r>
              <w:rPr>
                <w:noProof/>
                <w:sz w:val="16"/>
                <w:szCs w:val="16"/>
              </w:rPr>
              <w:t>1</w:t>
            </w:r>
            <w:r>
              <w:rPr>
                <w:rFonts w:ascii="Calibri" w:hAnsi="Calibri" w:cs="Calibri"/>
                <w:noProof/>
                <w:sz w:val="16"/>
                <w:szCs w:val="16"/>
              </w:rPr>
              <w:t> </w:t>
            </w:r>
            <w:r>
              <w:rPr>
                <w:noProof/>
                <w:sz w:val="16"/>
                <w:szCs w:val="16"/>
              </w:rPr>
              <w:t>942</w:t>
            </w:r>
          </w:p>
        </w:tc>
        <w:tc>
          <w:tcPr>
            <w:tcW w:w="1134" w:type="dxa"/>
            <w:noWrap/>
            <w:hideMark/>
          </w:tcPr>
          <w:p w:rsidR="00311BB8" w:rsidRDefault="00D91061">
            <w:pPr>
              <w:pStyle w:val="AMPRTABLEA-TOTALRIGHTalligned-BLACK"/>
              <w:spacing w:before="40" w:after="40"/>
              <w:cnfStyle w:val="010000000000" w:firstRow="0" w:lastRow="1" w:firstColumn="0" w:lastColumn="0" w:oddVBand="0" w:evenVBand="0" w:oddHBand="0" w:evenHBand="0" w:firstRowFirstColumn="0" w:firstRowLastColumn="0" w:lastRowFirstColumn="0" w:lastRowLastColumn="0"/>
              <w:rPr>
                <w:rFonts w:eastAsia="Calibri"/>
                <w:i/>
                <w:noProof/>
                <w:sz w:val="16"/>
                <w:szCs w:val="16"/>
              </w:rPr>
            </w:pPr>
            <w:r>
              <w:rPr>
                <w:i/>
                <w:iCs/>
                <w:noProof/>
                <w:sz w:val="16"/>
                <w:szCs w:val="16"/>
              </w:rPr>
              <w:t>1.2%</w:t>
            </w:r>
          </w:p>
        </w:tc>
        <w:tc>
          <w:tcPr>
            <w:tcW w:w="1134" w:type="dxa"/>
            <w:noWrap/>
            <w:hideMark/>
          </w:tcPr>
          <w:p w:rsidR="00311BB8" w:rsidRDefault="00D91061">
            <w:pPr>
              <w:pStyle w:val="AMPRTABLEA-TOTALRIGHTalligned-BLACK"/>
              <w:spacing w:before="40" w:after="40"/>
              <w:cnfStyle w:val="010000000000" w:firstRow="0" w:lastRow="1" w:firstColumn="0" w:lastColumn="0" w:oddVBand="0" w:evenVBand="0" w:oddHBand="0" w:evenHBand="0" w:firstRowFirstColumn="0" w:firstRowLastColumn="0" w:lastRowFirstColumn="0" w:lastRowLastColumn="0"/>
              <w:rPr>
                <w:i/>
                <w:noProof/>
                <w:sz w:val="16"/>
                <w:szCs w:val="16"/>
              </w:rPr>
            </w:pPr>
            <w:r>
              <w:rPr>
                <w:noProof/>
                <w:sz w:val="16"/>
                <w:szCs w:val="16"/>
              </w:rPr>
              <w:t>2</w:t>
            </w:r>
            <w:r>
              <w:rPr>
                <w:rFonts w:ascii="Calibri" w:hAnsi="Calibri" w:cs="Calibri"/>
                <w:noProof/>
                <w:sz w:val="16"/>
                <w:szCs w:val="16"/>
              </w:rPr>
              <w:t> </w:t>
            </w:r>
            <w:r>
              <w:rPr>
                <w:noProof/>
                <w:sz w:val="16"/>
                <w:szCs w:val="16"/>
              </w:rPr>
              <w:t>062</w:t>
            </w:r>
          </w:p>
        </w:tc>
        <w:tc>
          <w:tcPr>
            <w:tcW w:w="1134" w:type="dxa"/>
            <w:noWrap/>
            <w:hideMark/>
          </w:tcPr>
          <w:p w:rsidR="00311BB8" w:rsidRDefault="00D91061">
            <w:pPr>
              <w:pStyle w:val="AMPRTABLEA-TOTALRIGHTalligned-BLACK"/>
              <w:spacing w:before="40" w:after="40"/>
              <w:cnfStyle w:val="010000000000" w:firstRow="0" w:lastRow="1" w:firstColumn="0" w:lastColumn="0" w:oddVBand="0" w:evenVBand="0" w:oddHBand="0" w:evenHBand="0" w:firstRowFirstColumn="0" w:firstRowLastColumn="0" w:lastRowFirstColumn="0" w:lastRowLastColumn="0"/>
              <w:rPr>
                <w:i/>
                <w:noProof/>
                <w:sz w:val="16"/>
                <w:szCs w:val="16"/>
              </w:rPr>
            </w:pPr>
            <w:r>
              <w:rPr>
                <w:noProof/>
                <w:sz w:val="16"/>
                <w:szCs w:val="16"/>
              </w:rPr>
              <w:t>823</w:t>
            </w:r>
          </w:p>
        </w:tc>
        <w:tc>
          <w:tcPr>
            <w:tcW w:w="1134" w:type="dxa"/>
            <w:noWrap/>
            <w:hideMark/>
          </w:tcPr>
          <w:p w:rsidR="00311BB8" w:rsidRDefault="00D91061">
            <w:pPr>
              <w:pStyle w:val="AMPRTABLEA-TOTALRIGHTalligned-BLACK"/>
              <w:spacing w:before="40" w:after="40"/>
              <w:cnfStyle w:val="010000000000" w:firstRow="0" w:lastRow="1" w:firstColumn="0" w:lastColumn="0" w:oddVBand="0" w:evenVBand="0" w:oddHBand="0" w:evenHBand="0" w:firstRowFirstColumn="0" w:firstRowLastColumn="0" w:lastRowFirstColumn="0" w:lastRowLastColumn="0"/>
              <w:rPr>
                <w:i/>
                <w:noProof/>
                <w:sz w:val="16"/>
                <w:szCs w:val="16"/>
              </w:rPr>
            </w:pPr>
            <w:r>
              <w:rPr>
                <w:noProof/>
                <w:sz w:val="16"/>
                <w:szCs w:val="16"/>
              </w:rPr>
              <w:t>2</w:t>
            </w:r>
            <w:r>
              <w:rPr>
                <w:rFonts w:ascii="Calibri" w:hAnsi="Calibri" w:cs="Calibri"/>
                <w:noProof/>
                <w:sz w:val="16"/>
                <w:szCs w:val="16"/>
              </w:rPr>
              <w:t> </w:t>
            </w:r>
            <w:r>
              <w:rPr>
                <w:noProof/>
                <w:sz w:val="16"/>
                <w:szCs w:val="16"/>
              </w:rPr>
              <w:t>885</w:t>
            </w:r>
          </w:p>
        </w:tc>
        <w:tc>
          <w:tcPr>
            <w:tcW w:w="1134" w:type="dxa"/>
            <w:noWrap/>
            <w:hideMark/>
          </w:tcPr>
          <w:p w:rsidR="00311BB8" w:rsidRDefault="00D91061">
            <w:pPr>
              <w:pStyle w:val="AMPRTABLEA-TOTALRIGHTalligned-BLACK"/>
              <w:spacing w:before="40" w:after="40"/>
              <w:cnfStyle w:val="010000000000" w:firstRow="0" w:lastRow="1" w:firstColumn="0" w:lastColumn="0" w:oddVBand="0" w:evenVBand="0" w:oddHBand="0" w:evenHBand="0" w:firstRowFirstColumn="0" w:firstRowLastColumn="0" w:lastRowFirstColumn="0" w:lastRowLastColumn="0"/>
              <w:rPr>
                <w:rFonts w:eastAsia="Calibri"/>
                <w:i/>
                <w:noProof/>
                <w:sz w:val="16"/>
                <w:szCs w:val="16"/>
              </w:rPr>
            </w:pPr>
            <w:r>
              <w:rPr>
                <w:i/>
                <w:iCs/>
                <w:noProof/>
                <w:sz w:val="16"/>
                <w:szCs w:val="16"/>
              </w:rPr>
              <w:t>1.8%</w:t>
            </w:r>
          </w:p>
        </w:tc>
      </w:tr>
    </w:tbl>
    <w:p w:rsidR="00311BB8" w:rsidRDefault="00D91061">
      <w:pPr>
        <w:pStyle w:val="AMPRChart-Tabletitle"/>
        <w:rPr>
          <w:noProof/>
        </w:rPr>
      </w:pPr>
      <w:r>
        <w:rPr>
          <w:noProof/>
        </w:rPr>
        <w:t>Overview of financial corrections and recoveries for 2019</w:t>
      </w:r>
    </w:p>
    <w:p w:rsidR="00311BB8" w:rsidRDefault="00D91061">
      <w:pPr>
        <w:pStyle w:val="AMPRSource-Table-Chart-Photo-Caption"/>
        <w:rPr>
          <w:noProof/>
        </w:rPr>
      </w:pPr>
      <w:r>
        <w:rPr>
          <w:noProof/>
        </w:rPr>
        <w:t>NB: Due to the rounding of figures to the nearest million EUR, some financial data in the table above may appear not to add up.</w:t>
      </w:r>
    </w:p>
    <w:p w:rsidR="00311BB8" w:rsidRDefault="00D91061">
      <w:pPr>
        <w:pStyle w:val="AMPRSource-Table-Chart-Photo-Caption"/>
        <w:rPr>
          <w:noProof/>
        </w:rPr>
      </w:pPr>
      <w:r>
        <w:rPr>
          <w:noProof/>
        </w:rPr>
        <w:t>(*)</w:t>
      </w:r>
      <w:r>
        <w:rPr>
          <w:rFonts w:ascii="Calibri" w:hAnsi="Calibri" w:cs="Calibri"/>
          <w:noProof/>
        </w:rPr>
        <w:t> </w:t>
      </w:r>
      <w:r>
        <w:rPr>
          <w:noProof/>
        </w:rPr>
        <w:t>Excludes EUR</w:t>
      </w:r>
      <w:r>
        <w:rPr>
          <w:rFonts w:ascii="Calibri" w:hAnsi="Calibri" w:cs="Calibri"/>
          <w:noProof/>
        </w:rPr>
        <w:t> </w:t>
      </w:r>
      <w:r>
        <w:rPr>
          <w:noProof/>
        </w:rPr>
        <w:t>295</w:t>
      </w:r>
      <w:r>
        <w:rPr>
          <w:rFonts w:ascii="Calibri" w:hAnsi="Calibri" w:cs="Calibri"/>
          <w:noProof/>
        </w:rPr>
        <w:t> </w:t>
      </w:r>
      <w:r>
        <w:rPr>
          <w:noProof/>
        </w:rPr>
        <w:t>million paid out under the ‘Special instruments’ heading.</w:t>
      </w:r>
    </w:p>
    <w:p w:rsidR="00311BB8" w:rsidRDefault="00311BB8">
      <w:pPr>
        <w:pStyle w:val="AMPRBodyText"/>
        <w:rPr>
          <w:rFonts w:eastAsia="Calibri"/>
          <w:noProof/>
          <w:sz w:val="16"/>
          <w:szCs w:val="16"/>
          <w:lang w:eastAsia="fr-BE"/>
        </w:rPr>
        <w:sectPr w:rsidR="00311BB8">
          <w:headerReference w:type="even" r:id="rId74"/>
          <w:headerReference w:type="default" r:id="rId75"/>
          <w:footerReference w:type="even" r:id="rId76"/>
          <w:footerReference w:type="default" r:id="rId77"/>
          <w:headerReference w:type="first" r:id="rId78"/>
          <w:footerReference w:type="first" r:id="rId79"/>
          <w:footnotePr>
            <w:numStart w:val="94"/>
          </w:footnotePr>
          <w:pgSz w:w="16838" w:h="11906" w:orient="landscape" w:code="9"/>
          <w:pgMar w:top="1417" w:right="1417" w:bottom="1417" w:left="1134" w:header="567" w:footer="454" w:gutter="0"/>
          <w:cols w:space="720"/>
          <w:docGrid w:linePitch="360"/>
        </w:sectPr>
      </w:pPr>
    </w:p>
    <w:p w:rsidR="00311BB8" w:rsidRDefault="00D91061">
      <w:pPr>
        <w:pStyle w:val="AMPRAnnexesTITLE5"/>
        <w:rPr>
          <w:noProof/>
        </w:rPr>
      </w:pPr>
      <w:bookmarkStart w:id="60" w:name="_Toc484626482"/>
      <w:bookmarkStart w:id="61" w:name="_Toc512866524"/>
      <w:bookmarkStart w:id="62" w:name="_Toc8386196"/>
      <w:r>
        <w:rPr>
          <w:noProof/>
        </w:rPr>
        <w:t>Agriculture and rural development</w:t>
      </w:r>
      <w:bookmarkEnd w:id="60"/>
      <w:bookmarkEnd w:id="61"/>
      <w:bookmarkEnd w:id="62"/>
    </w:p>
    <w:p w:rsidR="00311BB8" w:rsidRDefault="00D91061">
      <w:pPr>
        <w:pStyle w:val="AMPRBodyText"/>
        <w:rPr>
          <w:rFonts w:eastAsia="Calibri"/>
          <w:noProof/>
          <w:color w:val="7F7F7F"/>
          <w:lang w:eastAsia="en-GB"/>
        </w:rPr>
      </w:pPr>
      <w:r>
        <w:rPr>
          <w:rFonts w:eastAsia="Calibri"/>
          <w:noProof/>
          <w:lang w:eastAsia="fr-BE"/>
        </w:rPr>
        <w:t xml:space="preserve">The </w:t>
      </w:r>
      <w:r>
        <w:rPr>
          <w:rStyle w:val="AMPRcharBoldOrange"/>
          <w:noProof/>
        </w:rPr>
        <w:t>financial corrections</w:t>
      </w:r>
      <w:r>
        <w:rPr>
          <w:rFonts w:eastAsia="Calibri"/>
          <w:noProof/>
          <w:lang w:eastAsia="fr-BE"/>
        </w:rPr>
        <w:t xml:space="preserve"> confirmed by the Commission in 2019</w:t>
      </w:r>
      <w:r>
        <w:rPr>
          <w:rFonts w:ascii="Calibri" w:eastAsia="Calibri" w:hAnsi="Calibri" w:cs="Calibri"/>
          <w:noProof/>
          <w:color w:val="E48C32"/>
          <w:lang w:eastAsia="fr-BE"/>
        </w:rPr>
        <w:t> </w:t>
      </w:r>
      <w:r>
        <w:rPr>
          <w:rFonts w:eastAsia="Calibri"/>
          <w:noProof/>
          <w:lang w:eastAsia="fr-BE"/>
        </w:rPr>
        <w:t>(</w:t>
      </w:r>
      <w:r>
        <w:rPr>
          <w:rFonts w:eastAsia="Calibri"/>
          <w:noProof/>
          <w:vertAlign w:val="superscript"/>
          <w:lang w:eastAsia="fr-BE"/>
        </w:rPr>
        <w:footnoteReference w:id="29"/>
      </w:r>
      <w:r>
        <w:rPr>
          <w:rFonts w:eastAsia="Calibri"/>
          <w:noProof/>
          <w:lang w:eastAsia="fr-BE"/>
        </w:rPr>
        <w:t xml:space="preserve">) reflect </w:t>
      </w:r>
      <w:r>
        <w:rPr>
          <w:noProof/>
        </w:rPr>
        <w:t>the improvements observed over recent years in the management and control systems of the Member States, also confirmed by the constantly decreasing level of error in the expenditure. The conformity clearance processes have been accelerated and corrections for past cases applied</w:t>
      </w:r>
      <w:r>
        <w:rPr>
          <w:rFonts w:ascii="Calibri" w:hAnsi="Calibri" w:cs="Calibri"/>
          <w:noProof/>
        </w:rPr>
        <w:t> </w:t>
      </w:r>
      <w:r>
        <w:rPr>
          <w:noProof/>
        </w:rPr>
        <w:t>(</w:t>
      </w:r>
      <w:r>
        <w:rPr>
          <w:noProof/>
          <w:vertAlign w:val="superscript"/>
        </w:rPr>
        <w:footnoteReference w:id="30"/>
      </w:r>
      <w:r>
        <w:rPr>
          <w:noProof/>
        </w:rPr>
        <w:t>) and hence the level of financial corrections is stabilising.</w:t>
      </w:r>
      <w:r>
        <w:rPr>
          <w:rFonts w:eastAsia="Calibri"/>
          <w:noProof/>
          <w:lang w:eastAsia="fr-BE"/>
        </w:rPr>
        <w:t xml:space="preserve"> As regards correcting irregularities committed by beneficiaries, Member States must record and report on the </w:t>
      </w:r>
      <w:r>
        <w:rPr>
          <w:rStyle w:val="AMPRcharBoldOrange"/>
          <w:noProof/>
        </w:rPr>
        <w:t>recovery</w:t>
      </w:r>
      <w:r>
        <w:rPr>
          <w:rFonts w:ascii="Calibri" w:eastAsia="Calibri" w:hAnsi="Calibri" w:cs="Calibri"/>
          <w:noProof/>
          <w:color w:val="E48C32"/>
          <w:lang w:eastAsia="fr-BE"/>
        </w:rPr>
        <w:t> </w:t>
      </w:r>
      <w:r>
        <w:rPr>
          <w:rFonts w:eastAsia="Calibri"/>
          <w:noProof/>
          <w:lang w:eastAsia="fr-BE"/>
        </w:rPr>
        <w:t>(</w:t>
      </w:r>
      <w:r>
        <w:rPr>
          <w:rFonts w:eastAsia="Calibri"/>
          <w:noProof/>
          <w:vertAlign w:val="superscript"/>
          <w:lang w:eastAsia="fr-BE"/>
        </w:rPr>
        <w:footnoteReference w:id="31"/>
      </w:r>
      <w:r>
        <w:rPr>
          <w:rFonts w:eastAsia="Calibri"/>
          <w:noProof/>
          <w:lang w:eastAsia="fr-BE"/>
        </w:rPr>
        <w:t>)</w:t>
      </w:r>
      <w:r>
        <w:rPr>
          <w:rFonts w:eastAsia="Calibri"/>
          <w:noProof/>
          <w:color w:val="7F7F7F"/>
          <w:sz w:val="19"/>
          <w:szCs w:val="19"/>
          <w:lang w:eastAsia="en-GB"/>
        </w:rPr>
        <w:t xml:space="preserve"> </w:t>
      </w:r>
      <w:r>
        <w:rPr>
          <w:rFonts w:eastAsia="Calibri"/>
          <w:noProof/>
          <w:lang w:eastAsia="fr-BE"/>
        </w:rPr>
        <w:t>of amounts unduly spent, as part of the annual financial clearance. Recovering irregular payments directly from the final beneficiaries is the sole responsibility of the Member States.</w:t>
      </w:r>
    </w:p>
    <w:p w:rsidR="00311BB8" w:rsidRDefault="00D91061">
      <w:pPr>
        <w:pStyle w:val="AMPRAnnexesTITLE5"/>
        <w:rPr>
          <w:noProof/>
        </w:rPr>
      </w:pPr>
      <w:bookmarkStart w:id="63" w:name="_Toc484626483"/>
      <w:bookmarkStart w:id="64" w:name="_Toc8386197"/>
      <w:r>
        <w:rPr>
          <w:noProof/>
        </w:rPr>
        <w:t>Cohesion</w:t>
      </w:r>
      <w:bookmarkEnd w:id="63"/>
      <w:bookmarkEnd w:id="64"/>
      <w:r>
        <w:rPr>
          <w:noProof/>
        </w:rPr>
        <w:t xml:space="preserve"> </w:t>
      </w:r>
    </w:p>
    <w:p w:rsidR="00311BB8" w:rsidRDefault="00D91061">
      <w:pPr>
        <w:pStyle w:val="AMPRAnnexesTITLE6"/>
        <w:rPr>
          <w:noProof/>
        </w:rPr>
      </w:pPr>
      <w:r>
        <w:rPr>
          <w:noProof/>
        </w:rPr>
        <w:t>2007-2013 programming period</w:t>
      </w:r>
    </w:p>
    <w:p w:rsidR="00311BB8" w:rsidRDefault="00D91061">
      <w:pPr>
        <w:pStyle w:val="AMPRBodyText"/>
        <w:rPr>
          <w:noProof/>
          <w:lang w:eastAsia="fr-BE"/>
        </w:rPr>
      </w:pPr>
      <w:r>
        <w:rPr>
          <w:noProof/>
          <w:lang w:eastAsia="fr-BE"/>
        </w:rPr>
        <w:t xml:space="preserve">For the </w:t>
      </w:r>
      <w:r>
        <w:rPr>
          <w:rStyle w:val="AMPRcharBoldOrange"/>
          <w:noProof/>
        </w:rPr>
        <w:t>European Regional Development Fund</w:t>
      </w:r>
      <w:r>
        <w:rPr>
          <w:rStyle w:val="AMPRcharBoldOrange"/>
          <w:rFonts w:ascii="Calibri" w:hAnsi="Calibri" w:cs="Calibri"/>
          <w:noProof/>
        </w:rPr>
        <w:t> </w:t>
      </w:r>
      <w:r>
        <w:rPr>
          <w:rStyle w:val="AMPRcharBoldOrange"/>
          <w:noProof/>
        </w:rPr>
        <w:t>/ Cohesion Fund</w:t>
      </w:r>
      <w:r>
        <w:rPr>
          <w:noProof/>
          <w:lang w:eastAsia="fr-BE"/>
        </w:rPr>
        <w:t xml:space="preserve"> in 2019, EUR</w:t>
      </w:r>
      <w:r>
        <w:rPr>
          <w:rFonts w:ascii="Calibri" w:eastAsia="Arial" w:hAnsi="Calibri" w:cs="Calibri"/>
          <w:noProof/>
          <w:lang w:bidi="en-US"/>
        </w:rPr>
        <w:t> </w:t>
      </w:r>
      <w:r>
        <w:rPr>
          <w:noProof/>
          <w:lang w:eastAsia="fr-BE"/>
        </w:rPr>
        <w:t>514.2</w:t>
      </w:r>
      <w:r>
        <w:rPr>
          <w:rFonts w:ascii="Calibri" w:eastAsia="Arial" w:hAnsi="Calibri" w:cs="Calibri"/>
          <w:b/>
          <w:noProof/>
          <w:sz w:val="17"/>
          <w:szCs w:val="17"/>
          <w:lang w:bidi="en-US"/>
        </w:rPr>
        <w:t> </w:t>
      </w:r>
      <w:r>
        <w:rPr>
          <w:noProof/>
          <w:lang w:eastAsia="fr-BE"/>
        </w:rPr>
        <w:t>million in financial corrections was confirmed in the context of the closure of the programmes as a result of the Commission’s supervisory activities. The good progress made on closure in 2019 enabled the implementation of financial corrections amounting to EUR</w:t>
      </w:r>
      <w:r>
        <w:rPr>
          <w:rFonts w:ascii="Calibri" w:eastAsia="Arial" w:hAnsi="Calibri" w:cs="Calibri"/>
          <w:noProof/>
          <w:lang w:bidi="en-US"/>
        </w:rPr>
        <w:t> </w:t>
      </w:r>
      <w:r>
        <w:rPr>
          <w:noProof/>
          <w:lang w:eastAsia="fr-BE"/>
        </w:rPr>
        <w:t>457.5</w:t>
      </w:r>
      <w:r>
        <w:rPr>
          <w:rFonts w:ascii="Calibri" w:eastAsia="Arial" w:hAnsi="Calibri" w:cs="Calibri"/>
          <w:b/>
          <w:noProof/>
          <w:sz w:val="17"/>
          <w:szCs w:val="17"/>
          <w:lang w:bidi="en-US"/>
        </w:rPr>
        <w:t> </w:t>
      </w:r>
      <w:r>
        <w:rPr>
          <w:noProof/>
          <w:lang w:eastAsia="fr-BE"/>
        </w:rPr>
        <w:t xml:space="preserve">million. </w:t>
      </w:r>
    </w:p>
    <w:p w:rsidR="00311BB8" w:rsidRDefault="00D91061">
      <w:pPr>
        <w:pStyle w:val="AMPRBodyText"/>
        <w:rPr>
          <w:noProof/>
          <w:lang w:eastAsia="fr-BE"/>
        </w:rPr>
      </w:pPr>
      <w:r>
        <w:rPr>
          <w:noProof/>
          <w:lang w:eastAsia="fr-BE"/>
        </w:rPr>
        <w:t>As of the end of 2019, the cumulative amount of financial corrections for 2007 to 2013 confirmed by Member States as a result of the Commission’s supervisory activities is EUR</w:t>
      </w:r>
      <w:r>
        <w:rPr>
          <w:rFonts w:ascii="Calibri" w:eastAsia="Arial" w:hAnsi="Calibri" w:cs="Calibri"/>
          <w:b/>
          <w:bCs/>
          <w:noProof/>
          <w:lang w:bidi="en-US"/>
        </w:rPr>
        <w:t> </w:t>
      </w:r>
      <w:r>
        <w:rPr>
          <w:noProof/>
          <w:lang w:eastAsia="fr-BE"/>
        </w:rPr>
        <w:t>4.3</w:t>
      </w:r>
      <w:r>
        <w:rPr>
          <w:rFonts w:ascii="Calibri" w:hAnsi="Calibri" w:cs="Calibri"/>
          <w:noProof/>
          <w:lang w:eastAsia="fr-BE"/>
        </w:rPr>
        <w:t> </w:t>
      </w:r>
      <w:r>
        <w:rPr>
          <w:noProof/>
          <w:lang w:eastAsia="fr-BE"/>
        </w:rPr>
        <w:t>billion</w:t>
      </w:r>
      <w:r>
        <w:rPr>
          <w:rFonts w:ascii="Calibri" w:hAnsi="Calibri" w:cs="Calibri"/>
          <w:noProof/>
          <w:lang w:eastAsia="fr-BE"/>
        </w:rPr>
        <w:t> (</w:t>
      </w:r>
      <w:r>
        <w:rPr>
          <w:noProof/>
          <w:vertAlign w:val="superscript"/>
          <w:lang w:eastAsia="fr-BE"/>
        </w:rPr>
        <w:footnoteReference w:id="32"/>
      </w:r>
      <w:r>
        <w:rPr>
          <w:rFonts w:ascii="Calibri" w:hAnsi="Calibri" w:cs="Calibri"/>
          <w:noProof/>
          <w:lang w:eastAsia="fr-BE"/>
        </w:rPr>
        <w:t>),</w:t>
      </w:r>
      <w:r>
        <w:rPr>
          <w:noProof/>
          <w:lang w:eastAsia="fr-BE"/>
        </w:rPr>
        <w:t xml:space="preserve"> with an implementation rate of 98%.</w:t>
      </w:r>
    </w:p>
    <w:p w:rsidR="00311BB8" w:rsidRDefault="00D91061">
      <w:pPr>
        <w:pStyle w:val="AMPRBodyText"/>
        <w:rPr>
          <w:noProof/>
          <w:highlight w:val="lightGray"/>
        </w:rPr>
      </w:pPr>
      <w:r>
        <w:rPr>
          <w:noProof/>
        </w:rPr>
        <w:t xml:space="preserve">For the </w:t>
      </w:r>
      <w:r>
        <w:rPr>
          <w:rStyle w:val="AMPRcharBoldOrange"/>
          <w:noProof/>
        </w:rPr>
        <w:t>European Social Fund</w:t>
      </w:r>
      <w:r>
        <w:rPr>
          <w:noProof/>
        </w:rPr>
        <w:t>, 94.3 % of financial corrections confirmed in 2019 and previous years have been implemented, leaving an amount of EUR</w:t>
      </w:r>
      <w:r>
        <w:rPr>
          <w:rFonts w:ascii="Calibri" w:hAnsi="Calibri" w:cs="Calibri"/>
          <w:noProof/>
        </w:rPr>
        <w:t> </w:t>
      </w:r>
      <w:r>
        <w:rPr>
          <w:noProof/>
        </w:rPr>
        <w:t>97.8</w:t>
      </w:r>
      <w:r>
        <w:rPr>
          <w:rFonts w:ascii="Calibri" w:hAnsi="Calibri" w:cs="Calibri"/>
          <w:noProof/>
        </w:rPr>
        <w:t> </w:t>
      </w:r>
      <w:r>
        <w:rPr>
          <w:noProof/>
        </w:rPr>
        <w:t>million still to be implemented for the remaining programmes under the progressing closure. The total amount of financial corrections implemented stands at EUR</w:t>
      </w:r>
      <w:r>
        <w:rPr>
          <w:rFonts w:ascii="Calibri" w:hAnsi="Calibri" w:cs="Calibri"/>
          <w:noProof/>
        </w:rPr>
        <w:t> </w:t>
      </w:r>
      <w:r>
        <w:rPr>
          <w:noProof/>
        </w:rPr>
        <w:t>210.4</w:t>
      </w:r>
      <w:r>
        <w:rPr>
          <w:rFonts w:ascii="Calibri" w:hAnsi="Calibri" w:cs="Calibri"/>
          <w:noProof/>
        </w:rPr>
        <w:t> </w:t>
      </w:r>
      <w:r>
        <w:rPr>
          <w:noProof/>
        </w:rPr>
        <w:t>million. The total amount of financial corrections confirmed stands at EUR</w:t>
      </w:r>
      <w:r>
        <w:rPr>
          <w:rFonts w:ascii="Calibri" w:hAnsi="Calibri" w:cs="Calibri"/>
          <w:noProof/>
        </w:rPr>
        <w:t> </w:t>
      </w:r>
      <w:r>
        <w:rPr>
          <w:noProof/>
        </w:rPr>
        <w:t>30.6</w:t>
      </w:r>
      <w:r>
        <w:rPr>
          <w:rFonts w:ascii="Calibri" w:hAnsi="Calibri" w:cs="Calibri"/>
          <w:noProof/>
        </w:rPr>
        <w:t> </w:t>
      </w:r>
      <w:r>
        <w:rPr>
          <w:noProof/>
        </w:rPr>
        <w:t>million.</w:t>
      </w:r>
    </w:p>
    <w:p w:rsidR="00311BB8" w:rsidRDefault="00D91061">
      <w:pPr>
        <w:pStyle w:val="AMPRBodyText"/>
        <w:rPr>
          <w:rFonts w:eastAsia="Calibri"/>
          <w:noProof/>
          <w:lang w:eastAsia="fr-BE"/>
        </w:rPr>
      </w:pPr>
      <w:r>
        <w:rPr>
          <w:rFonts w:eastAsia="Calibri"/>
          <w:noProof/>
          <w:lang w:eastAsia="fr-BE"/>
        </w:rPr>
        <w:t xml:space="preserve">The total amount of cumulative financial corrections confirmed for the </w:t>
      </w:r>
      <w:r>
        <w:rPr>
          <w:rStyle w:val="AMPRcharBoldOrange"/>
          <w:noProof/>
        </w:rPr>
        <w:t>European Fisheries Fund</w:t>
      </w:r>
      <w:r>
        <w:rPr>
          <w:rFonts w:eastAsia="Calibri"/>
          <w:noProof/>
          <w:lang w:eastAsia="fr-BE"/>
        </w:rPr>
        <w:t xml:space="preserve"> stands at EUR</w:t>
      </w:r>
      <w:r>
        <w:rPr>
          <w:rFonts w:ascii="Calibri" w:eastAsia="Arial" w:hAnsi="Calibri" w:cs="Calibri"/>
          <w:noProof/>
          <w:lang w:bidi="en-US"/>
        </w:rPr>
        <w:t> </w:t>
      </w:r>
      <w:r>
        <w:rPr>
          <w:rFonts w:eastAsia="Calibri"/>
          <w:noProof/>
          <w:lang w:eastAsia="fr-BE"/>
        </w:rPr>
        <w:t>28</w:t>
      </w:r>
      <w:r>
        <w:rPr>
          <w:rFonts w:ascii="Calibri" w:eastAsia="Arial" w:hAnsi="Calibri" w:cs="Calibri"/>
          <w:noProof/>
          <w:lang w:bidi="en-US"/>
        </w:rPr>
        <w:t> </w:t>
      </w:r>
      <w:r>
        <w:rPr>
          <w:rFonts w:eastAsia="Calibri"/>
          <w:noProof/>
          <w:lang w:eastAsia="fr-BE"/>
        </w:rPr>
        <w:t>million in 2019, including EUR</w:t>
      </w:r>
      <w:r>
        <w:rPr>
          <w:rFonts w:ascii="Calibri" w:eastAsia="Arial" w:hAnsi="Calibri" w:cs="Calibri"/>
          <w:noProof/>
          <w:lang w:bidi="en-US"/>
        </w:rPr>
        <w:t> </w:t>
      </w:r>
      <w:r>
        <w:rPr>
          <w:rFonts w:eastAsia="Calibri"/>
          <w:noProof/>
          <w:lang w:eastAsia="fr-BE"/>
        </w:rPr>
        <w:t>2</w:t>
      </w:r>
      <w:r>
        <w:rPr>
          <w:rFonts w:ascii="Calibri" w:eastAsia="Arial" w:hAnsi="Calibri" w:cs="Calibri"/>
          <w:noProof/>
          <w:lang w:bidi="en-US"/>
        </w:rPr>
        <w:t> </w:t>
      </w:r>
      <w:r>
        <w:rPr>
          <w:rFonts w:eastAsia="Calibri"/>
          <w:noProof/>
          <w:lang w:eastAsia="fr-BE"/>
        </w:rPr>
        <w:t>million to be implemented at closure.</w:t>
      </w:r>
    </w:p>
    <w:p w:rsidR="00311BB8" w:rsidRDefault="00D91061">
      <w:pPr>
        <w:pStyle w:val="AMPRAnnexesTITLE6"/>
        <w:rPr>
          <w:noProof/>
        </w:rPr>
      </w:pPr>
      <w:r>
        <w:rPr>
          <w:noProof/>
        </w:rPr>
        <w:t>2014-2020 programming period</w:t>
      </w:r>
    </w:p>
    <w:p w:rsidR="00311BB8" w:rsidRDefault="00D91061">
      <w:pPr>
        <w:pStyle w:val="AMPRBodyText"/>
        <w:rPr>
          <w:noProof/>
          <w:lang w:eastAsia="fr-BE"/>
        </w:rPr>
      </w:pPr>
      <w:r>
        <w:rPr>
          <w:noProof/>
          <w:lang w:eastAsia="fr-BE"/>
        </w:rPr>
        <w:t xml:space="preserve">For the </w:t>
      </w:r>
      <w:r>
        <w:rPr>
          <w:rStyle w:val="AMPRcharBoldOrange"/>
          <w:noProof/>
        </w:rPr>
        <w:t>European Regional Development Fund</w:t>
      </w:r>
      <w:r>
        <w:rPr>
          <w:rStyle w:val="AMPRcharBoldOrange"/>
          <w:rFonts w:ascii="Calibri" w:hAnsi="Calibri" w:cs="Calibri"/>
          <w:noProof/>
        </w:rPr>
        <w:t> </w:t>
      </w:r>
      <w:r>
        <w:rPr>
          <w:rStyle w:val="AMPRcharBoldOrange"/>
          <w:noProof/>
        </w:rPr>
        <w:t>/ Cohesion Fund</w:t>
      </w:r>
      <w:r>
        <w:rPr>
          <w:b/>
          <w:bCs/>
          <w:noProof/>
          <w:lang w:eastAsia="fr-BE"/>
        </w:rPr>
        <w:t xml:space="preserve"> </w:t>
      </w:r>
      <w:r>
        <w:rPr>
          <w:noProof/>
          <w:lang w:eastAsia="fr-BE"/>
        </w:rPr>
        <w:t xml:space="preserve">programmes for which expenditure was declared for the accounting year </w:t>
      </w:r>
      <w:r>
        <w:rPr>
          <w:rFonts w:cs="Calibri"/>
          <w:noProof/>
          <w:lang w:eastAsia="fr-BE"/>
        </w:rPr>
        <w:t>1</w:t>
      </w:r>
      <w:r>
        <w:rPr>
          <w:rFonts w:ascii="Calibri" w:hAnsi="Calibri" w:cs="Calibri"/>
          <w:noProof/>
          <w:lang w:eastAsia="fr-BE"/>
        </w:rPr>
        <w:t> </w:t>
      </w:r>
      <w:r>
        <w:rPr>
          <w:rFonts w:cs="Calibri"/>
          <w:noProof/>
          <w:lang w:eastAsia="fr-BE"/>
        </w:rPr>
        <w:t>July</w:t>
      </w:r>
      <w:r>
        <w:rPr>
          <w:rFonts w:ascii="Calibri" w:hAnsi="Calibri" w:cs="Calibri"/>
          <w:noProof/>
          <w:lang w:eastAsia="fr-BE"/>
        </w:rPr>
        <w:t xml:space="preserve"> </w:t>
      </w:r>
      <w:r>
        <w:rPr>
          <w:noProof/>
          <w:lang w:eastAsia="fr-BE"/>
        </w:rPr>
        <w:t>2018 to 30</w:t>
      </w:r>
      <w:r>
        <w:rPr>
          <w:rFonts w:ascii="Calibri" w:hAnsi="Calibri" w:cs="Calibri"/>
          <w:noProof/>
          <w:lang w:eastAsia="fr-BE"/>
        </w:rPr>
        <w:t> </w:t>
      </w:r>
      <w:r>
        <w:rPr>
          <w:rFonts w:cs="Calibri"/>
          <w:noProof/>
          <w:lang w:eastAsia="fr-BE"/>
        </w:rPr>
        <w:t>June</w:t>
      </w:r>
      <w:r>
        <w:rPr>
          <w:noProof/>
          <w:lang w:eastAsia="fr-BE"/>
        </w:rPr>
        <w:t xml:space="preserve"> 2019, there were no net financial corrections imposed by any Commission decision. However, the Member States themselves applied financial corrections to the accounts following the completion of their national control cycle.</w:t>
      </w:r>
    </w:p>
    <w:p w:rsidR="00311BB8" w:rsidRDefault="00D91061">
      <w:pPr>
        <w:pStyle w:val="AMPRBodyText"/>
        <w:rPr>
          <w:noProof/>
          <w:lang w:eastAsia="fr-BE"/>
        </w:rPr>
      </w:pPr>
      <w:r>
        <w:rPr>
          <w:noProof/>
          <w:lang w:eastAsia="fr-BE"/>
        </w:rPr>
        <w:t>This shows that the new system allows expenditure found to be irregular to be excluded from annual accounts. In 2019 a total of EUR 3.41 billion was deducted either from interim payment applications or directly from the accounts. Out of this, around 15.5% (EUR</w:t>
      </w:r>
      <w:r>
        <w:rPr>
          <w:rFonts w:ascii="Calibri" w:hAnsi="Calibri" w:cs="Calibri"/>
          <w:noProof/>
          <w:lang w:eastAsia="fr-BE"/>
        </w:rPr>
        <w:t> </w:t>
      </w:r>
      <w:r>
        <w:rPr>
          <w:noProof/>
          <w:lang w:eastAsia="fr-BE"/>
        </w:rPr>
        <w:t>527.0</w:t>
      </w:r>
      <w:r>
        <w:rPr>
          <w:rFonts w:ascii="Calibri" w:hAnsi="Calibri" w:cs="Calibri"/>
          <w:noProof/>
          <w:lang w:eastAsia="fr-BE"/>
        </w:rPr>
        <w:t> </w:t>
      </w:r>
      <w:r>
        <w:rPr>
          <w:noProof/>
          <w:lang w:eastAsia="fr-BE"/>
        </w:rPr>
        <w:t>million) was corrected as a result of audits. The remaining amounts removed from the accounts were mainly (at least 55%) due to different ongoing assessments under Article 137(2) of the common provisions regulation of expenditure previously declared during the accounting year, but also due to additional management verifications and corrections of clerical errors.</w:t>
      </w:r>
    </w:p>
    <w:p w:rsidR="00311BB8" w:rsidRDefault="00D91061">
      <w:pPr>
        <w:pStyle w:val="AMPRBodyText"/>
        <w:rPr>
          <w:noProof/>
          <w:lang w:eastAsia="fr-BE"/>
        </w:rPr>
      </w:pPr>
      <w:r>
        <w:rPr>
          <w:noProof/>
          <w:lang w:eastAsia="fr-BE"/>
        </w:rPr>
        <w:t>In addition, in 2019, following the Commission and national controls and audits, financial corrections were applied to certified expenditure in previously accepted accounts, thus confirming the effective functioning of the multiannual corrective capacity of the 2014-2020 programmes.</w:t>
      </w:r>
    </w:p>
    <w:p w:rsidR="00311BB8" w:rsidRDefault="00D91061">
      <w:pPr>
        <w:pStyle w:val="AMPRBodyText"/>
        <w:rPr>
          <w:noProof/>
        </w:rPr>
      </w:pPr>
      <w:r>
        <w:rPr>
          <w:noProof/>
        </w:rPr>
        <w:t xml:space="preserve">For the </w:t>
      </w:r>
      <w:r>
        <w:rPr>
          <w:rStyle w:val="AMPRcharBoldOrange"/>
          <w:noProof/>
        </w:rPr>
        <w:t>European Social Fund,</w:t>
      </w:r>
      <w:r>
        <w:rPr>
          <w:noProof/>
        </w:rPr>
        <w:t xml:space="preserve"> for the accounting year 1</w:t>
      </w:r>
      <w:r>
        <w:rPr>
          <w:rFonts w:ascii="Calibri" w:hAnsi="Calibri" w:cs="Calibri"/>
          <w:noProof/>
        </w:rPr>
        <w:t> </w:t>
      </w:r>
      <w:r>
        <w:rPr>
          <w:noProof/>
        </w:rPr>
        <w:t>July 2018 to 30</w:t>
      </w:r>
      <w:r>
        <w:rPr>
          <w:rFonts w:ascii="Calibri" w:hAnsi="Calibri" w:cs="Calibri"/>
          <w:noProof/>
        </w:rPr>
        <w:t> </w:t>
      </w:r>
      <w:r>
        <w:rPr>
          <w:noProof/>
        </w:rPr>
        <w:t xml:space="preserve">June 2019, 187 </w:t>
      </w:r>
      <w:r>
        <w:rPr>
          <w:rStyle w:val="AMPRcharBoldOrange"/>
          <w:noProof/>
        </w:rPr>
        <w:t>European Social Fund</w:t>
      </w:r>
      <w:r>
        <w:rPr>
          <w:rStyle w:val="AMPRcharBoldOrange"/>
          <w:rFonts w:ascii="Calibri" w:hAnsi="Calibri" w:cs="Calibri"/>
          <w:noProof/>
        </w:rPr>
        <w:t> </w:t>
      </w:r>
      <w:r>
        <w:rPr>
          <w:rStyle w:val="AMPRcharBoldOrange"/>
          <w:noProof/>
        </w:rPr>
        <w:t>/ Youth Employment Initiative</w:t>
      </w:r>
      <w:r>
        <w:rPr>
          <w:noProof/>
        </w:rPr>
        <w:t xml:space="preserve"> programmes certified a total expenditure of EU</w:t>
      </w:r>
      <w:r>
        <w:rPr>
          <w:rFonts w:asciiTheme="minorHAnsi" w:hAnsiTheme="minorHAnsi"/>
          <w:noProof/>
        </w:rPr>
        <w:t>R</w:t>
      </w:r>
      <w:r>
        <w:rPr>
          <w:rFonts w:asciiTheme="minorHAnsi" w:hAnsiTheme="minorHAnsi" w:cs="Calibri"/>
          <w:noProof/>
        </w:rPr>
        <w:t> 1</w:t>
      </w:r>
      <w:r>
        <w:rPr>
          <w:rFonts w:asciiTheme="minorHAnsi" w:hAnsiTheme="minorHAnsi"/>
          <w:noProof/>
        </w:rPr>
        <w:t>8</w:t>
      </w:r>
      <w:r>
        <w:rPr>
          <w:rFonts w:asciiTheme="minorHAnsi" w:hAnsiTheme="minorHAnsi" w:cs="Calibri"/>
          <w:noProof/>
        </w:rPr>
        <w:t> </w:t>
      </w:r>
      <w:r>
        <w:rPr>
          <w:rFonts w:asciiTheme="minorHAnsi" w:hAnsiTheme="minorHAnsi"/>
          <w:noProof/>
        </w:rPr>
        <w:t>868.1</w:t>
      </w:r>
      <w:r>
        <w:rPr>
          <w:rFonts w:asciiTheme="minorHAnsi" w:hAnsiTheme="minorHAnsi" w:cs="Calibri"/>
          <w:noProof/>
        </w:rPr>
        <w:t> </w:t>
      </w:r>
      <w:r>
        <w:rPr>
          <w:rFonts w:asciiTheme="minorHAnsi" w:hAnsiTheme="minorHAnsi"/>
          <w:noProof/>
        </w:rPr>
        <w:t>mill</w:t>
      </w:r>
      <w:r>
        <w:rPr>
          <w:noProof/>
        </w:rPr>
        <w:t>ion by 31</w:t>
      </w:r>
      <w:r>
        <w:rPr>
          <w:rFonts w:ascii="Calibri" w:hAnsi="Calibri" w:cs="Calibri"/>
          <w:noProof/>
        </w:rPr>
        <w:t> </w:t>
      </w:r>
      <w:r>
        <w:rPr>
          <w:noProof/>
        </w:rPr>
        <w:t xml:space="preserve">July 2019, while 26 </w:t>
      </w:r>
      <w:r>
        <w:rPr>
          <w:rStyle w:val="AMPRcharBoldOrange"/>
          <w:noProof/>
        </w:rPr>
        <w:t>Fund for European Aid to the Most Deprived</w:t>
      </w:r>
      <w:r>
        <w:rPr>
          <w:noProof/>
        </w:rPr>
        <w:t xml:space="preserve"> programmes certified expenditure amounting to EUR</w:t>
      </w:r>
      <w:r>
        <w:rPr>
          <w:rFonts w:ascii="Calibri" w:hAnsi="Calibri" w:cs="Calibri"/>
          <w:noProof/>
        </w:rPr>
        <w:t> </w:t>
      </w:r>
      <w:r>
        <w:rPr>
          <w:noProof/>
        </w:rPr>
        <w:t>404.1</w:t>
      </w:r>
      <w:r>
        <w:rPr>
          <w:rFonts w:ascii="Calibri" w:hAnsi="Calibri" w:cs="Calibri"/>
          <w:noProof/>
        </w:rPr>
        <w:t> </w:t>
      </w:r>
      <w:r>
        <w:rPr>
          <w:noProof/>
        </w:rPr>
        <w:t>million. Following the submission of the annual accounts by 1</w:t>
      </w:r>
      <w:r>
        <w:rPr>
          <w:rFonts w:ascii="Calibri" w:hAnsi="Calibri" w:cs="Calibri"/>
          <w:noProof/>
        </w:rPr>
        <w:t> </w:t>
      </w:r>
      <w:r>
        <w:rPr>
          <w:noProof/>
        </w:rPr>
        <w:t>March 2020, the amount of the expenditure deducted by the Member States was EUR</w:t>
      </w:r>
      <w:r>
        <w:rPr>
          <w:rFonts w:ascii="Calibri" w:hAnsi="Calibri" w:cs="Calibri"/>
          <w:noProof/>
        </w:rPr>
        <w:t> </w:t>
      </w:r>
      <w:r>
        <w:rPr>
          <w:noProof/>
        </w:rPr>
        <w:t>1</w:t>
      </w:r>
      <w:r>
        <w:rPr>
          <w:rFonts w:ascii="Calibri" w:hAnsi="Calibri" w:cs="Calibri"/>
          <w:noProof/>
        </w:rPr>
        <w:t> </w:t>
      </w:r>
      <w:r>
        <w:rPr>
          <w:noProof/>
        </w:rPr>
        <w:t>079.6</w:t>
      </w:r>
      <w:r>
        <w:rPr>
          <w:rFonts w:ascii="Calibri" w:hAnsi="Calibri" w:cs="Calibri"/>
          <w:noProof/>
        </w:rPr>
        <w:t> </w:t>
      </w:r>
      <w:r>
        <w:rPr>
          <w:noProof/>
        </w:rPr>
        <w:t>million for the European Social Fund</w:t>
      </w:r>
      <w:r>
        <w:rPr>
          <w:rFonts w:ascii="Calibri" w:hAnsi="Calibri" w:cs="Calibri"/>
          <w:noProof/>
        </w:rPr>
        <w:t> </w:t>
      </w:r>
      <w:r>
        <w:rPr>
          <w:noProof/>
        </w:rPr>
        <w:t>/ Youth Employment Initiative and EUR</w:t>
      </w:r>
      <w:r>
        <w:rPr>
          <w:rFonts w:ascii="Calibri" w:hAnsi="Calibri" w:cs="Calibri"/>
          <w:noProof/>
        </w:rPr>
        <w:t> </w:t>
      </w:r>
      <w:r>
        <w:rPr>
          <w:noProof/>
        </w:rPr>
        <w:t>10.6</w:t>
      </w:r>
      <w:r>
        <w:rPr>
          <w:rFonts w:ascii="Calibri" w:hAnsi="Calibri" w:cs="Calibri"/>
          <w:noProof/>
        </w:rPr>
        <w:t> </w:t>
      </w:r>
      <w:r>
        <w:rPr>
          <w:noProof/>
        </w:rPr>
        <w:t>million for the Fund for European Aid to the Most Deprived. Out of these amounts, deductions of EUR</w:t>
      </w:r>
      <w:r>
        <w:rPr>
          <w:rFonts w:ascii="Calibri" w:hAnsi="Calibri" w:cs="Calibri"/>
          <w:noProof/>
        </w:rPr>
        <w:t> </w:t>
      </w:r>
      <w:r>
        <w:rPr>
          <w:noProof/>
        </w:rPr>
        <w:t>132.9</w:t>
      </w:r>
      <w:r>
        <w:rPr>
          <w:rFonts w:ascii="Calibri" w:hAnsi="Calibri" w:cs="Calibri"/>
          <w:noProof/>
        </w:rPr>
        <w:t> </w:t>
      </w:r>
      <w:r>
        <w:rPr>
          <w:noProof/>
        </w:rPr>
        <w:t>million and EUR</w:t>
      </w:r>
      <w:r>
        <w:rPr>
          <w:rFonts w:ascii="Calibri" w:hAnsi="Calibri" w:cs="Calibri"/>
          <w:noProof/>
        </w:rPr>
        <w:t> </w:t>
      </w:r>
      <w:r>
        <w:rPr>
          <w:noProof/>
        </w:rPr>
        <w:t>1.5</w:t>
      </w:r>
      <w:r>
        <w:rPr>
          <w:rFonts w:ascii="Calibri" w:hAnsi="Calibri" w:cs="Calibri"/>
          <w:noProof/>
        </w:rPr>
        <w:t> </w:t>
      </w:r>
      <w:r>
        <w:rPr>
          <w:noProof/>
        </w:rPr>
        <w:t xml:space="preserve">million, respectively, were made by the Member States from the annual accounts, together with withdrawals and recoveries implemented during the accounting year as a result of financial corrections following national and EU audit work. </w:t>
      </w:r>
    </w:p>
    <w:p w:rsidR="00311BB8" w:rsidRDefault="00D91061">
      <w:pPr>
        <w:pStyle w:val="AMPRBodyText"/>
        <w:rPr>
          <w:noProof/>
          <w:lang w:eastAsia="fr-BE"/>
        </w:rPr>
      </w:pPr>
      <w:r>
        <w:rPr>
          <w:rFonts w:asciiTheme="minorHAnsi" w:hAnsiTheme="minorHAnsi"/>
          <w:noProof/>
        </w:rPr>
        <w:t>The financial corrections reported for</w:t>
      </w:r>
      <w:r>
        <w:rPr>
          <w:rFonts w:asciiTheme="minorHAnsi" w:eastAsia="Calibri" w:hAnsiTheme="minorHAnsi"/>
          <w:noProof/>
          <w:lang w:eastAsia="fr-BE"/>
        </w:rPr>
        <w:t xml:space="preserve"> the </w:t>
      </w:r>
      <w:r>
        <w:rPr>
          <w:rStyle w:val="AMPRcharBoldOrange"/>
          <w:rFonts w:asciiTheme="minorHAnsi" w:hAnsiTheme="minorHAnsi"/>
          <w:noProof/>
        </w:rPr>
        <w:t>European Maritime and Fisheries Fund</w:t>
      </w:r>
      <w:r>
        <w:rPr>
          <w:rFonts w:asciiTheme="minorHAnsi" w:eastAsia="Calibri" w:hAnsiTheme="minorHAnsi"/>
          <w:noProof/>
          <w:lang w:eastAsia="fr-BE"/>
        </w:rPr>
        <w:t xml:space="preserve"> amounted to EUR</w:t>
      </w:r>
      <w:r>
        <w:rPr>
          <w:rFonts w:ascii="Calibri" w:eastAsia="Calibri" w:hAnsi="Calibri" w:cs="Calibri"/>
          <w:noProof/>
          <w:lang w:eastAsia="fr-BE"/>
        </w:rPr>
        <w:t> </w:t>
      </w:r>
      <w:r>
        <w:rPr>
          <w:rFonts w:asciiTheme="minorHAnsi" w:eastAsia="Calibri" w:hAnsiTheme="minorHAnsi"/>
          <w:noProof/>
          <w:lang w:eastAsia="fr-BE"/>
        </w:rPr>
        <w:t>8.3</w:t>
      </w:r>
      <w:r>
        <w:rPr>
          <w:rFonts w:ascii="Calibri" w:eastAsia="Calibri" w:hAnsi="Calibri" w:cs="Calibri"/>
          <w:noProof/>
          <w:lang w:eastAsia="fr-BE"/>
        </w:rPr>
        <w:t> </w:t>
      </w:r>
      <w:r>
        <w:rPr>
          <w:rFonts w:asciiTheme="minorHAnsi" w:hAnsiTheme="minorHAnsi"/>
          <w:noProof/>
        </w:rPr>
        <w:t>million</w:t>
      </w:r>
      <w:r>
        <w:rPr>
          <w:rFonts w:asciiTheme="minorHAnsi" w:eastAsia="Calibri" w:hAnsiTheme="minorHAnsi" w:cs="Calibri"/>
          <w:noProof/>
          <w:lang w:eastAsia="fr-BE"/>
        </w:rPr>
        <w:t xml:space="preserve">. </w:t>
      </w:r>
      <w:r>
        <w:rPr>
          <w:noProof/>
          <w:lang w:eastAsia="fr-BE"/>
        </w:rPr>
        <w:t>An additio</w:t>
      </w:r>
      <w:r>
        <w:rPr>
          <w:rFonts w:asciiTheme="minorHAnsi" w:hAnsiTheme="minorHAnsi"/>
          <w:noProof/>
          <w:lang w:eastAsia="fr-BE"/>
        </w:rPr>
        <w:t>nal EUR</w:t>
      </w:r>
      <w:r>
        <w:rPr>
          <w:rFonts w:asciiTheme="minorHAnsi" w:hAnsiTheme="minorHAnsi" w:cs="Calibri"/>
          <w:noProof/>
          <w:lang w:eastAsia="fr-BE"/>
        </w:rPr>
        <w:t> </w:t>
      </w:r>
      <w:r>
        <w:rPr>
          <w:rFonts w:asciiTheme="minorHAnsi" w:hAnsiTheme="minorHAnsi"/>
          <w:noProof/>
          <w:lang w:eastAsia="fr-BE"/>
        </w:rPr>
        <w:t>71.2</w:t>
      </w:r>
      <w:r>
        <w:rPr>
          <w:rFonts w:asciiTheme="minorHAnsi" w:hAnsiTheme="minorHAnsi" w:cs="Calibri"/>
          <w:noProof/>
          <w:lang w:eastAsia="fr-BE"/>
        </w:rPr>
        <w:t> million</w:t>
      </w:r>
      <w:r>
        <w:rPr>
          <w:rFonts w:asciiTheme="minorHAnsi" w:hAnsiTheme="minorHAnsi"/>
          <w:noProof/>
          <w:lang w:eastAsia="fr-BE"/>
        </w:rPr>
        <w:t xml:space="preserve"> w</w:t>
      </w:r>
      <w:r>
        <w:rPr>
          <w:noProof/>
          <w:lang w:eastAsia="fr-BE"/>
        </w:rPr>
        <w:t xml:space="preserve">as deducted from the accounts due to ongoing legality and regularity assessments, and also due to additional management verifications and corrections of clerical errors. </w:t>
      </w:r>
    </w:p>
    <w:p w:rsidR="00311BB8" w:rsidRDefault="00D91061">
      <w:pPr>
        <w:pStyle w:val="AMPRAnnexesTITLE4-Numbered"/>
        <w:rPr>
          <w:rFonts w:eastAsia="Calibri"/>
          <w:noProof/>
          <w:color w:val="E48C32"/>
          <w:lang w:eastAsia="fr-BE"/>
        </w:rPr>
      </w:pPr>
      <w:r>
        <w:rPr>
          <w:noProof/>
        </w:rPr>
        <w:t xml:space="preserve">Cumulative financial corrections and recoveries to the end of 2019 </w:t>
      </w:r>
    </w:p>
    <w:p w:rsidR="00311BB8" w:rsidRDefault="00D91061">
      <w:pPr>
        <w:pStyle w:val="AMPRBodyText"/>
        <w:rPr>
          <w:noProof/>
          <w:lang w:eastAsia="fr-BE"/>
        </w:rPr>
      </w:pPr>
      <w:r>
        <w:rPr>
          <w:noProof/>
          <w:lang w:eastAsia="fr-BE"/>
        </w:rPr>
        <w:t>Cumulative figures provide useful information on the significance of the corrective mechanisms used by the Commission, particularly because they take into account the multiannual character of programmes and projects and neutralise the impact of one-off events.</w:t>
      </w:r>
    </w:p>
    <w:p w:rsidR="00311BB8" w:rsidRDefault="00D91061">
      <w:pPr>
        <w:pStyle w:val="AMPRAnnexesTITLE6"/>
        <w:rPr>
          <w:rFonts w:eastAsia="Malgun Gothic Semilight"/>
          <w:noProof/>
          <w:color w:val="E48C32"/>
        </w:rPr>
      </w:pPr>
      <w:bookmarkStart w:id="65" w:name="_Toc484626485"/>
      <w:bookmarkStart w:id="66" w:name="_Toc512866526"/>
      <w:bookmarkStart w:id="67" w:name="_Toc8386199"/>
      <w:r>
        <w:rPr>
          <w:noProof/>
        </w:rPr>
        <w:t>2013-</w:t>
      </w:r>
      <w:bookmarkEnd w:id="65"/>
      <w:bookmarkEnd w:id="66"/>
      <w:r>
        <w:rPr>
          <w:noProof/>
        </w:rPr>
        <w:t>2019</w:t>
      </w:r>
      <w:bookmarkEnd w:id="67"/>
      <w:r>
        <w:rPr>
          <w:noProof/>
        </w:rPr>
        <w:t xml:space="preserve"> programming period</w:t>
      </w:r>
    </w:p>
    <w:p w:rsidR="00311BB8" w:rsidRDefault="00D91061">
      <w:pPr>
        <w:pStyle w:val="AMPRBodyText"/>
        <w:rPr>
          <w:noProof/>
          <w:lang w:eastAsia="fr-BE"/>
        </w:rPr>
      </w:pPr>
      <w:r>
        <w:rPr>
          <w:noProof/>
          <w:lang w:eastAsia="fr-BE"/>
        </w:rPr>
        <w:t>The charts below show the evolution of financial corrections and recoveries confirmed and implemented during the last 7</w:t>
      </w:r>
      <w:r>
        <w:rPr>
          <w:rFonts w:ascii="Calibri" w:hAnsi="Calibri" w:cs="Calibri"/>
          <w:noProof/>
          <w:lang w:eastAsia="fr-BE"/>
        </w:rPr>
        <w:t> </w:t>
      </w:r>
      <w:r>
        <w:rPr>
          <w:noProof/>
          <w:lang w:eastAsia="fr-BE"/>
        </w:rPr>
        <w:t>years.</w:t>
      </w:r>
    </w:p>
    <w:p w:rsidR="00311BB8" w:rsidRDefault="00D91061">
      <w:pPr>
        <w:pStyle w:val="AMPRChart-Tabletitle"/>
        <w:spacing w:before="0"/>
        <w:rPr>
          <w:noProof/>
        </w:rPr>
      </w:pPr>
      <w:r>
        <w:rPr>
          <w:noProof/>
          <w:lang w:val="fr-BE"/>
        </w:rPr>
        <w:drawing>
          <wp:inline distT="0" distB="0" distL="0" distR="0">
            <wp:extent cx="5760720" cy="3331231"/>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3331231"/>
                    </a:xfrm>
                    <a:prstGeom prst="rect">
                      <a:avLst/>
                    </a:prstGeom>
                    <a:noFill/>
                    <a:ln>
                      <a:noFill/>
                    </a:ln>
                  </pic:spPr>
                </pic:pic>
              </a:graphicData>
            </a:graphic>
          </wp:inline>
        </w:drawing>
      </w:r>
      <w:r>
        <w:rPr>
          <w:noProof/>
        </w:rPr>
        <w:t>Confirmed financial corrections and recoveries for 2013-2019 (billion EUR)</w:t>
      </w:r>
    </w:p>
    <w:p w:rsidR="00311BB8" w:rsidRDefault="00D91061">
      <w:pPr>
        <w:pStyle w:val="AMPRBodyText"/>
        <w:rPr>
          <w:rFonts w:eastAsia="Calibri"/>
          <w:noProof/>
          <w:lang w:eastAsia="fr-BE"/>
        </w:rPr>
      </w:pPr>
      <w:r>
        <w:rPr>
          <w:rFonts w:eastAsia="Calibri"/>
          <w:noProof/>
          <w:lang w:eastAsia="fr-BE"/>
        </w:rPr>
        <w:t xml:space="preserve">The average </w:t>
      </w:r>
      <w:r>
        <w:rPr>
          <w:rStyle w:val="AMPRcharBoldOrange"/>
          <w:noProof/>
        </w:rPr>
        <w:t>confirmed</w:t>
      </w:r>
      <w:r>
        <w:rPr>
          <w:rFonts w:eastAsia="Calibri"/>
          <w:noProof/>
          <w:lang w:eastAsia="fr-BE"/>
        </w:rPr>
        <w:t xml:space="preserve"> financial corrections and recoveries (for 2013-2019) amount to EUR</w:t>
      </w:r>
      <w:r>
        <w:rPr>
          <w:rFonts w:ascii="Calibri" w:eastAsia="Arial" w:hAnsi="Calibri" w:cs="Calibri"/>
          <w:noProof/>
          <w:sz w:val="17"/>
          <w:szCs w:val="17"/>
          <w:lang w:bidi="en-US"/>
        </w:rPr>
        <w:t> </w:t>
      </w:r>
      <w:r>
        <w:rPr>
          <w:rFonts w:eastAsia="Calibri"/>
          <w:noProof/>
          <w:lang w:eastAsia="fr-BE"/>
        </w:rPr>
        <w:t>3.1</w:t>
      </w:r>
      <w:r>
        <w:rPr>
          <w:rFonts w:ascii="Calibri" w:eastAsia="Calibri" w:hAnsi="Calibri" w:cs="Calibri"/>
          <w:noProof/>
          <w:lang w:eastAsia="fr-BE"/>
        </w:rPr>
        <w:t> </w:t>
      </w:r>
      <w:r>
        <w:rPr>
          <w:rFonts w:eastAsia="Calibri"/>
          <w:noProof/>
          <w:lang w:eastAsia="fr-BE"/>
        </w:rPr>
        <w:t>billion, which represents 2.1% of the average amount of payments made from the EU budget.</w:t>
      </w:r>
    </w:p>
    <w:p w:rsidR="00311BB8" w:rsidRDefault="00D91061">
      <w:pPr>
        <w:pStyle w:val="AMPRChart-Tabletitle"/>
        <w:rPr>
          <w:noProof/>
        </w:rPr>
      </w:pPr>
      <w:r>
        <w:rPr>
          <w:noProof/>
          <w:lang w:val="fr-BE"/>
        </w:rPr>
        <w:drawing>
          <wp:inline distT="0" distB="0" distL="0" distR="0">
            <wp:extent cx="5753100" cy="3337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3100" cy="3337560"/>
                    </a:xfrm>
                    <a:prstGeom prst="rect">
                      <a:avLst/>
                    </a:prstGeom>
                    <a:noFill/>
                    <a:ln>
                      <a:noFill/>
                    </a:ln>
                  </pic:spPr>
                </pic:pic>
              </a:graphicData>
            </a:graphic>
          </wp:inline>
        </w:drawing>
      </w:r>
      <w:r>
        <w:rPr>
          <w:noProof/>
        </w:rPr>
        <w:t>Financial corrections and recoveries implemented for 2013-2019 (billion EUR)</w:t>
      </w:r>
    </w:p>
    <w:p w:rsidR="00311BB8" w:rsidRDefault="00D91061">
      <w:pPr>
        <w:pStyle w:val="AMPRBodyText"/>
        <w:rPr>
          <w:noProof/>
          <w:lang w:eastAsia="fr-BE"/>
        </w:rPr>
      </w:pPr>
      <w:r>
        <w:rPr>
          <w:noProof/>
          <w:lang w:eastAsia="fr-BE"/>
        </w:rPr>
        <w:t xml:space="preserve">The average amount of financial corrections and recoveries </w:t>
      </w:r>
      <w:r>
        <w:rPr>
          <w:rStyle w:val="AMPRcharBoldOrange"/>
          <w:noProof/>
        </w:rPr>
        <w:t>implemented</w:t>
      </w:r>
      <w:r>
        <w:rPr>
          <w:noProof/>
          <w:lang w:eastAsia="fr-BE"/>
        </w:rPr>
        <w:t xml:space="preserve"> for 2013 to 2019 was EUR</w:t>
      </w:r>
      <w:r>
        <w:rPr>
          <w:rFonts w:ascii="Calibri" w:eastAsia="Arial" w:hAnsi="Calibri" w:cs="Calibri"/>
          <w:b/>
          <w:noProof/>
          <w:sz w:val="17"/>
          <w:szCs w:val="17"/>
          <w:lang w:bidi="en-US"/>
        </w:rPr>
        <w:t> </w:t>
      </w:r>
      <w:r>
        <w:rPr>
          <w:noProof/>
          <w:lang w:eastAsia="fr-BE"/>
        </w:rPr>
        <w:t>3.3</w:t>
      </w:r>
      <w:r>
        <w:rPr>
          <w:rFonts w:ascii="Calibri" w:hAnsi="Calibri" w:cs="Calibri"/>
          <w:noProof/>
          <w:lang w:eastAsia="fr-BE"/>
        </w:rPr>
        <w:t> </w:t>
      </w:r>
      <w:r>
        <w:rPr>
          <w:noProof/>
          <w:lang w:eastAsia="fr-BE"/>
        </w:rPr>
        <w:t>billion, which represents 2.2% of the average amount of payments from the EU budget in that period.</w:t>
      </w:r>
    </w:p>
    <w:p w:rsidR="00311BB8" w:rsidRDefault="00D91061">
      <w:pPr>
        <w:pStyle w:val="AMPRBodyText"/>
        <w:rPr>
          <w:noProof/>
        </w:rPr>
      </w:pPr>
      <w:bookmarkStart w:id="68" w:name="_Toc484626486"/>
      <w:r>
        <w:rPr>
          <w:noProof/>
        </w:rPr>
        <w:br w:type="page"/>
      </w:r>
    </w:p>
    <w:p w:rsidR="00311BB8" w:rsidRDefault="00D91061">
      <w:pPr>
        <w:pStyle w:val="AMPRAnnexesTITLE5"/>
        <w:rPr>
          <w:rFonts w:eastAsia="Malgun Gothic Semilight"/>
          <w:noProof/>
          <w:color w:val="auto"/>
          <w:sz w:val="20"/>
          <w:szCs w:val="20"/>
        </w:rPr>
      </w:pPr>
      <w:bookmarkStart w:id="69" w:name="_Toc512866527"/>
      <w:bookmarkStart w:id="70" w:name="_Toc8386200"/>
      <w:r>
        <w:rPr>
          <w:noProof/>
        </w:rPr>
        <w:t xml:space="preserve">Percentage of implementation of financial corrections at the end </w:t>
      </w:r>
      <w:bookmarkEnd w:id="68"/>
      <w:r>
        <w:rPr>
          <w:noProof/>
        </w:rPr>
        <w:t>of 2019</w:t>
      </w:r>
      <w:bookmarkEnd w:id="69"/>
      <w:bookmarkEnd w:id="70"/>
      <w:r>
        <w:rPr>
          <w:noProof/>
        </w:rPr>
        <w:t xml:space="preserve"> </w:t>
      </w:r>
    </w:p>
    <w:tbl>
      <w:tblPr>
        <w:tblStyle w:val="AMPRTABLEA-Template"/>
        <w:tblW w:w="9070" w:type="dxa"/>
        <w:tblLayout w:type="fixed"/>
        <w:tblLook w:val="04E0" w:firstRow="1" w:lastRow="1" w:firstColumn="1" w:lastColumn="0" w:noHBand="0" w:noVBand="1"/>
      </w:tblPr>
      <w:tblGrid>
        <w:gridCol w:w="1652"/>
        <w:gridCol w:w="713"/>
        <w:gridCol w:w="660"/>
        <w:gridCol w:w="657"/>
        <w:gridCol w:w="660"/>
        <w:gridCol w:w="1043"/>
        <w:gridCol w:w="994"/>
        <w:gridCol w:w="842"/>
        <w:gridCol w:w="1000"/>
        <w:gridCol w:w="849"/>
      </w:tblGrid>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1" w:type="pct"/>
            <w:vMerge w:val="restart"/>
            <w:tcBorders>
              <w:bottom w:val="single" w:sz="4" w:space="0" w:color="FFFFFF" w:themeColor="background1"/>
            </w:tcBorders>
            <w:noWrap/>
            <w:hideMark/>
          </w:tcPr>
          <w:p w:rsidR="00311BB8" w:rsidRDefault="00311BB8">
            <w:pPr>
              <w:pStyle w:val="AMPRTABLEA-HEADERText-WHITE"/>
              <w:spacing w:before="144" w:after="144"/>
              <w:rPr>
                <w:noProof/>
                <w:lang w:val="en-GB"/>
              </w:rPr>
            </w:pPr>
          </w:p>
        </w:tc>
        <w:tc>
          <w:tcPr>
            <w:tcW w:w="1483" w:type="pct"/>
            <w:gridSpan w:val="4"/>
            <w:tcBorders>
              <w:bottom w:val="single" w:sz="4" w:space="0" w:color="FFFFFF" w:themeColor="background1"/>
            </w:tcBorders>
          </w:tcPr>
          <w:p w:rsidR="00311BB8" w:rsidRDefault="00311BB8">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4"/>
                <w:szCs w:val="14"/>
                <w:lang w:val="en-GB"/>
              </w:rPr>
            </w:pPr>
          </w:p>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4"/>
                <w:szCs w:val="14"/>
                <w:lang w:val="en-GB"/>
              </w:rPr>
            </w:pPr>
            <w:r>
              <w:rPr>
                <w:noProof/>
                <w:sz w:val="14"/>
                <w:szCs w:val="14"/>
                <w:lang w:val="en-GB"/>
              </w:rPr>
              <w:t>Confirmed financial corrections (million</w:t>
            </w:r>
            <w:r>
              <w:rPr>
                <w:rFonts w:ascii="Calibri" w:hAnsi="Calibri" w:cs="Calibri"/>
                <w:noProof/>
                <w:sz w:val="14"/>
                <w:szCs w:val="14"/>
                <w:lang w:val="en-GB"/>
              </w:rPr>
              <w:t> </w:t>
            </w:r>
            <w:r>
              <w:rPr>
                <w:noProof/>
                <w:sz w:val="14"/>
                <w:szCs w:val="14"/>
                <w:lang w:val="en-GB"/>
              </w:rPr>
              <w:t>EUR) for programming period:</w:t>
            </w:r>
          </w:p>
        </w:tc>
        <w:tc>
          <w:tcPr>
            <w:tcW w:w="575" w:type="pct"/>
            <w:vMerge w:val="restart"/>
            <w:tcBorders>
              <w:bottom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pacing w:val="-2"/>
                <w:sz w:val="14"/>
                <w:szCs w:val="14"/>
                <w:lang w:val="en-GB"/>
              </w:rPr>
            </w:pPr>
            <w:r>
              <w:rPr>
                <w:noProof/>
                <w:spacing w:val="-2"/>
                <w:sz w:val="14"/>
                <w:szCs w:val="14"/>
                <w:lang w:val="en-GB"/>
              </w:rPr>
              <w:t>Cumulated European Agricultural Guarantee Fund decisions (million</w:t>
            </w:r>
            <w:r>
              <w:rPr>
                <w:rFonts w:ascii="Calibri" w:hAnsi="Calibri" w:cs="Calibri"/>
                <w:noProof/>
                <w:spacing w:val="-2"/>
                <w:sz w:val="14"/>
                <w:szCs w:val="14"/>
                <w:lang w:val="en-GB"/>
              </w:rPr>
              <w:t> </w:t>
            </w:r>
            <w:r>
              <w:rPr>
                <w:noProof/>
                <w:spacing w:val="-2"/>
                <w:sz w:val="14"/>
                <w:szCs w:val="14"/>
                <w:lang w:val="en-GB"/>
              </w:rPr>
              <w:t>EUR)</w:t>
            </w:r>
          </w:p>
        </w:tc>
        <w:tc>
          <w:tcPr>
            <w:tcW w:w="548" w:type="pct"/>
            <w:vMerge w:val="restart"/>
            <w:tcBorders>
              <w:bottom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pacing w:val="-3"/>
                <w:sz w:val="14"/>
                <w:szCs w:val="14"/>
                <w:lang w:val="en-GB"/>
              </w:rPr>
            </w:pPr>
            <w:r>
              <w:rPr>
                <w:noProof/>
                <w:spacing w:val="-3"/>
                <w:sz w:val="14"/>
                <w:szCs w:val="14"/>
                <w:lang w:val="en-GB"/>
              </w:rPr>
              <w:t>Confirmed financial corrections at end of 2019 (million</w:t>
            </w:r>
            <w:r>
              <w:rPr>
                <w:rFonts w:ascii="Calibri" w:hAnsi="Calibri" w:cs="Calibri"/>
                <w:noProof/>
                <w:spacing w:val="-3"/>
                <w:sz w:val="14"/>
                <w:szCs w:val="14"/>
                <w:lang w:val="en-GB"/>
              </w:rPr>
              <w:t> </w:t>
            </w:r>
            <w:r>
              <w:rPr>
                <w:noProof/>
                <w:spacing w:val="-3"/>
                <w:sz w:val="14"/>
                <w:szCs w:val="14"/>
                <w:lang w:val="en-GB"/>
              </w:rPr>
              <w:t>EUR)</w:t>
            </w:r>
          </w:p>
        </w:tc>
        <w:tc>
          <w:tcPr>
            <w:tcW w:w="464" w:type="pct"/>
            <w:vMerge w:val="restart"/>
            <w:tcBorders>
              <w:bottom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pacing w:val="-2"/>
                <w:sz w:val="14"/>
                <w:szCs w:val="14"/>
              </w:rPr>
            </w:pPr>
            <w:r>
              <w:rPr>
                <w:noProof/>
                <w:spacing w:val="-2"/>
                <w:sz w:val="14"/>
                <w:szCs w:val="14"/>
              </w:rPr>
              <w:t>Implementation % at end of 2019</w:t>
            </w:r>
          </w:p>
        </w:tc>
        <w:tc>
          <w:tcPr>
            <w:tcW w:w="551" w:type="pct"/>
            <w:vMerge w:val="restart"/>
            <w:tcBorders>
              <w:bottom w:val="single" w:sz="4" w:space="0" w:color="FFFFFF" w:themeColor="background1"/>
            </w:tcBorders>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pacing w:val="-2"/>
                <w:sz w:val="14"/>
                <w:szCs w:val="14"/>
                <w:lang w:val="en-GB"/>
              </w:rPr>
            </w:pPr>
            <w:r>
              <w:rPr>
                <w:noProof/>
                <w:spacing w:val="-2"/>
                <w:sz w:val="14"/>
                <w:szCs w:val="14"/>
                <w:lang w:val="en-GB"/>
              </w:rPr>
              <w:t>Confirmed financial corrections at end of 2018 (million</w:t>
            </w:r>
            <w:r>
              <w:rPr>
                <w:rFonts w:ascii="Calibri" w:hAnsi="Calibri" w:cs="Calibri"/>
                <w:noProof/>
                <w:spacing w:val="-2"/>
                <w:sz w:val="14"/>
                <w:szCs w:val="14"/>
                <w:lang w:val="en-GB"/>
              </w:rPr>
              <w:t> </w:t>
            </w:r>
            <w:r>
              <w:rPr>
                <w:rFonts w:ascii="Calibri" w:hAnsi="Calibri" w:cs="Calibri"/>
                <w:noProof/>
                <w:spacing w:val="-2"/>
                <w:sz w:val="14"/>
                <w:szCs w:val="14"/>
                <w:lang w:val="en-GB"/>
              </w:rPr>
              <w:br/>
            </w:r>
            <w:r>
              <w:rPr>
                <w:noProof/>
                <w:spacing w:val="-2"/>
                <w:sz w:val="14"/>
                <w:szCs w:val="14"/>
                <w:lang w:val="en-GB"/>
              </w:rPr>
              <w:t>EUR)</w:t>
            </w:r>
          </w:p>
        </w:tc>
        <w:tc>
          <w:tcPr>
            <w:tcW w:w="468" w:type="pct"/>
            <w:vMerge w:val="restart"/>
            <w:tcBorders>
              <w:bottom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pacing w:val="-2"/>
                <w:sz w:val="14"/>
                <w:szCs w:val="14"/>
              </w:rPr>
            </w:pPr>
            <w:r>
              <w:rPr>
                <w:noProof/>
                <w:spacing w:val="-2"/>
                <w:sz w:val="14"/>
                <w:szCs w:val="14"/>
              </w:rPr>
              <w:t>Implementation % at end of 2018</w:t>
            </w:r>
          </w:p>
        </w:tc>
      </w:tr>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1" w:type="pct"/>
            <w:vMerge/>
            <w:tcBorders>
              <w:top w:val="single" w:sz="4" w:space="0" w:color="FFFFFF"/>
              <w:right w:val="single" w:sz="4" w:space="0" w:color="FFFFFF"/>
            </w:tcBorders>
            <w:hideMark/>
          </w:tcPr>
          <w:p w:rsidR="00311BB8" w:rsidRDefault="00311BB8">
            <w:pPr>
              <w:spacing w:before="144" w:after="144"/>
              <w:rPr>
                <w:rFonts w:eastAsia="EC Square Sans Pro" w:cs="Arial"/>
                <w:b/>
                <w:noProof/>
                <w:color w:val="FFFFFF"/>
                <w:sz w:val="16"/>
                <w:szCs w:val="16"/>
              </w:rPr>
            </w:pPr>
          </w:p>
        </w:tc>
        <w:tc>
          <w:tcPr>
            <w:tcW w:w="393" w:type="pct"/>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1994-1999</w:t>
            </w:r>
          </w:p>
        </w:tc>
        <w:tc>
          <w:tcPr>
            <w:tcW w:w="364" w:type="pct"/>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2000-2006</w:t>
            </w:r>
          </w:p>
        </w:tc>
        <w:tc>
          <w:tcPr>
            <w:tcW w:w="362" w:type="pct"/>
            <w:tcBorders>
              <w:top w:val="single" w:sz="4" w:space="0" w:color="FFFFFF" w:themeColor="background1"/>
            </w:tcBorders>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2007-2013</w:t>
            </w:r>
          </w:p>
        </w:tc>
        <w:tc>
          <w:tcPr>
            <w:tcW w:w="364" w:type="pct"/>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2014-2020</w:t>
            </w:r>
          </w:p>
        </w:tc>
        <w:tc>
          <w:tcPr>
            <w:tcW w:w="575" w:type="pct"/>
            <w:vMerge/>
            <w:tcBorders>
              <w:top w:val="single" w:sz="4" w:space="0" w:color="FFFFFF"/>
              <w:left w:val="single" w:sz="4" w:space="0" w:color="FFFFFF"/>
              <w:right w:val="single" w:sz="4" w:space="0" w:color="FFFFFF"/>
            </w:tcBorders>
            <w:hideMark/>
          </w:tcPr>
          <w:p w:rsidR="00311BB8" w:rsidRDefault="00311BB8">
            <w:pPr>
              <w:spacing w:before="144" w:after="144"/>
              <w:cnfStyle w:val="100000000000" w:firstRow="1" w:lastRow="0" w:firstColumn="0" w:lastColumn="0" w:oddVBand="0" w:evenVBand="0" w:oddHBand="0" w:evenHBand="0" w:firstRowFirstColumn="0" w:firstRowLastColumn="0" w:lastRowFirstColumn="0" w:lastRowLastColumn="0"/>
              <w:rPr>
                <w:rFonts w:eastAsia="EC Square Sans Pro" w:cs="Arial"/>
                <w:b/>
                <w:noProof/>
                <w:color w:val="FFFFFF"/>
                <w:sz w:val="14"/>
                <w:szCs w:val="14"/>
              </w:rPr>
            </w:pPr>
          </w:p>
        </w:tc>
        <w:tc>
          <w:tcPr>
            <w:tcW w:w="548" w:type="pct"/>
            <w:vMerge/>
            <w:tcBorders>
              <w:top w:val="single" w:sz="4" w:space="0" w:color="FFFFFF"/>
              <w:left w:val="single" w:sz="4" w:space="0" w:color="FFFFFF"/>
              <w:right w:val="single" w:sz="4" w:space="0" w:color="FFFFFF"/>
            </w:tcBorders>
            <w:hideMark/>
          </w:tcPr>
          <w:p w:rsidR="00311BB8" w:rsidRDefault="00311BB8">
            <w:pPr>
              <w:spacing w:before="144" w:after="144"/>
              <w:cnfStyle w:val="100000000000" w:firstRow="1" w:lastRow="0" w:firstColumn="0" w:lastColumn="0" w:oddVBand="0" w:evenVBand="0" w:oddHBand="0" w:evenHBand="0" w:firstRowFirstColumn="0" w:firstRowLastColumn="0" w:lastRowFirstColumn="0" w:lastRowLastColumn="0"/>
              <w:rPr>
                <w:rFonts w:eastAsia="EC Square Sans Pro" w:cs="Arial"/>
                <w:b/>
                <w:noProof/>
                <w:color w:val="FFFFFF"/>
                <w:sz w:val="16"/>
                <w:szCs w:val="16"/>
              </w:rPr>
            </w:pPr>
          </w:p>
        </w:tc>
        <w:tc>
          <w:tcPr>
            <w:tcW w:w="464" w:type="pct"/>
            <w:vMerge/>
            <w:tcBorders>
              <w:top w:val="single" w:sz="4" w:space="0" w:color="FFFFFF"/>
              <w:left w:val="single" w:sz="4" w:space="0" w:color="FFFFFF"/>
              <w:right w:val="single" w:sz="4" w:space="0" w:color="FFFFFF"/>
            </w:tcBorders>
            <w:hideMark/>
          </w:tcPr>
          <w:p w:rsidR="00311BB8" w:rsidRDefault="00311BB8">
            <w:pPr>
              <w:spacing w:before="144" w:after="144"/>
              <w:cnfStyle w:val="100000000000" w:firstRow="1" w:lastRow="0" w:firstColumn="0" w:lastColumn="0" w:oddVBand="0" w:evenVBand="0" w:oddHBand="0" w:evenHBand="0" w:firstRowFirstColumn="0" w:firstRowLastColumn="0" w:lastRowFirstColumn="0" w:lastRowLastColumn="0"/>
              <w:rPr>
                <w:rFonts w:eastAsia="EC Square Sans Pro" w:cs="Arial"/>
                <w:b/>
                <w:noProof/>
                <w:color w:val="FFFFFF"/>
                <w:sz w:val="16"/>
                <w:szCs w:val="16"/>
              </w:rPr>
            </w:pPr>
          </w:p>
        </w:tc>
        <w:tc>
          <w:tcPr>
            <w:tcW w:w="551" w:type="pct"/>
            <w:vMerge/>
            <w:tcBorders>
              <w:top w:val="single" w:sz="4" w:space="0" w:color="FFFFFF"/>
              <w:left w:val="single" w:sz="4" w:space="0" w:color="FFFFFF"/>
              <w:right w:val="single" w:sz="4" w:space="0" w:color="FFFFFF"/>
            </w:tcBorders>
          </w:tcPr>
          <w:p w:rsidR="00311BB8" w:rsidRDefault="00311BB8">
            <w:pPr>
              <w:spacing w:before="144" w:after="144"/>
              <w:cnfStyle w:val="100000000000" w:firstRow="1" w:lastRow="0" w:firstColumn="0" w:lastColumn="0" w:oddVBand="0" w:evenVBand="0" w:oddHBand="0" w:evenHBand="0" w:firstRowFirstColumn="0" w:firstRowLastColumn="0" w:lastRowFirstColumn="0" w:lastRowLastColumn="0"/>
              <w:rPr>
                <w:rFonts w:eastAsia="EC Square Sans Pro" w:cs="Arial"/>
                <w:b/>
                <w:noProof/>
                <w:color w:val="FFFFFF"/>
                <w:sz w:val="16"/>
                <w:szCs w:val="16"/>
              </w:rPr>
            </w:pPr>
          </w:p>
        </w:tc>
        <w:tc>
          <w:tcPr>
            <w:tcW w:w="468" w:type="pct"/>
            <w:vMerge/>
            <w:tcBorders>
              <w:top w:val="single" w:sz="4" w:space="0" w:color="FFFFFF"/>
              <w:left w:val="single" w:sz="4" w:space="0" w:color="FFFFFF"/>
            </w:tcBorders>
            <w:hideMark/>
          </w:tcPr>
          <w:p w:rsidR="00311BB8" w:rsidRDefault="00311BB8">
            <w:pPr>
              <w:spacing w:before="144" w:after="144"/>
              <w:cnfStyle w:val="100000000000" w:firstRow="1" w:lastRow="0" w:firstColumn="0" w:lastColumn="0" w:oddVBand="0" w:evenVBand="0" w:oddHBand="0" w:evenHBand="0" w:firstRowFirstColumn="0" w:firstRowLastColumn="0" w:lastRowFirstColumn="0" w:lastRowLastColumn="0"/>
              <w:rPr>
                <w:rFonts w:eastAsia="EC Square Sans Pro" w:cs="Arial"/>
                <w:b/>
                <w:noProof/>
                <w:color w:val="FFFFFF"/>
                <w:sz w:val="16"/>
                <w:szCs w:val="16"/>
              </w:rPr>
            </w:pPr>
          </w:p>
        </w:tc>
      </w:tr>
      <w:tr w:rsidR="00311BB8" w:rsidTr="00311BB8">
        <w:tc>
          <w:tcPr>
            <w:cnfStyle w:val="001000000000" w:firstRow="0" w:lastRow="0" w:firstColumn="1" w:lastColumn="0" w:oddVBand="0" w:evenVBand="0" w:oddHBand="0" w:evenHBand="0" w:firstRowFirstColumn="0" w:firstRowLastColumn="0" w:lastRowFirstColumn="0" w:lastRowLastColumn="0"/>
            <w:tcW w:w="911" w:type="pct"/>
            <w:tcBorders>
              <w:top w:val="nil"/>
            </w:tcBorders>
            <w:noWrap/>
            <w:hideMark/>
          </w:tcPr>
          <w:p w:rsidR="00311BB8" w:rsidRDefault="00D91061">
            <w:pPr>
              <w:pStyle w:val="AMPRTABLEA-TextLEFTalligned-BLACK"/>
              <w:rPr>
                <w:b/>
                <w:bCs/>
                <w:noProof/>
                <w:sz w:val="16"/>
                <w:szCs w:val="16"/>
              </w:rPr>
            </w:pPr>
            <w:r>
              <w:rPr>
                <w:b/>
                <w:bCs/>
                <w:noProof/>
                <w:sz w:val="16"/>
                <w:szCs w:val="16"/>
              </w:rPr>
              <w:t>Agricultural policy</w:t>
            </w:r>
          </w:p>
        </w:tc>
        <w:tc>
          <w:tcPr>
            <w:tcW w:w="393" w:type="pct"/>
            <w:tcBorders>
              <w:top w:val="nil"/>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w:t>
            </w:r>
          </w:p>
        </w:tc>
        <w:tc>
          <w:tcPr>
            <w:tcW w:w="364" w:type="pct"/>
            <w:tcBorders>
              <w:top w:val="nil"/>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143</w:t>
            </w:r>
          </w:p>
        </w:tc>
        <w:tc>
          <w:tcPr>
            <w:tcW w:w="362" w:type="pct"/>
            <w:tcBorders>
              <w:top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1</w:t>
            </w:r>
            <w:r>
              <w:rPr>
                <w:rFonts w:ascii="Calibri" w:eastAsia="EC Square Sans Pro" w:hAnsi="Calibri" w:cs="Calibri"/>
                <w:b/>
                <w:bCs/>
                <w:noProof/>
                <w:sz w:val="16"/>
                <w:szCs w:val="16"/>
              </w:rPr>
              <w:t> </w:t>
            </w:r>
            <w:r>
              <w:rPr>
                <w:rFonts w:eastAsia="EC Square Sans Pro"/>
                <w:b/>
                <w:bCs/>
                <w:noProof/>
                <w:sz w:val="16"/>
                <w:szCs w:val="16"/>
              </w:rPr>
              <w:t>612</w:t>
            </w:r>
          </w:p>
        </w:tc>
        <w:tc>
          <w:tcPr>
            <w:tcW w:w="364" w:type="pct"/>
            <w:tcBorders>
              <w:top w:val="nil"/>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56</w:t>
            </w:r>
          </w:p>
        </w:tc>
        <w:tc>
          <w:tcPr>
            <w:tcW w:w="575" w:type="pct"/>
            <w:tcBorders>
              <w:top w:val="nil"/>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14</w:t>
            </w:r>
            <w:r>
              <w:rPr>
                <w:rFonts w:ascii="Calibri" w:eastAsia="EC Square Sans Pro" w:hAnsi="Calibri" w:cs="Calibri"/>
                <w:b/>
                <w:bCs/>
                <w:noProof/>
                <w:sz w:val="16"/>
                <w:szCs w:val="16"/>
              </w:rPr>
              <w:t> </w:t>
            </w:r>
            <w:r>
              <w:rPr>
                <w:rFonts w:eastAsia="EC Square Sans Pro"/>
                <w:b/>
                <w:bCs/>
                <w:noProof/>
                <w:sz w:val="16"/>
                <w:szCs w:val="16"/>
              </w:rPr>
              <w:t>529</w:t>
            </w:r>
          </w:p>
        </w:tc>
        <w:tc>
          <w:tcPr>
            <w:tcW w:w="548" w:type="pct"/>
            <w:tcBorders>
              <w:top w:val="nil"/>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16</w:t>
            </w:r>
            <w:r>
              <w:rPr>
                <w:rFonts w:ascii="Calibri" w:eastAsia="EC Square Sans Pro" w:hAnsi="Calibri" w:cs="Calibri"/>
                <w:b/>
                <w:bCs/>
                <w:noProof/>
                <w:sz w:val="16"/>
                <w:szCs w:val="16"/>
              </w:rPr>
              <w:t> </w:t>
            </w:r>
            <w:r>
              <w:rPr>
                <w:rFonts w:eastAsia="EC Square Sans Pro"/>
                <w:b/>
                <w:bCs/>
                <w:noProof/>
                <w:sz w:val="16"/>
                <w:szCs w:val="16"/>
              </w:rPr>
              <w:t>341</w:t>
            </w:r>
          </w:p>
        </w:tc>
        <w:tc>
          <w:tcPr>
            <w:tcW w:w="464" w:type="pct"/>
            <w:tcBorders>
              <w:top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i/>
                <w:iCs/>
                <w:noProof/>
                <w:sz w:val="16"/>
                <w:szCs w:val="16"/>
              </w:rPr>
              <w:t>100.0%</w:t>
            </w:r>
          </w:p>
        </w:tc>
        <w:tc>
          <w:tcPr>
            <w:tcW w:w="551" w:type="pct"/>
            <w:tcBorders>
              <w:top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16</w:t>
            </w:r>
            <w:r>
              <w:rPr>
                <w:rFonts w:ascii="Calibri" w:eastAsia="EC Square Sans Pro" w:hAnsi="Calibri" w:cs="Calibri"/>
                <w:b/>
                <w:bCs/>
                <w:noProof/>
                <w:sz w:val="16"/>
                <w:szCs w:val="16"/>
              </w:rPr>
              <w:t> </w:t>
            </w:r>
            <w:r>
              <w:rPr>
                <w:rFonts w:eastAsia="EC Square Sans Pro"/>
                <w:b/>
                <w:bCs/>
                <w:noProof/>
                <w:sz w:val="16"/>
                <w:szCs w:val="16"/>
              </w:rPr>
              <w:t>040</w:t>
            </w:r>
          </w:p>
        </w:tc>
        <w:tc>
          <w:tcPr>
            <w:tcW w:w="468" w:type="pct"/>
            <w:tcBorders>
              <w:top w:val="nil"/>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i/>
                <w:iCs/>
                <w:noProof/>
                <w:sz w:val="16"/>
                <w:szCs w:val="16"/>
              </w:rPr>
              <w:t>95.9%</w:t>
            </w:r>
          </w:p>
        </w:tc>
      </w:tr>
      <w:tr w:rsidR="00311BB8" w:rsidTr="00311BB8">
        <w:tc>
          <w:tcPr>
            <w:cnfStyle w:val="001000000000" w:firstRow="0" w:lastRow="0" w:firstColumn="1" w:lastColumn="0" w:oddVBand="0" w:evenVBand="0" w:oddHBand="0" w:evenHBand="0" w:firstRowFirstColumn="0" w:firstRowLastColumn="0" w:lastRowFirstColumn="0" w:lastRowLastColumn="0"/>
            <w:tcW w:w="911" w:type="pct"/>
            <w:noWrap/>
            <w:hideMark/>
          </w:tcPr>
          <w:p w:rsidR="00311BB8" w:rsidRDefault="00D91061">
            <w:pPr>
              <w:pStyle w:val="AMPRTABLEA-TextLEFTalligned-BLACK"/>
              <w:ind w:left="142"/>
              <w:rPr>
                <w:noProof/>
                <w:sz w:val="16"/>
                <w:szCs w:val="16"/>
              </w:rPr>
            </w:pPr>
            <w:r>
              <w:rPr>
                <w:noProof/>
                <w:sz w:val="16"/>
                <w:szCs w:val="16"/>
              </w:rPr>
              <w:t>European Agricultural Guarantee Fund</w:t>
            </w:r>
          </w:p>
        </w:tc>
        <w:tc>
          <w:tcPr>
            <w:tcW w:w="393"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362"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575"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14</w:t>
            </w:r>
            <w:r>
              <w:rPr>
                <w:rFonts w:ascii="Calibri" w:eastAsia="EC Square Sans Pro" w:hAnsi="Calibri" w:cs="Calibri"/>
                <w:noProof/>
                <w:sz w:val="16"/>
                <w:szCs w:val="16"/>
              </w:rPr>
              <w:t> </w:t>
            </w:r>
            <w:r>
              <w:rPr>
                <w:rFonts w:eastAsia="EC Square Sans Pro"/>
                <w:noProof/>
                <w:sz w:val="16"/>
                <w:szCs w:val="16"/>
              </w:rPr>
              <w:t>529</w:t>
            </w:r>
          </w:p>
        </w:tc>
        <w:tc>
          <w:tcPr>
            <w:tcW w:w="548"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14</w:t>
            </w:r>
            <w:r>
              <w:rPr>
                <w:rFonts w:ascii="Calibri" w:eastAsia="EC Square Sans Pro" w:hAnsi="Calibri" w:cs="Calibri"/>
                <w:noProof/>
                <w:sz w:val="16"/>
                <w:szCs w:val="16"/>
              </w:rPr>
              <w:t> </w:t>
            </w:r>
            <w:r>
              <w:rPr>
                <w:rFonts w:eastAsia="EC Square Sans Pro"/>
                <w:noProof/>
                <w:sz w:val="16"/>
                <w:szCs w:val="16"/>
              </w:rPr>
              <w:t>529</w:t>
            </w:r>
          </w:p>
        </w:tc>
        <w:tc>
          <w:tcPr>
            <w:tcW w:w="464"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100.0%</w:t>
            </w:r>
          </w:p>
        </w:tc>
        <w:tc>
          <w:tcPr>
            <w:tcW w:w="551"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14</w:t>
            </w:r>
            <w:r>
              <w:rPr>
                <w:rFonts w:ascii="Calibri" w:eastAsia="EC Square Sans Pro" w:hAnsi="Calibri" w:cs="Calibri"/>
                <w:noProof/>
                <w:sz w:val="16"/>
                <w:szCs w:val="16"/>
              </w:rPr>
              <w:t> </w:t>
            </w:r>
            <w:r>
              <w:rPr>
                <w:rFonts w:eastAsia="EC Square Sans Pro"/>
                <w:noProof/>
                <w:sz w:val="16"/>
                <w:szCs w:val="16"/>
              </w:rPr>
              <w:t>410</w:t>
            </w:r>
          </w:p>
        </w:tc>
        <w:tc>
          <w:tcPr>
            <w:tcW w:w="468"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95.4%</w:t>
            </w:r>
          </w:p>
        </w:tc>
      </w:tr>
      <w:tr w:rsidR="00311BB8" w:rsidTr="00311BB8">
        <w:tc>
          <w:tcPr>
            <w:cnfStyle w:val="001000000000" w:firstRow="0" w:lastRow="0" w:firstColumn="1" w:lastColumn="0" w:oddVBand="0" w:evenVBand="0" w:oddHBand="0" w:evenHBand="0" w:firstRowFirstColumn="0" w:firstRowLastColumn="0" w:lastRowFirstColumn="0" w:lastRowLastColumn="0"/>
            <w:tcW w:w="911" w:type="pct"/>
            <w:noWrap/>
            <w:hideMark/>
          </w:tcPr>
          <w:p w:rsidR="00311BB8" w:rsidRDefault="00D91061">
            <w:pPr>
              <w:pStyle w:val="AMPRTABLEA-TextLEFTalligned-BLACK"/>
              <w:ind w:left="142"/>
              <w:rPr>
                <w:noProof/>
                <w:sz w:val="16"/>
                <w:szCs w:val="16"/>
              </w:rPr>
            </w:pPr>
            <w:r>
              <w:rPr>
                <w:noProof/>
                <w:sz w:val="16"/>
                <w:szCs w:val="16"/>
              </w:rPr>
              <w:t>Rural development</w:t>
            </w:r>
          </w:p>
        </w:tc>
        <w:tc>
          <w:tcPr>
            <w:tcW w:w="393"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143</w:t>
            </w:r>
          </w:p>
        </w:tc>
        <w:tc>
          <w:tcPr>
            <w:tcW w:w="362"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w:t>
            </w:r>
            <w:r>
              <w:rPr>
                <w:rFonts w:ascii="Calibri" w:eastAsia="EC Square Sans Pro" w:hAnsi="Calibri" w:cs="Calibri"/>
                <w:noProof/>
                <w:sz w:val="16"/>
                <w:szCs w:val="16"/>
              </w:rPr>
              <w:t> </w:t>
            </w:r>
            <w:r>
              <w:rPr>
                <w:rFonts w:eastAsia="EC Square Sans Pro"/>
                <w:noProof/>
                <w:sz w:val="16"/>
                <w:szCs w:val="16"/>
              </w:rPr>
              <w:t>612</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56</w:t>
            </w:r>
          </w:p>
        </w:tc>
        <w:tc>
          <w:tcPr>
            <w:tcW w:w="575"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n/a</w:t>
            </w:r>
          </w:p>
        </w:tc>
        <w:tc>
          <w:tcPr>
            <w:tcW w:w="548"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w:t>
            </w:r>
            <w:r>
              <w:rPr>
                <w:rFonts w:ascii="Calibri" w:eastAsia="EC Square Sans Pro" w:hAnsi="Calibri" w:cs="Calibri"/>
                <w:noProof/>
                <w:sz w:val="16"/>
                <w:szCs w:val="16"/>
              </w:rPr>
              <w:t> </w:t>
            </w:r>
            <w:r>
              <w:rPr>
                <w:rFonts w:eastAsia="EC Square Sans Pro"/>
                <w:noProof/>
                <w:sz w:val="16"/>
                <w:szCs w:val="16"/>
              </w:rPr>
              <w:t>811</w:t>
            </w:r>
          </w:p>
        </w:tc>
        <w:tc>
          <w:tcPr>
            <w:tcW w:w="464"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100.0%</w:t>
            </w:r>
          </w:p>
        </w:tc>
        <w:tc>
          <w:tcPr>
            <w:tcW w:w="551"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w:t>
            </w:r>
            <w:r>
              <w:rPr>
                <w:rFonts w:ascii="Calibri" w:eastAsia="EC Square Sans Pro" w:hAnsi="Calibri" w:cs="Calibri"/>
                <w:noProof/>
                <w:sz w:val="16"/>
                <w:szCs w:val="16"/>
              </w:rPr>
              <w:t> </w:t>
            </w:r>
            <w:r>
              <w:rPr>
                <w:rFonts w:eastAsia="EC Square Sans Pro"/>
                <w:noProof/>
                <w:sz w:val="16"/>
                <w:szCs w:val="16"/>
              </w:rPr>
              <w:t>630</w:t>
            </w:r>
          </w:p>
        </w:tc>
        <w:tc>
          <w:tcPr>
            <w:tcW w:w="468"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100.0%</w:t>
            </w:r>
          </w:p>
        </w:tc>
      </w:tr>
      <w:tr w:rsidR="00311BB8" w:rsidTr="00311BB8">
        <w:tc>
          <w:tcPr>
            <w:cnfStyle w:val="001000000000" w:firstRow="0" w:lastRow="0" w:firstColumn="1" w:lastColumn="0" w:oddVBand="0" w:evenVBand="0" w:oddHBand="0" w:evenHBand="0" w:firstRowFirstColumn="0" w:firstRowLastColumn="0" w:lastRowFirstColumn="0" w:lastRowLastColumn="0"/>
            <w:tcW w:w="911" w:type="pct"/>
            <w:noWrap/>
            <w:hideMark/>
          </w:tcPr>
          <w:p w:rsidR="00311BB8" w:rsidRDefault="00D91061">
            <w:pPr>
              <w:pStyle w:val="AMPRTABLEA-TextLEFTalligned-BLACK"/>
              <w:rPr>
                <w:b/>
                <w:bCs/>
                <w:noProof/>
                <w:sz w:val="16"/>
                <w:szCs w:val="16"/>
              </w:rPr>
            </w:pPr>
            <w:r>
              <w:rPr>
                <w:b/>
                <w:bCs/>
                <w:noProof/>
                <w:sz w:val="16"/>
                <w:szCs w:val="16"/>
              </w:rPr>
              <w:t>Cohesion policy</w:t>
            </w:r>
          </w:p>
        </w:tc>
        <w:tc>
          <w:tcPr>
            <w:tcW w:w="393"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2</w:t>
            </w:r>
            <w:r>
              <w:rPr>
                <w:rFonts w:ascii="Calibri" w:eastAsia="EC Square Sans Pro" w:hAnsi="Calibri" w:cs="Calibri"/>
                <w:b/>
                <w:bCs/>
                <w:noProof/>
                <w:sz w:val="16"/>
                <w:szCs w:val="16"/>
              </w:rPr>
              <w:t> </w:t>
            </w:r>
            <w:r>
              <w:rPr>
                <w:rFonts w:eastAsia="EC Square Sans Pro"/>
                <w:b/>
                <w:bCs/>
                <w:noProof/>
                <w:sz w:val="16"/>
                <w:szCs w:val="16"/>
              </w:rPr>
              <w:t>083</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9</w:t>
            </w:r>
            <w:r>
              <w:rPr>
                <w:rFonts w:ascii="Calibri" w:eastAsia="EC Square Sans Pro" w:hAnsi="Calibri" w:cs="Calibri"/>
                <w:b/>
                <w:bCs/>
                <w:noProof/>
                <w:sz w:val="16"/>
                <w:szCs w:val="16"/>
              </w:rPr>
              <w:t> </w:t>
            </w:r>
            <w:r>
              <w:rPr>
                <w:rFonts w:eastAsia="EC Square Sans Pro"/>
                <w:b/>
                <w:bCs/>
                <w:noProof/>
                <w:sz w:val="16"/>
                <w:szCs w:val="16"/>
              </w:rPr>
              <w:t>387</w:t>
            </w:r>
          </w:p>
        </w:tc>
        <w:tc>
          <w:tcPr>
            <w:tcW w:w="362"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7</w:t>
            </w:r>
            <w:r>
              <w:rPr>
                <w:rFonts w:ascii="Calibri" w:eastAsia="EC Square Sans Pro" w:hAnsi="Calibri" w:cs="Calibri"/>
                <w:b/>
                <w:bCs/>
                <w:noProof/>
                <w:sz w:val="16"/>
                <w:szCs w:val="16"/>
              </w:rPr>
              <w:t> </w:t>
            </w:r>
            <w:r>
              <w:rPr>
                <w:rFonts w:eastAsia="EC Square Sans Pro"/>
                <w:b/>
                <w:bCs/>
                <w:noProof/>
                <w:sz w:val="16"/>
                <w:szCs w:val="16"/>
              </w:rPr>
              <w:t>328</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w:t>
            </w:r>
          </w:p>
        </w:tc>
        <w:tc>
          <w:tcPr>
            <w:tcW w:w="575"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n/a</w:t>
            </w:r>
          </w:p>
        </w:tc>
        <w:tc>
          <w:tcPr>
            <w:tcW w:w="548"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18</w:t>
            </w:r>
            <w:r>
              <w:rPr>
                <w:rFonts w:ascii="Calibri" w:eastAsia="EC Square Sans Pro" w:hAnsi="Calibri" w:cs="Calibri"/>
                <w:b/>
                <w:bCs/>
                <w:noProof/>
                <w:sz w:val="16"/>
                <w:szCs w:val="16"/>
              </w:rPr>
              <w:t> </w:t>
            </w:r>
            <w:r>
              <w:rPr>
                <w:rFonts w:eastAsia="EC Square Sans Pro"/>
                <w:b/>
                <w:bCs/>
                <w:noProof/>
                <w:sz w:val="16"/>
                <w:szCs w:val="16"/>
              </w:rPr>
              <w:t>798</w:t>
            </w:r>
          </w:p>
        </w:tc>
        <w:tc>
          <w:tcPr>
            <w:tcW w:w="464"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i/>
                <w:iCs/>
                <w:noProof/>
                <w:sz w:val="16"/>
                <w:szCs w:val="16"/>
              </w:rPr>
              <w:t>97.4%</w:t>
            </w:r>
          </w:p>
        </w:tc>
        <w:tc>
          <w:tcPr>
            <w:tcW w:w="551"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18</w:t>
            </w:r>
            <w:r>
              <w:rPr>
                <w:rFonts w:ascii="Calibri" w:eastAsia="EC Square Sans Pro" w:hAnsi="Calibri" w:cs="Calibri"/>
                <w:b/>
                <w:bCs/>
                <w:noProof/>
                <w:sz w:val="16"/>
                <w:szCs w:val="16"/>
              </w:rPr>
              <w:t> </w:t>
            </w:r>
            <w:r>
              <w:rPr>
                <w:rFonts w:eastAsia="EC Square Sans Pro"/>
                <w:b/>
                <w:bCs/>
                <w:noProof/>
                <w:sz w:val="16"/>
                <w:szCs w:val="16"/>
              </w:rPr>
              <w:t>060</w:t>
            </w:r>
          </w:p>
        </w:tc>
        <w:tc>
          <w:tcPr>
            <w:tcW w:w="468"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i/>
                <w:iCs/>
                <w:noProof/>
                <w:sz w:val="16"/>
                <w:szCs w:val="16"/>
              </w:rPr>
              <w:t>96.5%</w:t>
            </w:r>
          </w:p>
        </w:tc>
      </w:tr>
      <w:tr w:rsidR="00311BB8" w:rsidTr="00311BB8">
        <w:tc>
          <w:tcPr>
            <w:cnfStyle w:val="001000000000" w:firstRow="0" w:lastRow="0" w:firstColumn="1" w:lastColumn="0" w:oddVBand="0" w:evenVBand="0" w:oddHBand="0" w:evenHBand="0" w:firstRowFirstColumn="0" w:firstRowLastColumn="0" w:lastRowFirstColumn="0" w:lastRowLastColumn="0"/>
            <w:tcW w:w="911" w:type="pct"/>
            <w:noWrap/>
          </w:tcPr>
          <w:p w:rsidR="00311BB8" w:rsidRDefault="00D91061">
            <w:pPr>
              <w:pStyle w:val="AMPRTABLEA-TextLEFTalligned-BLACK"/>
              <w:ind w:left="142"/>
              <w:rPr>
                <w:noProof/>
                <w:sz w:val="16"/>
                <w:szCs w:val="16"/>
              </w:rPr>
            </w:pPr>
            <w:r>
              <w:rPr>
                <w:noProof/>
                <w:sz w:val="16"/>
                <w:szCs w:val="16"/>
              </w:rPr>
              <w:t xml:space="preserve">European </w:t>
            </w:r>
            <w:r>
              <w:rPr>
                <w:iCs/>
                <w:noProof/>
                <w:sz w:val="16"/>
                <w:szCs w:val="16"/>
              </w:rPr>
              <w:t>Regional</w:t>
            </w:r>
            <w:r>
              <w:rPr>
                <w:noProof/>
                <w:sz w:val="16"/>
                <w:szCs w:val="16"/>
              </w:rPr>
              <w:t xml:space="preserve"> Development Fund</w:t>
            </w:r>
          </w:p>
        </w:tc>
        <w:tc>
          <w:tcPr>
            <w:tcW w:w="393"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w:t>
            </w:r>
            <w:r>
              <w:rPr>
                <w:rFonts w:ascii="Calibri" w:eastAsia="EC Square Sans Pro" w:hAnsi="Calibri" w:cs="Calibri"/>
                <w:noProof/>
                <w:sz w:val="16"/>
                <w:szCs w:val="16"/>
              </w:rPr>
              <w:t> </w:t>
            </w:r>
            <w:r>
              <w:rPr>
                <w:rFonts w:eastAsia="EC Square Sans Pro"/>
                <w:noProof/>
                <w:sz w:val="16"/>
                <w:szCs w:val="16"/>
              </w:rPr>
              <w:t>143</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5</w:t>
            </w:r>
            <w:r>
              <w:rPr>
                <w:rFonts w:ascii="Calibri" w:eastAsia="EC Square Sans Pro" w:hAnsi="Calibri" w:cs="Calibri"/>
                <w:noProof/>
                <w:sz w:val="16"/>
                <w:szCs w:val="16"/>
              </w:rPr>
              <w:t> </w:t>
            </w:r>
            <w:r>
              <w:rPr>
                <w:rFonts w:eastAsia="EC Square Sans Pro"/>
                <w:noProof/>
                <w:sz w:val="16"/>
                <w:szCs w:val="16"/>
              </w:rPr>
              <w:t>916</w:t>
            </w:r>
          </w:p>
        </w:tc>
        <w:tc>
          <w:tcPr>
            <w:tcW w:w="362"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4</w:t>
            </w:r>
            <w:r>
              <w:rPr>
                <w:rFonts w:ascii="Calibri" w:eastAsia="EC Square Sans Pro" w:hAnsi="Calibri" w:cs="Calibri"/>
                <w:noProof/>
                <w:sz w:val="16"/>
                <w:szCs w:val="16"/>
              </w:rPr>
              <w:t> </w:t>
            </w:r>
            <w:r>
              <w:rPr>
                <w:rFonts w:eastAsia="EC Square Sans Pro"/>
                <w:noProof/>
                <w:sz w:val="16"/>
                <w:szCs w:val="16"/>
              </w:rPr>
              <w:t>421</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575"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n/a</w:t>
            </w:r>
          </w:p>
        </w:tc>
        <w:tc>
          <w:tcPr>
            <w:tcW w:w="548"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11</w:t>
            </w:r>
            <w:r>
              <w:rPr>
                <w:rFonts w:ascii="Calibri" w:eastAsia="EC Square Sans Pro" w:hAnsi="Calibri" w:cs="Calibri"/>
                <w:noProof/>
                <w:sz w:val="16"/>
                <w:szCs w:val="16"/>
              </w:rPr>
              <w:t> </w:t>
            </w:r>
            <w:r>
              <w:rPr>
                <w:rFonts w:eastAsia="EC Square Sans Pro"/>
                <w:noProof/>
                <w:sz w:val="16"/>
                <w:szCs w:val="16"/>
              </w:rPr>
              <w:t>480</w:t>
            </w:r>
          </w:p>
        </w:tc>
        <w:tc>
          <w:tcPr>
            <w:tcW w:w="464"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97.7%</w:t>
            </w:r>
          </w:p>
        </w:tc>
        <w:tc>
          <w:tcPr>
            <w:tcW w:w="551"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11</w:t>
            </w:r>
            <w:r>
              <w:rPr>
                <w:rFonts w:ascii="Calibri" w:eastAsia="EC Square Sans Pro" w:hAnsi="Calibri" w:cs="Calibri"/>
                <w:noProof/>
                <w:sz w:val="16"/>
                <w:szCs w:val="16"/>
              </w:rPr>
              <w:t> </w:t>
            </w:r>
            <w:r>
              <w:rPr>
                <w:rFonts w:eastAsia="EC Square Sans Pro"/>
                <w:noProof/>
                <w:sz w:val="16"/>
                <w:szCs w:val="16"/>
              </w:rPr>
              <w:t>036</w:t>
            </w:r>
          </w:p>
        </w:tc>
        <w:tc>
          <w:tcPr>
            <w:tcW w:w="468"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98.1%</w:t>
            </w:r>
          </w:p>
        </w:tc>
      </w:tr>
      <w:tr w:rsidR="00311BB8" w:rsidTr="00311BB8">
        <w:tc>
          <w:tcPr>
            <w:cnfStyle w:val="001000000000" w:firstRow="0" w:lastRow="0" w:firstColumn="1" w:lastColumn="0" w:oddVBand="0" w:evenVBand="0" w:oddHBand="0" w:evenHBand="0" w:firstRowFirstColumn="0" w:firstRowLastColumn="0" w:lastRowFirstColumn="0" w:lastRowLastColumn="0"/>
            <w:tcW w:w="911" w:type="pct"/>
            <w:noWrap/>
          </w:tcPr>
          <w:p w:rsidR="00311BB8" w:rsidRDefault="00D91061">
            <w:pPr>
              <w:pStyle w:val="AMPRTABLEA-TextLEFTalligned-BLACK"/>
              <w:ind w:left="142"/>
              <w:rPr>
                <w:noProof/>
                <w:sz w:val="16"/>
                <w:szCs w:val="16"/>
              </w:rPr>
            </w:pPr>
            <w:r>
              <w:rPr>
                <w:noProof/>
                <w:sz w:val="16"/>
                <w:szCs w:val="16"/>
              </w:rPr>
              <w:t>Cohesion Fund</w:t>
            </w:r>
          </w:p>
        </w:tc>
        <w:tc>
          <w:tcPr>
            <w:tcW w:w="393"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268</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852</w:t>
            </w:r>
          </w:p>
        </w:tc>
        <w:tc>
          <w:tcPr>
            <w:tcW w:w="362"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w:t>
            </w:r>
            <w:r>
              <w:rPr>
                <w:rFonts w:ascii="Calibri" w:eastAsia="EC Square Sans Pro" w:hAnsi="Calibri" w:cs="Calibri"/>
                <w:noProof/>
                <w:sz w:val="16"/>
                <w:szCs w:val="16"/>
              </w:rPr>
              <w:t> </w:t>
            </w:r>
            <w:r>
              <w:rPr>
                <w:rFonts w:eastAsia="EC Square Sans Pro"/>
                <w:noProof/>
                <w:sz w:val="16"/>
                <w:szCs w:val="16"/>
              </w:rPr>
              <w:t>296</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575"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n/a</w:t>
            </w:r>
          </w:p>
        </w:tc>
        <w:tc>
          <w:tcPr>
            <w:tcW w:w="548"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2</w:t>
            </w:r>
            <w:r>
              <w:rPr>
                <w:rFonts w:ascii="Calibri" w:eastAsia="EC Square Sans Pro" w:hAnsi="Calibri" w:cs="Calibri"/>
                <w:noProof/>
                <w:sz w:val="16"/>
                <w:szCs w:val="16"/>
              </w:rPr>
              <w:t> </w:t>
            </w:r>
            <w:r>
              <w:rPr>
                <w:rFonts w:eastAsia="EC Square Sans Pro"/>
                <w:noProof/>
                <w:sz w:val="16"/>
                <w:szCs w:val="16"/>
              </w:rPr>
              <w:t>417</w:t>
            </w:r>
          </w:p>
        </w:tc>
        <w:tc>
          <w:tcPr>
            <w:tcW w:w="464"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95.2%</w:t>
            </w:r>
          </w:p>
        </w:tc>
        <w:tc>
          <w:tcPr>
            <w:tcW w:w="551"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2</w:t>
            </w:r>
            <w:r>
              <w:rPr>
                <w:rFonts w:ascii="Calibri" w:eastAsia="EC Square Sans Pro" w:hAnsi="Calibri" w:cs="Calibri"/>
                <w:noProof/>
                <w:sz w:val="16"/>
                <w:szCs w:val="16"/>
              </w:rPr>
              <w:t> </w:t>
            </w:r>
            <w:r>
              <w:rPr>
                <w:rFonts w:eastAsia="EC Square Sans Pro"/>
                <w:noProof/>
                <w:sz w:val="16"/>
                <w:szCs w:val="16"/>
              </w:rPr>
              <w:t>349</w:t>
            </w:r>
          </w:p>
        </w:tc>
        <w:tc>
          <w:tcPr>
            <w:tcW w:w="468"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94.1%</w:t>
            </w:r>
          </w:p>
        </w:tc>
      </w:tr>
      <w:tr w:rsidR="00311BB8" w:rsidTr="00311BB8">
        <w:tc>
          <w:tcPr>
            <w:cnfStyle w:val="001000000000" w:firstRow="0" w:lastRow="0" w:firstColumn="1" w:lastColumn="0" w:oddVBand="0" w:evenVBand="0" w:oddHBand="0" w:evenHBand="0" w:firstRowFirstColumn="0" w:firstRowLastColumn="0" w:lastRowFirstColumn="0" w:lastRowLastColumn="0"/>
            <w:tcW w:w="911" w:type="pct"/>
            <w:noWrap/>
            <w:hideMark/>
          </w:tcPr>
          <w:p w:rsidR="00311BB8" w:rsidRDefault="00D91061">
            <w:pPr>
              <w:pStyle w:val="AMPRTABLEA-TextLEFTalligned-BLACK"/>
              <w:ind w:left="142"/>
              <w:rPr>
                <w:noProof/>
                <w:sz w:val="16"/>
                <w:szCs w:val="16"/>
              </w:rPr>
            </w:pPr>
            <w:r>
              <w:rPr>
                <w:noProof/>
                <w:sz w:val="16"/>
                <w:szCs w:val="16"/>
              </w:rPr>
              <w:t>European Social Fund</w:t>
            </w:r>
          </w:p>
        </w:tc>
        <w:tc>
          <w:tcPr>
            <w:tcW w:w="393"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569</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2</w:t>
            </w:r>
            <w:r>
              <w:rPr>
                <w:rFonts w:ascii="Calibri" w:eastAsia="EC Square Sans Pro" w:hAnsi="Calibri" w:cs="Calibri"/>
                <w:noProof/>
                <w:sz w:val="16"/>
                <w:szCs w:val="16"/>
              </w:rPr>
              <w:t> </w:t>
            </w:r>
            <w:r>
              <w:rPr>
                <w:rFonts w:eastAsia="EC Square Sans Pro"/>
                <w:noProof/>
                <w:sz w:val="16"/>
                <w:szCs w:val="16"/>
              </w:rPr>
              <w:t>380</w:t>
            </w:r>
          </w:p>
        </w:tc>
        <w:tc>
          <w:tcPr>
            <w:tcW w:w="362"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w:t>
            </w:r>
            <w:r>
              <w:rPr>
                <w:rFonts w:ascii="Calibri" w:eastAsia="EC Square Sans Pro" w:hAnsi="Calibri" w:cs="Calibri"/>
                <w:noProof/>
                <w:sz w:val="16"/>
                <w:szCs w:val="16"/>
              </w:rPr>
              <w:t> </w:t>
            </w:r>
            <w:r>
              <w:rPr>
                <w:rFonts w:eastAsia="EC Square Sans Pro"/>
                <w:noProof/>
                <w:sz w:val="16"/>
                <w:szCs w:val="16"/>
              </w:rPr>
              <w:t>584</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575"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n/a</w:t>
            </w:r>
          </w:p>
        </w:tc>
        <w:tc>
          <w:tcPr>
            <w:tcW w:w="548"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4</w:t>
            </w:r>
            <w:r>
              <w:rPr>
                <w:rFonts w:ascii="Calibri" w:eastAsia="EC Square Sans Pro" w:hAnsi="Calibri" w:cs="Calibri"/>
                <w:noProof/>
                <w:sz w:val="16"/>
                <w:szCs w:val="16"/>
              </w:rPr>
              <w:t> </w:t>
            </w:r>
            <w:r>
              <w:rPr>
                <w:rFonts w:eastAsia="EC Square Sans Pro"/>
                <w:noProof/>
                <w:sz w:val="16"/>
                <w:szCs w:val="16"/>
              </w:rPr>
              <w:t>532</w:t>
            </w:r>
          </w:p>
        </w:tc>
        <w:tc>
          <w:tcPr>
            <w:tcW w:w="464"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97.8%</w:t>
            </w:r>
          </w:p>
        </w:tc>
        <w:tc>
          <w:tcPr>
            <w:tcW w:w="551"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4</w:t>
            </w:r>
            <w:r>
              <w:rPr>
                <w:rFonts w:ascii="Calibri" w:eastAsia="EC Square Sans Pro" w:hAnsi="Calibri" w:cs="Calibri"/>
                <w:noProof/>
                <w:sz w:val="16"/>
                <w:szCs w:val="16"/>
              </w:rPr>
              <w:t> </w:t>
            </w:r>
            <w:r>
              <w:rPr>
                <w:rFonts w:eastAsia="EC Square Sans Pro"/>
                <w:noProof/>
                <w:sz w:val="16"/>
                <w:szCs w:val="16"/>
              </w:rPr>
              <w:t>233</w:t>
            </w:r>
          </w:p>
        </w:tc>
        <w:tc>
          <w:tcPr>
            <w:tcW w:w="468"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93.4%</w:t>
            </w:r>
          </w:p>
        </w:tc>
      </w:tr>
      <w:tr w:rsidR="00311BB8" w:rsidTr="00311BB8">
        <w:tc>
          <w:tcPr>
            <w:cnfStyle w:val="001000000000" w:firstRow="0" w:lastRow="0" w:firstColumn="1" w:lastColumn="0" w:oddVBand="0" w:evenVBand="0" w:oddHBand="0" w:evenHBand="0" w:firstRowFirstColumn="0" w:firstRowLastColumn="0" w:lastRowFirstColumn="0" w:lastRowLastColumn="0"/>
            <w:tcW w:w="911" w:type="pct"/>
            <w:noWrap/>
            <w:hideMark/>
          </w:tcPr>
          <w:p w:rsidR="00311BB8" w:rsidRDefault="00D91061">
            <w:pPr>
              <w:pStyle w:val="AMPRTABLEA-TextLEFTalligned-BLACK"/>
              <w:ind w:left="142"/>
              <w:rPr>
                <w:noProof/>
                <w:sz w:val="16"/>
                <w:szCs w:val="16"/>
                <w:lang w:val="en-GB"/>
              </w:rPr>
            </w:pPr>
            <w:r>
              <w:rPr>
                <w:noProof/>
                <w:sz w:val="16"/>
                <w:szCs w:val="16"/>
                <w:lang w:val="en-GB"/>
              </w:rPr>
              <w:t>Financial Instrument for Fisheries Guidance</w:t>
            </w:r>
            <w:r>
              <w:rPr>
                <w:rFonts w:ascii="Calibri" w:hAnsi="Calibri" w:cs="Calibri"/>
                <w:noProof/>
                <w:sz w:val="16"/>
                <w:szCs w:val="16"/>
                <w:lang w:val="en-GB"/>
              </w:rPr>
              <w:t> </w:t>
            </w:r>
            <w:r>
              <w:rPr>
                <w:noProof/>
                <w:sz w:val="16"/>
                <w:szCs w:val="16"/>
                <w:lang w:val="en-GB"/>
              </w:rPr>
              <w:t>/ European Fisheries Fund </w:t>
            </w:r>
            <w:r>
              <w:rPr>
                <w:iCs/>
                <w:noProof/>
                <w:sz w:val="16"/>
                <w:szCs w:val="16"/>
                <w:lang w:val="en-GB"/>
              </w:rPr>
              <w:t>/ European Maritime and Fisheries Fund</w:t>
            </w:r>
          </w:p>
        </w:tc>
        <w:tc>
          <w:tcPr>
            <w:tcW w:w="393"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100</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140</w:t>
            </w:r>
          </w:p>
        </w:tc>
        <w:tc>
          <w:tcPr>
            <w:tcW w:w="362"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28</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575"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n/a</w:t>
            </w:r>
          </w:p>
        </w:tc>
        <w:tc>
          <w:tcPr>
            <w:tcW w:w="548"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268</w:t>
            </w:r>
          </w:p>
        </w:tc>
        <w:tc>
          <w:tcPr>
            <w:tcW w:w="464"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99.3%</w:t>
            </w:r>
          </w:p>
        </w:tc>
        <w:tc>
          <w:tcPr>
            <w:tcW w:w="551"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267</w:t>
            </w:r>
          </w:p>
        </w:tc>
        <w:tc>
          <w:tcPr>
            <w:tcW w:w="468"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99.3%</w:t>
            </w:r>
          </w:p>
        </w:tc>
      </w:tr>
      <w:tr w:rsidR="00311BB8" w:rsidTr="00311BB8">
        <w:tc>
          <w:tcPr>
            <w:cnfStyle w:val="001000000000" w:firstRow="0" w:lastRow="0" w:firstColumn="1" w:lastColumn="0" w:oddVBand="0" w:evenVBand="0" w:oddHBand="0" w:evenHBand="0" w:firstRowFirstColumn="0" w:firstRowLastColumn="0" w:lastRowFirstColumn="0" w:lastRowLastColumn="0"/>
            <w:tcW w:w="911" w:type="pct"/>
            <w:noWrap/>
            <w:hideMark/>
          </w:tcPr>
          <w:p w:rsidR="00311BB8" w:rsidRDefault="00D91061">
            <w:pPr>
              <w:pStyle w:val="AMPRTABLEA-TextLEFTalligned-BLACK"/>
              <w:ind w:left="142"/>
              <w:rPr>
                <w:noProof/>
                <w:sz w:val="16"/>
                <w:szCs w:val="16"/>
                <w:lang w:val="en-GB"/>
              </w:rPr>
            </w:pPr>
            <w:r>
              <w:rPr>
                <w:noProof/>
                <w:sz w:val="16"/>
                <w:szCs w:val="16"/>
                <w:lang w:val="en-GB"/>
              </w:rPr>
              <w:t>European Agricultural Guidance and Guarantee Fund</w:t>
            </w:r>
          </w:p>
        </w:tc>
        <w:tc>
          <w:tcPr>
            <w:tcW w:w="393"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3</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99</w:t>
            </w:r>
          </w:p>
        </w:tc>
        <w:tc>
          <w:tcPr>
            <w:tcW w:w="362"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0</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w:t>
            </w:r>
          </w:p>
        </w:tc>
        <w:tc>
          <w:tcPr>
            <w:tcW w:w="575"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n/a</w:t>
            </w:r>
          </w:p>
        </w:tc>
        <w:tc>
          <w:tcPr>
            <w:tcW w:w="548"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102</w:t>
            </w:r>
          </w:p>
        </w:tc>
        <w:tc>
          <w:tcPr>
            <w:tcW w:w="464"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100.0%</w:t>
            </w:r>
          </w:p>
        </w:tc>
        <w:tc>
          <w:tcPr>
            <w:tcW w:w="551"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sz w:val="16"/>
                <w:szCs w:val="16"/>
              </w:rPr>
            </w:pPr>
            <w:r>
              <w:rPr>
                <w:rFonts w:eastAsia="EC Square Sans Pro"/>
                <w:noProof/>
                <w:sz w:val="16"/>
                <w:szCs w:val="16"/>
              </w:rPr>
              <w:t>174</w:t>
            </w:r>
          </w:p>
        </w:tc>
        <w:tc>
          <w:tcPr>
            <w:tcW w:w="468"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sz w:val="16"/>
                <w:szCs w:val="16"/>
              </w:rPr>
            </w:pPr>
            <w:r>
              <w:rPr>
                <w:rFonts w:eastAsia="EC Square Sans Pro"/>
                <w:i/>
                <w:iCs/>
                <w:noProof/>
                <w:sz w:val="16"/>
                <w:szCs w:val="16"/>
              </w:rPr>
              <w:t>100.0%</w:t>
            </w:r>
          </w:p>
        </w:tc>
      </w:tr>
      <w:tr w:rsidR="00311BB8" w:rsidTr="00311BB8">
        <w:tc>
          <w:tcPr>
            <w:cnfStyle w:val="001000000000" w:firstRow="0" w:lastRow="0" w:firstColumn="1" w:lastColumn="0" w:oddVBand="0" w:evenVBand="0" w:oddHBand="0" w:evenHBand="0" w:firstRowFirstColumn="0" w:firstRowLastColumn="0" w:lastRowFirstColumn="0" w:lastRowLastColumn="0"/>
            <w:tcW w:w="911" w:type="pct"/>
            <w:noWrap/>
            <w:hideMark/>
          </w:tcPr>
          <w:p w:rsidR="00311BB8" w:rsidRDefault="00D91061">
            <w:pPr>
              <w:pStyle w:val="AMPRTABLEA-TextLEFTalligned-BLACK"/>
              <w:rPr>
                <w:b/>
                <w:bCs/>
                <w:noProof/>
                <w:sz w:val="16"/>
                <w:szCs w:val="16"/>
              </w:rPr>
            </w:pPr>
            <w:r>
              <w:rPr>
                <w:b/>
                <w:bCs/>
                <w:noProof/>
                <w:sz w:val="16"/>
                <w:szCs w:val="16"/>
              </w:rPr>
              <w:t>Other</w:t>
            </w:r>
          </w:p>
        </w:tc>
        <w:tc>
          <w:tcPr>
            <w:tcW w:w="393"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0</w:t>
            </w:r>
          </w:p>
        </w:tc>
        <w:tc>
          <w:tcPr>
            <w:tcW w:w="362"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56</w:t>
            </w:r>
          </w:p>
        </w:tc>
        <w:tc>
          <w:tcPr>
            <w:tcW w:w="364"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3</w:t>
            </w:r>
          </w:p>
        </w:tc>
        <w:tc>
          <w:tcPr>
            <w:tcW w:w="575"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n/a</w:t>
            </w:r>
          </w:p>
        </w:tc>
        <w:tc>
          <w:tcPr>
            <w:tcW w:w="548" w:type="pct"/>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59</w:t>
            </w:r>
          </w:p>
        </w:tc>
        <w:tc>
          <w:tcPr>
            <w:tcW w:w="464"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i/>
                <w:iCs/>
                <w:noProof/>
                <w:sz w:val="16"/>
                <w:szCs w:val="16"/>
              </w:rPr>
              <w:t>100.0%</w:t>
            </w:r>
          </w:p>
        </w:tc>
        <w:tc>
          <w:tcPr>
            <w:tcW w:w="551"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sz w:val="16"/>
                <w:szCs w:val="16"/>
              </w:rPr>
            </w:pPr>
            <w:r>
              <w:rPr>
                <w:rFonts w:eastAsia="EC Square Sans Pro"/>
                <w:b/>
                <w:bCs/>
                <w:noProof/>
                <w:sz w:val="16"/>
                <w:szCs w:val="16"/>
              </w:rPr>
              <w:t>46</w:t>
            </w:r>
          </w:p>
        </w:tc>
        <w:tc>
          <w:tcPr>
            <w:tcW w:w="468" w:type="pct"/>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i/>
                <w:noProof/>
                <w:sz w:val="16"/>
                <w:szCs w:val="16"/>
              </w:rPr>
            </w:pPr>
            <w:r>
              <w:rPr>
                <w:rFonts w:eastAsia="EC Square Sans Pro"/>
                <w:b/>
                <w:bCs/>
                <w:i/>
                <w:iCs/>
                <w:noProof/>
                <w:sz w:val="16"/>
                <w:szCs w:val="16"/>
              </w:rPr>
              <w:t>99.6%</w:t>
            </w:r>
          </w:p>
        </w:tc>
      </w:tr>
      <w:tr w:rsidR="00311BB8" w:rsidTr="00311B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pct"/>
            <w:noWrap/>
            <w:hideMark/>
          </w:tcPr>
          <w:p w:rsidR="00311BB8" w:rsidRDefault="00D91061">
            <w:pPr>
              <w:pStyle w:val="AMPRTABLEA-TOTALLEFTalligned-BLACK"/>
              <w:rPr>
                <w:rFonts w:eastAsia="EC Square Sans Pro"/>
                <w:noProof/>
                <w:sz w:val="16"/>
                <w:szCs w:val="16"/>
              </w:rPr>
            </w:pPr>
            <w:r>
              <w:rPr>
                <w:rFonts w:eastAsia="EC Square Sans Pro"/>
                <w:noProof/>
                <w:sz w:val="16"/>
                <w:szCs w:val="16"/>
              </w:rPr>
              <w:t>Total</w:t>
            </w:r>
          </w:p>
        </w:tc>
        <w:tc>
          <w:tcPr>
            <w:tcW w:w="393" w:type="pct"/>
            <w:noWrap/>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z w:val="16"/>
                <w:szCs w:val="16"/>
              </w:rPr>
            </w:pPr>
            <w:r>
              <w:rPr>
                <w:noProof/>
                <w:sz w:val="16"/>
                <w:szCs w:val="16"/>
              </w:rPr>
              <w:t>2</w:t>
            </w:r>
            <w:r>
              <w:rPr>
                <w:rFonts w:ascii="Calibri" w:hAnsi="Calibri" w:cs="Calibri"/>
                <w:noProof/>
                <w:sz w:val="16"/>
                <w:szCs w:val="16"/>
              </w:rPr>
              <w:t> </w:t>
            </w:r>
            <w:r>
              <w:rPr>
                <w:noProof/>
                <w:sz w:val="16"/>
                <w:szCs w:val="16"/>
              </w:rPr>
              <w:t>083</w:t>
            </w:r>
          </w:p>
        </w:tc>
        <w:tc>
          <w:tcPr>
            <w:tcW w:w="364" w:type="pct"/>
            <w:noWrap/>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z w:val="16"/>
                <w:szCs w:val="16"/>
              </w:rPr>
            </w:pPr>
            <w:r>
              <w:rPr>
                <w:noProof/>
                <w:sz w:val="16"/>
                <w:szCs w:val="16"/>
              </w:rPr>
              <w:t>9</w:t>
            </w:r>
            <w:r>
              <w:rPr>
                <w:rFonts w:ascii="Calibri" w:hAnsi="Calibri" w:cs="Calibri"/>
                <w:noProof/>
                <w:sz w:val="16"/>
                <w:szCs w:val="16"/>
              </w:rPr>
              <w:t> </w:t>
            </w:r>
            <w:r>
              <w:rPr>
                <w:noProof/>
                <w:sz w:val="16"/>
                <w:szCs w:val="16"/>
              </w:rPr>
              <w:t>531</w:t>
            </w:r>
          </w:p>
        </w:tc>
        <w:tc>
          <w:tcPr>
            <w:tcW w:w="362" w:type="pct"/>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z w:val="16"/>
                <w:szCs w:val="16"/>
              </w:rPr>
            </w:pPr>
            <w:r>
              <w:rPr>
                <w:noProof/>
                <w:sz w:val="16"/>
                <w:szCs w:val="16"/>
              </w:rPr>
              <w:t>8</w:t>
            </w:r>
            <w:r>
              <w:rPr>
                <w:rFonts w:ascii="Calibri" w:hAnsi="Calibri" w:cs="Calibri"/>
                <w:noProof/>
                <w:sz w:val="16"/>
                <w:szCs w:val="16"/>
              </w:rPr>
              <w:t> </w:t>
            </w:r>
            <w:r>
              <w:rPr>
                <w:noProof/>
                <w:sz w:val="16"/>
                <w:szCs w:val="16"/>
              </w:rPr>
              <w:t>996</w:t>
            </w:r>
          </w:p>
        </w:tc>
        <w:tc>
          <w:tcPr>
            <w:tcW w:w="364" w:type="pct"/>
            <w:noWrap/>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z w:val="16"/>
                <w:szCs w:val="16"/>
              </w:rPr>
            </w:pPr>
            <w:r>
              <w:rPr>
                <w:noProof/>
                <w:sz w:val="16"/>
                <w:szCs w:val="16"/>
              </w:rPr>
              <w:t>59</w:t>
            </w:r>
          </w:p>
        </w:tc>
        <w:tc>
          <w:tcPr>
            <w:tcW w:w="575" w:type="pct"/>
            <w:noWrap/>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z w:val="16"/>
                <w:szCs w:val="16"/>
              </w:rPr>
            </w:pPr>
            <w:r>
              <w:rPr>
                <w:noProof/>
                <w:sz w:val="16"/>
                <w:szCs w:val="16"/>
              </w:rPr>
              <w:t>14</w:t>
            </w:r>
            <w:r>
              <w:rPr>
                <w:rFonts w:ascii="Calibri" w:hAnsi="Calibri" w:cs="Calibri"/>
                <w:noProof/>
                <w:sz w:val="16"/>
                <w:szCs w:val="16"/>
              </w:rPr>
              <w:t> </w:t>
            </w:r>
            <w:r>
              <w:rPr>
                <w:noProof/>
                <w:sz w:val="16"/>
                <w:szCs w:val="16"/>
              </w:rPr>
              <w:t>529</w:t>
            </w:r>
          </w:p>
        </w:tc>
        <w:tc>
          <w:tcPr>
            <w:tcW w:w="548" w:type="pct"/>
            <w:noWrap/>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z w:val="16"/>
                <w:szCs w:val="16"/>
              </w:rPr>
            </w:pPr>
            <w:r>
              <w:rPr>
                <w:noProof/>
                <w:sz w:val="16"/>
                <w:szCs w:val="16"/>
              </w:rPr>
              <w:t>35</w:t>
            </w:r>
            <w:r>
              <w:rPr>
                <w:rFonts w:ascii="Calibri" w:hAnsi="Calibri" w:cs="Calibri"/>
                <w:noProof/>
                <w:sz w:val="16"/>
                <w:szCs w:val="16"/>
              </w:rPr>
              <w:t> </w:t>
            </w:r>
            <w:r>
              <w:rPr>
                <w:noProof/>
                <w:sz w:val="16"/>
                <w:szCs w:val="16"/>
              </w:rPr>
              <w:t>198</w:t>
            </w:r>
          </w:p>
        </w:tc>
        <w:tc>
          <w:tcPr>
            <w:tcW w:w="464" w:type="pct"/>
            <w:noWrap/>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i/>
                <w:noProof/>
                <w:sz w:val="16"/>
                <w:szCs w:val="16"/>
              </w:rPr>
            </w:pPr>
            <w:r>
              <w:rPr>
                <w:i/>
                <w:iCs/>
                <w:noProof/>
                <w:sz w:val="16"/>
                <w:szCs w:val="16"/>
              </w:rPr>
              <w:t>98.6%</w:t>
            </w:r>
          </w:p>
        </w:tc>
        <w:tc>
          <w:tcPr>
            <w:tcW w:w="551" w:type="pct"/>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z w:val="16"/>
                <w:szCs w:val="16"/>
              </w:rPr>
            </w:pPr>
            <w:r>
              <w:rPr>
                <w:noProof/>
                <w:sz w:val="16"/>
                <w:szCs w:val="16"/>
              </w:rPr>
              <w:t>34</w:t>
            </w:r>
            <w:r>
              <w:rPr>
                <w:rFonts w:ascii="Calibri" w:hAnsi="Calibri" w:cs="Calibri"/>
                <w:noProof/>
                <w:sz w:val="16"/>
                <w:szCs w:val="16"/>
              </w:rPr>
              <w:t> </w:t>
            </w:r>
            <w:r>
              <w:rPr>
                <w:noProof/>
                <w:sz w:val="16"/>
                <w:szCs w:val="16"/>
              </w:rPr>
              <w:t>146</w:t>
            </w:r>
          </w:p>
        </w:tc>
        <w:tc>
          <w:tcPr>
            <w:tcW w:w="468" w:type="pct"/>
            <w:noWrap/>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i/>
                <w:noProof/>
                <w:sz w:val="16"/>
                <w:szCs w:val="16"/>
              </w:rPr>
            </w:pPr>
            <w:r>
              <w:rPr>
                <w:i/>
                <w:iCs/>
                <w:noProof/>
                <w:sz w:val="16"/>
                <w:szCs w:val="16"/>
              </w:rPr>
              <w:t>96.2%</w:t>
            </w:r>
          </w:p>
        </w:tc>
      </w:tr>
    </w:tbl>
    <w:p w:rsidR="00311BB8" w:rsidRDefault="00D91061">
      <w:pPr>
        <w:pStyle w:val="AMPRChart-Tabletitle"/>
        <w:rPr>
          <w:noProof/>
        </w:rPr>
      </w:pPr>
      <w:r>
        <w:rPr>
          <w:noProof/>
        </w:rPr>
        <w:t>Cumulative confirmed financial corrections and their implementation percentage to the end of 2019</w:t>
      </w:r>
    </w:p>
    <w:p w:rsidR="00311BB8" w:rsidRDefault="00D91061">
      <w:pPr>
        <w:pStyle w:val="AMPRBodyText"/>
        <w:rPr>
          <w:noProof/>
        </w:rPr>
      </w:pPr>
      <w:bookmarkStart w:id="71" w:name="_Toc512866528"/>
      <w:bookmarkStart w:id="72" w:name="_Toc8386201"/>
      <w:r>
        <w:rPr>
          <w:noProof/>
        </w:rPr>
        <w:br w:type="page"/>
      </w:r>
    </w:p>
    <w:p w:rsidR="00311BB8" w:rsidRDefault="00D91061">
      <w:pPr>
        <w:pStyle w:val="AMPRAnnexesTITLE5"/>
        <w:rPr>
          <w:noProof/>
        </w:rPr>
      </w:pPr>
      <w:r>
        <w:rPr>
          <w:noProof/>
        </w:rPr>
        <w:t>Cumulative recoveries 2013-2019</w:t>
      </w:r>
      <w:bookmarkEnd w:id="71"/>
      <w:bookmarkEnd w:id="72"/>
    </w:p>
    <w:p w:rsidR="00311BB8" w:rsidRDefault="00D91061">
      <w:pPr>
        <w:pStyle w:val="AMPRBodyText"/>
        <w:rPr>
          <w:noProof/>
          <w:lang w:eastAsia="fr-BE"/>
        </w:rPr>
      </w:pPr>
      <w:r>
        <w:rPr>
          <w:noProof/>
          <w:lang w:eastAsia="fr-BE"/>
        </w:rPr>
        <w:t>The tables below provide the amounts of recoveries confirmed and implemented for the period 2013-2019.</w:t>
      </w:r>
    </w:p>
    <w:p w:rsidR="00311BB8" w:rsidRDefault="00D91061">
      <w:pPr>
        <w:pStyle w:val="AMPRBodyText"/>
        <w:rPr>
          <w:noProof/>
          <w:lang w:eastAsia="fr-BE"/>
        </w:rPr>
      </w:pPr>
      <w:r>
        <w:rPr>
          <w:noProof/>
          <w:lang w:eastAsia="fr-BE"/>
        </w:rPr>
        <w:t>See also ‘Impact on the EU budget’, below.</w:t>
      </w:r>
    </w:p>
    <w:tbl>
      <w:tblPr>
        <w:tblStyle w:val="AMPRTABLEA-Template"/>
        <w:tblW w:w="9072" w:type="dxa"/>
        <w:tblLayout w:type="fixed"/>
        <w:tblLook w:val="04E0" w:firstRow="1" w:lastRow="1" w:firstColumn="1" w:lastColumn="0" w:noHBand="0" w:noVBand="1"/>
      </w:tblPr>
      <w:tblGrid>
        <w:gridCol w:w="2273"/>
        <w:gridCol w:w="970"/>
        <w:gridCol w:w="971"/>
        <w:gridCol w:w="972"/>
        <w:gridCol w:w="971"/>
        <w:gridCol w:w="972"/>
        <w:gridCol w:w="971"/>
        <w:gridCol w:w="972"/>
      </w:tblGrid>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vMerge w:val="restart"/>
            <w:tcBorders>
              <w:bottom w:val="single" w:sz="4" w:space="0" w:color="FFFFFF" w:themeColor="background1"/>
            </w:tcBorders>
            <w:noWrap/>
            <w:hideMark/>
          </w:tcPr>
          <w:p w:rsidR="00311BB8" w:rsidRDefault="00D91061">
            <w:pPr>
              <w:pStyle w:val="AMPRTABLEA-HEADERText-WHITE"/>
              <w:spacing w:before="144" w:after="144"/>
              <w:rPr>
                <w:b w:val="0"/>
                <w:noProof/>
              </w:rPr>
            </w:pPr>
            <w:bookmarkStart w:id="73" w:name="_Toc365022341"/>
            <w:r>
              <w:rPr>
                <w:noProof/>
              </w:rPr>
              <w:t>Fund</w:t>
            </w:r>
          </w:p>
        </w:tc>
        <w:tc>
          <w:tcPr>
            <w:tcW w:w="6779" w:type="dxa"/>
            <w:gridSpan w:val="7"/>
            <w:tcBorders>
              <w:bottom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b w:val="0"/>
                <w:noProof/>
              </w:rPr>
            </w:pPr>
            <w:r>
              <w:rPr>
                <w:noProof/>
              </w:rPr>
              <w:t>Year</w:t>
            </w:r>
          </w:p>
        </w:tc>
      </w:tr>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vMerge/>
            <w:tcBorders>
              <w:top w:val="single" w:sz="4" w:space="0" w:color="FFFFFF"/>
              <w:right w:val="single" w:sz="4" w:space="0" w:color="FFFFFF"/>
            </w:tcBorders>
            <w:noWrap/>
            <w:hideMark/>
          </w:tcPr>
          <w:p w:rsidR="00311BB8" w:rsidRDefault="00311BB8">
            <w:pPr>
              <w:pStyle w:val="AMPRTABLEA-HEADERText-WHITE"/>
              <w:spacing w:before="144" w:after="144"/>
              <w:rPr>
                <w:noProof/>
              </w:rPr>
            </w:pPr>
          </w:p>
        </w:tc>
        <w:tc>
          <w:tcPr>
            <w:tcW w:w="968"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2013</w:t>
            </w:r>
          </w:p>
        </w:tc>
        <w:tc>
          <w:tcPr>
            <w:tcW w:w="968"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2014</w:t>
            </w:r>
          </w:p>
        </w:tc>
        <w:tc>
          <w:tcPr>
            <w:tcW w:w="969"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2015</w:t>
            </w:r>
          </w:p>
        </w:tc>
        <w:tc>
          <w:tcPr>
            <w:tcW w:w="968"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2016</w:t>
            </w:r>
          </w:p>
        </w:tc>
        <w:tc>
          <w:tcPr>
            <w:tcW w:w="969"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2017</w:t>
            </w:r>
          </w:p>
        </w:tc>
        <w:tc>
          <w:tcPr>
            <w:tcW w:w="968"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2018</w:t>
            </w:r>
          </w:p>
        </w:tc>
        <w:tc>
          <w:tcPr>
            <w:tcW w:w="969"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2019</w:t>
            </w:r>
          </w:p>
        </w:tc>
      </w:tr>
      <w:tr w:rsidR="00311BB8" w:rsidTr="00311BB8">
        <w:tc>
          <w:tcPr>
            <w:cnfStyle w:val="001000000000" w:firstRow="0" w:lastRow="0" w:firstColumn="1" w:lastColumn="0" w:oddVBand="0" w:evenVBand="0" w:oddHBand="0" w:evenHBand="0" w:firstRowFirstColumn="0" w:firstRowLastColumn="0" w:lastRowFirstColumn="0" w:lastRowLastColumn="0"/>
            <w:tcW w:w="2268" w:type="dxa"/>
            <w:tcBorders>
              <w:top w:val="nil"/>
            </w:tcBorders>
            <w:noWrap/>
            <w:hideMark/>
          </w:tcPr>
          <w:p w:rsidR="00311BB8" w:rsidRDefault="00D91061">
            <w:pPr>
              <w:pStyle w:val="AMPRTABLEA-TextLEFTalligned-BLACK"/>
              <w:rPr>
                <w:noProof/>
              </w:rPr>
            </w:pPr>
            <w:r>
              <w:rPr>
                <w:noProof/>
              </w:rPr>
              <w:t>Agricultural policy:</w:t>
            </w:r>
          </w:p>
        </w:tc>
        <w:tc>
          <w:tcPr>
            <w:tcW w:w="968" w:type="dxa"/>
            <w:tcBorders>
              <w:top w:val="nil"/>
            </w:tcBorders>
            <w:noWrap/>
            <w:hideMark/>
          </w:tcPr>
          <w:p w:rsidR="00311BB8" w:rsidRDefault="00311BB8">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EC Square Sans Pro" w:cs="Arial"/>
                <w:noProof/>
                <w:color w:val="000000"/>
                <w:sz w:val="16"/>
                <w:szCs w:val="16"/>
              </w:rPr>
            </w:pPr>
          </w:p>
        </w:tc>
        <w:tc>
          <w:tcPr>
            <w:tcW w:w="968" w:type="dxa"/>
            <w:tcBorders>
              <w:top w:val="nil"/>
            </w:tcBorders>
            <w:noWrap/>
            <w:hideMark/>
          </w:tcPr>
          <w:p w:rsidR="00311BB8" w:rsidRDefault="00311BB8">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EC Square Sans Pro" w:cs="Arial"/>
                <w:noProof/>
                <w:color w:val="000000"/>
                <w:sz w:val="16"/>
                <w:szCs w:val="16"/>
              </w:rPr>
            </w:pPr>
          </w:p>
        </w:tc>
        <w:tc>
          <w:tcPr>
            <w:tcW w:w="969" w:type="dxa"/>
            <w:tcBorders>
              <w:top w:val="nil"/>
            </w:tcBorders>
            <w:noWrap/>
            <w:hideMark/>
          </w:tcPr>
          <w:p w:rsidR="00311BB8" w:rsidRDefault="00311BB8">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EC Square Sans Pro" w:cs="Arial"/>
                <w:noProof/>
                <w:color w:val="000000"/>
                <w:sz w:val="16"/>
                <w:szCs w:val="16"/>
              </w:rPr>
            </w:pPr>
          </w:p>
        </w:tc>
        <w:tc>
          <w:tcPr>
            <w:tcW w:w="968" w:type="dxa"/>
            <w:tcBorders>
              <w:top w:val="nil"/>
            </w:tcBorders>
            <w:hideMark/>
          </w:tcPr>
          <w:p w:rsidR="00311BB8" w:rsidRDefault="00311BB8">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EC Square Sans Pro" w:cs="Arial"/>
                <w:noProof/>
                <w:color w:val="000000"/>
                <w:sz w:val="16"/>
                <w:szCs w:val="16"/>
              </w:rPr>
            </w:pPr>
          </w:p>
        </w:tc>
        <w:tc>
          <w:tcPr>
            <w:tcW w:w="969" w:type="dxa"/>
            <w:tcBorders>
              <w:top w:val="nil"/>
            </w:tcBorders>
            <w:noWrap/>
            <w:hideMark/>
          </w:tcPr>
          <w:p w:rsidR="00311BB8" w:rsidRDefault="00311BB8">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EC Square Sans Pro" w:cs="Arial"/>
                <w:noProof/>
                <w:color w:val="000000"/>
                <w:sz w:val="16"/>
                <w:szCs w:val="16"/>
              </w:rPr>
            </w:pPr>
          </w:p>
        </w:tc>
        <w:tc>
          <w:tcPr>
            <w:tcW w:w="968" w:type="dxa"/>
            <w:tcBorders>
              <w:top w:val="nil"/>
            </w:tcBorders>
            <w:noWrap/>
            <w:hideMark/>
          </w:tcPr>
          <w:p w:rsidR="00311BB8" w:rsidRDefault="00311BB8">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EC Square Sans Pro" w:cs="Arial"/>
                <w:noProof/>
                <w:color w:val="000000"/>
                <w:sz w:val="16"/>
                <w:szCs w:val="16"/>
              </w:rPr>
            </w:pPr>
          </w:p>
        </w:tc>
        <w:tc>
          <w:tcPr>
            <w:tcW w:w="969" w:type="dxa"/>
            <w:tcBorders>
              <w:top w:val="nil"/>
            </w:tcBorders>
            <w:noWrap/>
            <w:hideMark/>
          </w:tcPr>
          <w:p w:rsidR="00311BB8" w:rsidRDefault="00311BB8">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EC Square Sans Pro" w:cs="Arial"/>
                <w:noProof/>
                <w:color w:val="000000"/>
                <w:sz w:val="16"/>
                <w:szCs w:val="16"/>
              </w:rPr>
            </w:pPr>
          </w:p>
        </w:tc>
      </w:tr>
      <w:tr w:rsidR="00311BB8" w:rsidTr="00311BB8">
        <w:tc>
          <w:tcPr>
            <w:cnfStyle w:val="001000000000" w:firstRow="0" w:lastRow="0" w:firstColumn="1" w:lastColumn="0" w:oddVBand="0" w:evenVBand="0" w:oddHBand="0" w:evenHBand="0" w:firstRowFirstColumn="0" w:firstRowLastColumn="0" w:lastRowFirstColumn="0" w:lastRowLastColumn="0"/>
            <w:tcW w:w="2268" w:type="dxa"/>
            <w:noWrap/>
            <w:hideMark/>
          </w:tcPr>
          <w:p w:rsidR="00311BB8" w:rsidRDefault="00D91061">
            <w:pPr>
              <w:pStyle w:val="AMPRTABLEA-TextLEFTalligned-BLACK"/>
              <w:ind w:left="142"/>
              <w:rPr>
                <w:iCs/>
                <w:noProof/>
              </w:rPr>
            </w:pPr>
            <w:r>
              <w:rPr>
                <w:iCs/>
                <w:noProof/>
              </w:rPr>
              <w:t>European Agricultural Guarantee Fund</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227</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213</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117</w:t>
            </w:r>
          </w:p>
        </w:tc>
        <w:tc>
          <w:tcPr>
            <w:tcW w:w="968"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100</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195</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138</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202</w:t>
            </w:r>
          </w:p>
        </w:tc>
      </w:tr>
      <w:tr w:rsidR="00311BB8" w:rsidTr="00311BB8">
        <w:tc>
          <w:tcPr>
            <w:cnfStyle w:val="001000000000" w:firstRow="0" w:lastRow="0" w:firstColumn="1" w:lastColumn="0" w:oddVBand="0" w:evenVBand="0" w:oddHBand="0" w:evenHBand="0" w:firstRowFirstColumn="0" w:firstRowLastColumn="0" w:lastRowFirstColumn="0" w:lastRowLastColumn="0"/>
            <w:tcW w:w="2268" w:type="dxa"/>
            <w:noWrap/>
            <w:hideMark/>
          </w:tcPr>
          <w:p w:rsidR="00311BB8" w:rsidRDefault="00D91061">
            <w:pPr>
              <w:pStyle w:val="AMPRTABLEA-TextLEFTalligned-BLACK"/>
              <w:ind w:left="142"/>
              <w:rPr>
                <w:iCs/>
                <w:noProof/>
              </w:rPr>
            </w:pPr>
            <w:r>
              <w:rPr>
                <w:iCs/>
                <w:noProof/>
              </w:rPr>
              <w:t>Rural development</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139</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165</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206</w:t>
            </w:r>
          </w:p>
        </w:tc>
        <w:tc>
          <w:tcPr>
            <w:tcW w:w="968"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242</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113</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178</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186</w:t>
            </w:r>
          </w:p>
        </w:tc>
      </w:tr>
      <w:tr w:rsidR="00311BB8" w:rsidTr="00311BB8">
        <w:tc>
          <w:tcPr>
            <w:cnfStyle w:val="001000000000" w:firstRow="0" w:lastRow="0" w:firstColumn="1" w:lastColumn="0" w:oddVBand="0" w:evenVBand="0" w:oddHBand="0" w:evenHBand="0" w:firstRowFirstColumn="0" w:firstRowLastColumn="0" w:lastRowFirstColumn="0" w:lastRowLastColumn="0"/>
            <w:tcW w:w="2268" w:type="dxa"/>
            <w:noWrap/>
            <w:hideMark/>
          </w:tcPr>
          <w:p w:rsidR="00311BB8" w:rsidRDefault="00D91061">
            <w:pPr>
              <w:pStyle w:val="AMPRTABLEA-TextLEFTalligned-BLACK"/>
              <w:rPr>
                <w:noProof/>
              </w:rPr>
            </w:pPr>
            <w:r>
              <w:rPr>
                <w:noProof/>
              </w:rPr>
              <w:t>Cohesion policy</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83</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35</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5</w:t>
            </w:r>
          </w:p>
        </w:tc>
        <w:tc>
          <w:tcPr>
            <w:tcW w:w="968"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10</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r>
      <w:tr w:rsidR="00311BB8" w:rsidTr="00311BB8">
        <w:tc>
          <w:tcPr>
            <w:cnfStyle w:val="001000000000" w:firstRow="0" w:lastRow="0" w:firstColumn="1" w:lastColumn="0" w:oddVBand="0" w:evenVBand="0" w:oddHBand="0" w:evenHBand="0" w:firstRowFirstColumn="0" w:firstRowLastColumn="0" w:lastRowFirstColumn="0" w:lastRowLastColumn="0"/>
            <w:tcW w:w="2268" w:type="dxa"/>
            <w:noWrap/>
            <w:hideMark/>
          </w:tcPr>
          <w:p w:rsidR="00311BB8" w:rsidRDefault="00D91061">
            <w:pPr>
              <w:pStyle w:val="AMPRTABLEA-TextLEFTalligned-BLACK"/>
              <w:rPr>
                <w:noProof/>
              </w:rPr>
            </w:pPr>
            <w:r>
              <w:rPr>
                <w:noProof/>
              </w:rPr>
              <w:t xml:space="preserve">Internal policies </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393</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293</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302</w:t>
            </w:r>
          </w:p>
        </w:tc>
        <w:tc>
          <w:tcPr>
            <w:tcW w:w="968"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303</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386</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247</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261</w:t>
            </w:r>
          </w:p>
        </w:tc>
      </w:tr>
      <w:tr w:rsidR="00311BB8" w:rsidTr="00311BB8">
        <w:tc>
          <w:tcPr>
            <w:cnfStyle w:val="001000000000" w:firstRow="0" w:lastRow="0" w:firstColumn="1" w:lastColumn="0" w:oddVBand="0" w:evenVBand="0" w:oddHBand="0" w:evenHBand="0" w:firstRowFirstColumn="0" w:firstRowLastColumn="0" w:lastRowFirstColumn="0" w:lastRowLastColumn="0"/>
            <w:tcW w:w="2268" w:type="dxa"/>
            <w:noWrap/>
            <w:hideMark/>
          </w:tcPr>
          <w:p w:rsidR="00311BB8" w:rsidRDefault="00D91061">
            <w:pPr>
              <w:pStyle w:val="AMPRTABLEA-TextLEFTalligned-BLACK"/>
              <w:rPr>
                <w:noProof/>
              </w:rPr>
            </w:pPr>
            <w:r>
              <w:rPr>
                <w:noProof/>
              </w:rPr>
              <w:t xml:space="preserve">External policies </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93</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127</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132</w:t>
            </w:r>
          </w:p>
        </w:tc>
        <w:tc>
          <w:tcPr>
            <w:tcW w:w="968"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173</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234</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188</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214</w:t>
            </w:r>
          </w:p>
        </w:tc>
      </w:tr>
      <w:tr w:rsidR="00311BB8" w:rsidTr="00311BB8">
        <w:tc>
          <w:tcPr>
            <w:cnfStyle w:val="001000000000" w:firstRow="0" w:lastRow="0" w:firstColumn="1" w:lastColumn="0" w:oddVBand="0" w:evenVBand="0" w:oddHBand="0" w:evenHBand="0" w:firstRowFirstColumn="0" w:firstRowLastColumn="0" w:lastRowFirstColumn="0" w:lastRowLastColumn="0"/>
            <w:tcW w:w="2268" w:type="dxa"/>
            <w:noWrap/>
            <w:hideMark/>
          </w:tcPr>
          <w:p w:rsidR="00311BB8" w:rsidRDefault="00D91061">
            <w:pPr>
              <w:pStyle w:val="AMPRTABLEA-TextLEFTalligned-BLACK"/>
              <w:rPr>
                <w:noProof/>
              </w:rPr>
            </w:pPr>
            <w:r>
              <w:rPr>
                <w:noProof/>
              </w:rPr>
              <w:t>Administration</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6</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5</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5</w:t>
            </w:r>
          </w:p>
        </w:tc>
        <w:tc>
          <w:tcPr>
            <w:tcW w:w="968"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4</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w:t>
            </w:r>
          </w:p>
        </w:tc>
        <w:tc>
          <w:tcPr>
            <w:tcW w:w="968"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w:t>
            </w:r>
          </w:p>
        </w:tc>
        <w:tc>
          <w:tcPr>
            <w:tcW w:w="96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6</w:t>
            </w:r>
          </w:p>
        </w:tc>
      </w:tr>
      <w:tr w:rsidR="00311BB8" w:rsidTr="00311B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noWrap/>
            <w:hideMark/>
          </w:tcPr>
          <w:p w:rsidR="00311BB8" w:rsidRDefault="00D91061">
            <w:pPr>
              <w:pStyle w:val="AMPRTABLEA-TOTALLEFTalligned-BLACK"/>
              <w:rPr>
                <w:rFonts w:eastAsia="EC Square Sans Pro"/>
                <w:noProof/>
              </w:rPr>
            </w:pPr>
            <w:r>
              <w:rPr>
                <w:rFonts w:eastAsia="EC Square Sans Pro"/>
                <w:noProof/>
              </w:rPr>
              <w:t>Total</w:t>
            </w:r>
            <w:r>
              <w:rPr>
                <w:rFonts w:ascii="Calibri" w:eastAsia="EC Square Sans Pro" w:hAnsi="Calibri" w:cs="Calibri"/>
                <w:noProof/>
              </w:rPr>
              <w:t> </w:t>
            </w:r>
            <w:r>
              <w:rPr>
                <w:rFonts w:eastAsia="EC Square Sans Pro" w:cs="Calibri"/>
                <w:b w:val="0"/>
                <w:bCs/>
                <w:noProof/>
              </w:rPr>
              <w:t>(</w:t>
            </w:r>
            <w:r>
              <w:rPr>
                <w:rFonts w:eastAsia="EC Square Sans Pro"/>
                <w:b w:val="0"/>
                <w:bCs/>
                <w:noProof/>
              </w:rPr>
              <w:t>*)</w:t>
            </w:r>
          </w:p>
        </w:tc>
        <w:tc>
          <w:tcPr>
            <w:tcW w:w="968"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941</w:t>
            </w:r>
          </w:p>
        </w:tc>
        <w:tc>
          <w:tcPr>
            <w:tcW w:w="968"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838</w:t>
            </w:r>
          </w:p>
        </w:tc>
        <w:tc>
          <w:tcPr>
            <w:tcW w:w="969"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767</w:t>
            </w:r>
          </w:p>
        </w:tc>
        <w:tc>
          <w:tcPr>
            <w:tcW w:w="968"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833</w:t>
            </w:r>
          </w:p>
        </w:tc>
        <w:tc>
          <w:tcPr>
            <w:tcW w:w="969"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933</w:t>
            </w:r>
          </w:p>
        </w:tc>
        <w:tc>
          <w:tcPr>
            <w:tcW w:w="968"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757</w:t>
            </w:r>
          </w:p>
        </w:tc>
        <w:tc>
          <w:tcPr>
            <w:tcW w:w="969"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868</w:t>
            </w:r>
          </w:p>
        </w:tc>
      </w:tr>
    </w:tbl>
    <w:p w:rsidR="00311BB8" w:rsidRDefault="00D91061">
      <w:pPr>
        <w:pStyle w:val="AMPRChart-Tabletitle"/>
        <w:spacing w:after="240"/>
        <w:rPr>
          <w:rFonts w:ascii="Calibri" w:eastAsia="EC Square Sans Pro" w:hAnsi="Calibri" w:cs="Calibri"/>
          <w:b/>
          <w:noProof/>
          <w:color w:val="FFFFFF"/>
          <w:szCs w:val="22"/>
          <w:lang w:eastAsia="en-US"/>
        </w:rPr>
      </w:pPr>
      <w:r>
        <w:rPr>
          <w:noProof/>
        </w:rPr>
        <w:t>Confirmed recoveries for 2013-2019 (million</w:t>
      </w:r>
      <w:r>
        <w:rPr>
          <w:rFonts w:ascii="Calibri" w:hAnsi="Calibri" w:cs="Calibri"/>
          <w:noProof/>
        </w:rPr>
        <w:t> </w:t>
      </w:r>
      <w:r>
        <w:rPr>
          <w:noProof/>
        </w:rPr>
        <w:t>EUR</w:t>
      </w:r>
      <w:r>
        <w:rPr>
          <w:rFonts w:ascii="Calibri" w:hAnsi="Calibri" w:cs="Calibri"/>
          <w:noProof/>
          <w:lang w:bidi="en-US"/>
        </w:rPr>
        <w:t>)</w:t>
      </w:r>
    </w:p>
    <w:tbl>
      <w:tblPr>
        <w:tblStyle w:val="AMPRTABLEA-Template"/>
        <w:tblW w:w="9072" w:type="dxa"/>
        <w:tblLayout w:type="fixed"/>
        <w:tblLook w:val="04E0" w:firstRow="1" w:lastRow="1" w:firstColumn="1" w:lastColumn="0" w:noHBand="0" w:noVBand="1"/>
      </w:tblPr>
      <w:tblGrid>
        <w:gridCol w:w="2287"/>
        <w:gridCol w:w="968"/>
        <w:gridCol w:w="969"/>
        <w:gridCol w:w="970"/>
        <w:gridCol w:w="969"/>
        <w:gridCol w:w="970"/>
        <w:gridCol w:w="969"/>
        <w:gridCol w:w="970"/>
      </w:tblGrid>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vMerge w:val="restart"/>
            <w:tcBorders>
              <w:bottom w:val="single" w:sz="4" w:space="0" w:color="FFFFFF" w:themeColor="background1"/>
            </w:tcBorders>
            <w:noWrap/>
            <w:hideMark/>
          </w:tcPr>
          <w:p w:rsidR="00311BB8" w:rsidRDefault="00D91061">
            <w:pPr>
              <w:pStyle w:val="AMPRTABLEA-HEADERText-WHITE"/>
              <w:spacing w:before="144" w:after="144"/>
              <w:rPr>
                <w:b w:val="0"/>
                <w:noProof/>
              </w:rPr>
            </w:pPr>
            <w:bookmarkStart w:id="74" w:name="_Toc399420062"/>
            <w:bookmarkStart w:id="75" w:name="_Toc365022342"/>
            <w:bookmarkEnd w:id="73"/>
            <w:r>
              <w:rPr>
                <w:noProof/>
              </w:rPr>
              <w:t>Fund</w:t>
            </w:r>
          </w:p>
        </w:tc>
        <w:tc>
          <w:tcPr>
            <w:tcW w:w="6723" w:type="dxa"/>
            <w:gridSpan w:val="7"/>
            <w:tcBorders>
              <w:bottom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b w:val="0"/>
                <w:noProof/>
              </w:rPr>
            </w:pPr>
            <w:r>
              <w:rPr>
                <w:noProof/>
              </w:rPr>
              <w:t>Year</w:t>
            </w:r>
          </w:p>
        </w:tc>
      </w:tr>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vMerge/>
            <w:tcBorders>
              <w:top w:val="single" w:sz="4" w:space="0" w:color="FFFFFF"/>
              <w:right w:val="single" w:sz="4" w:space="0" w:color="FFFFFF"/>
            </w:tcBorders>
            <w:noWrap/>
            <w:hideMark/>
          </w:tcPr>
          <w:p w:rsidR="00311BB8" w:rsidRDefault="00311BB8">
            <w:pPr>
              <w:pStyle w:val="AMPRTABLEA-HEADERText-WHITE"/>
              <w:spacing w:before="144" w:after="144"/>
              <w:rPr>
                <w:b w:val="0"/>
                <w:noProof/>
              </w:rPr>
            </w:pPr>
          </w:p>
        </w:tc>
        <w:tc>
          <w:tcPr>
            <w:tcW w:w="960"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2013</w:t>
            </w:r>
          </w:p>
        </w:tc>
        <w:tc>
          <w:tcPr>
            <w:tcW w:w="960"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2014</w:t>
            </w:r>
          </w:p>
        </w:tc>
        <w:tc>
          <w:tcPr>
            <w:tcW w:w="961"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2015</w:t>
            </w:r>
          </w:p>
        </w:tc>
        <w:tc>
          <w:tcPr>
            <w:tcW w:w="960"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2016</w:t>
            </w:r>
          </w:p>
        </w:tc>
        <w:tc>
          <w:tcPr>
            <w:tcW w:w="961"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2017</w:t>
            </w:r>
          </w:p>
        </w:tc>
        <w:tc>
          <w:tcPr>
            <w:tcW w:w="960"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2018</w:t>
            </w:r>
          </w:p>
        </w:tc>
        <w:tc>
          <w:tcPr>
            <w:tcW w:w="961" w:type="dxa"/>
            <w:tcBorders>
              <w:top w:val="single" w:sz="4" w:space="0" w:color="FFFFFF" w:themeColor="background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2019</w:t>
            </w:r>
          </w:p>
        </w:tc>
      </w:tr>
      <w:tr w:rsidR="00311BB8" w:rsidTr="00311BB8">
        <w:tc>
          <w:tcPr>
            <w:cnfStyle w:val="001000000000" w:firstRow="0" w:lastRow="0" w:firstColumn="1" w:lastColumn="0" w:oddVBand="0" w:evenVBand="0" w:oddHBand="0" w:evenHBand="0" w:firstRowFirstColumn="0" w:firstRowLastColumn="0" w:lastRowFirstColumn="0" w:lastRowLastColumn="0"/>
            <w:tcW w:w="2268" w:type="dxa"/>
            <w:tcBorders>
              <w:top w:val="nil"/>
            </w:tcBorders>
            <w:noWrap/>
            <w:hideMark/>
          </w:tcPr>
          <w:p w:rsidR="00311BB8" w:rsidRDefault="00D91061">
            <w:pPr>
              <w:pStyle w:val="AMPRTABLEA-TextLEFTalligned-BLACK"/>
              <w:rPr>
                <w:noProof/>
              </w:rPr>
            </w:pPr>
            <w:r>
              <w:rPr>
                <w:noProof/>
              </w:rPr>
              <w:t>Agricultural policy:</w:t>
            </w:r>
          </w:p>
        </w:tc>
        <w:tc>
          <w:tcPr>
            <w:tcW w:w="960" w:type="dxa"/>
            <w:tcBorders>
              <w:top w:val="nil"/>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p>
        </w:tc>
        <w:tc>
          <w:tcPr>
            <w:tcW w:w="960" w:type="dxa"/>
            <w:tcBorders>
              <w:top w:val="nil"/>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p>
        </w:tc>
        <w:tc>
          <w:tcPr>
            <w:tcW w:w="961" w:type="dxa"/>
            <w:tcBorders>
              <w:top w:val="nil"/>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p>
        </w:tc>
        <w:tc>
          <w:tcPr>
            <w:tcW w:w="960" w:type="dxa"/>
            <w:tcBorders>
              <w:top w:val="nil"/>
            </w:tcBorders>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p>
        </w:tc>
        <w:tc>
          <w:tcPr>
            <w:tcW w:w="961" w:type="dxa"/>
            <w:tcBorders>
              <w:top w:val="nil"/>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p>
        </w:tc>
        <w:tc>
          <w:tcPr>
            <w:tcW w:w="960" w:type="dxa"/>
            <w:tcBorders>
              <w:top w:val="nil"/>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p>
        </w:tc>
        <w:tc>
          <w:tcPr>
            <w:tcW w:w="961" w:type="dxa"/>
            <w:tcBorders>
              <w:top w:val="nil"/>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p>
        </w:tc>
      </w:tr>
      <w:tr w:rsidR="00311BB8" w:rsidTr="00311BB8">
        <w:tc>
          <w:tcPr>
            <w:cnfStyle w:val="001000000000" w:firstRow="0" w:lastRow="0" w:firstColumn="1" w:lastColumn="0" w:oddVBand="0" w:evenVBand="0" w:oddHBand="0" w:evenHBand="0" w:firstRowFirstColumn="0" w:firstRowLastColumn="0" w:lastRowFirstColumn="0" w:lastRowLastColumn="0"/>
            <w:tcW w:w="2268" w:type="dxa"/>
            <w:shd w:val="clear" w:color="auto" w:fill="auto"/>
            <w:noWrap/>
            <w:hideMark/>
          </w:tcPr>
          <w:p w:rsidR="00311BB8" w:rsidRDefault="00D91061">
            <w:pPr>
              <w:pStyle w:val="AMPRTABLEA-TextLEFTalligned-BLACK"/>
              <w:ind w:left="142"/>
              <w:rPr>
                <w:iCs/>
                <w:noProof/>
              </w:rPr>
            </w:pPr>
            <w:r>
              <w:rPr>
                <w:iCs/>
                <w:noProof/>
              </w:rPr>
              <w:t>European Agricultural Guarantee Fund</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155</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150</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155</w:t>
            </w:r>
          </w:p>
        </w:tc>
        <w:tc>
          <w:tcPr>
            <w:tcW w:w="960" w:type="dxa"/>
            <w:shd w:val="clear" w:color="auto" w:fill="auto"/>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118</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131</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132</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156</w:t>
            </w:r>
          </w:p>
        </w:tc>
      </w:tr>
      <w:tr w:rsidR="00311BB8" w:rsidTr="00311BB8">
        <w:tc>
          <w:tcPr>
            <w:cnfStyle w:val="001000000000" w:firstRow="0" w:lastRow="0" w:firstColumn="1" w:lastColumn="0" w:oddVBand="0" w:evenVBand="0" w:oddHBand="0" w:evenHBand="0" w:firstRowFirstColumn="0" w:firstRowLastColumn="0" w:lastRowFirstColumn="0" w:lastRowLastColumn="0"/>
            <w:tcW w:w="2268" w:type="dxa"/>
            <w:shd w:val="clear" w:color="auto" w:fill="auto"/>
            <w:noWrap/>
            <w:hideMark/>
          </w:tcPr>
          <w:p w:rsidR="00311BB8" w:rsidRDefault="00D91061">
            <w:pPr>
              <w:pStyle w:val="AMPRTABLEA-TextLEFTalligned-BLACK"/>
              <w:ind w:left="142"/>
              <w:rPr>
                <w:iCs/>
                <w:noProof/>
              </w:rPr>
            </w:pPr>
            <w:r>
              <w:rPr>
                <w:iCs/>
                <w:noProof/>
              </w:rPr>
              <w:t>Rural development</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129</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167</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152</w:t>
            </w:r>
          </w:p>
        </w:tc>
        <w:tc>
          <w:tcPr>
            <w:tcW w:w="960" w:type="dxa"/>
            <w:shd w:val="clear" w:color="auto" w:fill="auto"/>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43</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84</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315</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181</w:t>
            </w:r>
          </w:p>
        </w:tc>
      </w:tr>
      <w:tr w:rsidR="00311BB8" w:rsidTr="00311BB8">
        <w:tc>
          <w:tcPr>
            <w:cnfStyle w:val="001000000000" w:firstRow="0" w:lastRow="0" w:firstColumn="1" w:lastColumn="0" w:oddVBand="0" w:evenVBand="0" w:oddHBand="0" w:evenHBand="0" w:firstRowFirstColumn="0" w:firstRowLastColumn="0" w:lastRowFirstColumn="0" w:lastRowLastColumn="0"/>
            <w:tcW w:w="2268" w:type="dxa"/>
            <w:shd w:val="clear" w:color="auto" w:fill="auto"/>
            <w:noWrap/>
            <w:hideMark/>
          </w:tcPr>
          <w:p w:rsidR="00311BB8" w:rsidRDefault="00D91061">
            <w:pPr>
              <w:pStyle w:val="AMPRTABLEA-TextLEFTalligned-BLACK"/>
              <w:rPr>
                <w:noProof/>
              </w:rPr>
            </w:pPr>
            <w:r>
              <w:rPr>
                <w:noProof/>
              </w:rPr>
              <w:t>Cohesion policy</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81</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32</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7</w:t>
            </w:r>
          </w:p>
        </w:tc>
        <w:tc>
          <w:tcPr>
            <w:tcW w:w="960" w:type="dxa"/>
            <w:shd w:val="clear" w:color="auto" w:fill="auto"/>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12</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r>
      <w:tr w:rsidR="00311BB8" w:rsidTr="00311BB8">
        <w:tc>
          <w:tcPr>
            <w:cnfStyle w:val="001000000000" w:firstRow="0" w:lastRow="0" w:firstColumn="1" w:lastColumn="0" w:oddVBand="0" w:evenVBand="0" w:oddHBand="0" w:evenHBand="0" w:firstRowFirstColumn="0" w:firstRowLastColumn="0" w:lastRowFirstColumn="0" w:lastRowLastColumn="0"/>
            <w:tcW w:w="2268" w:type="dxa"/>
            <w:shd w:val="clear" w:color="auto" w:fill="auto"/>
            <w:noWrap/>
            <w:hideMark/>
          </w:tcPr>
          <w:p w:rsidR="00311BB8" w:rsidRDefault="00D91061">
            <w:pPr>
              <w:pStyle w:val="AMPRTABLEA-TextLEFTalligned-BLACK"/>
              <w:rPr>
                <w:noProof/>
              </w:rPr>
            </w:pPr>
            <w:r>
              <w:rPr>
                <w:noProof/>
              </w:rPr>
              <w:t xml:space="preserve">Internal policies </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398</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274</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293</w:t>
            </w:r>
          </w:p>
        </w:tc>
        <w:tc>
          <w:tcPr>
            <w:tcW w:w="960" w:type="dxa"/>
            <w:shd w:val="clear" w:color="auto" w:fill="auto"/>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313</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374</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241</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265</w:t>
            </w:r>
          </w:p>
        </w:tc>
      </w:tr>
      <w:tr w:rsidR="00311BB8" w:rsidTr="00311BB8">
        <w:tc>
          <w:tcPr>
            <w:cnfStyle w:val="001000000000" w:firstRow="0" w:lastRow="0" w:firstColumn="1" w:lastColumn="0" w:oddVBand="0" w:evenVBand="0" w:oddHBand="0" w:evenHBand="0" w:firstRowFirstColumn="0" w:firstRowLastColumn="0" w:lastRowFirstColumn="0" w:lastRowLastColumn="0"/>
            <w:tcW w:w="2268" w:type="dxa"/>
            <w:shd w:val="clear" w:color="auto" w:fill="auto"/>
            <w:noWrap/>
            <w:hideMark/>
          </w:tcPr>
          <w:p w:rsidR="00311BB8" w:rsidRDefault="00D91061">
            <w:pPr>
              <w:pStyle w:val="AMPRTABLEA-TextLEFTalligned-BLACK"/>
              <w:rPr>
                <w:noProof/>
              </w:rPr>
            </w:pPr>
            <w:r>
              <w:rPr>
                <w:noProof/>
              </w:rPr>
              <w:t xml:space="preserve">External policies </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93</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108</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136</w:t>
            </w:r>
          </w:p>
        </w:tc>
        <w:tc>
          <w:tcPr>
            <w:tcW w:w="960" w:type="dxa"/>
            <w:shd w:val="clear" w:color="auto" w:fill="auto"/>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175</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244</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179</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215</w:t>
            </w:r>
          </w:p>
        </w:tc>
      </w:tr>
      <w:tr w:rsidR="00311BB8" w:rsidTr="00311BB8">
        <w:tc>
          <w:tcPr>
            <w:cnfStyle w:val="001000000000" w:firstRow="0" w:lastRow="0" w:firstColumn="1" w:lastColumn="0" w:oddVBand="0" w:evenVBand="0" w:oddHBand="0" w:evenHBand="0" w:firstRowFirstColumn="0" w:firstRowLastColumn="0" w:lastRowFirstColumn="0" w:lastRowLastColumn="0"/>
            <w:tcW w:w="2268" w:type="dxa"/>
            <w:shd w:val="clear" w:color="auto" w:fill="auto"/>
            <w:noWrap/>
            <w:hideMark/>
          </w:tcPr>
          <w:p w:rsidR="00311BB8" w:rsidRDefault="00D91061">
            <w:pPr>
              <w:pStyle w:val="AMPRTABLEA-TextLEFTalligned-BLACK"/>
              <w:rPr>
                <w:noProof/>
              </w:rPr>
            </w:pPr>
            <w:r>
              <w:rPr>
                <w:noProof/>
              </w:rPr>
              <w:t>Administration</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6</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5</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5</w:t>
            </w:r>
          </w:p>
        </w:tc>
        <w:tc>
          <w:tcPr>
            <w:tcW w:w="960" w:type="dxa"/>
            <w:shd w:val="clear" w:color="auto" w:fill="auto"/>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4</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w:t>
            </w:r>
          </w:p>
        </w:tc>
        <w:tc>
          <w:tcPr>
            <w:tcW w:w="960"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w:t>
            </w:r>
          </w:p>
        </w:tc>
        <w:tc>
          <w:tcPr>
            <w:tcW w:w="961" w:type="dxa"/>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6</w:t>
            </w:r>
          </w:p>
        </w:tc>
      </w:tr>
      <w:tr w:rsidR="00311BB8" w:rsidTr="00311B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noWrap/>
            <w:hideMark/>
          </w:tcPr>
          <w:p w:rsidR="00311BB8" w:rsidRDefault="00D91061">
            <w:pPr>
              <w:pStyle w:val="AMPRTABLEA-TOTALLEFTalligned-BLACK"/>
              <w:rPr>
                <w:rFonts w:eastAsia="EC Square Sans Pro"/>
                <w:noProof/>
              </w:rPr>
            </w:pPr>
            <w:r>
              <w:rPr>
                <w:rFonts w:eastAsia="EC Square Sans Pro"/>
                <w:noProof/>
              </w:rPr>
              <w:t>Total</w:t>
            </w:r>
            <w:r>
              <w:rPr>
                <w:rFonts w:ascii="Calibri" w:eastAsia="EC Square Sans Pro" w:hAnsi="Calibri" w:cs="Calibri"/>
                <w:noProof/>
              </w:rPr>
              <w:t> </w:t>
            </w:r>
            <w:r>
              <w:rPr>
                <w:rFonts w:eastAsia="EC Square Sans Pro" w:cs="Calibri"/>
                <w:b w:val="0"/>
                <w:bCs/>
                <w:noProof/>
              </w:rPr>
              <w:t>(</w:t>
            </w:r>
            <w:r>
              <w:rPr>
                <w:rFonts w:eastAsia="EC Square Sans Pro"/>
                <w:b w:val="0"/>
                <w:bCs/>
                <w:noProof/>
              </w:rPr>
              <w:t>*)</w:t>
            </w:r>
          </w:p>
        </w:tc>
        <w:tc>
          <w:tcPr>
            <w:tcW w:w="960"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zCs w:val="16"/>
              </w:rPr>
            </w:pPr>
            <w:r>
              <w:rPr>
                <w:noProof/>
              </w:rPr>
              <w:t>862</w:t>
            </w:r>
          </w:p>
        </w:tc>
        <w:tc>
          <w:tcPr>
            <w:tcW w:w="960"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zCs w:val="16"/>
              </w:rPr>
            </w:pPr>
            <w:r>
              <w:rPr>
                <w:noProof/>
              </w:rPr>
              <w:t>736</w:t>
            </w:r>
          </w:p>
        </w:tc>
        <w:tc>
          <w:tcPr>
            <w:tcW w:w="961"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zCs w:val="16"/>
              </w:rPr>
            </w:pPr>
            <w:r>
              <w:rPr>
                <w:noProof/>
              </w:rPr>
              <w:t>749</w:t>
            </w:r>
          </w:p>
        </w:tc>
        <w:tc>
          <w:tcPr>
            <w:tcW w:w="960"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zCs w:val="16"/>
              </w:rPr>
            </w:pPr>
            <w:r>
              <w:rPr>
                <w:noProof/>
              </w:rPr>
              <w:t>665</w:t>
            </w:r>
          </w:p>
        </w:tc>
        <w:tc>
          <w:tcPr>
            <w:tcW w:w="961"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zCs w:val="16"/>
              </w:rPr>
            </w:pPr>
            <w:r>
              <w:rPr>
                <w:noProof/>
              </w:rPr>
              <w:t>837</w:t>
            </w:r>
          </w:p>
        </w:tc>
        <w:tc>
          <w:tcPr>
            <w:tcW w:w="960"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zCs w:val="16"/>
              </w:rPr>
            </w:pPr>
            <w:r>
              <w:rPr>
                <w:noProof/>
              </w:rPr>
              <w:t>873</w:t>
            </w:r>
          </w:p>
        </w:tc>
        <w:tc>
          <w:tcPr>
            <w:tcW w:w="961"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szCs w:val="16"/>
              </w:rPr>
            </w:pPr>
            <w:r>
              <w:rPr>
                <w:rFonts w:cs="Calibri"/>
                <w:noProof/>
              </w:rPr>
              <w:t>823</w:t>
            </w:r>
          </w:p>
        </w:tc>
      </w:tr>
    </w:tbl>
    <w:p w:rsidR="00311BB8" w:rsidRDefault="00D91061">
      <w:pPr>
        <w:pStyle w:val="AMPRChart-Tabletitle"/>
        <w:rPr>
          <w:noProof/>
        </w:rPr>
      </w:pPr>
      <w:bookmarkStart w:id="76" w:name="_Toc456258163"/>
      <w:bookmarkStart w:id="77" w:name="_Toc456686571"/>
      <w:r>
        <w:rPr>
          <w:noProof/>
        </w:rPr>
        <w:t>Implemented recoveries for 2013-2019 (million EUR)</w:t>
      </w:r>
    </w:p>
    <w:p w:rsidR="00311BB8" w:rsidRDefault="00D91061">
      <w:pPr>
        <w:pStyle w:val="AMPRSource-Table-Chart-Photo-Caption"/>
        <w:rPr>
          <w:noProof/>
        </w:rPr>
      </w:pPr>
      <w:bookmarkStart w:id="78" w:name="_Toc484626488"/>
      <w:bookmarkStart w:id="79" w:name="_Toc512866529"/>
      <w:r>
        <w:rPr>
          <w:noProof/>
        </w:rPr>
        <w:t>(*)</w:t>
      </w:r>
      <w:r>
        <w:rPr>
          <w:rFonts w:ascii="Calibri" w:hAnsi="Calibri" w:cs="Calibri"/>
          <w:noProof/>
        </w:rPr>
        <w:t> </w:t>
      </w:r>
      <w:r>
        <w:rPr>
          <w:noProof/>
        </w:rPr>
        <w:t>NB: The amounts disclosed for 2013 and 2014 are based on a different methodology, which has been subsequently refined to better identify and track recoveries.</w:t>
      </w:r>
    </w:p>
    <w:p w:rsidR="00311BB8" w:rsidRDefault="00D91061">
      <w:pPr>
        <w:pStyle w:val="AMPRAnnexesTITLE4-Numbered"/>
        <w:rPr>
          <w:noProof/>
        </w:rPr>
      </w:pPr>
      <w:bookmarkStart w:id="80" w:name="_Toc8386202"/>
      <w:r>
        <w:rPr>
          <w:noProof/>
        </w:rPr>
        <w:t>Impact of financial corrections</w:t>
      </w:r>
      <w:bookmarkEnd w:id="76"/>
      <w:bookmarkEnd w:id="77"/>
      <w:r>
        <w:rPr>
          <w:noProof/>
        </w:rPr>
        <w:t xml:space="preserve"> and recoveries</w:t>
      </w:r>
      <w:bookmarkEnd w:id="78"/>
      <w:bookmarkEnd w:id="79"/>
      <w:bookmarkEnd w:id="80"/>
    </w:p>
    <w:p w:rsidR="00311BB8" w:rsidRDefault="00D91061">
      <w:pPr>
        <w:pStyle w:val="AMPRAnnexesTITLE5"/>
        <w:rPr>
          <w:noProof/>
        </w:rPr>
      </w:pPr>
      <w:bookmarkStart w:id="81" w:name="_Toc484626489"/>
      <w:bookmarkStart w:id="82" w:name="_Toc512866530"/>
      <w:bookmarkStart w:id="83" w:name="_Toc8386203"/>
      <w:bookmarkEnd w:id="74"/>
      <w:r>
        <w:rPr>
          <w:noProof/>
        </w:rPr>
        <w:t>Impact on the EU budget</w:t>
      </w:r>
      <w:bookmarkEnd w:id="81"/>
      <w:bookmarkEnd w:id="82"/>
      <w:bookmarkEnd w:id="83"/>
    </w:p>
    <w:p w:rsidR="00311BB8" w:rsidRDefault="00D91061">
      <w:pPr>
        <w:pStyle w:val="AMPRBodyText"/>
        <w:rPr>
          <w:noProof/>
          <w:lang w:eastAsia="fr-BE"/>
        </w:rPr>
      </w:pPr>
      <w:r>
        <w:rPr>
          <w:noProof/>
          <w:lang w:eastAsia="fr-BE"/>
        </w:rPr>
        <w:t>Financial corrections and recoveries may or may not have an impact on the EU budget.</w:t>
      </w:r>
    </w:p>
    <w:p w:rsidR="00311BB8" w:rsidRDefault="00D91061">
      <w:pPr>
        <w:pStyle w:val="AMPRBodyText"/>
        <w:rPr>
          <w:rFonts w:eastAsia="Calibri"/>
          <w:noProof/>
          <w:lang w:eastAsia="fr-BE"/>
        </w:rPr>
      </w:pPr>
      <w:r>
        <w:rPr>
          <w:rStyle w:val="AMPRcharBoldOrange"/>
          <w:noProof/>
        </w:rPr>
        <w:t>Replacement of expenditure</w:t>
      </w:r>
      <w:r>
        <w:rPr>
          <w:rFonts w:eastAsia="Calibri"/>
          <w:noProof/>
          <w:lang w:eastAsia="fr-BE"/>
        </w:rPr>
        <w:t xml:space="preserve"> refers to the possibility under cohesion legislation for Member States to replace ineligible expenditure with new, eligible expenditure, thereby not losing EU funding (i.e. this is not a net correction as there is no return of money to the EU budget).</w:t>
      </w:r>
    </w:p>
    <w:p w:rsidR="00311BB8" w:rsidRDefault="00D91061">
      <w:pPr>
        <w:pStyle w:val="AMPRBodyText"/>
        <w:rPr>
          <w:rFonts w:eastAsia="Calibri"/>
          <w:noProof/>
          <w:lang w:eastAsia="fr-BE"/>
        </w:rPr>
      </w:pPr>
      <w:r>
        <w:rPr>
          <w:rStyle w:val="AMPRcharBoldOrange"/>
          <w:noProof/>
        </w:rPr>
        <w:t>A net financial correction</w:t>
      </w:r>
      <w:r>
        <w:rPr>
          <w:rFonts w:eastAsia="Calibri"/>
          <w:noProof/>
          <w:lang w:eastAsia="fr-BE"/>
        </w:rPr>
        <w:t xml:space="preserve"> is a correction that has a net impact on the EU budget (i.e. the corrected and recovered amounts are reimbursed to the EU budget). </w:t>
      </w:r>
    </w:p>
    <w:p w:rsidR="00311BB8" w:rsidRDefault="00D91061">
      <w:pPr>
        <w:pStyle w:val="AMPRBodyText"/>
        <w:rPr>
          <w:noProof/>
          <w:lang w:eastAsia="fr-BE"/>
        </w:rPr>
      </w:pPr>
      <w:r>
        <w:rPr>
          <w:noProof/>
          <w:lang w:eastAsia="fr-BE"/>
        </w:rPr>
        <w:t xml:space="preserve">Agriculture and rural development corrections (for the </w:t>
      </w:r>
      <w:r>
        <w:rPr>
          <w:rFonts w:eastAsia="Times New Roman"/>
          <w:noProof/>
          <w:lang w:eastAsia="fr-BE"/>
        </w:rPr>
        <w:t>European Agricultural Guarantee Fund</w:t>
      </w:r>
      <w:r>
        <w:rPr>
          <w:noProof/>
          <w:lang w:eastAsia="fr-BE"/>
        </w:rPr>
        <w:t xml:space="preserve">, the </w:t>
      </w:r>
      <w:r>
        <w:rPr>
          <w:rFonts w:eastAsia="Times New Roman"/>
          <w:noProof/>
          <w:lang w:eastAsia="fr-BE"/>
        </w:rPr>
        <w:t>European Agricultural Fund for Rural Development</w:t>
      </w:r>
      <w:r>
        <w:rPr>
          <w:noProof/>
          <w:lang w:eastAsia="fr-BE"/>
        </w:rPr>
        <w:t xml:space="preserve"> and the European Agricultural Guidance and Guarantee Fund) almost always lead to a reimbursement to the EU budget whereas, due to the legal framework, for cohesion policy, the return of previously paid amounts to the EU budget were generally the exception during the implementation of the programmes.</w:t>
      </w:r>
    </w:p>
    <w:p w:rsidR="00311BB8" w:rsidRDefault="00D91061">
      <w:pPr>
        <w:pStyle w:val="AMPRBodyText"/>
        <w:rPr>
          <w:noProof/>
          <w:lang w:eastAsia="fr-BE"/>
        </w:rPr>
      </w:pPr>
      <w:r>
        <w:rPr>
          <w:noProof/>
          <w:lang w:eastAsia="fr-BE"/>
        </w:rPr>
        <w:t>Under the legal framework applicable for cohesion policy up to the end of the 2007-2013 programming period, a real return of cash to the EU budget only occurs:</w:t>
      </w:r>
    </w:p>
    <w:p w:rsidR="00311BB8" w:rsidRDefault="00D91061">
      <w:pPr>
        <w:pStyle w:val="AMPRListOrange-L1"/>
        <w:rPr>
          <w:noProof/>
          <w:color w:val="000000"/>
          <w:lang w:eastAsia="fr-BE"/>
        </w:rPr>
      </w:pPr>
      <w:r>
        <w:rPr>
          <w:noProof/>
          <w:color w:val="000000"/>
          <w:lang w:eastAsia="fr-BE"/>
        </w:rPr>
        <w:t>if Member States were unable to present sufficient eligible expenditure;</w:t>
      </w:r>
    </w:p>
    <w:p w:rsidR="00311BB8" w:rsidRDefault="00D91061">
      <w:pPr>
        <w:pStyle w:val="AMPRListOrange-L1"/>
        <w:rPr>
          <w:noProof/>
          <w:color w:val="000000"/>
          <w:lang w:eastAsia="fr-BE"/>
        </w:rPr>
      </w:pPr>
      <w:r>
        <w:rPr>
          <w:noProof/>
          <w:color w:val="000000"/>
          <w:lang w:eastAsia="fr-BE"/>
        </w:rPr>
        <w:t>after the closure of programmes where the replacement of ineligible expenditure by eligible was no longer possible;</w:t>
      </w:r>
    </w:p>
    <w:p w:rsidR="00311BB8" w:rsidRDefault="00D91061">
      <w:pPr>
        <w:pStyle w:val="AMPRListOrange-L1"/>
        <w:rPr>
          <w:noProof/>
          <w:color w:val="000000"/>
          <w:lang w:eastAsia="fr-BE"/>
        </w:rPr>
      </w:pPr>
      <w:r>
        <w:rPr>
          <w:noProof/>
          <w:color w:val="000000"/>
          <w:lang w:eastAsia="fr-BE"/>
        </w:rPr>
        <w:t>in the event of a disagreement with the Commission.</w:t>
      </w:r>
    </w:p>
    <w:p w:rsidR="00311BB8" w:rsidRDefault="00D91061">
      <w:pPr>
        <w:pStyle w:val="AMPRBodyText"/>
        <w:rPr>
          <w:noProof/>
          <w:lang w:eastAsia="fr-BE"/>
        </w:rPr>
      </w:pPr>
      <w:r>
        <w:rPr>
          <w:noProof/>
          <w:lang w:eastAsia="fr-BE"/>
        </w:rPr>
        <w:t>However, a significant change was introduced for the 2014-2020 period: the Commission has an obligation to apply a net financial correction when serious deficiencies in the effective functioning of the management and control system not previously detected, reported or corrected at Member State level are discovered by EU audits after the submission of the assurance packages. In such cases, unlike in previous programming periods, the possibility for the Member State to accept the correction and to reuse the EU funds in question is removed.</w:t>
      </w:r>
    </w:p>
    <w:p w:rsidR="00311BB8" w:rsidRDefault="00D91061">
      <w:pPr>
        <w:pStyle w:val="AMPRChart-Tabletitle"/>
        <w:rPr>
          <w:noProof/>
        </w:rPr>
      </w:pPr>
      <w:r>
        <w:rPr>
          <w:noProof/>
          <w:lang w:val="fr-BE"/>
        </w:rPr>
        <w:drawing>
          <wp:inline distT="0" distB="0" distL="0" distR="0">
            <wp:extent cx="5760720" cy="1216736"/>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1216736"/>
                    </a:xfrm>
                    <a:prstGeom prst="rect">
                      <a:avLst/>
                    </a:prstGeom>
                    <a:noFill/>
                    <a:ln>
                      <a:noFill/>
                    </a:ln>
                  </pic:spPr>
                </pic:pic>
              </a:graphicData>
            </a:graphic>
          </wp:inline>
        </w:drawing>
      </w:r>
      <w:r>
        <w:rPr>
          <w:noProof/>
        </w:rPr>
        <w:t>Impact on the EU budget (2019)</w:t>
      </w:r>
    </w:p>
    <w:p w:rsidR="00311BB8" w:rsidRDefault="00D91061">
      <w:pPr>
        <w:pStyle w:val="AMPRSource-Table-Chart-Photo-Caption"/>
        <w:rPr>
          <w:noProof/>
        </w:rPr>
      </w:pPr>
      <w:r>
        <w:rPr>
          <w:noProof/>
        </w:rPr>
        <w:t>(*)</w:t>
      </w:r>
      <w:r>
        <w:rPr>
          <w:rFonts w:ascii="Calibri" w:hAnsi="Calibri" w:cs="Calibri"/>
          <w:noProof/>
        </w:rPr>
        <w:t> </w:t>
      </w:r>
      <w:r>
        <w:rPr>
          <w:noProof/>
        </w:rPr>
        <w:t>The main expenditure chapters concerned are 0502, 0503, 0504, 1303, 1304, 0402, 1106 and 1803.</w:t>
      </w:r>
    </w:p>
    <w:p w:rsidR="00311BB8" w:rsidRDefault="00D91061">
      <w:pPr>
        <w:pStyle w:val="AMPRSource-Table-Chart-Photo-Caption"/>
        <w:rPr>
          <w:noProof/>
        </w:rPr>
      </w:pPr>
      <w:r>
        <w:rPr>
          <w:noProof/>
        </w:rPr>
        <w:t>(**)</w:t>
      </w:r>
      <w:r>
        <w:rPr>
          <w:rFonts w:ascii="Calibri" w:hAnsi="Calibri" w:cs="Calibri"/>
          <w:noProof/>
        </w:rPr>
        <w:t> </w:t>
      </w:r>
      <w:r>
        <w:rPr>
          <w:noProof/>
        </w:rPr>
        <w:t>Excluding at-source recoveries. The main expenditure chapters concerned are 0502, 0503, 1303, 1304, 0402 and 1106. For more information on recoveries, see ‘Cumulative recoveries 2013-2019’ above.</w:t>
      </w:r>
    </w:p>
    <w:p w:rsidR="00311BB8" w:rsidRDefault="00D91061">
      <w:pPr>
        <w:pStyle w:val="AMPRBodyText"/>
        <w:rPr>
          <w:noProof/>
          <w:color w:val="7F7F7F"/>
          <w:lang w:eastAsia="en-GB"/>
        </w:rPr>
      </w:pPr>
      <w:r>
        <w:rPr>
          <w:noProof/>
          <w:lang w:eastAsia="fr-BE"/>
        </w:rPr>
        <w:t>Revenues arising from net financial corrections and recoveries are treated as assigned revenue</w:t>
      </w:r>
      <w:r>
        <w:rPr>
          <w:rFonts w:ascii="Calibri" w:hAnsi="Calibri" w:cs="Calibri"/>
          <w:noProof/>
          <w:lang w:eastAsia="fr-BE"/>
        </w:rPr>
        <w:t> </w:t>
      </w:r>
      <w:r>
        <w:rPr>
          <w:noProof/>
          <w:lang w:eastAsia="fr-BE"/>
        </w:rPr>
        <w:t>(</w:t>
      </w:r>
      <w:r>
        <w:rPr>
          <w:noProof/>
          <w:vertAlign w:val="superscript"/>
          <w:lang w:eastAsia="fr-BE"/>
        </w:rPr>
        <w:footnoteReference w:id="33"/>
      </w:r>
      <w:r>
        <w:rPr>
          <w:noProof/>
          <w:lang w:eastAsia="fr-BE"/>
        </w:rPr>
        <w:t>); the Commission also implements recoveries at source by deducting ineligible expenditure (identified in previous or current cost claims) from payments made. In general, assigned revenue goes back to the budget heading or fund from which the expenditure was originally paid and may be spent again, but it is not earmarked for specific Member State</w:t>
      </w:r>
      <w:r>
        <w:rPr>
          <w:noProof/>
          <w:lang w:eastAsia="en-GB"/>
        </w:rPr>
        <w:t>s</w:t>
      </w:r>
      <w:r>
        <w:rPr>
          <w:noProof/>
          <w:color w:val="7F7F7F"/>
          <w:lang w:eastAsia="en-GB"/>
        </w:rPr>
        <w:t>.</w:t>
      </w:r>
    </w:p>
    <w:p w:rsidR="00311BB8" w:rsidRDefault="00D91061">
      <w:pPr>
        <w:pStyle w:val="AMPRAnnexesTITLE3-Numbered"/>
        <w:rPr>
          <w:noProof/>
        </w:rPr>
      </w:pPr>
      <w:bookmarkStart w:id="84" w:name="_Toc484626491"/>
      <w:bookmarkStart w:id="85" w:name="_Toc512866532"/>
      <w:bookmarkStart w:id="86" w:name="_Toc8386204"/>
      <w:bookmarkEnd w:id="75"/>
      <w:r>
        <w:rPr>
          <w:noProof/>
        </w:rPr>
        <w:t>Agriculture and rural development</w:t>
      </w:r>
      <w:bookmarkEnd w:id="84"/>
      <w:bookmarkEnd w:id="85"/>
      <w:bookmarkEnd w:id="86"/>
    </w:p>
    <w:p w:rsidR="00311BB8" w:rsidRDefault="00D91061">
      <w:pPr>
        <w:pStyle w:val="AMPRAnnexesTITLE4-Numbered"/>
        <w:rPr>
          <w:bCs/>
          <w:iCs/>
          <w:noProof/>
        </w:rPr>
      </w:pPr>
      <w:bookmarkStart w:id="87" w:name="_Toc484626492"/>
      <w:bookmarkStart w:id="88" w:name="_Toc512866533"/>
      <w:bookmarkStart w:id="89" w:name="_Toc8386205"/>
      <w:r>
        <w:rPr>
          <w:noProof/>
        </w:rPr>
        <w:t>Preventive actions</w:t>
      </w:r>
      <w:bookmarkEnd w:id="87"/>
      <w:bookmarkEnd w:id="88"/>
      <w:bookmarkEnd w:id="89"/>
    </w:p>
    <w:p w:rsidR="00311BB8" w:rsidRDefault="00D91061">
      <w:pPr>
        <w:pStyle w:val="AMPRAnnexesTITLE5"/>
        <w:rPr>
          <w:noProof/>
        </w:rPr>
      </w:pPr>
      <w:r>
        <w:rPr>
          <w:noProof/>
        </w:rPr>
        <w:t>Preventive actions by the Member States</w:t>
      </w:r>
    </w:p>
    <w:p w:rsidR="00311BB8" w:rsidRDefault="00D91061">
      <w:pPr>
        <w:pStyle w:val="AMPRBodyText"/>
        <w:rPr>
          <w:rFonts w:eastAsia="Calibri"/>
          <w:noProof/>
          <w:lang w:eastAsia="fr-BE"/>
        </w:rPr>
      </w:pPr>
      <w:r>
        <w:rPr>
          <w:rFonts w:eastAsia="Calibri"/>
          <w:noProof/>
          <w:lang w:eastAsia="fr-BE"/>
        </w:rPr>
        <w:t xml:space="preserve">A compulsory administrative structure has been set up at the Member State level. The management, control and payment of the expenditure are entrusted to accredited paying agencies. Compliance with strict accreditation criteria is subject to constant supervision by the competent national authority (at ministerial level). The directors of paying agencies are required to provide an annual management declaration on the completeness, accuracy and veracity of the accounts, along with a declaration that the system in place provides reasonable assurance of the legality and regularity of the underlying transactions. The annual accounts, the functioning of the internal control procedures and the legality and regularity of the expenditure of paying agencies are verified and certified by the certification bodies (independent external audit bodies), which also review compliance with the accreditation criteria. The management declarations are also verified by the abovementioned certification bodies, which are required to provide an annual opinion. For each support scheme financed by the </w:t>
      </w:r>
      <w:r>
        <w:rPr>
          <w:rStyle w:val="AMPRcharBoldOrange"/>
          <w:noProof/>
        </w:rPr>
        <w:t>European Agricultural Guarantee Fund</w:t>
      </w:r>
      <w:r>
        <w:rPr>
          <w:rFonts w:eastAsia="Calibri"/>
          <w:noProof/>
          <w:color w:val="E48C32"/>
          <w:lang w:eastAsia="fr-BE"/>
        </w:rPr>
        <w:t xml:space="preserve"> </w:t>
      </w:r>
      <w:r>
        <w:rPr>
          <w:rFonts w:eastAsia="Calibri"/>
          <w:noProof/>
          <w:lang w:eastAsia="fr-BE"/>
        </w:rPr>
        <w:t xml:space="preserve">or the </w:t>
      </w:r>
      <w:r>
        <w:rPr>
          <w:rStyle w:val="AMPRcharBoldOrange"/>
          <w:noProof/>
        </w:rPr>
        <w:t>European Agricultural Fund for Rural Development</w:t>
      </w:r>
      <w:r>
        <w:rPr>
          <w:rFonts w:eastAsia="Calibri"/>
          <w:noProof/>
          <w:lang w:eastAsia="fr-BE"/>
        </w:rPr>
        <w:t xml:space="preserve">, the paying agencies apply a system of exhaustive </w:t>
      </w:r>
      <w:r>
        <w:rPr>
          <w:rFonts w:eastAsia="Calibri"/>
          <w:i/>
          <w:noProof/>
          <w:lang w:eastAsia="fr-BE"/>
        </w:rPr>
        <w:t>ex</w:t>
      </w:r>
      <w:r>
        <w:rPr>
          <w:rFonts w:ascii="Calibri" w:eastAsia="Calibri" w:hAnsi="Calibri"/>
          <w:i/>
          <w:noProof/>
          <w:lang w:eastAsia="fr-BE"/>
        </w:rPr>
        <w:t> </w:t>
      </w:r>
      <w:r>
        <w:rPr>
          <w:rFonts w:eastAsia="Calibri"/>
          <w:i/>
          <w:noProof/>
          <w:lang w:eastAsia="fr-BE"/>
        </w:rPr>
        <w:t>ante</w:t>
      </w:r>
      <w:r>
        <w:rPr>
          <w:rFonts w:eastAsia="Calibri"/>
          <w:noProof/>
          <w:lang w:eastAsia="fr-BE"/>
        </w:rPr>
        <w:t xml:space="preserve"> administrative controls and on-site checks prior to any payment. These checks are carried out in accordance with precise rules set out in the sector-specific legislation. For the majority of these aid schemes Member States are required to send statistical information on the checks carried out and their results to the Commission on a yearly basis.</w:t>
      </w:r>
    </w:p>
    <w:p w:rsidR="00311BB8" w:rsidRDefault="00D91061">
      <w:pPr>
        <w:pStyle w:val="AMPRAnnexesTITLE5"/>
        <w:rPr>
          <w:noProof/>
        </w:rPr>
      </w:pPr>
      <w:r>
        <w:rPr>
          <w:noProof/>
        </w:rPr>
        <w:t>Preventive actions by the Commission</w:t>
      </w:r>
    </w:p>
    <w:p w:rsidR="00311BB8" w:rsidRDefault="00D91061">
      <w:pPr>
        <w:pStyle w:val="AMPRBodyText"/>
        <w:rPr>
          <w:rFonts w:eastAsia="Calibri"/>
          <w:noProof/>
          <w:lang w:eastAsia="fr-BE"/>
        </w:rPr>
      </w:pPr>
      <w:r>
        <w:rPr>
          <w:rFonts w:eastAsia="Calibri"/>
          <w:noProof/>
          <w:lang w:eastAsia="fr-BE"/>
        </w:rPr>
        <w:t>The Commission applies a number of available preventive instruments such as the interruption, suspension and reduction of EU financing with a view to better protecting the EU budget and further incentivising Member States to reduce irregular payments. The Commission may interrupt payments</w:t>
      </w:r>
      <w:r>
        <w:rPr>
          <w:rFonts w:eastAsia="Calibri"/>
          <w:noProof/>
          <w:color w:val="7F7F7F"/>
          <w:sz w:val="19"/>
          <w:szCs w:val="19"/>
          <w:lang w:eastAsia="en-GB"/>
        </w:rPr>
        <w:t xml:space="preserve"> </w:t>
      </w:r>
      <w:r>
        <w:rPr>
          <w:rFonts w:eastAsia="Calibri"/>
          <w:noProof/>
          <w:lang w:eastAsia="fr-BE"/>
        </w:rPr>
        <w:t xml:space="preserve">for the second pillar (the </w:t>
      </w:r>
      <w:r>
        <w:rPr>
          <w:rStyle w:val="AMPRcharBoldOrange"/>
          <w:noProof/>
        </w:rPr>
        <w:t>European Agricultural Fund for Rural Development</w:t>
      </w:r>
      <w:r>
        <w:rPr>
          <w:rFonts w:eastAsia="Calibri"/>
          <w:noProof/>
          <w:lang w:eastAsia="fr-BE"/>
        </w:rPr>
        <w:t xml:space="preserve">) and reduce or suspend the payments for both pillars (the </w:t>
      </w:r>
      <w:r>
        <w:rPr>
          <w:rStyle w:val="AMPRcharBoldOrange"/>
          <w:noProof/>
        </w:rPr>
        <w:t xml:space="preserve">European Agricultural Guarantee Fund </w:t>
      </w:r>
      <w:r>
        <w:rPr>
          <w:rFonts w:eastAsia="Calibri"/>
          <w:noProof/>
          <w:lang w:eastAsia="fr-BE"/>
        </w:rPr>
        <w:t xml:space="preserve">and the </w:t>
      </w:r>
      <w:r>
        <w:rPr>
          <w:rStyle w:val="AMPRcharBoldOrange"/>
          <w:noProof/>
        </w:rPr>
        <w:t>European Agricultural Fund for Rural Development</w:t>
      </w:r>
      <w:r>
        <w:rPr>
          <w:rFonts w:eastAsia="Calibri"/>
          <w:noProof/>
          <w:lang w:eastAsia="fr-BE"/>
        </w:rPr>
        <w:t xml:space="preserve">). </w:t>
      </w:r>
    </w:p>
    <w:p w:rsidR="00311BB8" w:rsidRDefault="00D91061">
      <w:pPr>
        <w:pStyle w:val="AMPRBodyText"/>
        <w:rPr>
          <w:noProof/>
          <w:lang w:eastAsia="fr-BE"/>
        </w:rPr>
      </w:pPr>
      <w:r>
        <w:rPr>
          <w:noProof/>
          <w:lang w:eastAsia="fr-BE"/>
        </w:rPr>
        <w:t>Firstly, where the declarations of expenditure or the annual accounts do not enable the Commission to establish whether the expenditure has been effected in accordance with EU rules, the Commission may reduce or suspend the payments to the Member State under both pillars.</w:t>
      </w:r>
    </w:p>
    <w:p w:rsidR="00311BB8" w:rsidRDefault="00D91061">
      <w:pPr>
        <w:pStyle w:val="AMPRBodyText"/>
        <w:rPr>
          <w:noProof/>
          <w:lang w:eastAsia="fr-BE"/>
        </w:rPr>
      </w:pPr>
      <w:r>
        <w:rPr>
          <w:noProof/>
          <w:lang w:eastAsia="fr-BE"/>
        </w:rPr>
        <w:t>Secondly, the Commission may reduce or suspend monthly (</w:t>
      </w:r>
      <w:r>
        <w:rPr>
          <w:rStyle w:val="AMPRcharBoldOrange"/>
          <w:noProof/>
        </w:rPr>
        <w:t>European Agricultural Guarantee Fund</w:t>
      </w:r>
      <w:r>
        <w:rPr>
          <w:noProof/>
          <w:lang w:eastAsia="fr-BE"/>
        </w:rPr>
        <w:t>)</w:t>
      </w:r>
      <w:r>
        <w:rPr>
          <w:b/>
          <w:noProof/>
          <w:color w:val="E48C32"/>
          <w:lang w:eastAsia="fr-BE"/>
        </w:rPr>
        <w:t xml:space="preserve"> </w:t>
      </w:r>
      <w:r>
        <w:rPr>
          <w:noProof/>
          <w:lang w:eastAsia="fr-BE"/>
        </w:rPr>
        <w:t>or interim (</w:t>
      </w:r>
      <w:r>
        <w:rPr>
          <w:rStyle w:val="AMPRcharBoldOrange"/>
          <w:noProof/>
        </w:rPr>
        <w:t>European Agricultural Fund for Rural Development</w:t>
      </w:r>
      <w:r>
        <w:rPr>
          <w:noProof/>
          <w:lang w:eastAsia="fr-BE"/>
        </w:rPr>
        <w:t>) payments where ‘one or more of the key components of the national control system in question do not exist or are not effective due to the gravity or persistence of the deficiencies found’</w:t>
      </w:r>
      <w:r>
        <w:rPr>
          <w:rFonts w:ascii="Calibri" w:hAnsi="Calibri" w:cs="Calibri"/>
          <w:noProof/>
          <w:lang w:eastAsia="fr-BE"/>
        </w:rPr>
        <w:t> </w:t>
      </w:r>
      <w:r>
        <w:rPr>
          <w:noProof/>
          <w:lang w:eastAsia="fr-BE"/>
        </w:rPr>
        <w:t>(</w:t>
      </w:r>
      <w:r>
        <w:rPr>
          <w:noProof/>
          <w:vertAlign w:val="superscript"/>
          <w:lang w:eastAsia="fr-BE"/>
        </w:rPr>
        <w:footnoteReference w:id="34"/>
      </w:r>
      <w:r>
        <w:rPr>
          <w:noProof/>
          <w:lang w:eastAsia="fr-BE"/>
        </w:rPr>
        <w:t>) (or if there are similar serious deficiencies in the system for the recovery of irregular payments) and:</w:t>
      </w:r>
    </w:p>
    <w:p w:rsidR="00311BB8" w:rsidRDefault="00D91061">
      <w:pPr>
        <w:pStyle w:val="AMPRListOrange-L1"/>
        <w:rPr>
          <w:noProof/>
          <w:color w:val="000000"/>
          <w:lang w:eastAsia="fr-BE"/>
        </w:rPr>
      </w:pPr>
      <w:r>
        <w:rPr>
          <w:noProof/>
          <w:color w:val="000000"/>
          <w:lang w:eastAsia="fr-BE"/>
        </w:rPr>
        <w:t>either the deficiencies are of a continuous nature and have already been the cause of at least two financial correction decisions; or</w:t>
      </w:r>
    </w:p>
    <w:p w:rsidR="00311BB8" w:rsidRDefault="00D91061">
      <w:pPr>
        <w:pStyle w:val="AMPRListOrange-L1"/>
        <w:rPr>
          <w:noProof/>
          <w:color w:val="000000"/>
          <w:lang w:eastAsia="fr-BE"/>
        </w:rPr>
      </w:pPr>
      <w:r>
        <w:rPr>
          <w:noProof/>
          <w:color w:val="000000"/>
          <w:lang w:eastAsia="fr-BE"/>
        </w:rPr>
        <w:t xml:space="preserve">the Commission concludes that the Member State concerned is not in a position to implement the necessary remedial measures in the immediate future, in accordance with an action plan with clear progress indicators to be established in consultation with the Commission. </w:t>
      </w:r>
    </w:p>
    <w:p w:rsidR="00311BB8" w:rsidRDefault="00D91061">
      <w:pPr>
        <w:pStyle w:val="AMPRBodyText"/>
        <w:rPr>
          <w:rFonts w:eastAsia="Calibri"/>
          <w:noProof/>
          <w:lang w:eastAsia="fr-BE"/>
        </w:rPr>
      </w:pPr>
      <w:r>
        <w:rPr>
          <w:rFonts w:eastAsia="Calibri"/>
          <w:noProof/>
          <w:lang w:eastAsia="fr-BE"/>
        </w:rPr>
        <w:t xml:space="preserve">For the </w:t>
      </w:r>
      <w:r>
        <w:rPr>
          <w:rStyle w:val="AMPRcharBoldOrange"/>
          <w:noProof/>
        </w:rPr>
        <w:t>European Agricultural Fund for Rural Development</w:t>
      </w:r>
      <w:r>
        <w:rPr>
          <w:rFonts w:eastAsia="Calibri"/>
          <w:noProof/>
          <w:lang w:eastAsia="fr-BE"/>
        </w:rPr>
        <w:t>, the common provisions regulation</w:t>
      </w:r>
      <w:r>
        <w:rPr>
          <w:rFonts w:ascii="Calibri" w:eastAsia="Calibri" w:hAnsi="Calibri" w:cs="Calibri"/>
          <w:noProof/>
          <w:lang w:eastAsia="fr-BE"/>
        </w:rPr>
        <w:t> </w:t>
      </w:r>
      <w:r>
        <w:rPr>
          <w:rFonts w:eastAsia="Calibri"/>
          <w:noProof/>
          <w:lang w:eastAsia="fr-BE"/>
        </w:rPr>
        <w:t>(</w:t>
      </w:r>
      <w:r>
        <w:rPr>
          <w:rFonts w:eastAsia="Calibri"/>
          <w:noProof/>
          <w:vertAlign w:val="superscript"/>
          <w:lang w:eastAsia="fr-BE"/>
        </w:rPr>
        <w:footnoteReference w:id="35"/>
      </w:r>
      <w:r>
        <w:rPr>
          <w:rFonts w:eastAsia="Calibri"/>
          <w:noProof/>
          <w:lang w:eastAsia="fr-BE"/>
        </w:rPr>
        <w:t>)</w:t>
      </w:r>
      <w:r>
        <w:rPr>
          <w:rFonts w:eastAsia="Calibri"/>
          <w:noProof/>
          <w:vertAlign w:val="superscript"/>
          <w:lang w:eastAsia="fr-BE"/>
        </w:rPr>
        <w:t xml:space="preserve"> </w:t>
      </w:r>
      <w:r>
        <w:rPr>
          <w:rFonts w:eastAsia="Calibri"/>
          <w:noProof/>
          <w:lang w:eastAsia="fr-BE"/>
        </w:rPr>
        <w:t xml:space="preserve">also provides for the interruption of interim payments by the authorising officer by delegation (i.e. the Director-General) as an additional, quick, reactive tool in the event of concerns about the legality and regularity of payments. </w:t>
      </w:r>
      <w:r>
        <w:rPr>
          <w:noProof/>
        </w:rPr>
        <w:t>In 2019, payments of a total of EUR</w:t>
      </w:r>
      <w:r>
        <w:rPr>
          <w:rFonts w:ascii="Calibri" w:hAnsi="Calibri" w:cs="Calibri"/>
          <w:noProof/>
        </w:rPr>
        <w:t> </w:t>
      </w:r>
      <w:r>
        <w:rPr>
          <w:noProof/>
        </w:rPr>
        <w:t>4</w:t>
      </w:r>
      <w:r>
        <w:rPr>
          <w:rFonts w:ascii="Calibri" w:hAnsi="Calibri" w:cs="Calibri"/>
          <w:noProof/>
        </w:rPr>
        <w:t> </w:t>
      </w:r>
      <w:r>
        <w:rPr>
          <w:noProof/>
        </w:rPr>
        <w:t>million were interrupted for Czechia, Lithuania, Austria and Romania, and payments of EUR</w:t>
      </w:r>
      <w:r>
        <w:rPr>
          <w:rFonts w:ascii="Calibri" w:hAnsi="Calibri" w:cs="Calibri"/>
          <w:noProof/>
        </w:rPr>
        <w:t> </w:t>
      </w:r>
      <w:r>
        <w:rPr>
          <w:noProof/>
        </w:rPr>
        <w:t>0.247</w:t>
      </w:r>
      <w:r>
        <w:rPr>
          <w:rFonts w:ascii="Calibri" w:hAnsi="Calibri" w:cs="Calibri"/>
          <w:noProof/>
        </w:rPr>
        <w:t> </w:t>
      </w:r>
      <w:r>
        <w:rPr>
          <w:noProof/>
        </w:rPr>
        <w:t>million and EUR</w:t>
      </w:r>
      <w:r>
        <w:rPr>
          <w:rStyle w:val="Bodytext2Bold"/>
          <w:rFonts w:eastAsiaTheme="minorHAnsi"/>
          <w:noProof/>
        </w:rPr>
        <w:t> </w:t>
      </w:r>
      <w:r>
        <w:rPr>
          <w:noProof/>
        </w:rPr>
        <w:t>0.084</w:t>
      </w:r>
      <w:r>
        <w:rPr>
          <w:rStyle w:val="Bodytext2Bold"/>
          <w:rFonts w:eastAsiaTheme="minorHAnsi"/>
          <w:noProof/>
        </w:rPr>
        <w:t> </w:t>
      </w:r>
      <w:r>
        <w:rPr>
          <w:noProof/>
        </w:rPr>
        <w:t>million were also suspended for Czechia and Romania, respectively.</w:t>
      </w:r>
    </w:p>
    <w:p w:rsidR="00311BB8" w:rsidRDefault="00D91061">
      <w:pPr>
        <w:pStyle w:val="AMPRBodyText"/>
        <w:rPr>
          <w:noProof/>
          <w:color w:val="7F7F7F"/>
          <w:sz w:val="19"/>
          <w:szCs w:val="19"/>
          <w:lang w:eastAsia="en-GB"/>
        </w:rPr>
      </w:pPr>
      <w:r>
        <w:rPr>
          <w:noProof/>
        </w:rPr>
        <w:t xml:space="preserve">For the </w:t>
      </w:r>
      <w:r>
        <w:rPr>
          <w:rStyle w:val="AMPRcharBoldOrange"/>
          <w:noProof/>
        </w:rPr>
        <w:t>European Agricultural Guarantee Fund</w:t>
      </w:r>
      <w:r>
        <w:rPr>
          <w:noProof/>
        </w:rPr>
        <w:t>, the schedule of the monthly payments would not allow for such an interruption procedure. For the European Agricultural Guarantee Fund in 2019, the Commission decided to reduce payments by EUR</w:t>
      </w:r>
      <w:r>
        <w:rPr>
          <w:rStyle w:val="Bodytext2Bold"/>
          <w:rFonts w:eastAsiaTheme="minorHAnsi"/>
          <w:noProof/>
          <w:color w:val="auto"/>
        </w:rPr>
        <w:t> </w:t>
      </w:r>
      <w:r>
        <w:rPr>
          <w:noProof/>
        </w:rPr>
        <w:t>68</w:t>
      </w:r>
      <w:r>
        <w:rPr>
          <w:rFonts w:ascii="Arial" w:hAnsi="Arial" w:cs="Arial"/>
          <w:noProof/>
        </w:rPr>
        <w:t> </w:t>
      </w:r>
      <w:r>
        <w:rPr>
          <w:noProof/>
        </w:rPr>
        <w:t>million due to ceiling overruns, missed deadlines and eligibility issues. There were no suspensions or reductions in the monthly payments that were due to deficiencies in the control system in 2019.</w:t>
      </w:r>
      <w:r>
        <w:rPr>
          <w:rStyle w:val="AMPRTextChar"/>
          <w:rFonts w:eastAsia="Calibri"/>
          <w:noProof/>
        </w:rPr>
        <w:t xml:space="preserve"> </w:t>
      </w:r>
    </w:p>
    <w:p w:rsidR="00311BB8" w:rsidRDefault="00D91061">
      <w:pPr>
        <w:pStyle w:val="AMPRBodyText"/>
        <w:rPr>
          <w:noProof/>
          <w:lang w:eastAsia="fr-BE"/>
        </w:rPr>
      </w:pPr>
      <w:r>
        <w:rPr>
          <w:noProof/>
          <w:lang w:eastAsia="fr-BE"/>
        </w:rPr>
        <w:t>The interruptions and reductions/suspensions are provisional. Where relevant, these are accompanied by an audit. If the deficiency is confirmed, the relevant expenditure is definitively excluded from EU funding by the application of a financial correction under the conformity clearance procedure.</w:t>
      </w:r>
    </w:p>
    <w:p w:rsidR="00311BB8" w:rsidRDefault="00D91061">
      <w:pPr>
        <w:pStyle w:val="AMPRAnnexesTITLE4-Numbered"/>
        <w:rPr>
          <w:rFonts w:eastAsia="Calibri"/>
          <w:noProof/>
          <w:color w:val="E48C32"/>
          <w:lang w:eastAsia="fr-BE"/>
        </w:rPr>
      </w:pPr>
      <w:bookmarkStart w:id="90" w:name="_Toc484626493"/>
      <w:bookmarkStart w:id="91" w:name="_Toc512866534"/>
      <w:bookmarkStart w:id="92" w:name="_Toc8386206"/>
      <w:r>
        <w:rPr>
          <w:noProof/>
        </w:rPr>
        <w:t>Corrective actions</w:t>
      </w:r>
      <w:bookmarkEnd w:id="90"/>
      <w:bookmarkEnd w:id="91"/>
      <w:bookmarkEnd w:id="92"/>
    </w:p>
    <w:p w:rsidR="00311BB8" w:rsidRDefault="00D91061">
      <w:pPr>
        <w:pStyle w:val="AMPRBodyText"/>
        <w:rPr>
          <w:noProof/>
          <w:lang w:eastAsia="fr-BE"/>
        </w:rPr>
      </w:pPr>
      <w:r>
        <w:rPr>
          <w:noProof/>
          <w:lang w:eastAsia="fr-BE"/>
        </w:rPr>
        <w:t xml:space="preserve">For the </w:t>
      </w:r>
      <w:r>
        <w:rPr>
          <w:rStyle w:val="AMPRcharBoldOrange"/>
          <w:noProof/>
        </w:rPr>
        <w:t>European Agricultural Guarantee Fund</w:t>
      </w:r>
      <w:r>
        <w:rPr>
          <w:noProof/>
          <w:lang w:eastAsia="fr-BE"/>
        </w:rPr>
        <w:t>, financial corrections are executed by deducting the amounts concerned from the monthly payments made by the Commission in the 2nd</w:t>
      </w:r>
      <w:r>
        <w:rPr>
          <w:rFonts w:ascii="Calibri" w:hAnsi="Calibri" w:cs="Calibri"/>
          <w:noProof/>
          <w:lang w:eastAsia="fr-BE"/>
        </w:rPr>
        <w:t> </w:t>
      </w:r>
      <w:r>
        <w:rPr>
          <w:noProof/>
          <w:lang w:eastAsia="fr-BE"/>
        </w:rPr>
        <w:t xml:space="preserve">month following the Commission decision on a financial correction to the Member State concerned. </w:t>
      </w:r>
    </w:p>
    <w:p w:rsidR="00311BB8" w:rsidRDefault="00D91061">
      <w:pPr>
        <w:pStyle w:val="AMPRBodyText"/>
        <w:rPr>
          <w:noProof/>
          <w:lang w:eastAsia="fr-BE"/>
        </w:rPr>
      </w:pPr>
      <w:r>
        <w:rPr>
          <w:noProof/>
          <w:lang w:eastAsia="fr-BE"/>
        </w:rPr>
        <w:t xml:space="preserve">For the </w:t>
      </w:r>
      <w:r>
        <w:rPr>
          <w:rStyle w:val="AMPRcharBoldOrange"/>
          <w:noProof/>
        </w:rPr>
        <w:t>European Agricultural Fund for Rural Development</w:t>
      </w:r>
      <w:r>
        <w:rPr>
          <w:noProof/>
          <w:lang w:eastAsia="fr-BE"/>
        </w:rPr>
        <w:t>, the financial corrections are executed through a recovery order requesting the Member State concerned to reimburse the amounts to the EU budget; they are mostly executed by a set-off in the reimbursement in the following quarter. It therefore occurs that decisions adopted at the end of year</w:t>
      </w:r>
      <w:r>
        <w:rPr>
          <w:rFonts w:ascii="Calibri" w:hAnsi="Calibri" w:cs="Calibri"/>
          <w:noProof/>
          <w:lang w:eastAsia="fr-BE"/>
        </w:rPr>
        <w:t> </w:t>
      </w:r>
      <w:r>
        <w:rPr>
          <w:noProof/>
          <w:lang w:eastAsia="fr-BE"/>
        </w:rPr>
        <w:t>N are only executed at the beginning of year</w:t>
      </w:r>
      <w:r>
        <w:rPr>
          <w:rFonts w:ascii="Calibri" w:hAnsi="Calibri" w:cs="Calibri"/>
          <w:noProof/>
          <w:lang w:eastAsia="fr-BE"/>
        </w:rPr>
        <w:t> </w:t>
      </w:r>
      <w:r>
        <w:rPr>
          <w:noProof/>
          <w:lang w:eastAsia="fr-BE"/>
        </w:rPr>
        <w:t xml:space="preserve">N+1. </w:t>
      </w:r>
    </w:p>
    <w:p w:rsidR="00311BB8" w:rsidRDefault="00D91061">
      <w:pPr>
        <w:pStyle w:val="AMPRBodyText"/>
        <w:rPr>
          <w:noProof/>
          <w:lang w:eastAsia="fr-BE"/>
        </w:rPr>
      </w:pPr>
      <w:r>
        <w:rPr>
          <w:noProof/>
          <w:lang w:eastAsia="fr-BE"/>
        </w:rPr>
        <w:t xml:space="preserve">Furthermore, the execution of the decision may be delayed due to instalment and deferral decisions. In </w:t>
      </w:r>
      <w:r>
        <w:rPr>
          <w:noProof/>
        </w:rPr>
        <w:t>2019, a total of EUR</w:t>
      </w:r>
      <w:r>
        <w:rPr>
          <w:rStyle w:val="Bodytext2Bold"/>
          <w:rFonts w:eastAsiaTheme="minorHAnsi"/>
          <w:noProof/>
        </w:rPr>
        <w:t> </w:t>
      </w:r>
      <w:r>
        <w:rPr>
          <w:noProof/>
        </w:rPr>
        <w:t>146</w:t>
      </w:r>
      <w:r>
        <w:rPr>
          <w:rStyle w:val="Bodytext2Bold"/>
          <w:rFonts w:eastAsiaTheme="minorHAnsi"/>
          <w:noProof/>
        </w:rPr>
        <w:t> </w:t>
      </w:r>
      <w:r>
        <w:rPr>
          <w:noProof/>
        </w:rPr>
        <w:t xml:space="preserve">million was scheduled for recovery in three annual instalments. </w:t>
      </w:r>
    </w:p>
    <w:p w:rsidR="00311BB8" w:rsidRDefault="00D91061">
      <w:pPr>
        <w:pStyle w:val="AMPRAnnexesTITLE4-Numbered"/>
        <w:rPr>
          <w:rFonts w:eastAsia="Calibri"/>
          <w:noProof/>
          <w:color w:val="E48C32"/>
          <w:lang w:eastAsia="fr-BE"/>
        </w:rPr>
      </w:pPr>
      <w:bookmarkStart w:id="93" w:name="_Toc512866535"/>
      <w:bookmarkStart w:id="94" w:name="_Toc8386207"/>
      <w:r>
        <w:rPr>
          <w:noProof/>
        </w:rPr>
        <w:t>Deficiencies identified in Member States’ management and control and measures undertaken</w:t>
      </w:r>
      <w:bookmarkEnd w:id="93"/>
      <w:bookmarkEnd w:id="94"/>
    </w:p>
    <w:p w:rsidR="00311BB8" w:rsidRDefault="00D91061">
      <w:pPr>
        <w:pStyle w:val="AMPRBodyText"/>
        <w:rPr>
          <w:noProof/>
          <w:lang w:eastAsia="fr-BE"/>
        </w:rPr>
      </w:pPr>
      <w:r>
        <w:rPr>
          <w:noProof/>
          <w:lang w:eastAsia="fr-BE"/>
        </w:rPr>
        <w:t>The main root causes of errors leading to corrections have been:</w:t>
      </w:r>
    </w:p>
    <w:p w:rsidR="00311BB8" w:rsidRDefault="00D91061">
      <w:pPr>
        <w:pStyle w:val="AMPRListOrange-L1"/>
        <w:rPr>
          <w:noProof/>
          <w:lang w:eastAsia="fr-BE"/>
        </w:rPr>
      </w:pPr>
      <w:r>
        <w:rPr>
          <w:noProof/>
          <w:lang w:eastAsia="fr-BE"/>
        </w:rPr>
        <w:t>errors of non-compliance;</w:t>
      </w:r>
    </w:p>
    <w:p w:rsidR="00311BB8" w:rsidRDefault="00D91061">
      <w:pPr>
        <w:pStyle w:val="AMPRListOrange-L1"/>
        <w:rPr>
          <w:noProof/>
          <w:lang w:eastAsia="fr-BE"/>
        </w:rPr>
      </w:pPr>
      <w:r>
        <w:rPr>
          <w:noProof/>
          <w:lang w:eastAsia="fr-BE"/>
        </w:rPr>
        <w:t>eligibility conditions not being met;</w:t>
      </w:r>
    </w:p>
    <w:p w:rsidR="00311BB8" w:rsidRDefault="00D91061">
      <w:pPr>
        <w:pStyle w:val="AMPRListOrange-L1"/>
        <w:rPr>
          <w:noProof/>
          <w:lang w:eastAsia="fr-BE"/>
        </w:rPr>
      </w:pPr>
      <w:r>
        <w:rPr>
          <w:noProof/>
          <w:lang w:eastAsia="fr-BE"/>
        </w:rPr>
        <w:t>breaches of procurement rules.</w:t>
      </w:r>
    </w:p>
    <w:p w:rsidR="00311BB8" w:rsidRDefault="00D91061">
      <w:pPr>
        <w:pStyle w:val="AMPRBodyText"/>
        <w:rPr>
          <w:noProof/>
          <w:lang w:eastAsia="fr-BE"/>
        </w:rPr>
      </w:pPr>
      <w:r>
        <w:rPr>
          <w:noProof/>
          <w:lang w:eastAsia="fr-BE"/>
        </w:rPr>
        <w:t>These were addressed by putting in place action plans that identify the deficiencies for the paying agencies concerned and establish remedial actions for them to implement.</w:t>
      </w:r>
    </w:p>
    <w:p w:rsidR="00311BB8" w:rsidRDefault="00D91061">
      <w:pPr>
        <w:pStyle w:val="AMPRBodyText"/>
        <w:rPr>
          <w:noProof/>
          <w:lang w:eastAsia="fr-BE"/>
        </w:rPr>
      </w:pPr>
      <w:r>
        <w:rPr>
          <w:noProof/>
          <w:lang w:eastAsia="fr-BE"/>
        </w:rPr>
        <w:t>In general, the Commission has launched an ambitious simplification process intended to reduce complexity and the administrative burden, which will also contribute to bringing the risk of error further down.</w:t>
      </w:r>
    </w:p>
    <w:p w:rsidR="00311BB8" w:rsidRDefault="00D91061">
      <w:pPr>
        <w:pStyle w:val="AMPRAnnexesTITLE4-Numbered"/>
        <w:rPr>
          <w:rFonts w:eastAsia="Calibri"/>
          <w:noProof/>
          <w:color w:val="E48C32"/>
          <w:lang w:eastAsia="fr-BE"/>
        </w:rPr>
      </w:pPr>
      <w:bookmarkStart w:id="95" w:name="_Toc484626494"/>
      <w:bookmarkStart w:id="96" w:name="_Toc512866536"/>
      <w:bookmarkStart w:id="97" w:name="_Toc8386208"/>
      <w:r>
        <w:rPr>
          <w:noProof/>
        </w:rPr>
        <w:t>Cumulative figures</w:t>
      </w:r>
      <w:bookmarkEnd w:id="95"/>
      <w:bookmarkEnd w:id="96"/>
      <w:bookmarkEnd w:id="97"/>
    </w:p>
    <w:p w:rsidR="0056035C" w:rsidRDefault="00D91061">
      <w:pPr>
        <w:pStyle w:val="AMPRBodyText"/>
        <w:spacing w:after="360"/>
        <w:rPr>
          <w:rFonts w:cs="Arial"/>
          <w:noProof/>
          <w:color w:val="7F7F7F"/>
          <w:sz w:val="19"/>
          <w:szCs w:val="24"/>
          <w:lang w:eastAsia="en-GB"/>
        </w:rPr>
      </w:pPr>
      <w:r>
        <w:rPr>
          <w:noProof/>
          <w:lang w:eastAsia="fr-BE"/>
        </w:rPr>
        <w:t xml:space="preserve">Concerning the </w:t>
      </w:r>
      <w:r>
        <w:rPr>
          <w:rStyle w:val="AMPRcharBoldOrange"/>
          <w:noProof/>
        </w:rPr>
        <w:t>European Agricultural Guarantee Fund</w:t>
      </w:r>
      <w:r>
        <w:rPr>
          <w:noProof/>
          <w:lang w:eastAsia="fr-BE"/>
        </w:rPr>
        <w:t>, the average correction rate per financial year from 1999 to 2019 has been 1.7% of expenditure. Once decided by the Commission, the corrections are implemented automatically unless a Member State has been granted the possibility of paying in three annual instalments</w:t>
      </w:r>
      <w:r>
        <w:rPr>
          <w:rFonts w:cs="Arial"/>
          <w:noProof/>
          <w:color w:val="7F7F7F"/>
          <w:sz w:val="19"/>
          <w:szCs w:val="24"/>
          <w:lang w:eastAsia="en-GB"/>
        </w:rPr>
        <w:t>.</w:t>
      </w:r>
    </w:p>
    <w:p w:rsidR="0056035C" w:rsidRDefault="0056035C" w:rsidP="0056035C">
      <w:pPr>
        <w:rPr>
          <w:rFonts w:ascii="EC Square Sans Pro" w:hAnsi="EC Square Sans Pro"/>
          <w:noProof/>
          <w:lang w:eastAsia="en-GB"/>
        </w:rPr>
      </w:pPr>
      <w:r>
        <w:rPr>
          <w:noProof/>
          <w:lang w:eastAsia="en-GB"/>
        </w:rPr>
        <w:br w:type="page"/>
      </w:r>
    </w:p>
    <w:p w:rsidR="00311BB8" w:rsidRDefault="00311BB8">
      <w:pPr>
        <w:pStyle w:val="AMPRBodyText"/>
        <w:spacing w:after="360"/>
        <w:rPr>
          <w:noProof/>
        </w:rPr>
      </w:pPr>
    </w:p>
    <w:tbl>
      <w:tblPr>
        <w:tblStyle w:val="AMPRTABLEA-Template"/>
        <w:tblW w:w="9070" w:type="dxa"/>
        <w:tblLayout w:type="fixed"/>
        <w:tblLook w:val="04E0" w:firstRow="1" w:lastRow="1" w:firstColumn="1" w:lastColumn="0" w:noHBand="0" w:noVBand="1"/>
      </w:tblPr>
      <w:tblGrid>
        <w:gridCol w:w="1511"/>
        <w:gridCol w:w="1512"/>
        <w:gridCol w:w="1512"/>
        <w:gridCol w:w="1511"/>
        <w:gridCol w:w="1512"/>
        <w:gridCol w:w="1512"/>
      </w:tblGrid>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1" w:type="dxa"/>
            <w:tcBorders>
              <w:bottom w:val="single" w:sz="4" w:space="0" w:color="5B9BD5" w:themeColor="accent1"/>
            </w:tcBorders>
            <w:hideMark/>
          </w:tcPr>
          <w:p w:rsidR="00311BB8" w:rsidRDefault="00D91061">
            <w:pPr>
              <w:pStyle w:val="AMPRTABLEA-HEADERText-WHITE"/>
              <w:spacing w:before="144" w:after="144"/>
              <w:rPr>
                <w:noProof/>
              </w:rPr>
            </w:pPr>
            <w:r>
              <w:rPr>
                <w:noProof/>
              </w:rPr>
              <w:t>Member State</w:t>
            </w:r>
          </w:p>
        </w:tc>
        <w:tc>
          <w:tcPr>
            <w:tcW w:w="1512" w:type="dxa"/>
            <w:tcBorders>
              <w:bottom w:val="single" w:sz="4" w:space="0" w:color="5B9BD5" w:themeColor="accent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European Agricultural Guarantee Fund payments received from EU budget (million</w:t>
            </w:r>
            <w:r>
              <w:rPr>
                <w:rFonts w:ascii="Calibri" w:hAnsi="Calibri" w:cs="Calibri"/>
                <w:noProof/>
                <w:lang w:val="en-GB"/>
              </w:rPr>
              <w:t> </w:t>
            </w:r>
            <w:r>
              <w:rPr>
                <w:noProof/>
                <w:lang w:val="en-GB"/>
              </w:rPr>
              <w:t>EUR)</w:t>
            </w:r>
          </w:p>
        </w:tc>
        <w:tc>
          <w:tcPr>
            <w:tcW w:w="1512" w:type="dxa"/>
            <w:tcBorders>
              <w:bottom w:val="single" w:sz="4" w:space="0" w:color="5B9BD5" w:themeColor="accent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Payments received as % of total payments from EU budget</w:t>
            </w:r>
          </w:p>
        </w:tc>
        <w:tc>
          <w:tcPr>
            <w:tcW w:w="1511" w:type="dxa"/>
            <w:tcBorders>
              <w:bottom w:val="single" w:sz="4" w:space="0" w:color="5B9BD5" w:themeColor="accent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rFonts w:eastAsia="Calibri"/>
                <w:noProof/>
                <w:lang w:val="en-GB"/>
              </w:rPr>
            </w:pPr>
            <w:r>
              <w:rPr>
                <w:rFonts w:eastAsia="Calibri"/>
                <w:noProof/>
                <w:lang w:val="en-GB"/>
              </w:rPr>
              <w:t>Cumulated European Agricultural Guarantee Fund financial corrections at end 2019 (million</w:t>
            </w:r>
            <w:r>
              <w:rPr>
                <w:rFonts w:ascii="Calibri" w:eastAsia="Calibri" w:hAnsi="Calibri" w:cs="Calibri"/>
                <w:noProof/>
                <w:lang w:val="en-GB"/>
              </w:rPr>
              <w:t> </w:t>
            </w:r>
            <w:r>
              <w:rPr>
                <w:rFonts w:eastAsia="Calibri"/>
                <w:noProof/>
                <w:lang w:val="en-GB"/>
              </w:rPr>
              <w:t>EUR)</w:t>
            </w:r>
          </w:p>
        </w:tc>
        <w:tc>
          <w:tcPr>
            <w:tcW w:w="1512" w:type="dxa"/>
            <w:tcBorders>
              <w:bottom w:val="single" w:sz="4" w:space="0" w:color="5B9BD5" w:themeColor="accent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Financial corrections as % of payments received from EU budget</w:t>
            </w:r>
          </w:p>
        </w:tc>
        <w:tc>
          <w:tcPr>
            <w:tcW w:w="1512" w:type="dxa"/>
            <w:tcBorders>
              <w:bottom w:val="single" w:sz="4" w:space="0" w:color="5B9BD5" w:themeColor="accent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Financial corrections for Member State as % of total amount of financial corrections</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Belgium</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15</w:t>
            </w:r>
            <w:r>
              <w:rPr>
                <w:rFonts w:ascii="Calibri" w:eastAsia="EC Square Sans Pro" w:hAnsi="Calibri" w:cs="Calibri"/>
                <w:noProof/>
              </w:rPr>
              <w:t> </w:t>
            </w:r>
            <w:r>
              <w:rPr>
                <w:rFonts w:eastAsia="EC Square Sans Pro"/>
                <w:noProof/>
              </w:rPr>
              <w:t>184</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1.7%</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67</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0.4%</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0.5%</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Bulgaria</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6</w:t>
            </w:r>
            <w:r>
              <w:rPr>
                <w:rFonts w:ascii="Calibri" w:eastAsia="EC Square Sans Pro" w:hAnsi="Calibri" w:cs="Calibri"/>
                <w:noProof/>
              </w:rPr>
              <w:t> </w:t>
            </w:r>
            <w:r>
              <w:rPr>
                <w:rFonts w:eastAsia="EC Square Sans Pro"/>
                <w:noProof/>
              </w:rPr>
              <w:t>437</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0.7%</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81</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1.3%</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0.6%</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Czechia</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9</w:t>
            </w:r>
            <w:r>
              <w:rPr>
                <w:rFonts w:ascii="Calibri" w:eastAsia="EC Square Sans Pro" w:hAnsi="Calibri" w:cs="Calibri"/>
                <w:noProof/>
              </w:rPr>
              <w:t> </w:t>
            </w:r>
            <w:r>
              <w:rPr>
                <w:rFonts w:eastAsia="EC Square Sans Pro"/>
                <w:noProof/>
              </w:rPr>
              <w:t>989</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1.1%</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38</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0.4%</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0.3%</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Denmark</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21</w:t>
            </w:r>
            <w:r>
              <w:rPr>
                <w:rFonts w:ascii="Calibri" w:eastAsia="EC Square Sans Pro" w:hAnsi="Calibri" w:cs="Calibri"/>
                <w:noProof/>
              </w:rPr>
              <w:t> </w:t>
            </w:r>
            <w:r>
              <w:rPr>
                <w:rFonts w:eastAsia="EC Square Sans Pro"/>
                <w:noProof/>
              </w:rPr>
              <w:t>629</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2.5%</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196</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0.9%</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1.4%</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Germany</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112</w:t>
            </w:r>
            <w:r>
              <w:rPr>
                <w:rFonts w:ascii="Calibri" w:eastAsia="EC Square Sans Pro" w:hAnsi="Calibri" w:cs="Calibri"/>
                <w:noProof/>
              </w:rPr>
              <w:t> </w:t>
            </w:r>
            <w:r>
              <w:rPr>
                <w:rFonts w:eastAsia="EC Square Sans Pro"/>
                <w:noProof/>
              </w:rPr>
              <w:t>906</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12.9%</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204</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0.2%</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1.4%</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Estonia</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r>
              <w:rPr>
                <w:rFonts w:ascii="Calibri" w:eastAsia="EC Square Sans Pro" w:hAnsi="Calibri" w:cs="Calibri"/>
                <w:noProof/>
              </w:rPr>
              <w:t> </w:t>
            </w:r>
            <w:r>
              <w:rPr>
                <w:rFonts w:eastAsia="EC Square Sans Pro"/>
                <w:noProof/>
              </w:rPr>
              <w:t>251</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0.1%</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0.1%</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Ireland</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26</w:t>
            </w:r>
            <w:r>
              <w:rPr>
                <w:rFonts w:ascii="Calibri" w:eastAsia="EC Square Sans Pro" w:hAnsi="Calibri" w:cs="Calibri"/>
                <w:noProof/>
              </w:rPr>
              <w:t> </w:t>
            </w:r>
            <w:r>
              <w:rPr>
                <w:rFonts w:eastAsia="EC Square Sans Pro"/>
                <w:noProof/>
              </w:rPr>
              <w:t>823</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3.1%</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112</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0.4%</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0.8%</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Greece</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51</w:t>
            </w:r>
            <w:r>
              <w:rPr>
                <w:rFonts w:ascii="Calibri" w:eastAsia="EC Square Sans Pro" w:hAnsi="Calibri" w:cs="Calibri"/>
                <w:noProof/>
              </w:rPr>
              <w:t> </w:t>
            </w:r>
            <w:r>
              <w:rPr>
                <w:rFonts w:eastAsia="EC Square Sans Pro"/>
                <w:noProof/>
              </w:rPr>
              <w:t>053</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5.9%</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2</w:t>
            </w:r>
            <w:r>
              <w:rPr>
                <w:rFonts w:ascii="Calibri" w:eastAsia="EC Square Sans Pro" w:hAnsi="Calibri" w:cs="Calibri"/>
                <w:noProof/>
              </w:rPr>
              <w:t> </w:t>
            </w:r>
            <w:r>
              <w:rPr>
                <w:rFonts w:eastAsia="EC Square Sans Pro"/>
                <w:noProof/>
              </w:rPr>
              <w:t>918</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5.7%</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20.1%</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Spain</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118</w:t>
            </w:r>
            <w:r>
              <w:rPr>
                <w:rFonts w:ascii="Calibri" w:eastAsia="EC Square Sans Pro" w:hAnsi="Calibri" w:cs="Calibri"/>
                <w:noProof/>
              </w:rPr>
              <w:t> </w:t>
            </w:r>
            <w:r>
              <w:rPr>
                <w:rFonts w:eastAsia="EC Square Sans Pro"/>
                <w:noProof/>
              </w:rPr>
              <w:t>724</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13.6%</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r>
              <w:rPr>
                <w:rFonts w:ascii="Calibri" w:eastAsia="EC Square Sans Pro" w:hAnsi="Calibri" w:cs="Calibri"/>
                <w:noProof/>
              </w:rPr>
              <w:t> </w:t>
            </w:r>
            <w:r>
              <w:rPr>
                <w:rFonts w:eastAsia="EC Square Sans Pro"/>
                <w:noProof/>
              </w:rPr>
              <w:t>742</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1.5%</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12.0%</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France</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179</w:t>
            </w:r>
            <w:r>
              <w:rPr>
                <w:rFonts w:ascii="Calibri" w:eastAsia="EC Square Sans Pro" w:hAnsi="Calibri" w:cs="Calibri"/>
                <w:noProof/>
              </w:rPr>
              <w:t> </w:t>
            </w:r>
            <w:r>
              <w:rPr>
                <w:rFonts w:eastAsia="EC Square Sans Pro"/>
                <w:noProof/>
              </w:rPr>
              <w:t>896</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20.6%</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3</w:t>
            </w:r>
            <w:r>
              <w:rPr>
                <w:rFonts w:ascii="Calibri" w:eastAsia="EC Square Sans Pro" w:hAnsi="Calibri" w:cs="Calibri"/>
                <w:noProof/>
              </w:rPr>
              <w:t> </w:t>
            </w:r>
            <w:r>
              <w:rPr>
                <w:rFonts w:eastAsia="EC Square Sans Pro"/>
                <w:noProof/>
              </w:rPr>
              <w:t>430</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1.9%</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23.6%</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Croatia</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r>
              <w:rPr>
                <w:rFonts w:ascii="Calibri" w:eastAsia="EC Square Sans Pro" w:hAnsi="Calibri" w:cs="Calibri"/>
                <w:noProof/>
              </w:rPr>
              <w:t> </w:t>
            </w:r>
            <w:r>
              <w:rPr>
                <w:rFonts w:eastAsia="EC Square Sans Pro"/>
                <w:noProof/>
              </w:rPr>
              <w:t>192</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0.1%</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2</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0.1%</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Italy</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94</w:t>
            </w:r>
            <w:r>
              <w:rPr>
                <w:rFonts w:ascii="Calibri" w:eastAsia="EC Square Sans Pro" w:hAnsi="Calibri" w:cs="Calibri"/>
                <w:noProof/>
              </w:rPr>
              <w:t> </w:t>
            </w:r>
            <w:r>
              <w:rPr>
                <w:rFonts w:eastAsia="EC Square Sans Pro"/>
                <w:noProof/>
              </w:rPr>
              <w:t>780</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10.9%</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2</w:t>
            </w:r>
            <w:r>
              <w:rPr>
                <w:rFonts w:ascii="Calibri" w:eastAsia="EC Square Sans Pro" w:hAnsi="Calibri" w:cs="Calibri"/>
                <w:noProof/>
              </w:rPr>
              <w:t> </w:t>
            </w:r>
            <w:r>
              <w:rPr>
                <w:rFonts w:eastAsia="EC Square Sans Pro"/>
                <w:noProof/>
              </w:rPr>
              <w:t>658</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2.8%</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18.3%</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Cyprus</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682</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0.1%</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12</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1.7%</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0.1%</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Latvia</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r>
              <w:rPr>
                <w:rFonts w:ascii="Calibri" w:eastAsia="EC Square Sans Pro" w:hAnsi="Calibri" w:cs="Calibri"/>
                <w:noProof/>
              </w:rPr>
              <w:t> </w:t>
            </w:r>
            <w:r>
              <w:rPr>
                <w:rFonts w:eastAsia="EC Square Sans Pro"/>
                <w:noProof/>
              </w:rPr>
              <w:t>966</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0.2%</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0.0%</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Lithuania</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4</w:t>
            </w:r>
            <w:r>
              <w:rPr>
                <w:rFonts w:ascii="Calibri" w:eastAsia="EC Square Sans Pro" w:hAnsi="Calibri" w:cs="Calibri"/>
                <w:noProof/>
              </w:rPr>
              <w:t> </w:t>
            </w:r>
            <w:r>
              <w:rPr>
                <w:rFonts w:eastAsia="EC Square Sans Pro"/>
                <w:noProof/>
              </w:rPr>
              <w:t>742</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0.5%</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26</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0.5%</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0.2%</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Luxembourg</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666</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0.1%</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6</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0.9%</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Hungary</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15</w:t>
            </w:r>
            <w:r>
              <w:rPr>
                <w:rFonts w:ascii="Calibri" w:eastAsia="EC Square Sans Pro" w:hAnsi="Calibri" w:cs="Calibri"/>
                <w:noProof/>
              </w:rPr>
              <w:t> </w:t>
            </w:r>
            <w:r>
              <w:rPr>
                <w:rFonts w:eastAsia="EC Square Sans Pro"/>
                <w:noProof/>
              </w:rPr>
              <w:t>208</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1.7%</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136</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0.9%</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0.9%</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Malta</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60</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0.0%</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0</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0.6%</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Netherlands</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21</w:t>
            </w:r>
            <w:r>
              <w:rPr>
                <w:rFonts w:ascii="Calibri" w:eastAsia="EC Square Sans Pro" w:hAnsi="Calibri" w:cs="Calibri"/>
                <w:noProof/>
              </w:rPr>
              <w:t> </w:t>
            </w:r>
            <w:r>
              <w:rPr>
                <w:rFonts w:eastAsia="EC Square Sans Pro"/>
                <w:noProof/>
              </w:rPr>
              <w:t>192</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2.4%</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262</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1.2%</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1.8%</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Austria</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14</w:t>
            </w:r>
            <w:r>
              <w:rPr>
                <w:rFonts w:ascii="Calibri" w:eastAsia="EC Square Sans Pro" w:hAnsi="Calibri" w:cs="Calibri"/>
                <w:noProof/>
              </w:rPr>
              <w:t> </w:t>
            </w:r>
            <w:r>
              <w:rPr>
                <w:rFonts w:eastAsia="EC Square Sans Pro"/>
                <w:noProof/>
              </w:rPr>
              <w:t>767</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1.7%</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34</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0.2%</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0.2%</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Poland</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37</w:t>
            </w:r>
            <w:r>
              <w:rPr>
                <w:rFonts w:ascii="Calibri" w:eastAsia="EC Square Sans Pro" w:hAnsi="Calibri" w:cs="Calibri"/>
                <w:noProof/>
              </w:rPr>
              <w:t> </w:t>
            </w:r>
            <w:r>
              <w:rPr>
                <w:rFonts w:eastAsia="EC Square Sans Pro"/>
                <w:noProof/>
              </w:rPr>
              <w:t>451</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4.3%</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380</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1.0%</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2.6%</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Portugal</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14</w:t>
            </w:r>
            <w:r>
              <w:rPr>
                <w:rFonts w:ascii="Calibri" w:eastAsia="EC Square Sans Pro" w:hAnsi="Calibri" w:cs="Calibri"/>
                <w:noProof/>
              </w:rPr>
              <w:t> </w:t>
            </w:r>
            <w:r>
              <w:rPr>
                <w:rFonts w:eastAsia="EC Square Sans Pro"/>
                <w:noProof/>
              </w:rPr>
              <w:t>829</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1.7%</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402</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2.7%</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2.8%</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Romania</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14</w:t>
            </w:r>
            <w:r>
              <w:rPr>
                <w:rFonts w:ascii="Calibri" w:eastAsia="EC Square Sans Pro" w:hAnsi="Calibri" w:cs="Calibri"/>
                <w:noProof/>
              </w:rPr>
              <w:t> </w:t>
            </w:r>
            <w:r>
              <w:rPr>
                <w:rFonts w:eastAsia="EC Square Sans Pro"/>
                <w:noProof/>
              </w:rPr>
              <w:t>683</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1.7%</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221</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1.5%</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1.5%</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Slovenia</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r>
              <w:rPr>
                <w:rFonts w:ascii="Calibri" w:eastAsia="EC Square Sans Pro" w:hAnsi="Calibri" w:cs="Calibri"/>
                <w:noProof/>
              </w:rPr>
              <w:t> </w:t>
            </w:r>
            <w:r>
              <w:rPr>
                <w:rFonts w:eastAsia="EC Square Sans Pro"/>
                <w:noProof/>
              </w:rPr>
              <w:t>481</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0.2%</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20</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1.4%</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0.1%</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Slovakia</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4</w:t>
            </w:r>
            <w:r>
              <w:rPr>
                <w:rFonts w:ascii="Calibri" w:eastAsia="EC Square Sans Pro" w:hAnsi="Calibri" w:cs="Calibri"/>
                <w:noProof/>
              </w:rPr>
              <w:t> </w:t>
            </w:r>
            <w:r>
              <w:rPr>
                <w:rFonts w:eastAsia="EC Square Sans Pro"/>
                <w:noProof/>
              </w:rPr>
              <w:t>683</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0.5%</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18</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0.4%</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0.1%</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Finland</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11</w:t>
            </w:r>
            <w:r>
              <w:rPr>
                <w:rFonts w:ascii="Calibri" w:eastAsia="EC Square Sans Pro" w:hAnsi="Calibri" w:cs="Calibri"/>
                <w:noProof/>
              </w:rPr>
              <w:t> </w:t>
            </w:r>
            <w:r>
              <w:rPr>
                <w:rFonts w:eastAsia="EC Square Sans Pro"/>
                <w:noProof/>
              </w:rPr>
              <w:t>109</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1.3%</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37</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0.3%</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0.3%</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Sweden</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14</w:t>
            </w:r>
            <w:r>
              <w:rPr>
                <w:rFonts w:ascii="Calibri" w:eastAsia="EC Square Sans Pro" w:hAnsi="Calibri" w:cs="Calibri"/>
                <w:noProof/>
              </w:rPr>
              <w:t> </w:t>
            </w:r>
            <w:r>
              <w:rPr>
                <w:rFonts w:eastAsia="EC Square Sans Pro"/>
                <w:noProof/>
              </w:rPr>
              <w:t>739</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1.7%</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153</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1.0%</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1.1%</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rFonts w:eastAsia="Calibri"/>
                <w:noProof/>
              </w:rPr>
            </w:pPr>
            <w:r>
              <w:rPr>
                <w:noProof/>
              </w:rPr>
              <w:t>United Kingdom</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74</w:t>
            </w:r>
            <w:r>
              <w:rPr>
                <w:rFonts w:ascii="Calibri" w:eastAsia="EC Square Sans Pro" w:hAnsi="Calibri" w:cs="Calibri"/>
                <w:noProof/>
              </w:rPr>
              <w:t> </w:t>
            </w:r>
            <w:r>
              <w:rPr>
                <w:rFonts w:eastAsia="EC Square Sans Pro"/>
                <w:noProof/>
              </w:rPr>
              <w:t>097</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8.5%</w:t>
            </w:r>
          </w:p>
        </w:tc>
        <w:tc>
          <w:tcPr>
            <w:tcW w:w="1511"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r>
              <w:rPr>
                <w:rFonts w:ascii="Calibri" w:eastAsia="EC Square Sans Pro" w:hAnsi="Calibri" w:cs="Calibri"/>
                <w:noProof/>
              </w:rPr>
              <w:t> </w:t>
            </w:r>
            <w:r>
              <w:rPr>
                <w:rFonts w:eastAsia="EC Square Sans Pro"/>
                <w:noProof/>
              </w:rPr>
              <w:t>373</w:t>
            </w:r>
          </w:p>
        </w:tc>
        <w:tc>
          <w:tcPr>
            <w:tcW w:w="1512" w:type="dxa"/>
            <w:tcBorders>
              <w:top w:val="single" w:sz="4" w:space="0" w:color="5B9BD5" w:themeColor="accent1"/>
            </w:tcBorders>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1.9%</w:t>
            </w:r>
          </w:p>
        </w:tc>
        <w:tc>
          <w:tcPr>
            <w:tcW w:w="1512" w:type="dxa"/>
            <w:tcBorders>
              <w:top w:val="single" w:sz="4" w:space="0" w:color="5B9BD5" w:themeColor="accent1"/>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eastAsia="EC Square Sans Pro"/>
                <w:i/>
                <w:iCs/>
                <w:noProof/>
              </w:rPr>
              <w:t>9.4%</w:t>
            </w:r>
          </w:p>
        </w:tc>
      </w:tr>
      <w:tr w:rsidR="00311BB8" w:rsidTr="00311B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noWrap/>
            <w:hideMark/>
          </w:tcPr>
          <w:p w:rsidR="00311BB8" w:rsidRDefault="00D91061">
            <w:pPr>
              <w:pStyle w:val="AMPRTABLEA-TOTALLEFTalligned-BLACK"/>
              <w:rPr>
                <w:rFonts w:eastAsia="Calibri"/>
                <w:noProof/>
              </w:rPr>
            </w:pPr>
            <w:r>
              <w:rPr>
                <w:rFonts w:eastAsia="EC Square Sans Pro"/>
                <w:noProof/>
              </w:rPr>
              <w:t>Total</w:t>
            </w:r>
          </w:p>
        </w:tc>
        <w:tc>
          <w:tcPr>
            <w:tcW w:w="1512" w:type="dxa"/>
            <w:noWrap/>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872</w:t>
            </w:r>
            <w:r>
              <w:rPr>
                <w:rFonts w:ascii="Calibri" w:hAnsi="Calibri" w:cs="Calibri"/>
                <w:noProof/>
              </w:rPr>
              <w:t> </w:t>
            </w:r>
            <w:r>
              <w:rPr>
                <w:noProof/>
              </w:rPr>
              <w:t>218</w:t>
            </w:r>
          </w:p>
        </w:tc>
        <w:tc>
          <w:tcPr>
            <w:tcW w:w="1512"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i/>
                <w:noProof/>
              </w:rPr>
            </w:pPr>
            <w:r>
              <w:rPr>
                <w:i/>
                <w:iCs/>
                <w:noProof/>
              </w:rPr>
              <w:t>100%</w:t>
            </w:r>
          </w:p>
        </w:tc>
        <w:tc>
          <w:tcPr>
            <w:tcW w:w="1511" w:type="dxa"/>
            <w:noWrap/>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noProof/>
              </w:rPr>
            </w:pPr>
            <w:r>
              <w:rPr>
                <w:noProof/>
              </w:rPr>
              <w:t>14</w:t>
            </w:r>
            <w:r>
              <w:rPr>
                <w:rFonts w:ascii="Calibri" w:hAnsi="Calibri" w:cs="Calibri"/>
                <w:noProof/>
              </w:rPr>
              <w:t> </w:t>
            </w:r>
            <w:r>
              <w:rPr>
                <w:noProof/>
              </w:rPr>
              <w:t>529</w:t>
            </w:r>
          </w:p>
        </w:tc>
        <w:tc>
          <w:tcPr>
            <w:tcW w:w="1512" w:type="dxa"/>
            <w:noWrap/>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i/>
                <w:noProof/>
              </w:rPr>
            </w:pPr>
            <w:r>
              <w:rPr>
                <w:i/>
                <w:iCs/>
                <w:noProof/>
              </w:rPr>
              <w:t>1.7%</w:t>
            </w:r>
          </w:p>
        </w:tc>
        <w:tc>
          <w:tcPr>
            <w:tcW w:w="1512"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i/>
                <w:noProof/>
              </w:rPr>
            </w:pPr>
            <w:r>
              <w:rPr>
                <w:i/>
                <w:iCs/>
                <w:noProof/>
              </w:rPr>
              <w:t>100%</w:t>
            </w:r>
          </w:p>
        </w:tc>
      </w:tr>
    </w:tbl>
    <w:p w:rsidR="00311BB8" w:rsidRDefault="00D91061">
      <w:pPr>
        <w:pStyle w:val="AMPRChart-Tabletitle"/>
        <w:rPr>
          <w:noProof/>
        </w:rPr>
      </w:pPr>
      <w:r>
        <w:rPr>
          <w:noProof/>
        </w:rPr>
        <w:t>Cumulative financial corrections for the European Agricultural Guarantee Fund decided under conformity clearance of accounts from 1999 to the end of 2019, by Member State</w:t>
      </w:r>
    </w:p>
    <w:p w:rsidR="00311BB8" w:rsidRDefault="00D91061">
      <w:pPr>
        <w:pStyle w:val="AMPRBodyText"/>
        <w:rPr>
          <w:noProof/>
          <w:szCs w:val="22"/>
        </w:rPr>
      </w:pPr>
      <w:r>
        <w:rPr>
          <w:noProof/>
        </w:rPr>
        <w:br w:type="page"/>
      </w:r>
    </w:p>
    <w:p w:rsidR="00311BB8" w:rsidRDefault="00D91061">
      <w:pPr>
        <w:pStyle w:val="AMPRChart-Tabletitle"/>
        <w:rPr>
          <w:noProof/>
        </w:rPr>
      </w:pPr>
      <w:bookmarkStart w:id="98" w:name="_Toc456258169"/>
      <w:bookmarkStart w:id="99" w:name="_Toc456686577"/>
      <w:r>
        <w:rPr>
          <w:noProof/>
          <w:lang w:val="fr-BE"/>
        </w:rPr>
        <mc:AlternateContent>
          <mc:Choice Requires="wps">
            <w:drawing>
              <wp:anchor distT="0" distB="0" distL="114300" distR="114300" simplePos="0" relativeHeight="251591680" behindDoc="0" locked="0" layoutInCell="1" allowOverlap="1">
                <wp:simplePos x="0" y="0"/>
                <wp:positionH relativeFrom="column">
                  <wp:posOffset>4411362</wp:posOffset>
                </wp:positionH>
                <wp:positionV relativeFrom="paragraph">
                  <wp:posOffset>1960245</wp:posOffset>
                </wp:positionV>
                <wp:extent cx="914073" cy="247135"/>
                <wp:effectExtent l="0" t="0" r="0" b="0"/>
                <wp:wrapNone/>
                <wp:docPr id="7258" name="Rectangle 7258"/>
                <wp:cNvGraphicFramePr/>
                <a:graphic xmlns:a="http://schemas.openxmlformats.org/drawingml/2006/main">
                  <a:graphicData uri="http://schemas.microsoft.com/office/word/2010/wordprocessingShape">
                    <wps:wsp>
                      <wps:cNvSpPr/>
                      <wps:spPr>
                        <a:xfrm>
                          <a:off x="0" y="0"/>
                          <a:ext cx="914073" cy="247135"/>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rsidR="00311BB8" w:rsidRDefault="00D91061">
                            <w:pPr>
                              <w:jc w:val="center"/>
                              <w:rPr>
                                <w:color w:val="595959" w:themeColor="text1" w:themeTint="A6"/>
                                <w:sz w:val="16"/>
                                <w:szCs w:val="14"/>
                                <w:lang w:val="en-IE"/>
                              </w:rPr>
                            </w:pPr>
                            <w:r>
                              <w:rPr>
                                <w:color w:val="595959" w:themeColor="text1" w:themeTint="A6"/>
                                <w:sz w:val="16"/>
                                <w:szCs w:val="14"/>
                                <w:lang w:val="en-IE"/>
                              </w:rPr>
                              <w:t>average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58" o:spid="_x0000_s1082" style="position:absolute;margin-left:347.35pt;margin-top:154.35pt;width:71.95pt;height:19.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" filled="f" stroked="f" strokeweight="1pt">
                <v:textbox>
                  <w:txbxContent>
                    <w:p w:rsidR="00311BB8" w:rsidRDefault="00D91061">
                      <w:pPr>
                        <w:jc w:val="center"/>
                        <w:rPr>
                          <w:color w:val="595959" w:themeColor="text1" w:themeTint="A6"/>
                          <w:sz w:val="16"/>
                          <w:szCs w:val="14"/>
                          <w:lang w:val="en-IE"/>
                        </w:rPr>
                      </w:pPr>
                      <w:r>
                        <w:rPr>
                          <w:color w:val="595959" w:themeColor="text1" w:themeTint="A6"/>
                          <w:sz w:val="16"/>
                          <w:szCs w:val="14"/>
                          <w:lang w:val="en-IE"/>
                        </w:rPr>
                        <w:t>average 1.7%</w:t>
                      </w:r>
                    </w:p>
                  </w:txbxContent>
                </v:textbox>
              </v:rect>
            </w:pict>
          </mc:Fallback>
        </mc:AlternateContent>
      </w:r>
      <w:r>
        <w:rPr>
          <w:noProof/>
          <w:lang w:val="fr-BE"/>
        </w:rPr>
        <w:drawing>
          <wp:inline distT="0" distB="0" distL="0" distR="0">
            <wp:extent cx="5753100" cy="37871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3787140"/>
                    </a:xfrm>
                    <a:prstGeom prst="rect">
                      <a:avLst/>
                    </a:prstGeom>
                    <a:noFill/>
                    <a:ln>
                      <a:noFill/>
                    </a:ln>
                  </pic:spPr>
                </pic:pic>
              </a:graphicData>
            </a:graphic>
          </wp:inline>
        </w:drawing>
      </w:r>
      <w:r>
        <w:rPr>
          <w:noProof/>
        </w:rPr>
        <w:t>Cumulative financial corrections for the European Agricultural Guarantee Fund under conformity clearance of accounts from 1999 to the end of 2019, compared to payments received from the EU budget</w:t>
      </w:r>
    </w:p>
    <w:p w:rsidR="00311BB8" w:rsidRDefault="00D91061">
      <w:pPr>
        <w:pStyle w:val="AMPRAnnexesTITLE4-Numbered"/>
        <w:rPr>
          <w:noProof/>
        </w:rPr>
      </w:pPr>
      <w:bookmarkStart w:id="100" w:name="_Toc484626495"/>
      <w:bookmarkStart w:id="101" w:name="_Toc512866537"/>
      <w:bookmarkStart w:id="102" w:name="_Toc8386209"/>
      <w:r>
        <w:rPr>
          <w:noProof/>
        </w:rPr>
        <w:t>Member States’ corrections</w:t>
      </w:r>
      <w:bookmarkEnd w:id="98"/>
      <w:bookmarkEnd w:id="99"/>
      <w:bookmarkEnd w:id="100"/>
      <w:bookmarkEnd w:id="101"/>
      <w:bookmarkEnd w:id="102"/>
    </w:p>
    <w:p w:rsidR="00311BB8" w:rsidRDefault="00D91061">
      <w:pPr>
        <w:pStyle w:val="AMPRBodyText"/>
        <w:rPr>
          <w:noProof/>
          <w:lang w:eastAsia="fr-BE"/>
        </w:rPr>
      </w:pPr>
      <w:r>
        <w:rPr>
          <w:noProof/>
          <w:lang w:eastAsia="fr-BE"/>
        </w:rPr>
        <w:t xml:space="preserve">Member States are required to put in place the following systems for </w:t>
      </w:r>
      <w:r>
        <w:rPr>
          <w:i/>
          <w:noProof/>
          <w:lang w:eastAsia="fr-BE"/>
        </w:rPr>
        <w:t>ex</w:t>
      </w:r>
      <w:r>
        <w:rPr>
          <w:rFonts w:ascii="Calibri" w:hAnsi="Calibri"/>
          <w:i/>
          <w:noProof/>
          <w:lang w:eastAsia="fr-BE"/>
        </w:rPr>
        <w:t> </w:t>
      </w:r>
      <w:r>
        <w:rPr>
          <w:i/>
          <w:noProof/>
          <w:lang w:eastAsia="fr-BE"/>
        </w:rPr>
        <w:t>ante</w:t>
      </w:r>
      <w:r>
        <w:rPr>
          <w:noProof/>
          <w:lang w:eastAsia="fr-BE"/>
        </w:rPr>
        <w:t xml:space="preserve"> controls and reductions or exclusions of financing.</w:t>
      </w:r>
    </w:p>
    <w:p w:rsidR="00311BB8" w:rsidRDefault="00D91061">
      <w:pPr>
        <w:pStyle w:val="AMPRListOrange-L1"/>
        <w:rPr>
          <w:noProof/>
          <w:lang w:eastAsia="fr-BE"/>
        </w:rPr>
      </w:pPr>
      <w:r>
        <w:rPr>
          <w:noProof/>
          <w:lang w:eastAsia="fr-BE"/>
        </w:rPr>
        <w:t xml:space="preserve">For each aid support scheme </w:t>
      </w:r>
      <w:r>
        <w:rPr>
          <w:noProof/>
          <w:color w:val="000000"/>
          <w:lang w:eastAsia="fr-BE"/>
        </w:rPr>
        <w:t>financed</w:t>
      </w:r>
      <w:r>
        <w:rPr>
          <w:noProof/>
          <w:lang w:eastAsia="fr-BE"/>
        </w:rPr>
        <w:t xml:space="preserve"> by the </w:t>
      </w:r>
      <w:r>
        <w:rPr>
          <w:rFonts w:eastAsia="Times New Roman"/>
          <w:noProof/>
          <w:lang w:eastAsia="fr-BE"/>
        </w:rPr>
        <w:t>European Agricultural Guarantee Fund</w:t>
      </w:r>
      <w:r>
        <w:rPr>
          <w:rFonts w:eastAsia="Times New Roman"/>
          <w:b/>
          <w:bCs/>
          <w:noProof/>
          <w:lang w:eastAsia="fr-BE"/>
        </w:rPr>
        <w:t xml:space="preserve"> </w:t>
      </w:r>
      <w:r>
        <w:rPr>
          <w:noProof/>
          <w:lang w:eastAsia="fr-BE"/>
        </w:rPr>
        <w:t xml:space="preserve">or the </w:t>
      </w:r>
      <w:r>
        <w:rPr>
          <w:rFonts w:eastAsia="Times New Roman"/>
          <w:noProof/>
          <w:lang w:eastAsia="fr-BE"/>
        </w:rPr>
        <w:t>European Agricultural Fund for Rural Development</w:t>
      </w:r>
      <w:r>
        <w:rPr>
          <w:noProof/>
          <w:lang w:eastAsia="fr-BE"/>
        </w:rPr>
        <w:t xml:space="preserve">, </w:t>
      </w:r>
      <w:r>
        <w:rPr>
          <w:i/>
          <w:noProof/>
          <w:color w:val="000000"/>
          <w:lang w:eastAsia="fr-BE"/>
        </w:rPr>
        <w:t>ex</w:t>
      </w:r>
      <w:r>
        <w:rPr>
          <w:rFonts w:ascii="Calibri" w:hAnsi="Calibri"/>
          <w:i/>
          <w:noProof/>
          <w:color w:val="000000"/>
          <w:lang w:eastAsia="fr-BE"/>
        </w:rPr>
        <w:t> </w:t>
      </w:r>
      <w:r>
        <w:rPr>
          <w:i/>
          <w:noProof/>
          <w:color w:val="000000"/>
          <w:lang w:eastAsia="fr-BE"/>
        </w:rPr>
        <w:t>ante</w:t>
      </w:r>
      <w:r>
        <w:rPr>
          <w:noProof/>
          <w:lang w:eastAsia="fr-BE"/>
        </w:rPr>
        <w:t xml:space="preserve"> administrative and on-site checks are performed and dissuasive sanctions are applied in the event of non-compliance by the beneficiary. If on-site checks reveal a high number of irregularities, additional controls must be carried out. </w:t>
      </w:r>
    </w:p>
    <w:p w:rsidR="00311BB8" w:rsidRDefault="00D91061">
      <w:pPr>
        <w:pStyle w:val="AMPRListOrange-L1"/>
        <w:rPr>
          <w:noProof/>
          <w:lang w:eastAsia="en-GB"/>
        </w:rPr>
      </w:pPr>
      <w:r>
        <w:rPr>
          <w:noProof/>
          <w:lang w:eastAsia="en-GB"/>
        </w:rPr>
        <w:t>In this context, the most important system by far is the Integrated Administration and Control System. I</w:t>
      </w:r>
      <w:r>
        <w:rPr>
          <w:noProof/>
        </w:rPr>
        <w:t xml:space="preserve">n the financial year 2019, the Integrated Administration and Control System covered 83.9% of </w:t>
      </w:r>
      <w:r>
        <w:rPr>
          <w:noProof/>
          <w:lang w:eastAsia="en-GB"/>
        </w:rPr>
        <w:t xml:space="preserve">European Agricultural Guarantee Fund </w:t>
      </w:r>
      <w:r>
        <w:rPr>
          <w:noProof/>
        </w:rPr>
        <w:t>and rural development expenditure.</w:t>
      </w:r>
    </w:p>
    <w:p w:rsidR="00311BB8" w:rsidRDefault="00D91061">
      <w:pPr>
        <w:pStyle w:val="AMPRListOrange-L1"/>
        <w:rPr>
          <w:noProof/>
          <w:lang w:eastAsia="fr-BE"/>
        </w:rPr>
      </w:pPr>
      <w:r>
        <w:rPr>
          <w:noProof/>
          <w:lang w:eastAsia="fr-BE"/>
        </w:rPr>
        <w:t>Detailed reporting by Member States to the Commission on the checks that they carry out and on the sanctions applied is provided for in the legislation and enables the degree of error found by Member States at the level of the final beneficiaries</w:t>
      </w:r>
      <w:r>
        <w:rPr>
          <w:noProof/>
        </w:rPr>
        <w:t xml:space="preserve"> </w:t>
      </w:r>
      <w:r>
        <w:rPr>
          <w:noProof/>
          <w:lang w:eastAsia="fr-BE"/>
        </w:rPr>
        <w:t xml:space="preserve">to be calculated for the main aid schemes. </w:t>
      </w:r>
    </w:p>
    <w:p w:rsidR="00311BB8" w:rsidRDefault="00D91061">
      <w:pPr>
        <w:pStyle w:val="AMPRBodyText"/>
        <w:rPr>
          <w:noProof/>
          <w:color w:val="auto"/>
        </w:rPr>
      </w:pPr>
      <w:r>
        <w:rPr>
          <w:noProof/>
          <w:color w:val="auto"/>
        </w:rPr>
        <w:t xml:space="preserve">These reports from the Member States disclosed the preventive effect of the </w:t>
      </w:r>
      <w:r>
        <w:rPr>
          <w:i/>
          <w:noProof/>
          <w:color w:val="auto"/>
        </w:rPr>
        <w:t>ex</w:t>
      </w:r>
      <w:r>
        <w:rPr>
          <w:rFonts w:ascii="Calibri" w:hAnsi="Calibri" w:cs="Calibri"/>
          <w:i/>
          <w:noProof/>
          <w:color w:val="auto"/>
        </w:rPr>
        <w:t> </w:t>
      </w:r>
      <w:r>
        <w:rPr>
          <w:i/>
          <w:noProof/>
          <w:color w:val="auto"/>
        </w:rPr>
        <w:t>ante</w:t>
      </w:r>
      <w:r>
        <w:rPr>
          <w:noProof/>
          <w:color w:val="auto"/>
        </w:rPr>
        <w:t xml:space="preserve"> administrative and on-site controls carried out, which led to corrections amounting to EUR</w:t>
      </w:r>
      <w:r>
        <w:rPr>
          <w:rFonts w:ascii="Calibri" w:hAnsi="Calibri" w:cs="Calibri"/>
          <w:noProof/>
          <w:color w:val="auto"/>
        </w:rPr>
        <w:t> </w:t>
      </w:r>
      <w:r>
        <w:rPr>
          <w:noProof/>
          <w:color w:val="auto"/>
        </w:rPr>
        <w:t>541.75</w:t>
      </w:r>
      <w:r>
        <w:rPr>
          <w:rFonts w:ascii="Calibri" w:hAnsi="Calibri" w:cs="Calibri"/>
          <w:noProof/>
          <w:color w:val="auto"/>
        </w:rPr>
        <w:t> </w:t>
      </w:r>
      <w:r>
        <w:rPr>
          <w:noProof/>
          <w:color w:val="auto"/>
        </w:rPr>
        <w:t>million. The biggest corrections are related to Spain (EUR</w:t>
      </w:r>
      <w:r>
        <w:rPr>
          <w:rFonts w:ascii="Calibri" w:hAnsi="Calibri" w:cs="Calibri"/>
          <w:noProof/>
          <w:color w:val="auto"/>
        </w:rPr>
        <w:t> </w:t>
      </w:r>
      <w:r>
        <w:rPr>
          <w:noProof/>
          <w:color w:val="auto"/>
        </w:rPr>
        <w:t>113</w:t>
      </w:r>
      <w:r>
        <w:rPr>
          <w:rFonts w:ascii="Calibri" w:hAnsi="Calibri" w:cs="Calibri"/>
          <w:noProof/>
          <w:color w:val="auto"/>
        </w:rPr>
        <w:t> </w:t>
      </w:r>
      <w:r>
        <w:rPr>
          <w:noProof/>
          <w:color w:val="auto"/>
        </w:rPr>
        <w:t>million), Italy (EUR</w:t>
      </w:r>
      <w:r>
        <w:rPr>
          <w:rFonts w:ascii="Calibri" w:hAnsi="Calibri" w:cs="Calibri"/>
          <w:noProof/>
          <w:color w:val="auto"/>
        </w:rPr>
        <w:t> </w:t>
      </w:r>
      <w:r>
        <w:rPr>
          <w:noProof/>
          <w:color w:val="auto"/>
        </w:rPr>
        <w:t>79</w:t>
      </w:r>
      <w:r>
        <w:rPr>
          <w:rFonts w:ascii="Calibri" w:hAnsi="Calibri" w:cs="Calibri"/>
          <w:noProof/>
          <w:color w:val="auto"/>
        </w:rPr>
        <w:t> </w:t>
      </w:r>
      <w:r>
        <w:rPr>
          <w:noProof/>
          <w:color w:val="auto"/>
        </w:rPr>
        <w:t>million) and France (EUR</w:t>
      </w:r>
      <w:r>
        <w:rPr>
          <w:rFonts w:ascii="Calibri" w:hAnsi="Calibri" w:cs="Calibri"/>
          <w:noProof/>
          <w:color w:val="auto"/>
        </w:rPr>
        <w:t> </w:t>
      </w:r>
      <w:r>
        <w:rPr>
          <w:noProof/>
          <w:color w:val="auto"/>
        </w:rPr>
        <w:t>74</w:t>
      </w:r>
      <w:r>
        <w:rPr>
          <w:rFonts w:ascii="Calibri" w:hAnsi="Calibri" w:cs="Calibri"/>
          <w:noProof/>
          <w:color w:val="auto"/>
        </w:rPr>
        <w:t> </w:t>
      </w:r>
      <w:r>
        <w:rPr>
          <w:noProof/>
          <w:color w:val="auto"/>
        </w:rPr>
        <w:t>million).</w:t>
      </w:r>
    </w:p>
    <w:p w:rsidR="00311BB8" w:rsidRDefault="00D91061">
      <w:pPr>
        <w:spacing w:before="240" w:after="240"/>
        <w:jc w:val="both"/>
        <w:rPr>
          <w:rFonts w:eastAsia="Calibri"/>
          <w:noProof/>
          <w:color w:val="000000"/>
          <w:szCs w:val="24"/>
          <w:lang w:eastAsia="fr-BE"/>
        </w:rPr>
      </w:pPr>
      <w:r>
        <w:rPr>
          <w:rFonts w:eastAsia="Calibri"/>
          <w:noProof/>
          <w:color w:val="000000"/>
          <w:szCs w:val="24"/>
          <w:lang w:eastAsia="fr-BE"/>
        </w:rPr>
        <w:br w:type="page"/>
      </w:r>
    </w:p>
    <w:p w:rsidR="00311BB8" w:rsidRDefault="00311BB8">
      <w:pPr>
        <w:pStyle w:val="Hidelastparagraphafterthetable"/>
        <w:rPr>
          <w:noProof/>
          <w:lang w:eastAsia="fr-BE"/>
        </w:rPr>
      </w:pPr>
    </w:p>
    <w:tbl>
      <w:tblPr>
        <w:tblStyle w:val="AMPRTABLEA-Template"/>
        <w:tblW w:w="9072" w:type="dxa"/>
        <w:tblLook w:val="04E0" w:firstRow="1" w:lastRow="1" w:firstColumn="1" w:lastColumn="0" w:noHBand="0" w:noVBand="1"/>
      </w:tblPr>
      <w:tblGrid>
        <w:gridCol w:w="1814"/>
        <w:gridCol w:w="1814"/>
        <w:gridCol w:w="1815"/>
        <w:gridCol w:w="1814"/>
        <w:gridCol w:w="1815"/>
      </w:tblGrid>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4" w:type="dxa"/>
            <w:hideMark/>
          </w:tcPr>
          <w:p w:rsidR="00311BB8" w:rsidRDefault="00D91061">
            <w:pPr>
              <w:pStyle w:val="AMPRTABLEA-HEADERText-WHITE"/>
              <w:spacing w:before="144" w:after="144"/>
              <w:rPr>
                <w:noProof/>
              </w:rPr>
            </w:pPr>
            <w:r>
              <w:rPr>
                <w:noProof/>
              </w:rPr>
              <w:t>Member State</w:t>
            </w:r>
          </w:p>
        </w:tc>
        <w:tc>
          <w:tcPr>
            <w:tcW w:w="1814"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Member State’s own corrections to European Agricultural Guarantee Fund market measures</w:t>
            </w:r>
          </w:p>
        </w:tc>
        <w:tc>
          <w:tcPr>
            <w:tcW w:w="1815"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highlight w:val="green"/>
                <w:lang w:val="en-GB"/>
              </w:rPr>
            </w:pPr>
            <w:r>
              <w:rPr>
                <w:noProof/>
                <w:lang w:val="en-GB"/>
              </w:rPr>
              <w:t>Member State’s own corrections to European Agricultural Guarantee Fund direct payments</w:t>
            </w:r>
          </w:p>
        </w:tc>
        <w:tc>
          <w:tcPr>
            <w:tcW w:w="1814"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highlight w:val="green"/>
                <w:lang w:val="en-GB"/>
              </w:rPr>
            </w:pPr>
            <w:r>
              <w:rPr>
                <w:noProof/>
                <w:lang w:val="en-GB"/>
              </w:rPr>
              <w:t>Member State’s own corrections to European Agricultural Fund for Rural Development</w:t>
            </w:r>
          </w:p>
        </w:tc>
        <w:tc>
          <w:tcPr>
            <w:tcW w:w="1815"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highlight w:val="green"/>
                <w:lang w:val="en-GB"/>
              </w:rPr>
            </w:pPr>
            <w:r>
              <w:rPr>
                <w:noProof/>
                <w:lang w:val="en-GB"/>
              </w:rPr>
              <w:t>Member State’s total own corrections in 2019</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Belgium</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1.30</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1.82</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2.54</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5.66</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Bulgaria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0.04</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30.22</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10.01</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40.27</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Czechia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0.05</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1.05</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3.14</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4.25</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Denmark</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0.12</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0.97</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1.97</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3.07</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Germany</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3.48</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8.10</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13.62</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25.20</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Estonia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0.01</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0.81</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4.07</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4.88</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Ireland</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0.18</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1.18</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4.37</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5.73</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Greece</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3.36</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10.02</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6.50</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19.88</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Spain</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20.18</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72.66</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20.14</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112.98</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France</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35.35</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18.32</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20.23</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73.90</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Croatia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7.53</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7.57</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9.13</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24.23</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Italy</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17.52</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45.05</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15.96</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78.54</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Cyprus</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0.45</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0.95</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0.18</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1.59</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Latvia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0.03</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0.96</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0.88</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1.86</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Lithuania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0.00</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1.99</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2.79</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4.78</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Luxembourg</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0.00</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0.27</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0.18</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0.45</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Hungary</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4.14</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8.65</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7.69</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20.49</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Malta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0.01</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0.03</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0.06</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0.10</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Netherlands</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0.40</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9.04</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1.34</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10.79</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Austria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0.84</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0.35</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3.25</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4.44</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Poland</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0.57</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15.50</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6.36</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22.43</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Portugal</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8.49</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3.04</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7.29</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18.82</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Romania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0.62</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18.54</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13.89</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33.04</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Slovenia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0.22</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0.25</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1.07</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1.53</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Slovakia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0.25</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1.76</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1.57</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3.58</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Finland</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0.40</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1.79</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2.04</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4.23</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Sweden</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0.06</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1.72</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2.31</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4.08</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rFonts w:eastAsia="Calibri"/>
                <w:noProof/>
              </w:rPr>
            </w:pPr>
            <w:r>
              <w:rPr>
                <w:noProof/>
              </w:rPr>
              <w:t>United Kingdom</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0.20</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5.99</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noProof/>
              </w:rPr>
              <w:t>4.78</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b/>
                <w:noProof/>
                <w:highlight w:val="yellow"/>
              </w:rPr>
            </w:pPr>
            <w:r>
              <w:rPr>
                <w:noProof/>
              </w:rPr>
              <w:t>10.97</w:t>
            </w:r>
          </w:p>
        </w:tc>
      </w:tr>
      <w:tr w:rsidR="00311BB8" w:rsidTr="00311B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noWrap/>
          </w:tcPr>
          <w:p w:rsidR="00311BB8" w:rsidRDefault="00D91061">
            <w:pPr>
              <w:pStyle w:val="AMPRTABLEA-TOTALLEFTalligned-BLACK"/>
              <w:rPr>
                <w:rFonts w:eastAsia="Calibri"/>
                <w:noProof/>
              </w:rPr>
            </w:pPr>
            <w:r>
              <w:rPr>
                <w:noProof/>
              </w:rPr>
              <w:t>Total</w:t>
            </w:r>
          </w:p>
        </w:tc>
        <w:tc>
          <w:tcPr>
            <w:tcW w:w="1814" w:type="dxa"/>
            <w:noWrap/>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noProof/>
              </w:rPr>
            </w:pPr>
            <w:r>
              <w:rPr>
                <w:noProof/>
              </w:rPr>
              <w:t>105.79</w:t>
            </w:r>
          </w:p>
        </w:tc>
        <w:tc>
          <w:tcPr>
            <w:tcW w:w="1815" w:type="dxa"/>
            <w:noWrap/>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noProof/>
              </w:rPr>
            </w:pPr>
            <w:r>
              <w:rPr>
                <w:noProof/>
              </w:rPr>
              <w:t>268.61</w:t>
            </w:r>
          </w:p>
        </w:tc>
        <w:tc>
          <w:tcPr>
            <w:tcW w:w="1814" w:type="dxa"/>
            <w:noWrap/>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noProof/>
              </w:rPr>
            </w:pPr>
            <w:r>
              <w:rPr>
                <w:noProof/>
              </w:rPr>
              <w:t>167.35</w:t>
            </w:r>
          </w:p>
        </w:tc>
        <w:tc>
          <w:tcPr>
            <w:tcW w:w="1815" w:type="dxa"/>
            <w:noWrap/>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noProof/>
              </w:rPr>
            </w:pPr>
            <w:r>
              <w:rPr>
                <w:noProof/>
              </w:rPr>
              <w:t>541.75</w:t>
            </w:r>
          </w:p>
        </w:tc>
      </w:tr>
    </w:tbl>
    <w:p w:rsidR="00311BB8" w:rsidRDefault="00D91061">
      <w:pPr>
        <w:pStyle w:val="AMPRChart-Tabletitle"/>
        <w:rPr>
          <w:noProof/>
          <w:sz w:val="22"/>
        </w:rPr>
      </w:pPr>
      <w:r>
        <w:rPr>
          <w:noProof/>
        </w:rPr>
        <w:t>Member States’ own corrections in 2019, applied before payments to beneficiaries were executed, in addition to Commission reporting (million</w:t>
      </w:r>
      <w:r>
        <w:rPr>
          <w:rFonts w:ascii="Calibri" w:hAnsi="Calibri" w:cs="Calibri"/>
          <w:noProof/>
        </w:rPr>
        <w:t> </w:t>
      </w:r>
      <w:r>
        <w:rPr>
          <w:noProof/>
        </w:rPr>
        <w:t>EUR)</w:t>
      </w:r>
    </w:p>
    <w:p w:rsidR="00311BB8" w:rsidRDefault="00D91061">
      <w:pPr>
        <w:pStyle w:val="AMPRAnnexesTITLE3-Numbered"/>
        <w:rPr>
          <w:noProof/>
        </w:rPr>
      </w:pPr>
      <w:bookmarkStart w:id="103" w:name="_Toc456258170"/>
      <w:bookmarkStart w:id="104" w:name="_Toc456686578"/>
      <w:bookmarkStart w:id="105" w:name="_Toc484626496"/>
      <w:bookmarkStart w:id="106" w:name="_Toc512866538"/>
      <w:bookmarkStart w:id="107" w:name="_Toc8386210"/>
      <w:r>
        <w:rPr>
          <w:noProof/>
        </w:rPr>
        <w:t>Cohesion policy</w:t>
      </w:r>
      <w:bookmarkEnd w:id="103"/>
      <w:bookmarkEnd w:id="104"/>
      <w:bookmarkEnd w:id="105"/>
      <w:bookmarkEnd w:id="106"/>
      <w:bookmarkEnd w:id="107"/>
    </w:p>
    <w:p w:rsidR="00311BB8" w:rsidRDefault="00D91061">
      <w:pPr>
        <w:pStyle w:val="AMPRAnnexesTITLE4-Numbered"/>
        <w:rPr>
          <w:rFonts w:eastAsia="Calibri"/>
          <w:noProof/>
          <w:color w:val="E48C32"/>
          <w:szCs w:val="24"/>
          <w:lang w:eastAsia="fr-BE"/>
        </w:rPr>
      </w:pPr>
      <w:bookmarkStart w:id="108" w:name="_Toc484626498"/>
      <w:bookmarkStart w:id="109" w:name="_Toc512866540"/>
      <w:bookmarkStart w:id="110" w:name="_Toc8386212"/>
      <w:r>
        <w:rPr>
          <w:noProof/>
        </w:rPr>
        <w:t>Preventive actions</w:t>
      </w:r>
    </w:p>
    <w:p w:rsidR="00311BB8" w:rsidRDefault="00D91061">
      <w:pPr>
        <w:pStyle w:val="AMPRBodyText"/>
        <w:rPr>
          <w:rFonts w:eastAsia="Calibri"/>
          <w:noProof/>
          <w:lang w:eastAsia="en-GB"/>
        </w:rPr>
      </w:pPr>
      <w:r>
        <w:rPr>
          <w:rFonts w:eastAsia="Calibri"/>
          <w:noProof/>
          <w:lang w:eastAsia="en-GB"/>
        </w:rPr>
        <w:t xml:space="preserve">The regulations for all programming periods enable </w:t>
      </w:r>
      <w:r>
        <w:rPr>
          <w:rStyle w:val="AMPRcharBoldOrange"/>
          <w:noProof/>
        </w:rPr>
        <w:t>the Commission to apply preventive measures</w:t>
      </w:r>
      <w:r>
        <w:rPr>
          <w:rFonts w:eastAsia="Calibri"/>
          <w:noProof/>
          <w:lang w:eastAsia="en-GB"/>
        </w:rPr>
        <w:t>, i.e. payment interruptions</w:t>
      </w:r>
      <w:r>
        <w:rPr>
          <w:rFonts w:ascii="Calibri" w:eastAsia="Calibri" w:hAnsi="Calibri" w:cs="Calibri"/>
          <w:noProof/>
          <w:lang w:eastAsia="en-GB"/>
        </w:rPr>
        <w:t> </w:t>
      </w:r>
      <w:r>
        <w:rPr>
          <w:rFonts w:eastAsia="Calibri" w:cs="Calibri"/>
          <w:noProof/>
          <w:lang w:eastAsia="en-GB"/>
        </w:rPr>
        <w:t>(</w:t>
      </w:r>
      <w:r>
        <w:rPr>
          <w:rFonts w:eastAsia="Calibri"/>
          <w:noProof/>
          <w:vertAlign w:val="superscript"/>
          <w:lang w:eastAsia="fr-BE"/>
        </w:rPr>
        <w:footnoteReference w:id="36"/>
      </w:r>
      <w:r>
        <w:rPr>
          <w:rFonts w:eastAsia="Calibri" w:cs="Calibri"/>
          <w:noProof/>
          <w:lang w:eastAsia="en-GB"/>
        </w:rPr>
        <w:t>)</w:t>
      </w:r>
      <w:r>
        <w:rPr>
          <w:rFonts w:eastAsia="Calibri"/>
          <w:noProof/>
          <w:lang w:eastAsia="fr-BE"/>
        </w:rPr>
        <w:t xml:space="preserve"> </w:t>
      </w:r>
      <w:r>
        <w:rPr>
          <w:rFonts w:eastAsia="Calibri"/>
          <w:noProof/>
          <w:lang w:eastAsia="en-GB"/>
        </w:rPr>
        <w:t xml:space="preserve">and suspensions, and financial corrections. The Commission policy on interruption and suspension of payments operates on a preventive basis, triggering the interruption of interim payments as soon as there is evidence to suggest a significant deficiency in the management and control system of all or part of an operational programme, thus avoiding the reimbursement by the EU budget of amounts which might be affected by serious irregularities. As regards </w:t>
      </w:r>
      <w:r>
        <w:rPr>
          <w:rStyle w:val="AMPRcharBoldOrange"/>
          <w:noProof/>
        </w:rPr>
        <w:t>European Regional Development Fund</w:t>
      </w:r>
      <w:r>
        <w:rPr>
          <w:rStyle w:val="AMPRcharBoldOrange"/>
          <w:rFonts w:ascii="Calibri" w:hAnsi="Calibri" w:cs="Calibri"/>
          <w:noProof/>
        </w:rPr>
        <w:t> </w:t>
      </w:r>
      <w:r>
        <w:rPr>
          <w:rStyle w:val="AMPRcharBoldOrange"/>
          <w:noProof/>
        </w:rPr>
        <w:t>/ Cohesion Fund</w:t>
      </w:r>
      <w:r>
        <w:rPr>
          <w:rFonts w:eastAsia="Calibri"/>
          <w:noProof/>
          <w:lang w:eastAsia="fr-BE"/>
        </w:rPr>
        <w:t xml:space="preserve"> </w:t>
      </w:r>
      <w:r>
        <w:rPr>
          <w:rFonts w:eastAsia="Calibri"/>
          <w:noProof/>
          <w:lang w:eastAsia="en-GB"/>
        </w:rPr>
        <w:t>and</w:t>
      </w:r>
      <w:r>
        <w:rPr>
          <w:rFonts w:eastAsia="Calibri"/>
          <w:noProof/>
          <w:lang w:eastAsia="fr-BE"/>
        </w:rPr>
        <w:t xml:space="preserve"> </w:t>
      </w:r>
      <w:r>
        <w:rPr>
          <w:rStyle w:val="AMPRcharBoldOrange"/>
          <w:noProof/>
        </w:rPr>
        <w:t>European Social Fund</w:t>
      </w:r>
      <w:r>
        <w:rPr>
          <w:rFonts w:eastAsia="Calibri"/>
          <w:noProof/>
          <w:lang w:eastAsia="fr-BE"/>
        </w:rPr>
        <w:t xml:space="preserve"> </w:t>
      </w:r>
      <w:r>
        <w:rPr>
          <w:rFonts w:eastAsia="Calibri"/>
          <w:noProof/>
          <w:lang w:eastAsia="en-GB"/>
        </w:rPr>
        <w:t>programmes, it is worth underlining that the remedial action plans agreed by the Member States as a result of the Commission’s supervisory activities also have a preventive impact on expenditure already incurred by beneficiaries and registered at national level in the certifying authority’s accounts, but not yet declared to the Commission. For such expenditure, the certifying authority applies the financial correction requested by the Commission prior to declaring expenditure. Expenditure declared to the Commission is thus already the net amount (i.e. without irregular amounts.)</w:t>
      </w:r>
    </w:p>
    <w:p w:rsidR="00311BB8" w:rsidRDefault="00D91061">
      <w:pPr>
        <w:pStyle w:val="AMPRBodyText"/>
        <w:rPr>
          <w:noProof/>
          <w:lang w:eastAsia="fr-BE"/>
        </w:rPr>
      </w:pPr>
      <w:r>
        <w:rPr>
          <w:noProof/>
          <w:lang w:eastAsia="fr-BE"/>
        </w:rPr>
        <w:t>Similarly, warning letters sent out by the Commission when system deficiencies are identified before a payment claim is submitted to the Commission may also have a preventive effect in protecting the EU budget, but no amount is reported by the Commission</w:t>
      </w:r>
      <w:r>
        <w:rPr>
          <w:rFonts w:ascii="Calibri" w:hAnsi="Calibri" w:cs="Calibri"/>
          <w:noProof/>
          <w:lang w:eastAsia="fr-BE"/>
        </w:rPr>
        <w:t> </w:t>
      </w:r>
      <w:r>
        <w:rPr>
          <w:noProof/>
          <w:lang w:eastAsia="fr-BE"/>
        </w:rPr>
        <w:t>/ Member States in such cases as this effect is more difficult to quantify.</w:t>
      </w:r>
    </w:p>
    <w:p w:rsidR="00311BB8" w:rsidRDefault="00D91061">
      <w:pPr>
        <w:pStyle w:val="AMPRBodyText"/>
        <w:rPr>
          <w:noProof/>
          <w:lang w:eastAsia="fr-BE"/>
        </w:rPr>
      </w:pPr>
      <w:r>
        <w:rPr>
          <w:noProof/>
          <w:lang w:eastAsia="fr-BE"/>
        </w:rPr>
        <w:t xml:space="preserve">Interruptions and suspensions are only lifted on the basis of reasonable assurance of the implementation of corrective measures and/or after financial corrections have been implemented. </w:t>
      </w:r>
      <w:r>
        <w:rPr>
          <w:noProof/>
          <w:lang w:eastAsia="en-GB"/>
        </w:rPr>
        <w:t>For the 2007-2013 programming period, under the closure process the suspension of payments has been merged with the closure process itself.</w:t>
      </w:r>
    </w:p>
    <w:p w:rsidR="00311BB8" w:rsidRDefault="00D91061">
      <w:pPr>
        <w:pStyle w:val="AMPRBodyText"/>
        <w:rPr>
          <w:noProof/>
          <w:lang w:eastAsia="fr-BE"/>
        </w:rPr>
      </w:pPr>
      <w:r>
        <w:rPr>
          <w:noProof/>
          <w:lang w:eastAsia="fr-BE"/>
        </w:rPr>
        <w:t>In view of the regulatory changes for 2014 to 2020 (in particular, the relationship between Article</w:t>
      </w:r>
      <w:r>
        <w:rPr>
          <w:rFonts w:ascii="Calibri" w:hAnsi="Calibri" w:cs="Calibri"/>
          <w:noProof/>
          <w:lang w:eastAsia="fr-BE"/>
        </w:rPr>
        <w:t> </w:t>
      </w:r>
      <w:r>
        <w:rPr>
          <w:noProof/>
          <w:lang w:eastAsia="fr-BE"/>
        </w:rPr>
        <w:t>83, on interruption, and Article</w:t>
      </w:r>
      <w:r>
        <w:rPr>
          <w:rFonts w:ascii="Calibri" w:hAnsi="Calibri" w:cs="Calibri"/>
          <w:noProof/>
          <w:lang w:eastAsia="fr-BE"/>
        </w:rPr>
        <w:t> </w:t>
      </w:r>
      <w:r>
        <w:rPr>
          <w:noProof/>
          <w:lang w:eastAsia="fr-BE"/>
        </w:rPr>
        <w:t>142, on suspensions, of the common provisions regulation; and two new elements in the regulation</w:t>
      </w:r>
      <w:r>
        <w:rPr>
          <w:rFonts w:ascii="Calibri" w:hAnsi="Calibri" w:cs="Calibri"/>
          <w:noProof/>
          <w:lang w:eastAsia="fr-BE"/>
        </w:rPr>
        <w:t> –</w:t>
      </w:r>
      <w:r>
        <w:rPr>
          <w:noProof/>
          <w:lang w:eastAsia="fr-BE"/>
        </w:rPr>
        <w:t xml:space="preserve"> the annual closure of accounts and the 10% retention on reimbursement of interim payments (Articles</w:t>
      </w:r>
      <w:r>
        <w:rPr>
          <w:rFonts w:ascii="Calibri" w:hAnsi="Calibri" w:cs="Calibri"/>
          <w:noProof/>
          <w:lang w:eastAsia="fr-BE"/>
        </w:rPr>
        <w:t> </w:t>
      </w:r>
      <w:r>
        <w:rPr>
          <w:noProof/>
          <w:lang w:eastAsia="fr-BE"/>
        </w:rPr>
        <w:t>130 and 139)), DG Regional</w:t>
      </w:r>
      <w:r>
        <w:rPr>
          <w:rFonts w:ascii="Calibri" w:hAnsi="Calibri" w:cs="Calibri"/>
          <w:noProof/>
          <w:lang w:eastAsia="fr-BE"/>
        </w:rPr>
        <w:t xml:space="preserve"> </w:t>
      </w:r>
      <w:r>
        <w:rPr>
          <w:noProof/>
          <w:lang w:eastAsia="fr-BE"/>
        </w:rPr>
        <w:t>and</w:t>
      </w:r>
      <w:r>
        <w:rPr>
          <w:rFonts w:ascii="Calibri" w:hAnsi="Calibri" w:cs="Calibri"/>
          <w:noProof/>
          <w:lang w:eastAsia="fr-BE"/>
        </w:rPr>
        <w:t xml:space="preserve"> </w:t>
      </w:r>
      <w:r>
        <w:rPr>
          <w:noProof/>
          <w:lang w:eastAsia="fr-BE"/>
        </w:rPr>
        <w:t>Urban</w:t>
      </w:r>
      <w:r>
        <w:rPr>
          <w:rFonts w:ascii="Calibri" w:hAnsi="Calibri" w:cs="Calibri"/>
          <w:noProof/>
          <w:lang w:eastAsia="fr-BE"/>
        </w:rPr>
        <w:t xml:space="preserve"> </w:t>
      </w:r>
      <w:r>
        <w:rPr>
          <w:noProof/>
          <w:lang w:eastAsia="fr-BE"/>
        </w:rPr>
        <w:t>Policy and DG</w:t>
      </w:r>
      <w:r>
        <w:rPr>
          <w:rFonts w:ascii="Calibri" w:hAnsi="Calibri" w:cs="Calibri"/>
          <w:noProof/>
          <w:color w:val="006666"/>
          <w:lang w:eastAsia="fr-BE"/>
        </w:rPr>
        <w:t xml:space="preserve"> </w:t>
      </w:r>
      <w:r>
        <w:rPr>
          <w:noProof/>
          <w:lang w:eastAsia="fr-BE"/>
        </w:rPr>
        <w:t>Employment,</w:t>
      </w:r>
      <w:r>
        <w:rPr>
          <w:rFonts w:ascii="Calibri" w:hAnsi="Calibri" w:cs="Calibri"/>
          <w:noProof/>
          <w:lang w:eastAsia="fr-BE"/>
        </w:rPr>
        <w:t xml:space="preserve"> </w:t>
      </w:r>
      <w:r>
        <w:rPr>
          <w:noProof/>
          <w:lang w:eastAsia="fr-BE"/>
        </w:rPr>
        <w:t>Social</w:t>
      </w:r>
      <w:r>
        <w:rPr>
          <w:rFonts w:ascii="Calibri" w:hAnsi="Calibri" w:cs="Calibri"/>
          <w:noProof/>
          <w:lang w:eastAsia="fr-BE"/>
        </w:rPr>
        <w:t xml:space="preserve"> </w:t>
      </w:r>
      <w:r>
        <w:rPr>
          <w:noProof/>
          <w:lang w:eastAsia="fr-BE"/>
        </w:rPr>
        <w:t>Affairs</w:t>
      </w:r>
      <w:r>
        <w:rPr>
          <w:rFonts w:ascii="Calibri" w:hAnsi="Calibri" w:cs="Calibri"/>
          <w:noProof/>
          <w:lang w:eastAsia="fr-BE"/>
        </w:rPr>
        <w:t xml:space="preserve"> </w:t>
      </w:r>
      <w:r>
        <w:rPr>
          <w:noProof/>
          <w:lang w:eastAsia="fr-BE"/>
        </w:rPr>
        <w:t>and</w:t>
      </w:r>
      <w:r>
        <w:rPr>
          <w:rFonts w:ascii="Calibri" w:hAnsi="Calibri" w:cs="Calibri"/>
          <w:noProof/>
          <w:lang w:eastAsia="fr-BE"/>
        </w:rPr>
        <w:t xml:space="preserve"> </w:t>
      </w:r>
      <w:r>
        <w:rPr>
          <w:noProof/>
          <w:lang w:eastAsia="fr-BE"/>
        </w:rPr>
        <w:t>Inclusion agreed to follow a common approach regarding interruption of payments, as a balanced solution that protects the EU budget against serious irregularities and serious deficiencies in the management and control system. This ensures a residual error rate of below 2% and the possibility for the Commission to apply net financial corrections should its audit directorates (or the European Court of Auditors) identify serious deficiencies subsequent to the submission of the accounts not identified, reported or corrected by the Member State.</w:t>
      </w:r>
    </w:p>
    <w:p w:rsidR="00311BB8" w:rsidRDefault="00D91061">
      <w:pPr>
        <w:pStyle w:val="AMPRBodyText"/>
        <w:rPr>
          <w:noProof/>
          <w:color w:val="7F7F7F"/>
          <w:lang w:eastAsia="en-GB"/>
        </w:rPr>
      </w:pPr>
      <w:r>
        <w:rPr>
          <w:noProof/>
          <w:lang w:eastAsia="fr-BE"/>
        </w:rPr>
        <w:t>Under the agreed approach, an interruption is necessary only where a serious deficiency in the management and control system would require a correction higher than 10% or where the irregularity would have serious financial consequences (an impact of above 10% of the programme’s financial allocation or above the threshold of EUR</w:t>
      </w:r>
      <w:r>
        <w:rPr>
          <w:rFonts w:ascii="Calibri" w:eastAsia="Arial" w:hAnsi="Calibri" w:cs="Calibri"/>
          <w:b/>
          <w:noProof/>
          <w:sz w:val="17"/>
          <w:szCs w:val="17"/>
          <w:lang w:bidi="en-US"/>
        </w:rPr>
        <w:t> </w:t>
      </w:r>
      <w:r>
        <w:rPr>
          <w:noProof/>
          <w:lang w:eastAsia="fr-BE"/>
        </w:rPr>
        <w:t>50</w:t>
      </w:r>
      <w:r>
        <w:rPr>
          <w:rFonts w:ascii="Calibri" w:eastAsia="Arial" w:hAnsi="Calibri" w:cs="Calibri"/>
          <w:b/>
          <w:noProof/>
          <w:sz w:val="17"/>
          <w:szCs w:val="17"/>
          <w:lang w:bidi="en-US"/>
        </w:rPr>
        <w:t> </w:t>
      </w:r>
      <w:r>
        <w:rPr>
          <w:noProof/>
          <w:lang w:eastAsia="fr-BE"/>
        </w:rPr>
        <w:t>million), according to Article</w:t>
      </w:r>
      <w:r>
        <w:rPr>
          <w:rFonts w:ascii="Calibri" w:hAnsi="Calibri" w:cs="Calibri"/>
          <w:noProof/>
          <w:lang w:eastAsia="fr-BE"/>
        </w:rPr>
        <w:t> </w:t>
      </w:r>
      <w:r>
        <w:rPr>
          <w:noProof/>
          <w:lang w:eastAsia="fr-BE"/>
        </w:rPr>
        <w:t>83(1)(a) of the common provisions regulation. If no payment claim is submitted, a warning letter of the potential interruption of the payment deadline is to be sent. A warning letter is also sent for cases with an estimated risk to the EU budget of below 10%. In the event of system deficiencies, the Member State is requested to take the necessary measures to improve the system, and in the event of irregularities the Member State is required to not include related expenditure in the interim claims and in the account until the legality and regularity of the expenditure is confirmed.</w:t>
      </w:r>
    </w:p>
    <w:p w:rsidR="00311BB8" w:rsidRDefault="00311BB8">
      <w:pPr>
        <w:spacing w:after="240"/>
        <w:jc w:val="both"/>
        <w:rPr>
          <w:rFonts w:eastAsia="Calibri"/>
          <w:noProof/>
          <w:color w:val="000000"/>
          <w:lang w:eastAsia="fr-BE"/>
        </w:rPr>
        <w:sectPr w:rsidR="00311BB8">
          <w:headerReference w:type="even" r:id="rId84"/>
          <w:headerReference w:type="default" r:id="rId85"/>
          <w:footerReference w:type="even" r:id="rId86"/>
          <w:footerReference w:type="default" r:id="rId87"/>
          <w:headerReference w:type="first" r:id="rId88"/>
          <w:footerReference w:type="first" r:id="rId89"/>
          <w:footnotePr>
            <w:numStart w:val="94"/>
          </w:footnotePr>
          <w:pgSz w:w="11906" w:h="16838" w:code="9"/>
          <w:pgMar w:top="1417" w:right="1417" w:bottom="1134" w:left="1417" w:header="567" w:footer="454" w:gutter="0"/>
          <w:cols w:space="720"/>
          <w:docGrid w:linePitch="360"/>
        </w:sectPr>
      </w:pPr>
    </w:p>
    <w:p w:rsidR="00311BB8" w:rsidRDefault="00D91061">
      <w:pPr>
        <w:pStyle w:val="AMPRAnnexesTITLE5"/>
        <w:rPr>
          <w:noProof/>
        </w:rPr>
      </w:pPr>
      <w:r>
        <w:rPr>
          <w:noProof/>
        </w:rPr>
        <w:t>Interruptions</w:t>
      </w:r>
    </w:p>
    <w:p w:rsidR="00311BB8" w:rsidRDefault="00D91061">
      <w:pPr>
        <w:pStyle w:val="AMPRBodyText"/>
        <w:rPr>
          <w:noProof/>
          <w:lang w:bidi="en-US"/>
        </w:rPr>
      </w:pPr>
      <w:r>
        <w:rPr>
          <w:noProof/>
          <w:lang w:bidi="en-US"/>
        </w:rPr>
        <w:t xml:space="preserve">For cohesion, at this stage of </w:t>
      </w:r>
      <w:r>
        <w:rPr>
          <w:rStyle w:val="AMPRcharBoldOrange"/>
          <w:noProof/>
        </w:rPr>
        <w:t>the 2007-2013 programming period</w:t>
      </w:r>
      <w:r>
        <w:rPr>
          <w:noProof/>
          <w:lang w:bidi="en-US"/>
        </w:rPr>
        <w:t>, since the submission of the closure packages at the end of March 2017, no further interim payments have been processed. Once the Member State has sent an application for payment of the final balance, that application replaces all pending applications for interim payments. As of that moment, the Commission’s obligation to honour pending applications for interim payments ceases. Consequently, an interruption or suspension decision in relation to applications for interim payments or the lifting of an existing suspension decision is no longer necessary. It should be noted that the Member State is nevertheless required to take the necessary action to solve all deficiencies identified during the closure procedure. The interruptions and suspension cases will be monitored during the closure of their respective programmes and the suspension decisions will be formally repealed after the closure of the programmes.</w:t>
      </w:r>
    </w:p>
    <w:p w:rsidR="00311BB8" w:rsidRDefault="00D91061">
      <w:pPr>
        <w:pStyle w:val="AMPRBodyText"/>
        <w:rPr>
          <w:rFonts w:eastAsia="Arial" w:cs="Arial"/>
          <w:noProof/>
          <w:lang w:bidi="en-US"/>
        </w:rPr>
      </w:pPr>
      <w:r>
        <w:rPr>
          <w:rFonts w:eastAsia="Arial" w:cs="Arial"/>
          <w:noProof/>
          <w:lang w:bidi="en-US"/>
        </w:rPr>
        <w:t xml:space="preserve">For </w:t>
      </w:r>
      <w:r>
        <w:rPr>
          <w:rStyle w:val="AMPRcharBoldOrange"/>
          <w:noProof/>
        </w:rPr>
        <w:t>the 2014-2020 programming period</w:t>
      </w:r>
      <w:r>
        <w:rPr>
          <w:rFonts w:eastAsia="Arial" w:cs="Arial"/>
          <w:noProof/>
          <w:lang w:bidi="en-US"/>
        </w:rPr>
        <w:t xml:space="preserve">, there were 20 interruptions (19 new and 1 carried over from 2018) for the </w:t>
      </w:r>
      <w:r>
        <w:rPr>
          <w:rStyle w:val="AMPRcharBoldOrange"/>
          <w:noProof/>
        </w:rPr>
        <w:t>European</w:t>
      </w:r>
      <w:r>
        <w:rPr>
          <w:rStyle w:val="AMPRcharBoldOrange"/>
          <w:rFonts w:ascii="Calibri" w:hAnsi="Calibri" w:cs="Calibri"/>
          <w:noProof/>
        </w:rPr>
        <w:t xml:space="preserve"> </w:t>
      </w:r>
      <w:r>
        <w:rPr>
          <w:rStyle w:val="AMPRcharBoldOrange"/>
          <w:noProof/>
        </w:rPr>
        <w:t>Regional</w:t>
      </w:r>
      <w:r>
        <w:rPr>
          <w:rStyle w:val="AMPRcharBoldOrange"/>
          <w:rFonts w:ascii="Calibri" w:hAnsi="Calibri" w:cs="Calibri"/>
          <w:noProof/>
        </w:rPr>
        <w:t xml:space="preserve"> </w:t>
      </w:r>
      <w:r>
        <w:rPr>
          <w:rStyle w:val="AMPRcharBoldOrange"/>
          <w:noProof/>
        </w:rPr>
        <w:t>Development</w:t>
      </w:r>
      <w:r>
        <w:rPr>
          <w:rStyle w:val="AMPRcharBoldOrange"/>
          <w:rFonts w:ascii="Calibri" w:hAnsi="Calibri" w:cs="Calibri"/>
          <w:noProof/>
        </w:rPr>
        <w:t xml:space="preserve"> </w:t>
      </w:r>
      <w:r>
        <w:rPr>
          <w:rStyle w:val="AMPRcharBoldOrange"/>
          <w:noProof/>
        </w:rPr>
        <w:t>Fund</w:t>
      </w:r>
      <w:r>
        <w:rPr>
          <w:rStyle w:val="AMPRcharBoldOrange"/>
          <w:rFonts w:ascii="Calibri" w:hAnsi="Calibri" w:cs="Calibri"/>
          <w:noProof/>
        </w:rPr>
        <w:t> </w:t>
      </w:r>
      <w:r>
        <w:rPr>
          <w:rStyle w:val="AMPRcharBoldOrange"/>
          <w:noProof/>
        </w:rPr>
        <w:t>/ Cohesion</w:t>
      </w:r>
      <w:r>
        <w:rPr>
          <w:rStyle w:val="AMPRcharBoldOrange"/>
          <w:rFonts w:ascii="Calibri" w:hAnsi="Calibri" w:cs="Calibri"/>
          <w:noProof/>
        </w:rPr>
        <w:t xml:space="preserve"> </w:t>
      </w:r>
      <w:r>
        <w:rPr>
          <w:rStyle w:val="AMPRcharBoldOrange"/>
          <w:noProof/>
        </w:rPr>
        <w:t>Fund</w:t>
      </w:r>
      <w:r>
        <w:rPr>
          <w:rFonts w:eastAsia="Arial" w:cs="Arial"/>
          <w:noProof/>
          <w:lang w:bidi="en-US"/>
        </w:rPr>
        <w:t xml:space="preserve"> programmes in 2019, and 6 warnings of interruptions. In 2019, 16 interruptions and 3 warnings of interruptions were lifted. </w:t>
      </w:r>
    </w:p>
    <w:p w:rsidR="00311BB8" w:rsidRDefault="00D91061">
      <w:pPr>
        <w:pStyle w:val="AMPRBodyText"/>
        <w:rPr>
          <w:rStyle w:val="Bodytext2Bold"/>
          <w:rFonts w:asciiTheme="minorHAnsi" w:eastAsiaTheme="minorHAnsi" w:hAnsiTheme="minorHAnsi"/>
          <w:b w:val="0"/>
          <w:noProof/>
          <w:color w:val="auto"/>
          <w:highlight w:val="lightGray"/>
        </w:rPr>
      </w:pPr>
      <w:r>
        <w:rPr>
          <w:rStyle w:val="Bodytext21"/>
          <w:rFonts w:asciiTheme="minorHAnsi" w:hAnsiTheme="minorHAnsi"/>
          <w:noProof/>
          <w:color w:val="auto"/>
        </w:rPr>
        <w:t xml:space="preserve">For the </w:t>
      </w:r>
      <w:r>
        <w:rPr>
          <w:rStyle w:val="AMPRcharBoldOrange"/>
          <w:noProof/>
        </w:rPr>
        <w:t>European Social Fund</w:t>
      </w:r>
      <w:r>
        <w:rPr>
          <w:rStyle w:val="AMPRcharBoldOrange"/>
          <w:rFonts w:ascii="Calibri" w:hAnsi="Calibri" w:cs="Calibri"/>
          <w:noProof/>
        </w:rPr>
        <w:t> </w:t>
      </w:r>
      <w:r>
        <w:rPr>
          <w:rStyle w:val="AMPRcharBoldOrange"/>
          <w:noProof/>
        </w:rPr>
        <w:t>/ Youth Employment Initiative</w:t>
      </w:r>
      <w:r>
        <w:rPr>
          <w:rStyle w:val="Bodytext2Bold"/>
          <w:rFonts w:asciiTheme="minorHAnsi" w:eastAsiaTheme="minorHAnsi" w:hAnsiTheme="minorHAnsi"/>
          <w:b w:val="0"/>
          <w:noProof/>
          <w:color w:val="auto"/>
        </w:rPr>
        <w:t xml:space="preserve"> </w:t>
      </w:r>
      <w:r>
        <w:rPr>
          <w:noProof/>
        </w:rPr>
        <w:t>and the</w:t>
      </w:r>
      <w:r>
        <w:rPr>
          <w:rStyle w:val="Bodytext21"/>
          <w:rFonts w:asciiTheme="minorHAnsi" w:hAnsiTheme="minorHAnsi"/>
          <w:noProof/>
          <w:color w:val="auto"/>
        </w:rPr>
        <w:t xml:space="preserve"> </w:t>
      </w:r>
      <w:r>
        <w:rPr>
          <w:rStyle w:val="AMPRcharBoldOrange"/>
          <w:noProof/>
        </w:rPr>
        <w:t>Fund for European Aid to the most Deprived</w:t>
      </w:r>
      <w:r>
        <w:rPr>
          <w:rStyle w:val="Bodytext2Bold"/>
          <w:rFonts w:asciiTheme="minorHAnsi" w:eastAsiaTheme="minorHAnsi" w:hAnsiTheme="minorHAnsi"/>
          <w:b w:val="0"/>
          <w:noProof/>
          <w:color w:val="auto"/>
        </w:rPr>
        <w:t xml:space="preserve">, </w:t>
      </w:r>
      <w:r>
        <w:rPr>
          <w:noProof/>
        </w:rPr>
        <w:t>12 interruption decisions were adopted in 2019. In addition, 16 warning letters were sent to the Member States concerned.</w:t>
      </w:r>
    </w:p>
    <w:p w:rsidR="00311BB8" w:rsidRDefault="00D91061">
      <w:pPr>
        <w:pStyle w:val="AMPRBodyText"/>
        <w:rPr>
          <w:noProof/>
          <w:lang w:bidi="en-US"/>
        </w:rPr>
      </w:pPr>
      <w:r>
        <w:rPr>
          <w:noProof/>
          <w:lang w:bidi="en-US"/>
        </w:rPr>
        <w:t xml:space="preserve">For the </w:t>
      </w:r>
      <w:r>
        <w:rPr>
          <w:rStyle w:val="AMPRcharBoldOrange"/>
          <w:noProof/>
        </w:rPr>
        <w:t>European Maritime and Fisheries Fund</w:t>
      </w:r>
      <w:r>
        <w:rPr>
          <w:noProof/>
          <w:lang w:bidi="en-US"/>
        </w:rPr>
        <w:t xml:space="preserve"> there were four open cases of interruptions </w:t>
      </w:r>
      <w:r>
        <w:rPr>
          <w:noProof/>
          <w:color w:val="auto"/>
          <w:lang w:val="en-IE"/>
        </w:rPr>
        <w:t>for a total amount of EUR 6.2 million</w:t>
      </w:r>
      <w:r>
        <w:rPr>
          <w:noProof/>
          <w:lang w:bidi="en-US"/>
        </w:rPr>
        <w:t>, three of which relate to a lack of compliance with the management and control system, as per Article</w:t>
      </w:r>
      <w:r>
        <w:rPr>
          <w:rFonts w:ascii="Calibri" w:hAnsi="Calibri" w:cs="Calibri"/>
          <w:noProof/>
          <w:lang w:bidi="en-US"/>
        </w:rPr>
        <w:t> </w:t>
      </w:r>
      <w:r>
        <w:rPr>
          <w:noProof/>
          <w:lang w:bidi="en-US"/>
        </w:rPr>
        <w:t>83(1)(a) of the common provisions regulation. The fourth case relates to the application of Article</w:t>
      </w:r>
      <w:r>
        <w:rPr>
          <w:rFonts w:ascii="Calibri" w:hAnsi="Calibri" w:cs="Calibri"/>
          <w:noProof/>
          <w:lang w:bidi="en-US"/>
        </w:rPr>
        <w:t> </w:t>
      </w:r>
      <w:r>
        <w:rPr>
          <w:noProof/>
          <w:lang w:bidi="en-US"/>
        </w:rPr>
        <w:t>100(1) of the European Maritime and Fisheries Fund in a case of non-compliance with the common fisheries policy obligations. The cases are currently being followed up on in close cooperation with the Member States concerned.</w:t>
      </w:r>
    </w:p>
    <w:p w:rsidR="00311BB8" w:rsidRDefault="00D91061">
      <w:pPr>
        <w:pStyle w:val="AMPRAnnexesTITLE5"/>
        <w:rPr>
          <w:noProof/>
        </w:rPr>
      </w:pPr>
      <w:r>
        <w:rPr>
          <w:noProof/>
        </w:rPr>
        <w:t>Suspensions</w:t>
      </w:r>
    </w:p>
    <w:p w:rsidR="00311BB8" w:rsidRDefault="00D91061">
      <w:pPr>
        <w:pStyle w:val="AMPRBodyText"/>
        <w:rPr>
          <w:noProof/>
          <w:lang w:bidi="en-US"/>
        </w:rPr>
      </w:pPr>
      <w:r>
        <w:rPr>
          <w:noProof/>
          <w:lang w:bidi="en-US"/>
        </w:rPr>
        <w:t>For</w:t>
      </w:r>
      <w:r>
        <w:rPr>
          <w:b/>
          <w:noProof/>
          <w:lang w:bidi="en-US"/>
        </w:rPr>
        <w:t xml:space="preserve"> </w:t>
      </w:r>
      <w:r>
        <w:rPr>
          <w:noProof/>
          <w:lang w:bidi="en-US"/>
        </w:rPr>
        <w:t>the</w:t>
      </w:r>
      <w:r>
        <w:rPr>
          <w:b/>
          <w:noProof/>
          <w:lang w:bidi="en-US"/>
        </w:rPr>
        <w:t xml:space="preserve"> </w:t>
      </w:r>
      <w:r>
        <w:rPr>
          <w:rStyle w:val="AMPRcharBoldOrange"/>
          <w:noProof/>
        </w:rPr>
        <w:t>2014-2020 programming period</w:t>
      </w:r>
      <w:r>
        <w:rPr>
          <w:noProof/>
          <w:lang w:bidi="en-US"/>
        </w:rPr>
        <w:t xml:space="preserve">, there were seven pre-suspensions concerning the reliability of performance data and one suspension decision concerning </w:t>
      </w:r>
      <w:r>
        <w:rPr>
          <w:i/>
          <w:noProof/>
          <w:lang w:bidi="en-US"/>
        </w:rPr>
        <w:t>ex ante</w:t>
      </w:r>
      <w:r>
        <w:rPr>
          <w:noProof/>
          <w:lang w:bidi="en-US"/>
        </w:rPr>
        <w:t xml:space="preserve"> conditionality for the </w:t>
      </w:r>
      <w:r>
        <w:rPr>
          <w:rStyle w:val="AMPRcharBoldOrange"/>
          <w:noProof/>
        </w:rPr>
        <w:t>European</w:t>
      </w:r>
      <w:r>
        <w:rPr>
          <w:rStyle w:val="AMPRcharBoldOrange"/>
          <w:rFonts w:ascii="Calibri" w:hAnsi="Calibri" w:cs="Calibri"/>
          <w:noProof/>
        </w:rPr>
        <w:t xml:space="preserve"> </w:t>
      </w:r>
      <w:r>
        <w:rPr>
          <w:rStyle w:val="AMPRcharBoldOrange"/>
          <w:noProof/>
        </w:rPr>
        <w:t>Regional</w:t>
      </w:r>
      <w:r>
        <w:rPr>
          <w:rStyle w:val="AMPRcharBoldOrange"/>
          <w:rFonts w:ascii="Calibri" w:hAnsi="Calibri" w:cs="Calibri"/>
          <w:noProof/>
        </w:rPr>
        <w:t xml:space="preserve"> </w:t>
      </w:r>
      <w:r>
        <w:rPr>
          <w:rStyle w:val="AMPRcharBoldOrange"/>
          <w:noProof/>
        </w:rPr>
        <w:t>Development</w:t>
      </w:r>
      <w:r>
        <w:rPr>
          <w:rStyle w:val="AMPRcharBoldOrange"/>
          <w:rFonts w:ascii="Calibri" w:hAnsi="Calibri" w:cs="Calibri"/>
          <w:noProof/>
        </w:rPr>
        <w:t xml:space="preserve"> </w:t>
      </w:r>
      <w:r>
        <w:rPr>
          <w:rStyle w:val="AMPRcharBoldOrange"/>
          <w:noProof/>
        </w:rPr>
        <w:t>Fund</w:t>
      </w:r>
      <w:r>
        <w:rPr>
          <w:rStyle w:val="AMPRcharBoldOrange"/>
          <w:rFonts w:ascii="Calibri" w:hAnsi="Calibri" w:cs="Calibri"/>
          <w:noProof/>
        </w:rPr>
        <w:t> </w:t>
      </w:r>
      <w:r>
        <w:rPr>
          <w:rStyle w:val="AMPRcharBoldOrange"/>
          <w:noProof/>
        </w:rPr>
        <w:t>/ Cohesion</w:t>
      </w:r>
      <w:r>
        <w:rPr>
          <w:rStyle w:val="AMPRcharBoldOrange"/>
          <w:rFonts w:ascii="Calibri" w:hAnsi="Calibri" w:cs="Calibri"/>
          <w:noProof/>
        </w:rPr>
        <w:t xml:space="preserve"> </w:t>
      </w:r>
      <w:r>
        <w:rPr>
          <w:rStyle w:val="AMPRcharBoldOrange"/>
          <w:noProof/>
        </w:rPr>
        <w:t>Fund</w:t>
      </w:r>
      <w:r>
        <w:rPr>
          <w:rFonts w:eastAsia="EC Square Sans Pro"/>
          <w:b/>
          <w:noProof/>
          <w:color w:val="E48C32"/>
        </w:rPr>
        <w:t xml:space="preserve"> </w:t>
      </w:r>
      <w:r>
        <w:rPr>
          <w:noProof/>
          <w:lang w:bidi="en-US"/>
        </w:rPr>
        <w:t>programmes. Two pre-suspensions concerning the reliability of performance data were lifted.</w:t>
      </w:r>
    </w:p>
    <w:p w:rsidR="00311BB8" w:rsidRDefault="00D91061">
      <w:pPr>
        <w:pStyle w:val="AMPRBodyText"/>
        <w:rPr>
          <w:rStyle w:val="Bodytext21"/>
          <w:rFonts w:asciiTheme="minorHAnsi" w:hAnsiTheme="minorHAnsi"/>
          <w:noProof/>
          <w:color w:val="auto"/>
          <w:highlight w:val="lightGray"/>
        </w:rPr>
      </w:pPr>
      <w:r>
        <w:rPr>
          <w:rStyle w:val="Bodytext21"/>
          <w:rFonts w:asciiTheme="minorHAnsi" w:hAnsiTheme="minorHAnsi"/>
          <w:noProof/>
          <w:color w:val="auto"/>
        </w:rPr>
        <w:t xml:space="preserve">For the </w:t>
      </w:r>
      <w:r>
        <w:rPr>
          <w:rStyle w:val="AMPRcharBoldOrange"/>
          <w:noProof/>
        </w:rPr>
        <w:t>European Social Fund</w:t>
      </w:r>
      <w:r>
        <w:rPr>
          <w:rStyle w:val="AMPRcharBoldOrange"/>
          <w:rFonts w:ascii="Calibri" w:hAnsi="Calibri" w:cs="Calibri"/>
          <w:noProof/>
        </w:rPr>
        <w:t> </w:t>
      </w:r>
      <w:r>
        <w:rPr>
          <w:rStyle w:val="AMPRcharBoldOrange"/>
          <w:noProof/>
        </w:rPr>
        <w:t>/ Youth Employment Initiative</w:t>
      </w:r>
      <w:r>
        <w:rPr>
          <w:rStyle w:val="Bodytext2Bold"/>
          <w:rFonts w:asciiTheme="minorHAnsi" w:eastAsiaTheme="minorHAnsi" w:hAnsiTheme="minorHAnsi"/>
          <w:b w:val="0"/>
          <w:noProof/>
          <w:color w:val="auto"/>
          <w:szCs w:val="20"/>
        </w:rPr>
        <w:t xml:space="preserve"> </w:t>
      </w:r>
      <w:r>
        <w:rPr>
          <w:rStyle w:val="Bodytext21"/>
          <w:rFonts w:asciiTheme="minorHAnsi" w:hAnsiTheme="minorHAnsi"/>
          <w:noProof/>
          <w:color w:val="auto"/>
        </w:rPr>
        <w:t xml:space="preserve">and the </w:t>
      </w:r>
      <w:r>
        <w:rPr>
          <w:rStyle w:val="AMPRcharBoldOrange"/>
          <w:noProof/>
        </w:rPr>
        <w:t>Fund for European Aid to the most Deprived</w:t>
      </w:r>
      <w:r>
        <w:rPr>
          <w:rStyle w:val="Bodytext21"/>
          <w:rFonts w:asciiTheme="minorHAnsi" w:hAnsiTheme="minorHAnsi"/>
          <w:noProof/>
          <w:color w:val="auto"/>
        </w:rPr>
        <w:t>, one suspension decision was adopted in 2019 and five pre-suspension letters were sent to the Member States.</w:t>
      </w:r>
      <w:r>
        <w:rPr>
          <w:rStyle w:val="Bodytext21"/>
          <w:rFonts w:asciiTheme="minorHAnsi" w:hAnsiTheme="minorHAnsi"/>
          <w:noProof/>
          <w:color w:val="auto"/>
          <w:highlight w:val="lightGray"/>
        </w:rPr>
        <w:t xml:space="preserve"> </w:t>
      </w:r>
    </w:p>
    <w:p w:rsidR="00311BB8" w:rsidRDefault="00D91061">
      <w:pPr>
        <w:pStyle w:val="AMPRBodyText"/>
        <w:rPr>
          <w:noProof/>
          <w:color w:val="7F7F7F"/>
          <w:lang w:eastAsia="en-GB"/>
        </w:rPr>
      </w:pPr>
      <w:r>
        <w:rPr>
          <w:noProof/>
          <w:lang w:eastAsia="en-GB"/>
        </w:rPr>
        <w:t xml:space="preserve">For the </w:t>
      </w:r>
      <w:r>
        <w:rPr>
          <w:rStyle w:val="AMPRcharBoldOrange"/>
          <w:noProof/>
        </w:rPr>
        <w:t>European Maritime and Fisheries Fund</w:t>
      </w:r>
      <w:r>
        <w:rPr>
          <w:noProof/>
          <w:lang w:eastAsia="en-GB"/>
        </w:rPr>
        <w:t xml:space="preserve"> </w:t>
      </w:r>
      <w:r>
        <w:rPr>
          <w:noProof/>
          <w:lang w:eastAsia="fr-BE"/>
        </w:rPr>
        <w:t>there is only one suspension (related to Ireland) as</w:t>
      </w:r>
      <w:r>
        <w:rPr>
          <w:noProof/>
          <w:lang w:eastAsia="en-GB"/>
        </w:rPr>
        <w:t xml:space="preserve"> of 31</w:t>
      </w:r>
      <w:r>
        <w:rPr>
          <w:rFonts w:ascii="Calibri" w:hAnsi="Calibri" w:cs="Calibri"/>
          <w:noProof/>
          <w:lang w:eastAsia="en-GB"/>
        </w:rPr>
        <w:t> </w:t>
      </w:r>
      <w:r>
        <w:rPr>
          <w:noProof/>
          <w:lang w:eastAsia="en-GB"/>
        </w:rPr>
        <w:t>December 2019, for a total amount of EUR</w:t>
      </w:r>
      <w:r>
        <w:rPr>
          <w:rFonts w:ascii="Calibri" w:hAnsi="Calibri" w:cs="Calibri"/>
          <w:noProof/>
          <w:lang w:eastAsia="en-GB"/>
        </w:rPr>
        <w:t> </w:t>
      </w:r>
      <w:r>
        <w:rPr>
          <w:noProof/>
          <w:lang w:eastAsia="en-GB"/>
        </w:rPr>
        <w:t>6</w:t>
      </w:r>
      <w:r>
        <w:rPr>
          <w:rFonts w:ascii="Calibri" w:hAnsi="Calibri" w:cs="Calibri"/>
          <w:noProof/>
          <w:lang w:eastAsia="en-GB"/>
        </w:rPr>
        <w:t> </w:t>
      </w:r>
      <w:r>
        <w:rPr>
          <w:noProof/>
          <w:lang w:eastAsia="en-GB"/>
        </w:rPr>
        <w:t>million.</w:t>
      </w:r>
      <w:r>
        <w:rPr>
          <w:noProof/>
          <w:sz w:val="19"/>
          <w:szCs w:val="19"/>
          <w:lang w:eastAsia="en-GB"/>
        </w:rPr>
        <w:t xml:space="preserve"> </w:t>
      </w:r>
    </w:p>
    <w:p w:rsidR="00311BB8" w:rsidRDefault="00D91061">
      <w:pPr>
        <w:pStyle w:val="AMPRAnnexesTITLE4-Numbered"/>
        <w:rPr>
          <w:rFonts w:eastAsia="Calibri"/>
          <w:noProof/>
          <w:color w:val="E48C32"/>
          <w:lang w:eastAsia="fr-BE"/>
        </w:rPr>
      </w:pPr>
      <w:r>
        <w:rPr>
          <w:noProof/>
        </w:rPr>
        <w:t>Corrective actions</w:t>
      </w:r>
      <w:bookmarkEnd w:id="108"/>
      <w:bookmarkEnd w:id="109"/>
      <w:bookmarkEnd w:id="110"/>
      <w:r>
        <w:rPr>
          <w:noProof/>
        </w:rPr>
        <w:t xml:space="preserve"> </w:t>
      </w:r>
    </w:p>
    <w:p w:rsidR="00311BB8" w:rsidRDefault="00D91061">
      <w:pPr>
        <w:pStyle w:val="AMPRBodyText"/>
        <w:rPr>
          <w:noProof/>
          <w:lang w:eastAsia="fr-BE"/>
        </w:rPr>
      </w:pPr>
      <w:r>
        <w:rPr>
          <w:noProof/>
          <w:lang w:eastAsia="fr-BE"/>
        </w:rPr>
        <w:t>For cohesion policy, where the Commission identifies individual irregularities (including those of a systemic nature) or serious deficiencies in the Member State management and control systems, it can apply financial corrections with the purpose of restoring a situation where all of the expenditure declared for co-financing from the European Regional Development Fund, the Cohesion Fund or the European Social Fund and reimbursed by the Commission is in line with the applicable rules.</w:t>
      </w:r>
    </w:p>
    <w:p w:rsidR="00311BB8" w:rsidRDefault="00D91061">
      <w:pPr>
        <w:pStyle w:val="AMPRBodyText"/>
        <w:rPr>
          <w:rFonts w:eastAsia="Calibri"/>
          <w:noProof/>
          <w:lang w:eastAsia="fr-BE"/>
        </w:rPr>
      </w:pPr>
      <w:r>
        <w:rPr>
          <w:rFonts w:eastAsia="Calibri"/>
          <w:noProof/>
          <w:lang w:eastAsia="fr-BE"/>
        </w:rPr>
        <w:t xml:space="preserve">During the 2000-2006 and 2007-2013 programming periods, </w:t>
      </w:r>
      <w:r>
        <w:rPr>
          <w:rStyle w:val="AMPRcharBoldOrange"/>
          <w:noProof/>
        </w:rPr>
        <w:t>Member States were able to replace irregular expenditure with new expenditure</w:t>
      </w:r>
      <w:r>
        <w:rPr>
          <w:rFonts w:eastAsia="Calibri"/>
          <w:noProof/>
          <w:lang w:eastAsia="fr-BE"/>
        </w:rPr>
        <w:t xml:space="preserve"> if they took the necessary corrective actions and applied the related financial correction. If the Member State did not have any such additional expenditure to declare, the financial correction resulted in a net correction (a loss of funding). In contrast, a Commission financial correction decision always had a direct and net impact on the Member State: the Member State had to pay the amount back and its financial allocation was reduced (i.e. the Member State could spend less money throughout the programming period). </w:t>
      </w:r>
    </w:p>
    <w:p w:rsidR="00311BB8" w:rsidRDefault="00D91061">
      <w:pPr>
        <w:pStyle w:val="AMPRBodyText"/>
        <w:rPr>
          <w:rFonts w:eastAsia="Calibri"/>
          <w:noProof/>
          <w:lang w:eastAsia="fr-BE"/>
        </w:rPr>
      </w:pPr>
      <w:r>
        <w:rPr>
          <w:rFonts w:eastAsia="Calibri"/>
          <w:noProof/>
          <w:lang w:eastAsia="fr-BE"/>
        </w:rPr>
        <w:t>Net corrections were rather the exception under the 2007-2013 framework, due to the legal framework and type of budget management (reinforced preventive mechanism). The regulatory provisions for the 2014</w:t>
      </w:r>
      <w:r>
        <w:rPr>
          <w:rFonts w:eastAsia="Calibri"/>
          <w:noProof/>
          <w:lang w:eastAsia="fr-BE"/>
        </w:rPr>
        <w:softHyphen/>
        <w:t xml:space="preserve">-2020 period significantly strengthen the Commission’s position on protecting the EU budget from irregular expenditure. This is mainly due to the set-up of the new annual assurance model, which reduces the risk of a material level of error. In fact, the new legal framework provides for increased accountability for programme managing authorities, which have to perform sound management verifications in time for the submission of the programme accounts each year. The Commission retains 10% of each interim payment until the finalisation of the whole national control cycle. It is in the best interests of the Member States to ensure the timely identification of serious deficiencies in the functioning of the management and control system and in the reporting of reliable error rates, since </w:t>
      </w:r>
      <w:r>
        <w:rPr>
          <w:rStyle w:val="AMPRcharBoldOrange"/>
          <w:noProof/>
        </w:rPr>
        <w:t>the Commission makes net financial corrections</w:t>
      </w:r>
      <w:r>
        <w:rPr>
          <w:rFonts w:eastAsia="Calibri"/>
          <w:noProof/>
          <w:lang w:eastAsia="fr-BE"/>
        </w:rPr>
        <w:t xml:space="preserve"> where Member States have not appropriately addressed any deficiencies before submitting their annual accounts to the Commission.</w:t>
      </w:r>
    </w:p>
    <w:p w:rsidR="00311BB8" w:rsidRDefault="00D91061">
      <w:pPr>
        <w:rPr>
          <w:rFonts w:ascii="Calibri" w:eastAsia="Calibri" w:hAnsi="Calibri"/>
          <w:noProof/>
        </w:rPr>
      </w:pPr>
      <w:r>
        <w:rPr>
          <w:rFonts w:ascii="Calibri" w:eastAsia="Calibri" w:hAnsi="Calibri"/>
          <w:noProof/>
        </w:rPr>
        <w:br w:type="page"/>
      </w:r>
    </w:p>
    <w:p w:rsidR="00311BB8" w:rsidRDefault="00D91061">
      <w:pPr>
        <w:pStyle w:val="AMPRAnnexesTITLE4-Numbered"/>
        <w:rPr>
          <w:noProof/>
        </w:rPr>
      </w:pPr>
      <w:bookmarkStart w:id="111" w:name="_Toc454809918"/>
      <w:bookmarkStart w:id="112" w:name="_Toc456258173"/>
      <w:bookmarkStart w:id="113" w:name="_Toc456686581"/>
      <w:bookmarkStart w:id="114" w:name="_Toc484626499"/>
      <w:bookmarkStart w:id="115" w:name="_Toc512866541"/>
      <w:bookmarkStart w:id="116" w:name="_Toc8386213"/>
      <w:r>
        <w:rPr>
          <w:noProof/>
        </w:rPr>
        <w:t>Deficiencies identified in Member States’ management and control and measures undertaken</w:t>
      </w:r>
      <w:bookmarkEnd w:id="111"/>
      <w:bookmarkEnd w:id="112"/>
      <w:bookmarkEnd w:id="113"/>
      <w:bookmarkEnd w:id="114"/>
      <w:bookmarkEnd w:id="115"/>
      <w:bookmarkEnd w:id="116"/>
    </w:p>
    <w:p w:rsidR="00311BB8" w:rsidRDefault="00D91061">
      <w:pPr>
        <w:pStyle w:val="AMPRBodyText"/>
        <w:rPr>
          <w:noProof/>
          <w:color w:val="7F7F7F"/>
          <w:lang w:eastAsia="en-GB"/>
        </w:rPr>
      </w:pPr>
      <w:r>
        <w:rPr>
          <w:noProof/>
          <w:lang w:eastAsia="en-GB"/>
        </w:rPr>
        <w:t>As mentioned above, under shared management, Member States are primarily responsible for the effective and efficient functioning of the management and control systems at the national level. Nevertheless, the Commission seeks to ensure that the national systems prevent errors before certification, and it takes a number of actions (such as capacity-building actions) in Member States, pursuing the single audit approach</w:t>
      </w:r>
      <w:r>
        <w:rPr>
          <w:noProof/>
        </w:rPr>
        <w:t xml:space="preserve"> </w:t>
      </w:r>
      <w:r>
        <w:rPr>
          <w:noProof/>
          <w:lang w:eastAsia="en-GB"/>
        </w:rPr>
        <w:t xml:space="preserve">further, carrying out complementary risk-based audits and exercising strict supervision over programme management, using the available legal tools, such as </w:t>
      </w:r>
      <w:r>
        <w:rPr>
          <w:rStyle w:val="AMPRcharBoldOrange"/>
          <w:noProof/>
        </w:rPr>
        <w:t>interruptions</w:t>
      </w:r>
      <w:r>
        <w:rPr>
          <w:noProof/>
          <w:lang w:eastAsia="en-GB"/>
        </w:rPr>
        <w:t xml:space="preserve">, </w:t>
      </w:r>
      <w:r>
        <w:rPr>
          <w:rStyle w:val="AMPRcharBoldOrange"/>
          <w:noProof/>
        </w:rPr>
        <w:t>suspensions</w:t>
      </w:r>
      <w:r>
        <w:rPr>
          <w:noProof/>
          <w:lang w:eastAsia="en-GB"/>
        </w:rPr>
        <w:t xml:space="preserve"> and, where necessary</w:t>
      </w:r>
      <w:r>
        <w:rPr>
          <w:noProof/>
          <w:color w:val="auto"/>
          <w:lang w:eastAsia="en-GB"/>
        </w:rPr>
        <w:t xml:space="preserve">, </w:t>
      </w:r>
      <w:r>
        <w:rPr>
          <w:rStyle w:val="AMPRcharBoldOrange"/>
          <w:noProof/>
        </w:rPr>
        <w:t>financial corrections</w:t>
      </w:r>
      <w:r>
        <w:rPr>
          <w:noProof/>
          <w:color w:val="7F7F7F"/>
          <w:lang w:eastAsia="en-GB"/>
        </w:rPr>
        <w:t xml:space="preserve">. </w:t>
      </w:r>
    </w:p>
    <w:p w:rsidR="00311BB8" w:rsidRDefault="00D91061">
      <w:pPr>
        <w:pStyle w:val="AMPRBodyText"/>
        <w:rPr>
          <w:noProof/>
          <w:lang w:eastAsia="fr-BE"/>
        </w:rPr>
      </w:pPr>
      <w:r>
        <w:rPr>
          <w:noProof/>
          <w:lang w:eastAsia="fr-BE"/>
        </w:rPr>
        <w:t>During the 2007-2013 period, the Commission put in place targeted actions to improve the administrative capacity in the Member States; these have continued over the 2014-2020 period. Cross-cutting initiatives to mitigate the main risks and weaknesses identified include the following.</w:t>
      </w:r>
    </w:p>
    <w:p w:rsidR="00311BB8" w:rsidRDefault="00D91061">
      <w:pPr>
        <w:pStyle w:val="AMPRListOrange-L1"/>
        <w:numPr>
          <w:ilvl w:val="0"/>
          <w:numId w:val="0"/>
        </w:numPr>
        <w:rPr>
          <w:noProof/>
        </w:rPr>
      </w:pPr>
      <w:r>
        <w:rPr>
          <w:b/>
          <w:noProof/>
          <w:color w:val="000000"/>
        </w:rPr>
        <w:t>A general administrative capacity-building initiative.</w:t>
      </w:r>
      <w:r>
        <w:rPr>
          <w:noProof/>
          <w:color w:val="000000"/>
        </w:rPr>
        <w:t xml:space="preserve"> The initiative contains the following ongoing or already implemented measures.</w:t>
      </w:r>
    </w:p>
    <w:p w:rsidR="00311BB8" w:rsidRDefault="00D91061">
      <w:pPr>
        <w:pStyle w:val="AMPRListOrange-L1"/>
        <w:numPr>
          <w:ilvl w:val="0"/>
          <w:numId w:val="56"/>
        </w:numPr>
        <w:rPr>
          <w:noProof/>
        </w:rPr>
      </w:pPr>
      <w:r>
        <w:rPr>
          <w:noProof/>
        </w:rPr>
        <w:t>The Technical Assistance and Information Exchange Instrument, an exchange tool for regional policy practitioners/experts from authorities managing and implementing European Regional Development Fund and Cohesion Fund programmes in the Member States. In this framework, 208 peer-to-peer exchanges were carried out by December 2019, involving 3</w:t>
      </w:r>
      <w:r>
        <w:rPr>
          <w:rFonts w:ascii="Calibri" w:hAnsi="Calibri" w:cs="Calibri"/>
          <w:noProof/>
        </w:rPr>
        <w:t> </w:t>
      </w:r>
      <w:r>
        <w:rPr>
          <w:noProof/>
        </w:rPr>
        <w:t xml:space="preserve">232 participants, from all EU Member States. These exchanges should help Member States improve the quality and the legality of spending and accelerate the absorption of funds. </w:t>
      </w:r>
    </w:p>
    <w:p w:rsidR="00311BB8" w:rsidRDefault="00D91061">
      <w:pPr>
        <w:pStyle w:val="AMPRListOrange-L1"/>
        <w:numPr>
          <w:ilvl w:val="0"/>
          <w:numId w:val="56"/>
        </w:numPr>
        <w:rPr>
          <w:noProof/>
        </w:rPr>
      </w:pPr>
      <w:r>
        <w:rPr>
          <w:noProof/>
        </w:rPr>
        <w:t>A strategic training programme for managing, certifying and audit authorities and intermediate bodies on the implementation of the 2014-2020 regulations: 1</w:t>
      </w:r>
      <w:r>
        <w:rPr>
          <w:rFonts w:ascii="Calibri" w:hAnsi="Calibri" w:cs="Calibri"/>
          <w:noProof/>
        </w:rPr>
        <w:t> </w:t>
      </w:r>
      <w:r>
        <w:rPr>
          <w:noProof/>
        </w:rPr>
        <w:t>150 participants, from all Member States, had attended the six different training modules held by the end of 2019, and a total</w:t>
      </w:r>
      <w:r>
        <w:rPr>
          <w:rFonts w:ascii="Calibri" w:hAnsi="Calibri" w:cs="Calibri"/>
          <w:noProof/>
        </w:rPr>
        <w:t xml:space="preserve"> of </w:t>
      </w:r>
      <w:r>
        <w:rPr>
          <w:rFonts w:asciiTheme="minorHAnsi" w:hAnsiTheme="minorHAnsi" w:cs="Calibri"/>
          <w:noProof/>
        </w:rPr>
        <w:t>38</w:t>
      </w:r>
      <w:r>
        <w:rPr>
          <w:noProof/>
        </w:rPr>
        <w:t xml:space="preserve"> 2-day training sessions have been held at the premises of DG </w:t>
      </w:r>
      <w:r>
        <w:rPr>
          <w:noProof/>
          <w:color w:val="auto"/>
        </w:rPr>
        <w:t>Regional</w:t>
      </w:r>
      <w:r>
        <w:rPr>
          <w:rFonts w:ascii="Calibri" w:hAnsi="Calibri" w:cs="Calibri"/>
          <w:noProof/>
          <w:color w:val="auto"/>
        </w:rPr>
        <w:t> </w:t>
      </w:r>
      <w:r>
        <w:rPr>
          <w:noProof/>
          <w:color w:val="auto"/>
        </w:rPr>
        <w:t>and</w:t>
      </w:r>
      <w:r>
        <w:rPr>
          <w:rFonts w:ascii="Calibri" w:hAnsi="Calibri" w:cs="Calibri"/>
          <w:noProof/>
          <w:color w:val="auto"/>
        </w:rPr>
        <w:t> </w:t>
      </w:r>
      <w:r>
        <w:rPr>
          <w:noProof/>
          <w:color w:val="auto"/>
        </w:rPr>
        <w:t>Urban</w:t>
      </w:r>
      <w:r>
        <w:rPr>
          <w:rFonts w:ascii="Calibri" w:hAnsi="Calibri" w:cs="Calibri"/>
          <w:noProof/>
          <w:color w:val="auto"/>
        </w:rPr>
        <w:t> </w:t>
      </w:r>
      <w:r>
        <w:rPr>
          <w:noProof/>
          <w:color w:val="auto"/>
        </w:rPr>
        <w:t>Policy</w:t>
      </w:r>
      <w:r>
        <w:rPr>
          <w:noProof/>
        </w:rPr>
        <w:t>.</w:t>
      </w:r>
    </w:p>
    <w:p w:rsidR="00311BB8" w:rsidRDefault="00D91061">
      <w:pPr>
        <w:pStyle w:val="AMPRListOrange-L1"/>
        <w:numPr>
          <w:ilvl w:val="0"/>
          <w:numId w:val="56"/>
        </w:numPr>
        <w:rPr>
          <w:noProof/>
        </w:rPr>
      </w:pPr>
      <w:r>
        <w:rPr>
          <w:noProof/>
        </w:rPr>
        <w:t>A competency framework for the efficient management and implementation of the European Regional Development Fund and the Cohesion Fund, aimed at supporting further professionalisation of the fund management. The framework is accompanied by a self-assessment tool, which is a flexible instrument enabling employees to assess their own level of proficiency in each of the skills required for their job. The assessment results can be aggregated at the institutional level, thereby providing a basis for the preparation of learning and development plans. The self-assessment tool and user guidelines, as well as other support documents, are available in 21 EU languages.</w:t>
      </w:r>
    </w:p>
    <w:p w:rsidR="00311BB8" w:rsidRDefault="00D91061">
      <w:pPr>
        <w:pStyle w:val="AMPRListOrange-L1"/>
        <w:numPr>
          <w:ilvl w:val="0"/>
          <w:numId w:val="56"/>
        </w:numPr>
        <w:rPr>
          <w:noProof/>
        </w:rPr>
      </w:pPr>
      <w:r>
        <w:rPr>
          <w:noProof/>
        </w:rPr>
        <w:t>Phase</w:t>
      </w:r>
      <w:r>
        <w:rPr>
          <w:rFonts w:ascii="Calibri" w:hAnsi="Calibri" w:cs="Calibri"/>
          <w:noProof/>
        </w:rPr>
        <w:t> </w:t>
      </w:r>
      <w:r>
        <w:rPr>
          <w:noProof/>
        </w:rPr>
        <w:t xml:space="preserve">1 of a pilot project on frontloading administrative capacity building has been implemented in close cooperation with the Organisation for Economic Co-operation and Development. Five managing authorities, from Bulgaria, Greece, Spain, Croatia and Poland, received assistance to develop roadmaps to enhance administrative capacity building. The key findings of the pilot project are detailed in a synthesis report drafted by the </w:t>
      </w:r>
      <w:r>
        <w:rPr>
          <w:noProof/>
          <w:color w:val="000000"/>
        </w:rPr>
        <w:t>Organisation for Economic Co-operation</w:t>
      </w:r>
      <w:r>
        <w:rPr>
          <w:rFonts w:ascii="Calibri" w:hAnsi="Calibri" w:cs="Calibri"/>
          <w:noProof/>
          <w:color w:val="000000"/>
        </w:rPr>
        <w:t xml:space="preserve"> </w:t>
      </w:r>
      <w:r>
        <w:rPr>
          <w:noProof/>
          <w:color w:val="000000"/>
        </w:rPr>
        <w:t>and</w:t>
      </w:r>
      <w:r>
        <w:rPr>
          <w:rFonts w:ascii="Calibri" w:hAnsi="Calibri" w:cs="Calibri"/>
          <w:noProof/>
          <w:color w:val="000000"/>
        </w:rPr>
        <w:t xml:space="preserve"> </w:t>
      </w:r>
      <w:r>
        <w:rPr>
          <w:noProof/>
          <w:color w:val="000000"/>
        </w:rPr>
        <w:t>Development,</w:t>
      </w:r>
      <w:r>
        <w:rPr>
          <w:noProof/>
        </w:rPr>
        <w:t xml:space="preserve"> and the project’s recommendations to managing authorities, national authorities and the Commission are aimed at improving the management and implementation of European Structural and Investment Funds in the 2021-2027 programming period. The Commission has signed an agreement with the Organisation for Economic Co-operation and Development for phase</w:t>
      </w:r>
      <w:r>
        <w:rPr>
          <w:rFonts w:ascii="Calibri" w:hAnsi="Calibri" w:cs="Calibri"/>
          <w:noProof/>
        </w:rPr>
        <w:t> </w:t>
      </w:r>
      <w:r>
        <w:rPr>
          <w:noProof/>
        </w:rPr>
        <w:t>2, under which selected actions from the roadmap will be implemented. Furthermore, a draft practical toolkit on how to develop roadmaps for administrative capacity building will provide support to Member States.</w:t>
      </w:r>
    </w:p>
    <w:p w:rsidR="00311BB8" w:rsidRDefault="00D91061">
      <w:pPr>
        <w:pStyle w:val="AMPRListOrange-L1"/>
        <w:numPr>
          <w:ilvl w:val="0"/>
          <w:numId w:val="56"/>
        </w:numPr>
        <w:rPr>
          <w:noProof/>
        </w:rPr>
      </w:pPr>
      <w:r>
        <w:rPr>
          <w:noProof/>
        </w:rPr>
        <w:t>Prevention of fraud and corruption.</w:t>
      </w:r>
      <w:r>
        <w:rPr>
          <w:rFonts w:ascii="Calibri" w:hAnsi="Calibri" w:cs="Calibri"/>
          <w:noProof/>
        </w:rPr>
        <w:t> </w:t>
      </w:r>
      <w:r>
        <w:rPr>
          <w:noProof/>
        </w:rPr>
        <w:t xml:space="preserve">Focusing on awareness raising and practical tools and instruments to fight fraud and corruption, such as data-mining tools, open data and intensified cooperation with civil society organisations; finalising a study on appropriate anti-fraud and anti-corruption practices in the management of the funds applied in the Member States; launching a study identifying good practices and developing capacity-building tools for prevention of fraud/corruption. </w:t>
      </w:r>
    </w:p>
    <w:p w:rsidR="00311BB8" w:rsidRDefault="00D91061">
      <w:pPr>
        <w:pStyle w:val="AMPRListOrange-L1"/>
        <w:numPr>
          <w:ilvl w:val="0"/>
          <w:numId w:val="56"/>
        </w:numPr>
        <w:rPr>
          <w:noProof/>
        </w:rPr>
      </w:pPr>
      <w:r>
        <w:rPr>
          <w:noProof/>
        </w:rPr>
        <w:t>Pilot integrity pacts. An integrity pact is an innovative tool developed by Transparency International to help governments, businesses and civil society fight corruption in public contracting. It is based in an agreement between a contracting authority and economic operators bidding for public contracts that they will abstain from corrupt practices and will conduct a transparent procurement process. To ensure accountability and legitimacy, a civil society organisation monitors the process to ensure that all parties comply with their ethical commitments throughout the entire project life cycle, i.e. from the drafting of the terms of reference to the closure of the project.</w:t>
      </w:r>
      <w:r>
        <w:rPr>
          <w:rFonts w:ascii="Calibri" w:hAnsi="Calibri" w:cs="Calibri"/>
          <w:noProof/>
        </w:rPr>
        <w:t xml:space="preserve"> Currently, </w:t>
      </w:r>
      <w:r>
        <w:rPr>
          <w:noProof/>
        </w:rPr>
        <w:t>18 pilot integrity pacts are being implemented in 11 Member States (Bulgaria, Czechia, Greece, Italy, Latvia, Lithuania, Hungary, Poland, Portugal, Romania and Slovenia), showing some significant first results.</w:t>
      </w:r>
      <w:r>
        <w:rPr>
          <w:rFonts w:ascii="Calibri" w:hAnsi="Calibri" w:cs="Calibri"/>
          <w:noProof/>
        </w:rPr>
        <w:t> </w:t>
      </w:r>
    </w:p>
    <w:p w:rsidR="00311BB8" w:rsidRDefault="00D91061">
      <w:pPr>
        <w:pStyle w:val="AMPRListOrange-L1"/>
        <w:numPr>
          <w:ilvl w:val="0"/>
          <w:numId w:val="56"/>
        </w:numPr>
        <w:rPr>
          <w:noProof/>
        </w:rPr>
      </w:pPr>
      <w:r>
        <w:rPr>
          <w:noProof/>
        </w:rPr>
        <w:t>A dedicated action plan on public procurement. For strengthening capacity in the field of public procurement, in close cooperation with DG</w:t>
      </w:r>
      <w:r>
        <w:rPr>
          <w:rFonts w:ascii="Calibri" w:hAnsi="Calibri" w:cs="Calibri"/>
          <w:noProof/>
        </w:rPr>
        <w:t> </w:t>
      </w:r>
      <w:r>
        <w:rPr>
          <w:noProof/>
        </w:rPr>
        <w:t>Internal Market, Industry, Entrepreneurship and SMEs, other departments dealing with the European Structural and Investment Funds and the European Investment Bank. The action plan includes 41 actions (22 concluded; 19 ongoing), some of which are:</w:t>
      </w:r>
    </w:p>
    <w:p w:rsidR="00311BB8" w:rsidRDefault="00D91061">
      <w:pPr>
        <w:pStyle w:val="AMPRListOrange-L2"/>
        <w:numPr>
          <w:ilvl w:val="1"/>
          <w:numId w:val="56"/>
        </w:numPr>
        <w:rPr>
          <w:noProof/>
        </w:rPr>
      </w:pPr>
      <w:r>
        <w:rPr>
          <w:noProof/>
        </w:rPr>
        <w:t>the promotion of transparency and open data on public procurement by implementing pilot projects with the European Bank for Reconstruction and Development in some Member States;</w:t>
      </w:r>
    </w:p>
    <w:p w:rsidR="00311BB8" w:rsidRDefault="00D91061">
      <w:pPr>
        <w:pStyle w:val="AMPRListOrange-L2"/>
        <w:numPr>
          <w:ilvl w:val="1"/>
          <w:numId w:val="56"/>
        </w:numPr>
        <w:rPr>
          <w:noProof/>
        </w:rPr>
      </w:pPr>
      <w:r>
        <w:rPr>
          <w:noProof/>
        </w:rPr>
        <w:t>the provision of support to post-2020 programme negotiations (via the enabling condition for public procurement etc.);</w:t>
      </w:r>
    </w:p>
    <w:p w:rsidR="00311BB8" w:rsidRDefault="00D91061">
      <w:pPr>
        <w:pStyle w:val="AMPRListOrange-L2"/>
        <w:numPr>
          <w:ilvl w:val="1"/>
          <w:numId w:val="56"/>
        </w:numPr>
        <w:rPr>
          <w:noProof/>
        </w:rPr>
      </w:pPr>
      <w:r>
        <w:rPr>
          <w:noProof/>
        </w:rPr>
        <w:t>actions to ensure a level playing field and training for Member States on strategic public procurement;</w:t>
      </w:r>
    </w:p>
    <w:p w:rsidR="00311BB8" w:rsidRDefault="00D91061">
      <w:pPr>
        <w:pStyle w:val="AMPRListOrange-L2"/>
        <w:numPr>
          <w:ilvl w:val="1"/>
          <w:numId w:val="56"/>
        </w:numPr>
        <w:rPr>
          <w:noProof/>
        </w:rPr>
      </w:pPr>
      <w:r>
        <w:rPr>
          <w:noProof/>
        </w:rPr>
        <w:t>an overview of the typology of public procurement errors reported by national audit authorities and errors detected by DG Regional and Urban Policy auditors;</w:t>
      </w:r>
    </w:p>
    <w:p w:rsidR="00311BB8" w:rsidRDefault="00D91061">
      <w:pPr>
        <w:pStyle w:val="AMPRListOrange-L2"/>
        <w:numPr>
          <w:ilvl w:val="1"/>
          <w:numId w:val="56"/>
        </w:numPr>
        <w:rPr>
          <w:noProof/>
        </w:rPr>
      </w:pPr>
      <w:r>
        <w:rPr>
          <w:noProof/>
        </w:rPr>
        <w:t>the promotion of strategic procurement (e.g. smart, green and inclusive procurement or procurement involving small and medium-sized enterprises) in cohesion policy in cooperation with the Organisation for Economic Co-operation</w:t>
      </w:r>
      <w:r>
        <w:rPr>
          <w:rFonts w:ascii="Calibri" w:hAnsi="Calibri" w:cs="Calibri"/>
          <w:noProof/>
        </w:rPr>
        <w:t xml:space="preserve"> </w:t>
      </w:r>
      <w:r>
        <w:rPr>
          <w:noProof/>
        </w:rPr>
        <w:t>and</w:t>
      </w:r>
      <w:r>
        <w:rPr>
          <w:rFonts w:ascii="Calibri" w:hAnsi="Calibri" w:cs="Calibri"/>
          <w:noProof/>
        </w:rPr>
        <w:t xml:space="preserve"> </w:t>
      </w:r>
      <w:r>
        <w:rPr>
          <w:noProof/>
        </w:rPr>
        <w:t>Development.</w:t>
      </w:r>
    </w:p>
    <w:p w:rsidR="00311BB8" w:rsidRDefault="00D91061">
      <w:pPr>
        <w:pStyle w:val="AMPRListOrange-L1"/>
        <w:numPr>
          <w:ilvl w:val="0"/>
          <w:numId w:val="56"/>
        </w:numPr>
        <w:rPr>
          <w:noProof/>
        </w:rPr>
      </w:pPr>
      <w:r>
        <w:rPr>
          <w:noProof/>
        </w:rPr>
        <w:t>A state aid action plan designed in close cooperation with DG Competition.</w:t>
      </w:r>
      <w:r>
        <w:rPr>
          <w:b/>
          <w:noProof/>
        </w:rPr>
        <w:t xml:space="preserve"> </w:t>
      </w:r>
      <w:r>
        <w:rPr>
          <w:noProof/>
        </w:rPr>
        <w:t>This aims at increasing awareness and understanding of the impact of state aid on cohesion policy, improving the cooperation between the various actors involved in the monitoring of state aid in the Member States, and providing proactive support to the EU Member States and regions in the correct application of state aid rules. It includes measures for:</w:t>
      </w:r>
    </w:p>
    <w:p w:rsidR="00311BB8" w:rsidRDefault="00D91061">
      <w:pPr>
        <w:pStyle w:val="AMPRListOrange-L2"/>
        <w:numPr>
          <w:ilvl w:val="1"/>
          <w:numId w:val="56"/>
        </w:numPr>
        <w:rPr>
          <w:noProof/>
        </w:rPr>
      </w:pPr>
      <w:r>
        <w:rPr>
          <w:noProof/>
        </w:rPr>
        <w:t>the reviewing of existing good practices and their dissemination;</w:t>
      </w:r>
    </w:p>
    <w:p w:rsidR="00311BB8" w:rsidRDefault="00D91061">
      <w:pPr>
        <w:pStyle w:val="AMPRListOrange-L2"/>
        <w:numPr>
          <w:ilvl w:val="1"/>
          <w:numId w:val="56"/>
        </w:numPr>
        <w:rPr>
          <w:noProof/>
          <w:color w:val="000000"/>
        </w:rPr>
      </w:pPr>
      <w:r>
        <w:rPr>
          <w:noProof/>
        </w:rPr>
        <w:t>strategic training programmes, including expert and country-specific seminars;</w:t>
      </w:r>
    </w:p>
    <w:p w:rsidR="00311BB8" w:rsidRDefault="00D91061">
      <w:pPr>
        <w:pStyle w:val="AMPRListOrange-L2"/>
        <w:numPr>
          <w:ilvl w:val="1"/>
          <w:numId w:val="56"/>
        </w:numPr>
        <w:rPr>
          <w:noProof/>
          <w:color w:val="000000"/>
        </w:rPr>
      </w:pPr>
      <w:r>
        <w:rPr>
          <w:noProof/>
        </w:rPr>
        <w:t>tailor-made assistance to Member States, offering them expert support.</w:t>
      </w:r>
    </w:p>
    <w:p w:rsidR="00311BB8" w:rsidRDefault="00D91061">
      <w:pPr>
        <w:pStyle w:val="AMPRBodyText"/>
        <w:rPr>
          <w:rFonts w:eastAsia="Calibri"/>
          <w:noProof/>
          <w:lang w:eastAsia="fr-BE"/>
        </w:rPr>
      </w:pPr>
      <w:r>
        <w:rPr>
          <w:rFonts w:eastAsia="Calibri"/>
          <w:noProof/>
          <w:lang w:eastAsia="fr-BE"/>
        </w:rPr>
        <w:t xml:space="preserve">As regards the </w:t>
      </w:r>
      <w:r>
        <w:rPr>
          <w:rStyle w:val="AMPRcharBoldOrange"/>
          <w:noProof/>
        </w:rPr>
        <w:t>European Social Fund</w:t>
      </w:r>
      <w:r>
        <w:rPr>
          <w:rFonts w:eastAsia="Calibri"/>
          <w:noProof/>
          <w:lang w:eastAsia="fr-BE"/>
        </w:rPr>
        <w:t xml:space="preserve">, ineligible costs continue to be the main source of error, together with ineligible projects/beneficiaries, followed by public procurement issues. The Commission has initiated targeted measures to address the root causes of errors in these areas. </w:t>
      </w:r>
    </w:p>
    <w:p w:rsidR="00311BB8" w:rsidRDefault="00D91061">
      <w:pPr>
        <w:pStyle w:val="AMPRAnnexesTITLE4-Numbered"/>
        <w:rPr>
          <w:rFonts w:eastAsia="Calibri"/>
          <w:noProof/>
          <w:color w:val="E48C32"/>
          <w:lang w:eastAsia="fr-BE"/>
        </w:rPr>
      </w:pPr>
      <w:bookmarkStart w:id="117" w:name="_Toc453328859"/>
      <w:bookmarkStart w:id="118" w:name="_Toc484626500"/>
      <w:bookmarkStart w:id="119" w:name="_Toc512866542"/>
      <w:bookmarkStart w:id="120" w:name="_Toc8386214"/>
      <w:bookmarkEnd w:id="117"/>
      <w:r>
        <w:rPr>
          <w:noProof/>
        </w:rPr>
        <w:t>Cumulative figures</w:t>
      </w:r>
      <w:bookmarkStart w:id="121" w:name="_Toc484626502"/>
      <w:bookmarkStart w:id="122" w:name="_Toc512866544"/>
      <w:bookmarkStart w:id="123" w:name="_Toc8386215"/>
      <w:bookmarkEnd w:id="118"/>
      <w:bookmarkEnd w:id="119"/>
      <w:bookmarkEnd w:id="120"/>
    </w:p>
    <w:p w:rsidR="00311BB8" w:rsidRDefault="00D91061">
      <w:pPr>
        <w:pStyle w:val="AMPRAnnexesTITLE5"/>
        <w:rPr>
          <w:noProof/>
        </w:rPr>
      </w:pPr>
      <w:r>
        <w:rPr>
          <w:noProof/>
        </w:rPr>
        <w:t>Cohesion policy: European Regional Development Fund</w:t>
      </w:r>
      <w:r>
        <w:rPr>
          <w:rFonts w:ascii="Calibri" w:hAnsi="Calibri" w:cs="Calibri"/>
          <w:noProof/>
        </w:rPr>
        <w:t> </w:t>
      </w:r>
      <w:r>
        <w:rPr>
          <w:noProof/>
        </w:rPr>
        <w:t>/ Cohesion Fund and European Social Fund 2007-2013</w:t>
      </w:r>
      <w:bookmarkEnd w:id="121"/>
      <w:bookmarkEnd w:id="122"/>
      <w:bookmarkEnd w:id="123"/>
    </w:p>
    <w:p w:rsidR="0056035C" w:rsidRDefault="00D91061">
      <w:pPr>
        <w:pStyle w:val="AMPRBodyText"/>
        <w:spacing w:after="360"/>
        <w:rPr>
          <w:noProof/>
          <w:lang w:eastAsia="fr-BE"/>
        </w:rPr>
      </w:pPr>
      <w:r>
        <w:rPr>
          <w:noProof/>
          <w:lang w:eastAsia="fr-BE"/>
        </w:rPr>
        <w:t>A lower volume of financial corrections reflects an improvement in the capacity of the management and control systems to detect problems and to correct errors before expenditure is declared to the Commission, as shown by the lower error rates for cohesion policy in the 2007-2013 period than in the 2000-2006</w:t>
      </w:r>
      <w:r>
        <w:rPr>
          <w:noProof/>
        </w:rPr>
        <w:t xml:space="preserve"> </w:t>
      </w:r>
      <w:r>
        <w:rPr>
          <w:noProof/>
          <w:lang w:eastAsia="fr-BE"/>
        </w:rPr>
        <w:t>period. Reference is also made to the corrections imposed by Member States in this period.</w:t>
      </w:r>
    </w:p>
    <w:p w:rsidR="0056035C" w:rsidRDefault="0056035C" w:rsidP="0056035C">
      <w:pPr>
        <w:rPr>
          <w:rFonts w:ascii="EC Square Sans Pro" w:hAnsi="EC Square Sans Pro"/>
          <w:noProof/>
          <w:color w:val="000000"/>
          <w:sz w:val="20"/>
          <w:szCs w:val="20"/>
          <w:lang w:eastAsia="fr-BE"/>
        </w:rPr>
      </w:pPr>
      <w:r>
        <w:rPr>
          <w:noProof/>
          <w:lang w:eastAsia="fr-BE"/>
        </w:rPr>
        <w:br w:type="page"/>
      </w:r>
    </w:p>
    <w:p w:rsidR="00311BB8" w:rsidRDefault="00311BB8">
      <w:pPr>
        <w:pStyle w:val="AMPRBodyText"/>
        <w:spacing w:after="360"/>
        <w:rPr>
          <w:noProof/>
          <w:lang w:eastAsia="fr-BE"/>
        </w:rPr>
      </w:pPr>
    </w:p>
    <w:tbl>
      <w:tblPr>
        <w:tblStyle w:val="AMPRTABLEA-Template"/>
        <w:tblW w:w="9070" w:type="dxa"/>
        <w:tblLayout w:type="fixed"/>
        <w:tblLook w:val="04E0" w:firstRow="1" w:lastRow="1" w:firstColumn="1" w:lastColumn="0" w:noHBand="0" w:noVBand="1"/>
      </w:tblPr>
      <w:tblGrid>
        <w:gridCol w:w="1511"/>
        <w:gridCol w:w="1512"/>
        <w:gridCol w:w="1512"/>
        <w:gridCol w:w="1511"/>
        <w:gridCol w:w="1512"/>
        <w:gridCol w:w="1512"/>
      </w:tblGrid>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1" w:type="dxa"/>
            <w:tcBorders>
              <w:bottom w:val="single" w:sz="4" w:space="0" w:color="5B9BD5" w:themeColor="accent1"/>
            </w:tcBorders>
            <w:hideMark/>
          </w:tcPr>
          <w:p w:rsidR="00311BB8" w:rsidRDefault="00D91061">
            <w:pPr>
              <w:pStyle w:val="AMPRTABLEA-HEADERText-WHITE"/>
              <w:spacing w:before="144" w:after="144"/>
              <w:rPr>
                <w:noProof/>
                <w:sz w:val="16"/>
                <w:szCs w:val="14"/>
              </w:rPr>
            </w:pPr>
            <w:r>
              <w:rPr>
                <w:noProof/>
                <w:sz w:val="16"/>
              </w:rPr>
              <w:t>Member State</w:t>
            </w:r>
          </w:p>
        </w:tc>
        <w:tc>
          <w:tcPr>
            <w:tcW w:w="1512" w:type="dxa"/>
            <w:tcBorders>
              <w:bottom w:val="single" w:sz="4" w:space="0" w:color="5B9BD5" w:themeColor="accent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4"/>
                <w:lang w:val="en-GB"/>
              </w:rPr>
            </w:pPr>
            <w:r>
              <w:rPr>
                <w:noProof/>
                <w:sz w:val="16"/>
                <w:lang w:val="en-GB"/>
              </w:rPr>
              <w:t>European Regional Development Fund</w:t>
            </w:r>
            <w:r>
              <w:rPr>
                <w:rFonts w:ascii="Calibri" w:hAnsi="Calibri" w:cs="Calibri"/>
                <w:noProof/>
                <w:sz w:val="16"/>
                <w:lang w:val="en-GB"/>
              </w:rPr>
              <w:t> </w:t>
            </w:r>
            <w:r>
              <w:rPr>
                <w:noProof/>
                <w:sz w:val="16"/>
                <w:lang w:val="en-GB"/>
              </w:rPr>
              <w:t>/ Cohesion Fund + European Social Fund (million</w:t>
            </w:r>
            <w:r>
              <w:rPr>
                <w:rFonts w:ascii="Calibri" w:hAnsi="Calibri" w:cs="Calibri"/>
                <w:noProof/>
                <w:sz w:val="16"/>
                <w:lang w:val="en-GB"/>
              </w:rPr>
              <w:t> </w:t>
            </w:r>
            <w:r>
              <w:rPr>
                <w:noProof/>
                <w:sz w:val="16"/>
                <w:lang w:val="en-GB"/>
              </w:rPr>
              <w:t>EUR) contribution amount</w:t>
            </w:r>
          </w:p>
        </w:tc>
        <w:tc>
          <w:tcPr>
            <w:tcW w:w="1512" w:type="dxa"/>
            <w:tcBorders>
              <w:bottom w:val="single" w:sz="4" w:space="0" w:color="5B9BD5" w:themeColor="accent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4"/>
                <w:lang w:val="en-GB"/>
              </w:rPr>
            </w:pPr>
            <w:r>
              <w:rPr>
                <w:noProof/>
                <w:sz w:val="16"/>
                <w:lang w:val="en-GB"/>
              </w:rPr>
              <w:t>% of contribution amount out of total contributions</w:t>
            </w:r>
          </w:p>
        </w:tc>
        <w:tc>
          <w:tcPr>
            <w:tcW w:w="1511" w:type="dxa"/>
            <w:tcBorders>
              <w:bottom w:val="single" w:sz="4" w:space="0" w:color="5B9BD5" w:themeColor="accent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4"/>
              </w:rPr>
            </w:pPr>
            <w:r>
              <w:rPr>
                <w:noProof/>
                <w:sz w:val="16"/>
              </w:rPr>
              <w:t>Financial corrections confirmed (million</w:t>
            </w:r>
            <w:r>
              <w:rPr>
                <w:rFonts w:ascii="Calibri" w:hAnsi="Calibri" w:cs="Calibri"/>
                <w:noProof/>
                <w:sz w:val="16"/>
              </w:rPr>
              <w:t> </w:t>
            </w:r>
            <w:r>
              <w:rPr>
                <w:noProof/>
                <w:sz w:val="16"/>
              </w:rPr>
              <w:t>EUR)</w:t>
            </w:r>
          </w:p>
        </w:tc>
        <w:tc>
          <w:tcPr>
            <w:tcW w:w="1512" w:type="dxa"/>
            <w:tcBorders>
              <w:bottom w:val="single" w:sz="4" w:space="0" w:color="5B9BD5" w:themeColor="accent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4"/>
                <w:lang w:val="en-GB"/>
              </w:rPr>
            </w:pPr>
            <w:r>
              <w:rPr>
                <w:noProof/>
                <w:sz w:val="16"/>
                <w:lang w:val="en-GB"/>
              </w:rPr>
              <w:t>Financial corrections as % of total European Regional Development Fund</w:t>
            </w:r>
            <w:r>
              <w:rPr>
                <w:rFonts w:ascii="Calibri" w:hAnsi="Calibri" w:cs="Calibri"/>
                <w:noProof/>
                <w:sz w:val="16"/>
                <w:lang w:val="en-GB"/>
              </w:rPr>
              <w:t> </w:t>
            </w:r>
            <w:r>
              <w:rPr>
                <w:noProof/>
                <w:sz w:val="16"/>
                <w:lang w:val="en-GB"/>
              </w:rPr>
              <w:t>/ Cohesion Fund + European Social Fund contributions</w:t>
            </w:r>
          </w:p>
        </w:tc>
        <w:tc>
          <w:tcPr>
            <w:tcW w:w="1512" w:type="dxa"/>
            <w:tcBorders>
              <w:bottom w:val="single" w:sz="4" w:space="0" w:color="5B9BD5" w:themeColor="accent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4"/>
                <w:lang w:val="en-GB"/>
              </w:rPr>
            </w:pPr>
            <w:r>
              <w:rPr>
                <w:noProof/>
                <w:sz w:val="16"/>
                <w:lang w:val="en-GB"/>
              </w:rPr>
              <w:t>Financial corrections imposed as % of total financial corrections</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Belgium</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w:t>
            </w:r>
            <w:r>
              <w:rPr>
                <w:rFonts w:ascii="Calibri" w:eastAsia="EC Square Sans Pro" w:hAnsi="Calibri" w:cs="Calibri"/>
                <w:noProof/>
              </w:rPr>
              <w:t> </w:t>
            </w:r>
            <w:r>
              <w:rPr>
                <w:rFonts w:eastAsia="EC Square Sans Pro"/>
                <w:noProof/>
              </w:rPr>
              <w:t>059</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0.6%</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27</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1.3%</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0.4%</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Bulgaria</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6</w:t>
            </w:r>
            <w:r>
              <w:rPr>
                <w:rFonts w:ascii="Calibri" w:eastAsia="EC Square Sans Pro" w:hAnsi="Calibri" w:cs="Calibri"/>
                <w:noProof/>
              </w:rPr>
              <w:t> </w:t>
            </w:r>
            <w:r>
              <w:rPr>
                <w:rFonts w:eastAsia="EC Square Sans Pro"/>
                <w:noProof/>
              </w:rPr>
              <w:t>595</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1.9%</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159</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2.4%</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2.2%</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Czechia</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25</w:t>
            </w:r>
            <w:r>
              <w:rPr>
                <w:rFonts w:ascii="Calibri" w:eastAsia="EC Square Sans Pro" w:hAnsi="Calibri" w:cs="Calibri"/>
                <w:noProof/>
              </w:rPr>
              <w:t> </w:t>
            </w:r>
            <w:r>
              <w:rPr>
                <w:rFonts w:eastAsia="EC Square Sans Pro"/>
                <w:noProof/>
              </w:rPr>
              <w:t>819</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7.5%</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847</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3.3%</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11.6%</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Denmark</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510</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0.1%</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0.0%</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Germany</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25</w:t>
            </w:r>
            <w:r>
              <w:rPr>
                <w:rFonts w:ascii="Calibri" w:eastAsia="EC Square Sans Pro" w:hAnsi="Calibri" w:cs="Calibri"/>
                <w:noProof/>
              </w:rPr>
              <w:t> </w:t>
            </w:r>
            <w:r>
              <w:rPr>
                <w:rFonts w:eastAsia="EC Square Sans Pro"/>
                <w:noProof/>
              </w:rPr>
              <w:t>458</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7.4%</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194</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0.8%</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2.7%</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Estonia</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w:t>
            </w:r>
            <w:r>
              <w:rPr>
                <w:rFonts w:ascii="Calibri" w:eastAsia="EC Square Sans Pro" w:hAnsi="Calibri" w:cs="Calibri"/>
                <w:noProof/>
              </w:rPr>
              <w:t> </w:t>
            </w:r>
            <w:r>
              <w:rPr>
                <w:rFonts w:eastAsia="EC Square Sans Pro"/>
                <w:noProof/>
              </w:rPr>
              <w:t>403</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1.0%</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16</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0.5%</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0.2%</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Ireland</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751</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0.2%</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24</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3.2%</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0.3%</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Greece</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20</w:t>
            </w:r>
            <w:r>
              <w:rPr>
                <w:rFonts w:ascii="Calibri" w:eastAsia="EC Square Sans Pro" w:hAnsi="Calibri" w:cs="Calibri"/>
                <w:noProof/>
              </w:rPr>
              <w:t> </w:t>
            </w:r>
            <w:r>
              <w:rPr>
                <w:rFonts w:eastAsia="EC Square Sans Pro"/>
                <w:noProof/>
              </w:rPr>
              <w:t>210</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5.8%</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579</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2.9%</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7.9%</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Spain</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34</w:t>
            </w:r>
            <w:r>
              <w:rPr>
                <w:rFonts w:ascii="Calibri" w:eastAsia="EC Square Sans Pro" w:hAnsi="Calibri" w:cs="Calibri"/>
                <w:noProof/>
              </w:rPr>
              <w:t> </w:t>
            </w:r>
            <w:r>
              <w:rPr>
                <w:rFonts w:eastAsia="EC Square Sans Pro"/>
                <w:noProof/>
              </w:rPr>
              <w:t>521</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10.0%</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928</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2.7%</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12.7%</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France</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13</w:t>
            </w:r>
            <w:r>
              <w:rPr>
                <w:rFonts w:ascii="Calibri" w:eastAsia="EC Square Sans Pro" w:hAnsi="Calibri" w:cs="Calibri"/>
                <w:noProof/>
              </w:rPr>
              <w:t> </w:t>
            </w:r>
            <w:r>
              <w:rPr>
                <w:rFonts w:eastAsia="EC Square Sans Pro"/>
                <w:noProof/>
              </w:rPr>
              <w:t>546</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3.9%</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88</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0.6%</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1.2%</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Croatia</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858</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0.2%</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0.1%</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Italy</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27</w:t>
            </w:r>
            <w:r>
              <w:rPr>
                <w:rFonts w:ascii="Calibri" w:eastAsia="EC Square Sans Pro" w:hAnsi="Calibri" w:cs="Calibri"/>
                <w:noProof/>
              </w:rPr>
              <w:t> </w:t>
            </w:r>
            <w:r>
              <w:rPr>
                <w:rFonts w:eastAsia="EC Square Sans Pro"/>
                <w:noProof/>
              </w:rPr>
              <w:t>940</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8.1%</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543</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1.9%</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7.4%</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Cyprus</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612</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0.2%</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0.3%</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Latvia</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4</w:t>
            </w:r>
            <w:r>
              <w:rPr>
                <w:rFonts w:ascii="Calibri" w:eastAsia="EC Square Sans Pro" w:hAnsi="Calibri" w:cs="Calibri"/>
                <w:noProof/>
              </w:rPr>
              <w:t> </w:t>
            </w:r>
            <w:r>
              <w:rPr>
                <w:rFonts w:eastAsia="EC Square Sans Pro"/>
                <w:noProof/>
              </w:rPr>
              <w:t>530</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1.3%</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67</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1.5%</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0.9%</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Lithuania</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6</w:t>
            </w:r>
            <w:r>
              <w:rPr>
                <w:rFonts w:ascii="Calibri" w:eastAsia="EC Square Sans Pro" w:hAnsi="Calibri" w:cs="Calibri"/>
                <w:noProof/>
              </w:rPr>
              <w:t> </w:t>
            </w:r>
            <w:r>
              <w:rPr>
                <w:rFonts w:eastAsia="EC Square Sans Pro"/>
                <w:noProof/>
              </w:rPr>
              <w:t>775</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2.0%</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0.0%</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Luxembourg</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50</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0.0%</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0.1%</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Hungary</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24</w:t>
            </w:r>
            <w:r>
              <w:rPr>
                <w:rFonts w:ascii="Calibri" w:eastAsia="EC Square Sans Pro" w:hAnsi="Calibri" w:cs="Calibri"/>
                <w:noProof/>
              </w:rPr>
              <w:t> </w:t>
            </w:r>
            <w:r>
              <w:rPr>
                <w:rFonts w:eastAsia="EC Square Sans Pro"/>
                <w:noProof/>
              </w:rPr>
              <w:t>893</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7.2%</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w:t>
            </w:r>
            <w:r>
              <w:rPr>
                <w:rFonts w:ascii="Calibri" w:eastAsia="EC Square Sans Pro" w:hAnsi="Calibri" w:cs="Calibri"/>
                <w:noProof/>
              </w:rPr>
              <w:t> </w:t>
            </w:r>
            <w:r>
              <w:rPr>
                <w:rFonts w:eastAsia="EC Square Sans Pro"/>
                <w:noProof/>
              </w:rPr>
              <w:t>190</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4.8%</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16.3%</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Malta</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840</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0.2%</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12</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1.4%</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0.2%</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Netherlands</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w:t>
            </w:r>
            <w:r>
              <w:rPr>
                <w:rFonts w:ascii="Calibri" w:eastAsia="EC Square Sans Pro" w:hAnsi="Calibri" w:cs="Calibri"/>
                <w:noProof/>
              </w:rPr>
              <w:t> </w:t>
            </w:r>
            <w:r>
              <w:rPr>
                <w:rFonts w:eastAsia="EC Square Sans Pro"/>
                <w:noProof/>
              </w:rPr>
              <w:t>660</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0.5%</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0.0%</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Austria</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w:t>
            </w:r>
            <w:r>
              <w:rPr>
                <w:rFonts w:ascii="Calibri" w:eastAsia="EC Square Sans Pro" w:hAnsi="Calibri" w:cs="Calibri"/>
                <w:noProof/>
              </w:rPr>
              <w:t> </w:t>
            </w:r>
            <w:r>
              <w:rPr>
                <w:rFonts w:eastAsia="EC Square Sans Pro"/>
                <w:noProof/>
              </w:rPr>
              <w:t>170</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0.3%</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16</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1.4%</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0.2%</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Poland</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67</w:t>
            </w:r>
            <w:r>
              <w:rPr>
                <w:rFonts w:ascii="Calibri" w:eastAsia="EC Square Sans Pro" w:hAnsi="Calibri" w:cs="Calibri"/>
                <w:noProof/>
              </w:rPr>
              <w:t> </w:t>
            </w:r>
            <w:r>
              <w:rPr>
                <w:rFonts w:eastAsia="EC Square Sans Pro"/>
                <w:noProof/>
              </w:rPr>
              <w:t>186</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19.4%</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795</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1.2%</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10.9%</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Portugal</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21</w:t>
            </w:r>
            <w:r>
              <w:rPr>
                <w:rFonts w:ascii="Calibri" w:eastAsia="EC Square Sans Pro" w:hAnsi="Calibri" w:cs="Calibri"/>
                <w:noProof/>
              </w:rPr>
              <w:t> </w:t>
            </w:r>
            <w:r>
              <w:rPr>
                <w:rFonts w:eastAsia="EC Square Sans Pro"/>
                <w:noProof/>
              </w:rPr>
              <w:t>412</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6.2%</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97</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0.5%</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1.3%</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Romania</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18</w:t>
            </w:r>
            <w:r>
              <w:rPr>
                <w:rFonts w:ascii="Calibri" w:eastAsia="EC Square Sans Pro" w:hAnsi="Calibri" w:cs="Calibri"/>
                <w:noProof/>
              </w:rPr>
              <w:t> </w:t>
            </w:r>
            <w:r>
              <w:rPr>
                <w:rFonts w:eastAsia="EC Square Sans Pro"/>
                <w:noProof/>
              </w:rPr>
              <w:t>782</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5.4%</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w:t>
            </w:r>
            <w:r>
              <w:rPr>
                <w:rFonts w:ascii="Calibri" w:eastAsia="EC Square Sans Pro" w:hAnsi="Calibri" w:cs="Calibri"/>
                <w:noProof/>
              </w:rPr>
              <w:t> </w:t>
            </w:r>
            <w:r>
              <w:rPr>
                <w:rFonts w:eastAsia="EC Square Sans Pro"/>
                <w:noProof/>
              </w:rPr>
              <w:t>043</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5.6%</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14.3%</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Slovenia</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4</w:t>
            </w:r>
            <w:r>
              <w:rPr>
                <w:rFonts w:ascii="Calibri" w:eastAsia="EC Square Sans Pro" w:hAnsi="Calibri" w:cs="Calibri"/>
                <w:noProof/>
              </w:rPr>
              <w:t> </w:t>
            </w:r>
            <w:r>
              <w:rPr>
                <w:rFonts w:eastAsia="EC Square Sans Pro"/>
                <w:noProof/>
              </w:rPr>
              <w:t>101</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1.2%</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50</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1.2%</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0.7%</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Slovakia</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11</w:t>
            </w:r>
            <w:r>
              <w:rPr>
                <w:rFonts w:ascii="Calibri" w:eastAsia="EC Square Sans Pro" w:hAnsi="Calibri" w:cs="Calibri"/>
                <w:noProof/>
              </w:rPr>
              <w:t> </w:t>
            </w:r>
            <w:r>
              <w:rPr>
                <w:rFonts w:eastAsia="EC Square Sans Pro"/>
                <w:noProof/>
              </w:rPr>
              <w:t>483</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3.3%</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477</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4.2%</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6.5%</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Finland</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w:t>
            </w:r>
            <w:r>
              <w:rPr>
                <w:rFonts w:ascii="Calibri" w:eastAsia="EC Square Sans Pro" w:hAnsi="Calibri" w:cs="Calibri"/>
                <w:noProof/>
              </w:rPr>
              <w:t> </w:t>
            </w:r>
            <w:r>
              <w:rPr>
                <w:rFonts w:eastAsia="EC Square Sans Pro"/>
                <w:noProof/>
              </w:rPr>
              <w:t>596</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0.5%</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0.0%</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Sweden</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w:t>
            </w:r>
            <w:r>
              <w:rPr>
                <w:rFonts w:ascii="Calibri" w:eastAsia="EC Square Sans Pro" w:hAnsi="Calibri" w:cs="Calibri"/>
                <w:noProof/>
              </w:rPr>
              <w:t> </w:t>
            </w:r>
            <w:r>
              <w:rPr>
                <w:rFonts w:eastAsia="EC Square Sans Pro"/>
                <w:noProof/>
              </w:rPr>
              <w:t>626</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0.5%</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0.1%</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United Kingdom</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9</w:t>
            </w:r>
            <w:r>
              <w:rPr>
                <w:rFonts w:ascii="Calibri" w:eastAsia="EC Square Sans Pro" w:hAnsi="Calibri" w:cs="Calibri"/>
                <w:noProof/>
              </w:rPr>
              <w:t> </w:t>
            </w:r>
            <w:r>
              <w:rPr>
                <w:rFonts w:eastAsia="EC Square Sans Pro"/>
                <w:noProof/>
              </w:rPr>
              <w:t>878</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2.9%</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133</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1.4%</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1.8%</w:t>
            </w:r>
          </w:p>
        </w:tc>
      </w:tr>
      <w:tr w:rsidR="00311BB8" w:rsidTr="00311BB8">
        <w:tc>
          <w:tcPr>
            <w:cnfStyle w:val="001000000000" w:firstRow="0" w:lastRow="0" w:firstColumn="1" w:lastColumn="0" w:oddVBand="0" w:evenVBand="0" w:oddHBand="0" w:evenHBand="0" w:firstRowFirstColumn="0" w:firstRowLastColumn="0" w:lastRowFirstColumn="0" w:lastRowLastColumn="0"/>
            <w:tcW w:w="1511" w:type="dxa"/>
            <w:tcBorders>
              <w:top w:val="single" w:sz="4" w:space="0" w:color="5B9BD5" w:themeColor="accent1"/>
            </w:tcBorders>
            <w:noWrap/>
            <w:hideMark/>
          </w:tcPr>
          <w:p w:rsidR="00311BB8" w:rsidRDefault="00D91061">
            <w:pPr>
              <w:pStyle w:val="AMPRTABLEA-TextLEFTalligned-BLACK"/>
              <w:rPr>
                <w:noProof/>
              </w:rPr>
            </w:pPr>
            <w:r>
              <w:rPr>
                <w:noProof/>
              </w:rPr>
              <w:t>European territorial cooperation</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7</w:t>
            </w:r>
            <w:r>
              <w:rPr>
                <w:rFonts w:ascii="Calibri" w:eastAsia="EC Square Sans Pro" w:hAnsi="Calibri" w:cs="Calibri"/>
                <w:noProof/>
              </w:rPr>
              <w:t> </w:t>
            </w:r>
            <w:r>
              <w:rPr>
                <w:rFonts w:eastAsia="EC Square Sans Pro"/>
                <w:noProof/>
              </w:rPr>
              <w:t>956</w:t>
            </w:r>
          </w:p>
        </w:tc>
        <w:tc>
          <w:tcPr>
            <w:tcW w:w="1512"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2.3%</w:t>
            </w:r>
          </w:p>
        </w:tc>
        <w:tc>
          <w:tcPr>
            <w:tcW w:w="1511"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12</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0.2%</w:t>
            </w:r>
          </w:p>
        </w:tc>
        <w:tc>
          <w:tcPr>
            <w:tcW w:w="151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i/>
                <w:noProof/>
              </w:rPr>
            </w:pPr>
            <w:r>
              <w:rPr>
                <w:rFonts w:eastAsia="EC Square Sans Pro"/>
                <w:i/>
                <w:iCs/>
                <w:noProof/>
              </w:rPr>
              <w:t>0.2%</w:t>
            </w:r>
          </w:p>
        </w:tc>
      </w:tr>
      <w:tr w:rsidR="00311BB8" w:rsidTr="00311B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noWrap/>
            <w:hideMark/>
          </w:tcPr>
          <w:p w:rsidR="00311BB8" w:rsidRDefault="00D91061">
            <w:pPr>
              <w:pStyle w:val="AMPRTABLEA-TOTALLEFTalligned-BLACK"/>
              <w:rPr>
                <w:rFonts w:eastAsia="EC Square Sans Pro"/>
                <w:noProof/>
              </w:rPr>
            </w:pPr>
            <w:r>
              <w:rPr>
                <w:rFonts w:eastAsia="EC Square Sans Pro"/>
                <w:noProof/>
              </w:rPr>
              <w:t>Total</w:t>
            </w:r>
          </w:p>
        </w:tc>
        <w:tc>
          <w:tcPr>
            <w:tcW w:w="1512" w:type="dxa"/>
            <w:noWrap/>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346</w:t>
            </w:r>
            <w:r>
              <w:rPr>
                <w:rFonts w:ascii="Calibri" w:hAnsi="Calibri" w:cs="Calibri"/>
                <w:noProof/>
              </w:rPr>
              <w:t> </w:t>
            </w:r>
            <w:r>
              <w:rPr>
                <w:noProof/>
              </w:rPr>
              <w:t>220</w:t>
            </w:r>
          </w:p>
        </w:tc>
        <w:tc>
          <w:tcPr>
            <w:tcW w:w="1512"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i/>
                <w:noProof/>
              </w:rPr>
            </w:pPr>
            <w:r>
              <w:rPr>
                <w:i/>
                <w:iCs/>
                <w:noProof/>
              </w:rPr>
              <w:t>100%</w:t>
            </w:r>
          </w:p>
        </w:tc>
        <w:tc>
          <w:tcPr>
            <w:tcW w:w="1511" w:type="dxa"/>
            <w:noWrap/>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7</w:t>
            </w:r>
            <w:r>
              <w:rPr>
                <w:rFonts w:ascii="Calibri" w:hAnsi="Calibri" w:cs="Calibri"/>
                <w:noProof/>
              </w:rPr>
              <w:t> </w:t>
            </w:r>
            <w:r>
              <w:rPr>
                <w:noProof/>
              </w:rPr>
              <w:t>300</w:t>
            </w:r>
          </w:p>
        </w:tc>
        <w:tc>
          <w:tcPr>
            <w:tcW w:w="1512" w:type="dxa"/>
            <w:noWrap/>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i/>
                <w:noProof/>
              </w:rPr>
            </w:pPr>
            <w:r>
              <w:rPr>
                <w:i/>
                <w:iCs/>
                <w:noProof/>
              </w:rPr>
              <w:t>2.1%</w:t>
            </w:r>
          </w:p>
        </w:tc>
        <w:tc>
          <w:tcPr>
            <w:tcW w:w="1512" w:type="dxa"/>
            <w:noWrap/>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i/>
                <w:noProof/>
              </w:rPr>
            </w:pPr>
            <w:r>
              <w:rPr>
                <w:i/>
                <w:iCs/>
                <w:noProof/>
              </w:rPr>
              <w:t>100%</w:t>
            </w:r>
          </w:p>
        </w:tc>
      </w:tr>
    </w:tbl>
    <w:p w:rsidR="00311BB8" w:rsidRDefault="00D91061">
      <w:pPr>
        <w:pStyle w:val="AMPRChart-Tabletitle"/>
        <w:rPr>
          <w:noProof/>
        </w:rPr>
      </w:pPr>
      <w:r>
        <w:rPr>
          <w:noProof/>
        </w:rPr>
        <w:t>European Regional Development Fund</w:t>
      </w:r>
      <w:r>
        <w:rPr>
          <w:rFonts w:ascii="Calibri" w:hAnsi="Calibri" w:cs="Calibri"/>
          <w:noProof/>
        </w:rPr>
        <w:t> </w:t>
      </w:r>
      <w:r>
        <w:rPr>
          <w:noProof/>
        </w:rPr>
        <w:t>/ Cohesion Fund and European Social Fund confirmed financial corrections for the 2007-2013 programming period, as of 31</w:t>
      </w:r>
      <w:r>
        <w:rPr>
          <w:rFonts w:ascii="Arial" w:hAnsi="Arial"/>
          <w:noProof/>
        </w:rPr>
        <w:t> </w:t>
      </w:r>
      <w:r>
        <w:rPr>
          <w:noProof/>
        </w:rPr>
        <w:t>December</w:t>
      </w:r>
      <w:r>
        <w:rPr>
          <w:rFonts w:ascii="Arial" w:hAnsi="Arial"/>
          <w:noProof/>
        </w:rPr>
        <w:t> </w:t>
      </w:r>
      <w:r>
        <w:rPr>
          <w:noProof/>
        </w:rPr>
        <w:t>2019, by Member State</w:t>
      </w:r>
    </w:p>
    <w:p w:rsidR="00311BB8" w:rsidRDefault="00D91061">
      <w:pPr>
        <w:pStyle w:val="AMPRBodyText"/>
        <w:rPr>
          <w:noProof/>
          <w:lang w:eastAsia="fr-BE"/>
        </w:rPr>
      </w:pPr>
      <w:r>
        <w:rPr>
          <w:rFonts w:eastAsia="Calibri"/>
          <w:b/>
          <w:i/>
          <w:noProof/>
          <w:lang w:eastAsia="fr-BE"/>
        </w:rPr>
        <w:t>As the 2007-2013 programmes are multi-funds, no split is given between European Regional Development Fund and Cohesion Fund data in the table above.</w:t>
      </w:r>
    </w:p>
    <w:p w:rsidR="00311BB8" w:rsidRDefault="00D91061">
      <w:pPr>
        <w:spacing w:before="40"/>
        <w:rPr>
          <w:rFonts w:eastAsia="Calibri"/>
          <w:i/>
          <w:iCs/>
          <w:noProof/>
          <w:sz w:val="16"/>
          <w:szCs w:val="16"/>
          <w:lang w:eastAsia="fr-BE"/>
        </w:rPr>
      </w:pPr>
      <w:r>
        <w:rPr>
          <w:noProof/>
          <w:lang w:val="fr-BE" w:eastAsia="fr-BE"/>
        </w:rPr>
        <w:drawing>
          <wp:inline distT="0" distB="0" distL="0" distR="0">
            <wp:extent cx="5753100" cy="3642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100" cy="3642360"/>
                    </a:xfrm>
                    <a:prstGeom prst="rect">
                      <a:avLst/>
                    </a:prstGeom>
                    <a:noFill/>
                    <a:ln>
                      <a:noFill/>
                    </a:ln>
                  </pic:spPr>
                </pic:pic>
              </a:graphicData>
            </a:graphic>
          </wp:inline>
        </w:drawing>
      </w:r>
    </w:p>
    <w:p w:rsidR="00311BB8" w:rsidRDefault="00D91061">
      <w:pPr>
        <w:pStyle w:val="AMPRChart-Tabletitle"/>
        <w:rPr>
          <w:noProof/>
          <w:sz w:val="22"/>
          <w:szCs w:val="22"/>
        </w:rPr>
      </w:pPr>
      <w:r>
        <w:rPr>
          <w:noProof/>
        </w:rPr>
        <w:t>Member States’ confirmed cumulative financial corrections as of 31</w:t>
      </w:r>
      <w:r>
        <w:rPr>
          <w:rFonts w:ascii="Calibri" w:hAnsi="Calibri" w:cs="Calibri"/>
          <w:noProof/>
        </w:rPr>
        <w:t> </w:t>
      </w:r>
      <w:r>
        <w:rPr>
          <w:noProof/>
        </w:rPr>
        <w:t>December 2019 for the European Regional Development Fund</w:t>
      </w:r>
      <w:r>
        <w:rPr>
          <w:rFonts w:ascii="Calibri" w:hAnsi="Calibri" w:cs="Calibri"/>
          <w:noProof/>
        </w:rPr>
        <w:t> </w:t>
      </w:r>
      <w:r>
        <w:rPr>
          <w:noProof/>
        </w:rPr>
        <w:t>/ Cohesion Fund and European Social Fund for programming period 2007-2013, compared to contributions received</w:t>
      </w:r>
    </w:p>
    <w:p w:rsidR="00311BB8" w:rsidRDefault="00D91061">
      <w:pPr>
        <w:pStyle w:val="AMPRBodyText"/>
        <w:rPr>
          <w:noProof/>
          <w:highlight w:val="lightGray"/>
        </w:rPr>
      </w:pPr>
      <w:r>
        <w:rPr>
          <w:noProof/>
        </w:rPr>
        <w:t xml:space="preserve">For the </w:t>
      </w:r>
      <w:r>
        <w:rPr>
          <w:rStyle w:val="AMPRcharBoldOrange"/>
          <w:noProof/>
        </w:rPr>
        <w:t>European Regional Development Fund</w:t>
      </w:r>
      <w:r>
        <w:rPr>
          <w:rStyle w:val="AMPRcharBoldOrange"/>
          <w:rFonts w:ascii="Calibri" w:hAnsi="Calibri" w:cs="Calibri"/>
          <w:noProof/>
        </w:rPr>
        <w:t> </w:t>
      </w:r>
      <w:r>
        <w:rPr>
          <w:rStyle w:val="AMPRcharBoldOrange"/>
          <w:noProof/>
        </w:rPr>
        <w:t>/ Cohesion Fund</w:t>
      </w:r>
      <w:r>
        <w:rPr>
          <w:b/>
          <w:noProof/>
        </w:rPr>
        <w:t xml:space="preserve"> </w:t>
      </w:r>
      <w:r>
        <w:rPr>
          <w:noProof/>
        </w:rPr>
        <w:t>programmes, the Commission has imposed financial corrections of around EUR</w:t>
      </w:r>
      <w:r>
        <w:rPr>
          <w:rStyle w:val="Bodytext2Bold"/>
          <w:rFonts w:ascii="Calibri" w:eastAsiaTheme="minorHAnsi" w:hAnsi="Calibri" w:cs="Calibri"/>
          <w:noProof/>
          <w:color w:val="auto"/>
          <w:szCs w:val="20"/>
        </w:rPr>
        <w:t> </w:t>
      </w:r>
      <w:r>
        <w:rPr>
          <w:noProof/>
        </w:rPr>
        <w:t>5.7</w:t>
      </w:r>
      <w:r>
        <w:rPr>
          <w:rFonts w:ascii="Arial" w:hAnsi="Arial" w:cs="Arial"/>
          <w:noProof/>
        </w:rPr>
        <w:t> </w:t>
      </w:r>
      <w:r>
        <w:rPr>
          <w:noProof/>
        </w:rPr>
        <w:t>billion</w:t>
      </w:r>
      <w:r>
        <w:rPr>
          <w:rFonts w:ascii="Calibri" w:hAnsi="Calibri" w:cs="Calibri"/>
          <w:noProof/>
        </w:rPr>
        <w:t> </w:t>
      </w:r>
      <w:r>
        <w:rPr>
          <w:noProof/>
        </w:rPr>
        <w:t>(</w:t>
      </w:r>
      <w:r>
        <w:rPr>
          <w:noProof/>
          <w:color w:val="auto"/>
          <w:vertAlign w:val="superscript"/>
        </w:rPr>
        <w:footnoteReference w:id="37"/>
      </w:r>
      <w:r>
        <w:rPr>
          <w:noProof/>
        </w:rPr>
        <w:t>) cumulatively since the beginning of the 2007-2013 programming period (including EUR</w:t>
      </w:r>
      <w:r>
        <w:rPr>
          <w:rStyle w:val="Bodytext2Bold"/>
          <w:rFonts w:ascii="Calibri" w:eastAsiaTheme="minorHAnsi" w:hAnsi="Calibri" w:cs="Calibri"/>
          <w:noProof/>
          <w:color w:val="auto"/>
          <w:szCs w:val="20"/>
        </w:rPr>
        <w:t> </w:t>
      </w:r>
      <w:r>
        <w:rPr>
          <w:noProof/>
        </w:rPr>
        <w:t>1.4</w:t>
      </w:r>
      <w:r>
        <w:rPr>
          <w:rFonts w:ascii="Arial" w:hAnsi="Arial" w:cs="Arial"/>
          <w:noProof/>
        </w:rPr>
        <w:t> </w:t>
      </w:r>
      <w:r>
        <w:rPr>
          <w:noProof/>
        </w:rPr>
        <w:t>billion in financial corrections applied by the Member States, before or when the expenditure was declared to the Commission, as a result of requested remedial actions). The main Member States concerned are Hungary (EUR</w:t>
      </w:r>
      <w:r>
        <w:rPr>
          <w:rStyle w:val="Bodytext2Bold"/>
          <w:rFonts w:ascii="Calibri" w:eastAsiaTheme="minorHAnsi" w:hAnsi="Calibri" w:cs="Calibri"/>
          <w:noProof/>
          <w:color w:val="auto"/>
          <w:szCs w:val="20"/>
        </w:rPr>
        <w:t> </w:t>
      </w:r>
      <w:r>
        <w:rPr>
          <w:noProof/>
        </w:rPr>
        <w:t>1</w:t>
      </w:r>
      <w:r>
        <w:rPr>
          <w:rFonts w:ascii="Calibri" w:hAnsi="Calibri" w:cs="Calibri"/>
          <w:noProof/>
        </w:rPr>
        <w:t> </w:t>
      </w:r>
      <w:r>
        <w:rPr>
          <w:noProof/>
        </w:rPr>
        <w:t>143</w:t>
      </w:r>
      <w:r>
        <w:rPr>
          <w:rFonts w:ascii="Arial" w:hAnsi="Arial" w:cs="Arial"/>
          <w:noProof/>
        </w:rPr>
        <w:t> </w:t>
      </w:r>
      <w:r>
        <w:rPr>
          <w:noProof/>
        </w:rPr>
        <w:t>million), Czechia (EUR</w:t>
      </w:r>
      <w:r>
        <w:rPr>
          <w:rStyle w:val="Bodytext2Bold"/>
          <w:rFonts w:ascii="Calibri" w:eastAsiaTheme="minorHAnsi" w:hAnsi="Calibri" w:cs="Calibri"/>
          <w:noProof/>
          <w:color w:val="auto"/>
          <w:szCs w:val="20"/>
        </w:rPr>
        <w:t> </w:t>
      </w:r>
      <w:r>
        <w:rPr>
          <w:noProof/>
        </w:rPr>
        <w:t>777</w:t>
      </w:r>
      <w:r>
        <w:rPr>
          <w:rFonts w:ascii="Arial" w:hAnsi="Arial" w:cs="Arial"/>
          <w:noProof/>
        </w:rPr>
        <w:t> </w:t>
      </w:r>
      <w:r>
        <w:rPr>
          <w:noProof/>
        </w:rPr>
        <w:t>million), Poland (EUR</w:t>
      </w:r>
      <w:r>
        <w:rPr>
          <w:rFonts w:ascii="Calibri" w:hAnsi="Calibri" w:cs="Calibri"/>
          <w:noProof/>
        </w:rPr>
        <w:t> </w:t>
      </w:r>
      <w:r>
        <w:rPr>
          <w:noProof/>
        </w:rPr>
        <w:t>637</w:t>
      </w:r>
      <w:r>
        <w:rPr>
          <w:rFonts w:ascii="Calibri" w:hAnsi="Calibri" w:cs="Calibri"/>
          <w:noProof/>
        </w:rPr>
        <w:t> </w:t>
      </w:r>
      <w:r>
        <w:rPr>
          <w:noProof/>
        </w:rPr>
        <w:t>million), Romania (EUR</w:t>
      </w:r>
      <w:r>
        <w:rPr>
          <w:rFonts w:ascii="Calibri" w:hAnsi="Calibri" w:cs="Calibri"/>
          <w:noProof/>
        </w:rPr>
        <w:t> </w:t>
      </w:r>
      <w:r>
        <w:rPr>
          <w:noProof/>
        </w:rPr>
        <w:t>582</w:t>
      </w:r>
      <w:r>
        <w:rPr>
          <w:rFonts w:ascii="Calibri" w:hAnsi="Calibri" w:cs="Calibri"/>
          <w:noProof/>
        </w:rPr>
        <w:t> </w:t>
      </w:r>
      <w:r>
        <w:rPr>
          <w:noProof/>
        </w:rPr>
        <w:t>million), Spain (EUR</w:t>
      </w:r>
      <w:r>
        <w:rPr>
          <w:rFonts w:ascii="Calibri" w:hAnsi="Calibri" w:cs="Calibri"/>
          <w:noProof/>
        </w:rPr>
        <w:t> </w:t>
      </w:r>
      <w:r>
        <w:rPr>
          <w:noProof/>
        </w:rPr>
        <w:t>553</w:t>
      </w:r>
      <w:r>
        <w:rPr>
          <w:rFonts w:ascii="Calibri" w:hAnsi="Calibri" w:cs="Calibri"/>
          <w:noProof/>
        </w:rPr>
        <w:t> </w:t>
      </w:r>
      <w:r>
        <w:rPr>
          <w:noProof/>
        </w:rPr>
        <w:t>million), Greece (EUR</w:t>
      </w:r>
      <w:r>
        <w:rPr>
          <w:rFonts w:ascii="Calibri" w:hAnsi="Calibri" w:cs="Calibri"/>
          <w:noProof/>
        </w:rPr>
        <w:t> </w:t>
      </w:r>
      <w:r>
        <w:rPr>
          <w:noProof/>
        </w:rPr>
        <w:t>485</w:t>
      </w:r>
      <w:r>
        <w:rPr>
          <w:rFonts w:ascii="Calibri" w:hAnsi="Calibri" w:cs="Calibri"/>
          <w:noProof/>
        </w:rPr>
        <w:t> </w:t>
      </w:r>
      <w:r>
        <w:rPr>
          <w:noProof/>
        </w:rPr>
        <w:t>million), Italy (EUR</w:t>
      </w:r>
      <w:r>
        <w:rPr>
          <w:rStyle w:val="Bodytext2Bold"/>
          <w:rFonts w:ascii="Calibri" w:eastAsiaTheme="minorHAnsi" w:hAnsi="Calibri" w:cs="Calibri"/>
          <w:noProof/>
          <w:color w:val="auto"/>
          <w:szCs w:val="20"/>
        </w:rPr>
        <w:t> </w:t>
      </w:r>
      <w:r>
        <w:rPr>
          <w:noProof/>
        </w:rPr>
        <w:t>435</w:t>
      </w:r>
      <w:r>
        <w:rPr>
          <w:rFonts w:ascii="Arial" w:hAnsi="Arial" w:cs="Arial"/>
          <w:noProof/>
        </w:rPr>
        <w:t> </w:t>
      </w:r>
      <w:r>
        <w:rPr>
          <w:noProof/>
        </w:rPr>
        <w:t>million) and Slovakia (EUR</w:t>
      </w:r>
      <w:r>
        <w:rPr>
          <w:rStyle w:val="Bodytext2Bold"/>
          <w:rFonts w:ascii="Calibri" w:eastAsiaTheme="minorHAnsi" w:hAnsi="Calibri" w:cs="Calibri"/>
          <w:noProof/>
          <w:color w:val="auto"/>
          <w:szCs w:val="20"/>
        </w:rPr>
        <w:t> </w:t>
      </w:r>
      <w:r>
        <w:rPr>
          <w:noProof/>
        </w:rPr>
        <w:t>432</w:t>
      </w:r>
      <w:r>
        <w:rPr>
          <w:rFonts w:ascii="Arial" w:hAnsi="Arial" w:cs="Arial"/>
          <w:noProof/>
        </w:rPr>
        <w:t> </w:t>
      </w:r>
      <w:r>
        <w:rPr>
          <w:noProof/>
        </w:rPr>
        <w:t>million).</w:t>
      </w:r>
    </w:p>
    <w:p w:rsidR="00311BB8" w:rsidRDefault="00D91061">
      <w:pPr>
        <w:pStyle w:val="AMPRBodyText"/>
        <w:rPr>
          <w:rStyle w:val="AMPRTextChar"/>
          <w:rFonts w:eastAsia="Calibri"/>
          <w:noProof/>
          <w:color w:val="auto"/>
        </w:rPr>
      </w:pPr>
      <w:r>
        <w:rPr>
          <w:noProof/>
          <w:color w:val="auto"/>
        </w:rPr>
        <w:t xml:space="preserve">For the </w:t>
      </w:r>
      <w:r>
        <w:rPr>
          <w:rStyle w:val="AMPRcharBoldOrange"/>
          <w:noProof/>
        </w:rPr>
        <w:t>European Social Fund</w:t>
      </w:r>
      <w:r>
        <w:rPr>
          <w:rStyle w:val="AMPRTextChar"/>
          <w:rFonts w:eastAsia="Calibri"/>
          <w:noProof/>
          <w:color w:val="auto"/>
        </w:rPr>
        <w:t>, the Member States with the highest amount of cumulative financial corrections confirmed are Romania (EUR</w:t>
      </w:r>
      <w:r>
        <w:rPr>
          <w:rStyle w:val="Bodytext2Bold"/>
          <w:rFonts w:ascii="Calibri" w:eastAsiaTheme="minorHAnsi" w:hAnsi="Calibri" w:cs="Calibri"/>
          <w:noProof/>
          <w:color w:val="auto"/>
          <w:szCs w:val="20"/>
        </w:rPr>
        <w:t> </w:t>
      </w:r>
      <w:r>
        <w:rPr>
          <w:rStyle w:val="AMPRTextChar"/>
          <w:rFonts w:eastAsia="Calibri"/>
          <w:noProof/>
          <w:color w:val="auto"/>
        </w:rPr>
        <w:t>461</w:t>
      </w:r>
      <w:r>
        <w:rPr>
          <w:rFonts w:ascii="Arial" w:hAnsi="Arial" w:cs="Arial"/>
          <w:noProof/>
          <w:color w:val="auto"/>
        </w:rPr>
        <w:t> </w:t>
      </w:r>
      <w:r>
        <w:rPr>
          <w:rStyle w:val="AMPRTextChar"/>
          <w:rFonts w:eastAsia="Calibri"/>
          <w:noProof/>
          <w:color w:val="auto"/>
        </w:rPr>
        <w:t>million), Spain (EUR</w:t>
      </w:r>
      <w:r>
        <w:rPr>
          <w:rStyle w:val="Bodytext2Bold"/>
          <w:rFonts w:ascii="Calibri" w:eastAsiaTheme="minorHAnsi" w:hAnsi="Calibri" w:cs="Calibri"/>
          <w:noProof/>
          <w:color w:val="auto"/>
          <w:szCs w:val="20"/>
        </w:rPr>
        <w:t> </w:t>
      </w:r>
      <w:r>
        <w:rPr>
          <w:rStyle w:val="AMPRTextChar"/>
          <w:rFonts w:eastAsia="Calibri"/>
          <w:noProof/>
          <w:color w:val="auto"/>
        </w:rPr>
        <w:t>376</w:t>
      </w:r>
      <w:r>
        <w:rPr>
          <w:rFonts w:ascii="Arial" w:hAnsi="Arial" w:cs="Arial"/>
          <w:noProof/>
          <w:color w:val="auto"/>
        </w:rPr>
        <w:t> </w:t>
      </w:r>
      <w:r>
        <w:rPr>
          <w:rStyle w:val="AMPRTextChar"/>
          <w:rFonts w:eastAsia="Calibri"/>
          <w:noProof/>
          <w:color w:val="auto"/>
        </w:rPr>
        <w:t>million), Poland (EUR</w:t>
      </w:r>
      <w:r>
        <w:rPr>
          <w:rStyle w:val="Bodytext2Bold"/>
          <w:rFonts w:ascii="Calibri" w:eastAsiaTheme="minorHAnsi" w:hAnsi="Calibri" w:cs="Calibri"/>
          <w:noProof/>
          <w:color w:val="auto"/>
          <w:szCs w:val="20"/>
        </w:rPr>
        <w:t> </w:t>
      </w:r>
      <w:r>
        <w:rPr>
          <w:rStyle w:val="AMPRTextChar"/>
          <w:rFonts w:eastAsia="Calibri"/>
          <w:noProof/>
          <w:color w:val="auto"/>
        </w:rPr>
        <w:t>158</w:t>
      </w:r>
      <w:r>
        <w:rPr>
          <w:rFonts w:ascii="Arial" w:hAnsi="Arial" w:cs="Arial"/>
          <w:noProof/>
          <w:color w:val="auto"/>
        </w:rPr>
        <w:t> </w:t>
      </w:r>
      <w:r>
        <w:rPr>
          <w:rStyle w:val="AMPRTextChar"/>
          <w:rFonts w:eastAsia="Calibri"/>
          <w:noProof/>
          <w:color w:val="auto"/>
        </w:rPr>
        <w:t>million) and Italy (EUR</w:t>
      </w:r>
      <w:r>
        <w:rPr>
          <w:rStyle w:val="Bodytext2Bold"/>
          <w:rFonts w:ascii="Calibri" w:eastAsiaTheme="minorHAnsi" w:hAnsi="Calibri" w:cs="Calibri"/>
          <w:noProof/>
          <w:color w:val="auto"/>
          <w:szCs w:val="20"/>
        </w:rPr>
        <w:t> </w:t>
      </w:r>
      <w:r>
        <w:rPr>
          <w:rStyle w:val="AMPRTextChar"/>
          <w:rFonts w:eastAsia="Calibri"/>
          <w:noProof/>
          <w:color w:val="auto"/>
        </w:rPr>
        <w:t>108</w:t>
      </w:r>
      <w:r>
        <w:rPr>
          <w:rStyle w:val="Bodytext2Bold"/>
          <w:rFonts w:ascii="Calibri" w:eastAsiaTheme="minorHAnsi" w:hAnsi="Calibri" w:cs="Calibri"/>
          <w:noProof/>
          <w:color w:val="auto"/>
          <w:szCs w:val="20"/>
        </w:rPr>
        <w:t> </w:t>
      </w:r>
      <w:r>
        <w:rPr>
          <w:rStyle w:val="AMPRTextChar"/>
          <w:rFonts w:eastAsia="Calibri"/>
          <w:noProof/>
          <w:color w:val="auto"/>
        </w:rPr>
        <w:t>million). At this stage of the implementation and at the closure of the programmes the cumulative amount of financial corrections confirmed stands at EUR</w:t>
      </w:r>
      <w:r>
        <w:rPr>
          <w:rStyle w:val="Bodytext2Bold"/>
          <w:rFonts w:ascii="Calibri" w:eastAsiaTheme="minorHAnsi" w:hAnsi="Calibri" w:cs="Calibri"/>
          <w:noProof/>
          <w:color w:val="auto"/>
          <w:szCs w:val="20"/>
        </w:rPr>
        <w:t> </w:t>
      </w:r>
      <w:r>
        <w:rPr>
          <w:rStyle w:val="AMPRTextChar"/>
          <w:rFonts w:eastAsia="Calibri"/>
          <w:noProof/>
          <w:color w:val="auto"/>
        </w:rPr>
        <w:t>1.583</w:t>
      </w:r>
      <w:r>
        <w:rPr>
          <w:rFonts w:ascii="Arial" w:hAnsi="Arial" w:cs="Arial"/>
          <w:noProof/>
          <w:color w:val="auto"/>
        </w:rPr>
        <w:t> </w:t>
      </w:r>
      <w:r>
        <w:rPr>
          <w:rStyle w:val="AMPRTextChar"/>
          <w:rFonts w:eastAsia="Calibri"/>
          <w:noProof/>
          <w:color w:val="auto"/>
        </w:rPr>
        <w:t xml:space="preserve">billion, representing 2% of the </w:t>
      </w:r>
      <w:r>
        <w:rPr>
          <w:noProof/>
          <w:color w:val="auto"/>
        </w:rPr>
        <w:t xml:space="preserve">European Social Fund’s </w:t>
      </w:r>
      <w:r>
        <w:rPr>
          <w:rStyle w:val="AMPRTextChar"/>
          <w:rFonts w:eastAsia="Calibri"/>
          <w:noProof/>
          <w:color w:val="auto"/>
        </w:rPr>
        <w:t>declared expenditure at close. The cumulative amount of the financial corrections implemented stands at EUR</w:t>
      </w:r>
      <w:r>
        <w:rPr>
          <w:rStyle w:val="Bodytext2Bold"/>
          <w:rFonts w:ascii="Calibri" w:eastAsiaTheme="minorHAnsi" w:hAnsi="Calibri" w:cs="Calibri"/>
          <w:noProof/>
          <w:color w:val="auto"/>
          <w:szCs w:val="20"/>
        </w:rPr>
        <w:t> </w:t>
      </w:r>
      <w:r>
        <w:rPr>
          <w:rStyle w:val="AMPRTextChar"/>
          <w:rFonts w:eastAsia="Calibri"/>
          <w:noProof/>
          <w:color w:val="auto"/>
        </w:rPr>
        <w:t>2</w:t>
      </w:r>
      <w:r>
        <w:rPr>
          <w:rStyle w:val="Bodytext2Bold"/>
          <w:rFonts w:ascii="Calibri" w:eastAsiaTheme="minorHAnsi" w:hAnsi="Calibri" w:cs="Calibri"/>
          <w:noProof/>
          <w:color w:val="auto"/>
          <w:szCs w:val="20"/>
        </w:rPr>
        <w:t> </w:t>
      </w:r>
      <w:r>
        <w:rPr>
          <w:rStyle w:val="AMPRTextChar"/>
          <w:rFonts w:eastAsia="Calibri"/>
          <w:noProof/>
          <w:color w:val="auto"/>
        </w:rPr>
        <w:t>995</w:t>
      </w:r>
      <w:r>
        <w:rPr>
          <w:rStyle w:val="Bodytext2Bold"/>
          <w:rFonts w:ascii="Calibri" w:eastAsiaTheme="minorHAnsi" w:hAnsi="Calibri" w:cs="Calibri"/>
          <w:noProof/>
          <w:color w:val="auto"/>
          <w:szCs w:val="20"/>
        </w:rPr>
        <w:t> </w:t>
      </w:r>
      <w:r>
        <w:rPr>
          <w:rStyle w:val="AMPRTextChar"/>
          <w:rFonts w:eastAsia="Calibri"/>
          <w:noProof/>
          <w:color w:val="auto"/>
        </w:rPr>
        <w:t>million (EUR</w:t>
      </w:r>
      <w:r>
        <w:rPr>
          <w:rStyle w:val="Bodytext2Bold"/>
          <w:rFonts w:ascii="Calibri" w:eastAsiaTheme="minorHAnsi" w:hAnsi="Calibri" w:cs="Calibri"/>
          <w:noProof/>
          <w:color w:val="auto"/>
          <w:szCs w:val="20"/>
        </w:rPr>
        <w:t> </w:t>
      </w:r>
      <w:r>
        <w:rPr>
          <w:rStyle w:val="AMPRTextChar"/>
          <w:rFonts w:eastAsia="Calibri"/>
          <w:noProof/>
          <w:color w:val="auto"/>
        </w:rPr>
        <w:t>1</w:t>
      </w:r>
      <w:r>
        <w:rPr>
          <w:rStyle w:val="Bodytext2Bold"/>
          <w:rFonts w:ascii="Calibri" w:eastAsiaTheme="minorHAnsi" w:hAnsi="Calibri" w:cs="Calibri"/>
          <w:noProof/>
          <w:color w:val="auto"/>
          <w:szCs w:val="20"/>
        </w:rPr>
        <w:t> </w:t>
      </w:r>
      <w:r>
        <w:rPr>
          <w:rStyle w:val="AMPRTextChar"/>
          <w:rFonts w:eastAsia="Calibri"/>
          <w:noProof/>
          <w:color w:val="auto"/>
        </w:rPr>
        <w:t>509</w:t>
      </w:r>
      <w:r>
        <w:rPr>
          <w:rStyle w:val="Bodytext2Bold"/>
          <w:rFonts w:ascii="Calibri" w:eastAsiaTheme="minorHAnsi" w:hAnsi="Calibri" w:cs="Calibri"/>
          <w:noProof/>
          <w:color w:val="auto"/>
          <w:szCs w:val="20"/>
        </w:rPr>
        <w:t> </w:t>
      </w:r>
      <w:r>
        <w:rPr>
          <w:rStyle w:val="AMPRTextChar"/>
          <w:rFonts w:eastAsia="Calibri"/>
          <w:noProof/>
          <w:color w:val="auto"/>
        </w:rPr>
        <w:t>million implemented at Member State level and EUR</w:t>
      </w:r>
      <w:r>
        <w:rPr>
          <w:rStyle w:val="Bodytext2Bold"/>
          <w:rFonts w:ascii="Calibri" w:eastAsiaTheme="minorHAnsi" w:hAnsi="Calibri" w:cs="Calibri"/>
          <w:noProof/>
          <w:color w:val="auto"/>
          <w:szCs w:val="20"/>
        </w:rPr>
        <w:t> </w:t>
      </w:r>
      <w:r>
        <w:rPr>
          <w:rStyle w:val="AMPRTextChar"/>
          <w:rFonts w:eastAsia="Calibri"/>
          <w:noProof/>
          <w:color w:val="auto"/>
        </w:rPr>
        <w:t>1</w:t>
      </w:r>
      <w:r>
        <w:rPr>
          <w:rStyle w:val="Bodytext2Bold"/>
          <w:rFonts w:ascii="Calibri" w:eastAsiaTheme="minorHAnsi" w:hAnsi="Calibri" w:cs="Calibri"/>
          <w:noProof/>
          <w:color w:val="auto"/>
          <w:szCs w:val="20"/>
        </w:rPr>
        <w:t> </w:t>
      </w:r>
      <w:r>
        <w:rPr>
          <w:rStyle w:val="AMPRTextChar"/>
          <w:rFonts w:eastAsia="Calibri"/>
          <w:noProof/>
          <w:color w:val="auto"/>
        </w:rPr>
        <w:t>486</w:t>
      </w:r>
      <w:r>
        <w:rPr>
          <w:rStyle w:val="AMPRTextChar"/>
          <w:rFonts w:ascii="Calibri" w:eastAsia="Calibri" w:hAnsi="Calibri" w:cs="Calibri"/>
          <w:noProof/>
          <w:color w:val="auto"/>
        </w:rPr>
        <w:t> </w:t>
      </w:r>
      <w:r>
        <w:rPr>
          <w:rStyle w:val="AMPRTextChar"/>
          <w:rFonts w:eastAsia="Calibri"/>
          <w:noProof/>
          <w:color w:val="auto"/>
        </w:rPr>
        <w:t>million implemented by the Commission), representing around 3.8% of the declared expenditure.</w:t>
      </w:r>
    </w:p>
    <w:p w:rsidR="00311BB8" w:rsidRDefault="00311BB8">
      <w:pPr>
        <w:spacing w:before="120" w:after="240"/>
        <w:rPr>
          <w:rFonts w:eastAsia="Calibri"/>
          <w:noProof/>
          <w:color w:val="000000"/>
          <w:szCs w:val="20"/>
        </w:rPr>
      </w:pPr>
    </w:p>
    <w:p w:rsidR="00311BB8" w:rsidRDefault="00311BB8">
      <w:pPr>
        <w:spacing w:before="120" w:after="240"/>
        <w:rPr>
          <w:rFonts w:eastAsia="Calibri"/>
          <w:noProof/>
          <w:color w:val="000000"/>
          <w:szCs w:val="20"/>
        </w:rPr>
      </w:pPr>
    </w:p>
    <w:p w:rsidR="00311BB8" w:rsidRDefault="00D91061">
      <w:pPr>
        <w:rPr>
          <w:rFonts w:eastAsia="Calibri"/>
          <w:noProof/>
          <w:color w:val="000000" w:themeColor="text1"/>
        </w:rPr>
      </w:pPr>
      <w:r>
        <w:rPr>
          <w:rFonts w:eastAsia="Calibri"/>
          <w:noProof/>
          <w:color w:val="000000"/>
        </w:rPr>
        <w:br w:type="page"/>
      </w:r>
    </w:p>
    <w:p w:rsidR="00311BB8" w:rsidRDefault="00D91061">
      <w:pPr>
        <w:pStyle w:val="AMPRAnnexesTITLE4-Numbered"/>
        <w:rPr>
          <w:rFonts w:eastAsia="Calibri"/>
          <w:noProof/>
          <w:color w:val="E48C32"/>
          <w:szCs w:val="24"/>
          <w:lang w:eastAsia="fr-BE"/>
        </w:rPr>
      </w:pPr>
      <w:bookmarkStart w:id="124" w:name="_Toc484626503"/>
      <w:bookmarkStart w:id="125" w:name="_Toc512866545"/>
      <w:bookmarkStart w:id="126" w:name="_Toc8386216"/>
      <w:r>
        <w:rPr>
          <w:noProof/>
        </w:rPr>
        <w:t>Member States’ corrections</w:t>
      </w:r>
      <w:bookmarkEnd w:id="124"/>
      <w:bookmarkEnd w:id="125"/>
      <w:bookmarkEnd w:id="126"/>
    </w:p>
    <w:p w:rsidR="00311BB8" w:rsidRDefault="00D91061">
      <w:pPr>
        <w:pStyle w:val="AMPRAnnexesTITLE5"/>
        <w:rPr>
          <w:noProof/>
        </w:rPr>
      </w:pPr>
      <w:r>
        <w:rPr>
          <w:noProof/>
        </w:rPr>
        <w:t>Financial corrections declared by the Member States for the cohesion policy period 2014-2020</w:t>
      </w:r>
      <w:r>
        <w:rPr>
          <w:rFonts w:ascii="Calibri" w:hAnsi="Calibri" w:cs="Calibri"/>
          <w:noProof/>
        </w:rPr>
        <w:t> </w:t>
      </w:r>
      <w:r>
        <w:rPr>
          <w:rStyle w:val="fnRef"/>
          <w:b w:val="0"/>
          <w:bCs/>
          <w:noProof/>
        </w:rPr>
        <w:t>(</w:t>
      </w:r>
      <w:r>
        <w:rPr>
          <w:rStyle w:val="fnRefNo"/>
          <w:noProof/>
        </w:rPr>
        <w:footnoteReference w:id="38"/>
      </w:r>
      <w:r>
        <w:rPr>
          <w:rStyle w:val="fnRef"/>
          <w:b w:val="0"/>
          <w:bCs/>
          <w:noProof/>
        </w:rPr>
        <w:t>)</w:t>
      </w:r>
    </w:p>
    <w:p w:rsidR="00311BB8" w:rsidRDefault="00D91061">
      <w:pPr>
        <w:pStyle w:val="AMPRBodyText"/>
        <w:rPr>
          <w:noProof/>
          <w:lang w:eastAsia="fr-BE"/>
        </w:rPr>
      </w:pPr>
      <w:r>
        <w:rPr>
          <w:noProof/>
          <w:lang w:eastAsia="fr-BE"/>
        </w:rPr>
        <w:t>In February 2020 the Member State authorities submitted the certified accounts for the accounting year 1</w:t>
      </w:r>
      <w:r>
        <w:rPr>
          <w:rFonts w:ascii="Calibri" w:hAnsi="Calibri" w:cs="Calibri"/>
          <w:noProof/>
          <w:lang w:eastAsia="fr-BE"/>
        </w:rPr>
        <w:t> </w:t>
      </w:r>
      <w:r>
        <w:rPr>
          <w:rFonts w:asciiTheme="minorHAnsi" w:hAnsiTheme="minorHAnsi" w:cs="Calibri"/>
          <w:noProof/>
          <w:lang w:eastAsia="fr-BE"/>
        </w:rPr>
        <w:t>July</w:t>
      </w:r>
      <w:r>
        <w:rPr>
          <w:rFonts w:asciiTheme="minorHAnsi" w:hAnsiTheme="minorHAnsi"/>
          <w:noProof/>
          <w:lang w:eastAsia="fr-BE"/>
        </w:rPr>
        <w:t xml:space="preserve"> </w:t>
      </w:r>
      <w:r>
        <w:rPr>
          <w:noProof/>
          <w:lang w:eastAsia="fr-BE"/>
        </w:rPr>
        <w:t>2018 to 30</w:t>
      </w:r>
      <w:r>
        <w:rPr>
          <w:rFonts w:ascii="Calibri" w:hAnsi="Calibri" w:cs="Calibri"/>
          <w:noProof/>
          <w:lang w:eastAsia="fr-BE"/>
        </w:rPr>
        <w:t> </w:t>
      </w:r>
      <w:r>
        <w:rPr>
          <w:noProof/>
          <w:lang w:eastAsia="fr-BE"/>
        </w:rPr>
        <w:t xml:space="preserve">June 2019. According to the information received in the assurance packages, following the results of the audit of operations, for the </w:t>
      </w:r>
      <w:r>
        <w:rPr>
          <w:rStyle w:val="AMPRcharBoldOrange"/>
          <w:noProof/>
        </w:rPr>
        <w:t>European Regional Development Fund</w:t>
      </w:r>
      <w:r>
        <w:rPr>
          <w:rStyle w:val="AMPRcharBoldOrange"/>
          <w:rFonts w:ascii="Calibri" w:hAnsi="Calibri" w:cs="Calibri"/>
          <w:noProof/>
        </w:rPr>
        <w:t> </w:t>
      </w:r>
      <w:r>
        <w:rPr>
          <w:rStyle w:val="AMPRcharBoldOrange"/>
          <w:noProof/>
        </w:rPr>
        <w:t>/ Cohesion Fund</w:t>
      </w:r>
      <w:r>
        <w:rPr>
          <w:noProof/>
          <w:lang w:eastAsia="fr-BE"/>
        </w:rPr>
        <w:t xml:space="preserve"> the Member States have applied financial corrections totalling EUR</w:t>
      </w:r>
      <w:r>
        <w:rPr>
          <w:rFonts w:ascii="Calibri" w:eastAsia="Arial" w:hAnsi="Calibri" w:cs="Calibri"/>
          <w:b/>
          <w:noProof/>
          <w:sz w:val="17"/>
          <w:szCs w:val="17"/>
          <w:lang w:bidi="en-US"/>
        </w:rPr>
        <w:t> </w:t>
      </w:r>
      <w:r>
        <w:rPr>
          <w:noProof/>
          <w:lang w:eastAsia="fr-BE"/>
        </w:rPr>
        <w:t>527.0</w:t>
      </w:r>
      <w:r>
        <w:rPr>
          <w:rFonts w:ascii="Calibri" w:hAnsi="Calibri" w:cs="Calibri"/>
          <w:noProof/>
          <w:lang w:eastAsia="fr-BE"/>
        </w:rPr>
        <w:t> </w:t>
      </w:r>
      <w:r>
        <w:rPr>
          <w:noProof/>
          <w:lang w:eastAsia="fr-BE"/>
        </w:rPr>
        <w:t xml:space="preserve">million. The financial corrections imposed for the </w:t>
      </w:r>
      <w:r>
        <w:rPr>
          <w:rStyle w:val="AMPRcharBoldOrange"/>
          <w:noProof/>
        </w:rPr>
        <w:t>European Social Fund</w:t>
      </w:r>
      <w:r>
        <w:rPr>
          <w:rStyle w:val="AMPRcharBoldOrange"/>
          <w:rFonts w:ascii="Calibri" w:hAnsi="Calibri" w:cs="Calibri"/>
          <w:noProof/>
        </w:rPr>
        <w:t> </w:t>
      </w:r>
      <w:r>
        <w:rPr>
          <w:rStyle w:val="AMPRcharBoldOrange"/>
          <w:noProof/>
        </w:rPr>
        <w:t>/ Youth Employment Initiative</w:t>
      </w:r>
      <w:r>
        <w:rPr>
          <w:noProof/>
          <w:lang w:eastAsia="fr-BE"/>
        </w:rPr>
        <w:t xml:space="preserve"> and the </w:t>
      </w:r>
      <w:r>
        <w:rPr>
          <w:rStyle w:val="AMPRcharBoldOrange"/>
          <w:noProof/>
        </w:rPr>
        <w:t>Fund for European Aid to the most Deprived</w:t>
      </w:r>
      <w:r>
        <w:rPr>
          <w:noProof/>
          <w:lang w:eastAsia="fr-BE"/>
        </w:rPr>
        <w:t xml:space="preserve"> amounted to EUR</w:t>
      </w:r>
      <w:r>
        <w:rPr>
          <w:rFonts w:ascii="Calibri" w:eastAsia="Arial" w:hAnsi="Calibri" w:cs="Calibri"/>
          <w:b/>
          <w:noProof/>
          <w:sz w:val="17"/>
          <w:szCs w:val="17"/>
          <w:lang w:bidi="en-US"/>
        </w:rPr>
        <w:t> </w:t>
      </w:r>
      <w:r>
        <w:rPr>
          <w:noProof/>
          <w:lang w:eastAsia="fr-BE"/>
        </w:rPr>
        <w:t>134.4</w:t>
      </w:r>
      <w:r>
        <w:rPr>
          <w:rFonts w:ascii="Calibri" w:hAnsi="Calibri" w:cs="Calibri"/>
          <w:noProof/>
          <w:lang w:eastAsia="fr-BE"/>
        </w:rPr>
        <w:t> </w:t>
      </w:r>
      <w:r>
        <w:rPr>
          <w:noProof/>
          <w:lang w:eastAsia="fr-BE"/>
        </w:rPr>
        <w:t xml:space="preserve">million, while for the </w:t>
      </w:r>
      <w:r>
        <w:rPr>
          <w:rStyle w:val="AMPRcharBoldOrange"/>
          <w:noProof/>
        </w:rPr>
        <w:t>European Maritime and Fisheries Fund</w:t>
      </w:r>
      <w:r>
        <w:rPr>
          <w:noProof/>
          <w:lang w:eastAsia="fr-BE"/>
        </w:rPr>
        <w:t xml:space="preserve"> EUR</w:t>
      </w:r>
      <w:r>
        <w:rPr>
          <w:rFonts w:ascii="Calibri" w:hAnsi="Calibri" w:cs="Calibri"/>
          <w:noProof/>
          <w:lang w:eastAsia="fr-BE"/>
        </w:rPr>
        <w:t> </w:t>
      </w:r>
      <w:r>
        <w:rPr>
          <w:noProof/>
          <w:lang w:eastAsia="fr-BE"/>
        </w:rPr>
        <w:t>8.3</w:t>
      </w:r>
      <w:r>
        <w:rPr>
          <w:rFonts w:ascii="Calibri" w:hAnsi="Calibri" w:cs="Calibri"/>
          <w:noProof/>
          <w:lang w:eastAsia="fr-BE"/>
        </w:rPr>
        <w:t> </w:t>
      </w:r>
      <w:r>
        <w:rPr>
          <w:rFonts w:asciiTheme="minorHAnsi" w:hAnsiTheme="minorHAnsi" w:cs="Calibri"/>
          <w:noProof/>
          <w:lang w:eastAsia="fr-BE"/>
        </w:rPr>
        <w:t xml:space="preserve">million was reported </w:t>
      </w:r>
      <w:r>
        <w:rPr>
          <w:rFonts w:asciiTheme="minorHAnsi" w:hAnsiTheme="minorHAnsi"/>
          <w:noProof/>
          <w:lang w:eastAsia="fr-BE"/>
        </w:rPr>
        <w:t>in 2019.</w:t>
      </w:r>
    </w:p>
    <w:p w:rsidR="00311BB8" w:rsidRDefault="00311BB8">
      <w:pPr>
        <w:jc w:val="both"/>
        <w:rPr>
          <w:rFonts w:eastAsia="EC Square Sans Pro"/>
          <w:noProof/>
          <w:color w:val="000000"/>
          <w:lang w:eastAsia="fr-BE"/>
        </w:rPr>
      </w:pPr>
    </w:p>
    <w:tbl>
      <w:tblPr>
        <w:tblStyle w:val="AMPRTABLEA-Template"/>
        <w:tblW w:w="9072" w:type="dxa"/>
        <w:tblLayout w:type="fixed"/>
        <w:tblLook w:val="04E0" w:firstRow="1" w:lastRow="1" w:firstColumn="1" w:lastColumn="0" w:noHBand="0" w:noVBand="1"/>
      </w:tblPr>
      <w:tblGrid>
        <w:gridCol w:w="1814"/>
        <w:gridCol w:w="1814"/>
        <w:gridCol w:w="1815"/>
        <w:gridCol w:w="1814"/>
        <w:gridCol w:w="1815"/>
      </w:tblGrid>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4" w:type="dxa"/>
            <w:hideMark/>
          </w:tcPr>
          <w:p w:rsidR="00311BB8" w:rsidRDefault="00D91061">
            <w:pPr>
              <w:pStyle w:val="AMPRTABLEA-HEADERText-WHITE"/>
              <w:spacing w:before="144" w:after="144"/>
              <w:rPr>
                <w:noProof/>
              </w:rPr>
            </w:pPr>
            <w:r>
              <w:rPr>
                <w:noProof/>
              </w:rPr>
              <w:t>Member State</w:t>
            </w:r>
          </w:p>
        </w:tc>
        <w:tc>
          <w:tcPr>
            <w:tcW w:w="1814"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European Regional Development Fund</w:t>
            </w:r>
            <w:r>
              <w:rPr>
                <w:rFonts w:ascii="Calibri" w:hAnsi="Calibri" w:cs="Calibri"/>
                <w:noProof/>
                <w:lang w:val="en-GB"/>
              </w:rPr>
              <w:t> </w:t>
            </w:r>
            <w:r>
              <w:rPr>
                <w:noProof/>
                <w:lang w:val="en-GB"/>
              </w:rPr>
              <w:t>/ Cohesion Fund</w:t>
            </w:r>
          </w:p>
        </w:tc>
        <w:tc>
          <w:tcPr>
            <w:tcW w:w="1815"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European Social Fund</w:t>
            </w:r>
            <w:r>
              <w:rPr>
                <w:rFonts w:ascii="Calibri" w:hAnsi="Calibri" w:cs="Calibri"/>
                <w:noProof/>
                <w:lang w:val="en-GB"/>
              </w:rPr>
              <w:t> </w:t>
            </w:r>
            <w:r>
              <w:rPr>
                <w:rFonts w:asciiTheme="minorHAnsi" w:hAnsiTheme="minorHAnsi" w:cs="Calibri"/>
                <w:noProof/>
                <w:lang w:val="en-GB"/>
              </w:rPr>
              <w:t>–</w:t>
            </w:r>
            <w:r>
              <w:rPr>
                <w:rFonts w:asciiTheme="minorHAnsi" w:hAnsiTheme="minorHAnsi"/>
                <w:noProof/>
                <w:lang w:val="en-GB"/>
              </w:rPr>
              <w:t xml:space="preserve"> Y</w:t>
            </w:r>
            <w:r>
              <w:rPr>
                <w:noProof/>
                <w:lang w:val="en-GB"/>
              </w:rPr>
              <w:t>outh Employment Initiative</w:t>
            </w:r>
            <w:r>
              <w:rPr>
                <w:rFonts w:ascii="Calibri" w:hAnsi="Calibri" w:cs="Calibri"/>
                <w:noProof/>
                <w:lang w:val="en-GB"/>
              </w:rPr>
              <w:t> </w:t>
            </w:r>
            <w:r>
              <w:rPr>
                <w:noProof/>
                <w:lang w:val="en-GB"/>
              </w:rPr>
              <w:t>/ Fund for European Aid to the Most Deprived</w:t>
            </w:r>
          </w:p>
        </w:tc>
        <w:tc>
          <w:tcPr>
            <w:tcW w:w="1814"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European Maritime and Fisheries Fund</w:t>
            </w:r>
          </w:p>
        </w:tc>
        <w:tc>
          <w:tcPr>
            <w:tcW w:w="1815"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Total</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tcPr>
          <w:p w:rsidR="00311BB8" w:rsidRDefault="00D91061">
            <w:pPr>
              <w:pStyle w:val="AMPRTABLEA-TextLEFTalligned-BLACK"/>
              <w:rPr>
                <w:noProof/>
              </w:rPr>
            </w:pPr>
            <w:r>
              <w:rPr>
                <w:noProof/>
              </w:rPr>
              <w:t>Belgium</w:t>
            </w:r>
          </w:p>
        </w:tc>
        <w:tc>
          <w:tcPr>
            <w:tcW w:w="181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2.3</w:t>
            </w:r>
          </w:p>
        </w:tc>
        <w:tc>
          <w:tcPr>
            <w:tcW w:w="1815" w:type="dxa"/>
            <w:noWrap/>
            <w:vAlign w:val="center"/>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0.5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0.0 </w:t>
            </w:r>
          </w:p>
        </w:tc>
        <w:tc>
          <w:tcPr>
            <w:tcW w:w="1815"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 xml:space="preserve"> 2.8 </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Bulgaria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11.9</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0.8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1.6 </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14.3</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Czechia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7.0</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0.0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0.7 </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7.7</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Denmark</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0.0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0.0 </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Germany</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16.0</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5.4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0.0 </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21.5</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Estonia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1.3</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0.0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0.0 </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1.3</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Ireland</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1.5</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0.0 </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1.5</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Greece</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27.9</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7.8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0.0 </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35.7</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Spain</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76.3</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62.2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0.2 </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138.6</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France</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65.3</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8.1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0.4 </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73.8</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Croatia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0.1</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2.7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1.4 </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4.2</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Italy</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52.7</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7.6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60.2</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Cyprus</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0.1</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0.0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0.1</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Latvia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0.1</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0.0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0.0 </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0.1</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Lithuania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3.3</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0.5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3.9</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tcPr>
          <w:p w:rsidR="00311BB8" w:rsidRDefault="00D91061">
            <w:pPr>
              <w:pStyle w:val="AMPRTABLEA-TextLEFTalligned-BLACK"/>
              <w:rPr>
                <w:noProof/>
              </w:rPr>
            </w:pPr>
            <w:r>
              <w:rPr>
                <w:noProof/>
              </w:rPr>
              <w:t>Luxembourg</w:t>
            </w:r>
          </w:p>
        </w:tc>
        <w:tc>
          <w:tcPr>
            <w:tcW w:w="181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Verdana"/>
                <w:noProof/>
              </w:rPr>
            </w:pPr>
            <w:r>
              <w:rPr>
                <w:noProof/>
              </w:rPr>
              <w:t>—</w:t>
            </w:r>
          </w:p>
        </w:tc>
        <w:tc>
          <w:tcPr>
            <w:tcW w:w="1815" w:type="dxa"/>
            <w:noWrap/>
            <w:vAlign w:val="center"/>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w:t>
            </w:r>
          </w:p>
        </w:tc>
        <w:tc>
          <w:tcPr>
            <w:tcW w:w="1815"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b/>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Hungary</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13.1</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9.1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22.2</w:t>
            </w:r>
          </w:p>
        </w:tc>
      </w:tr>
      <w:tr w:rsidR="00311BB8" w:rsidTr="00311BB8">
        <w:trPr>
          <w:trHeight w:val="360"/>
        </w:trPr>
        <w:tc>
          <w:tcPr>
            <w:cnfStyle w:val="001000000000" w:firstRow="0" w:lastRow="0" w:firstColumn="1" w:lastColumn="0" w:oddVBand="0" w:evenVBand="0" w:oddHBand="0" w:evenHBand="0" w:firstRowFirstColumn="0" w:firstRowLastColumn="0" w:lastRowFirstColumn="0" w:lastRowLastColumn="0"/>
            <w:tcW w:w="1814" w:type="dxa"/>
            <w:noWrap/>
          </w:tcPr>
          <w:p w:rsidR="00311BB8" w:rsidRDefault="00D91061">
            <w:pPr>
              <w:pStyle w:val="AMPRTABLEA-TextLEFTalligned-BLACK"/>
              <w:rPr>
                <w:noProof/>
              </w:rPr>
            </w:pPr>
            <w:r>
              <w:rPr>
                <w:noProof/>
              </w:rPr>
              <w:t>Malta</w:t>
            </w:r>
          </w:p>
        </w:tc>
        <w:tc>
          <w:tcPr>
            <w:tcW w:w="181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0.0</w:t>
            </w:r>
          </w:p>
        </w:tc>
        <w:tc>
          <w:tcPr>
            <w:tcW w:w="1815"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0.0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w:t>
            </w:r>
          </w:p>
        </w:tc>
        <w:tc>
          <w:tcPr>
            <w:tcW w:w="1815"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tcPr>
          <w:p w:rsidR="00311BB8" w:rsidRDefault="00D91061">
            <w:pPr>
              <w:pStyle w:val="AMPRTABLEA-TextLEFTalligned-BLACK"/>
              <w:rPr>
                <w:noProof/>
              </w:rPr>
            </w:pPr>
            <w:r>
              <w:rPr>
                <w:noProof/>
              </w:rPr>
              <w:t>Netherlands</w:t>
            </w:r>
          </w:p>
        </w:tc>
        <w:tc>
          <w:tcPr>
            <w:tcW w:w="181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0.1</w:t>
            </w:r>
          </w:p>
        </w:tc>
        <w:tc>
          <w:tcPr>
            <w:tcW w:w="1815" w:type="dxa"/>
            <w:noWrap/>
            <w:vAlign w:val="center"/>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0.0 </w:t>
            </w:r>
          </w:p>
        </w:tc>
        <w:tc>
          <w:tcPr>
            <w:tcW w:w="1815"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0.1</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tcPr>
          <w:p w:rsidR="00311BB8" w:rsidRDefault="00D91061">
            <w:pPr>
              <w:pStyle w:val="AMPRTABLEA-TextLEFTalligned-BLACK"/>
              <w:rPr>
                <w:noProof/>
              </w:rPr>
            </w:pPr>
            <w:r>
              <w:rPr>
                <w:noProof/>
              </w:rPr>
              <w:t>Austria</w:t>
            </w:r>
          </w:p>
        </w:tc>
        <w:tc>
          <w:tcPr>
            <w:tcW w:w="181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14.8</w:t>
            </w:r>
          </w:p>
        </w:tc>
        <w:tc>
          <w:tcPr>
            <w:tcW w:w="1815" w:type="dxa"/>
            <w:noWrap/>
            <w:vAlign w:val="center"/>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0.1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0.0 </w:t>
            </w:r>
          </w:p>
        </w:tc>
        <w:tc>
          <w:tcPr>
            <w:tcW w:w="1815"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14.9</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Poland</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8.8</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0.9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9.7</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Portugal</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109.6</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3.0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2.9 </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115.5</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Romania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69.7</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10.9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0.2 </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80.8</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Slovenia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1.0</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0.0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0.0 </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1.1</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Slovakia</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34.8</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0.5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0.1 </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35.4</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extLEFTalligned-BLACK"/>
              <w:rPr>
                <w:noProof/>
              </w:rPr>
            </w:pPr>
            <w:r>
              <w:rPr>
                <w:noProof/>
              </w:rPr>
              <w:t>Finland</w:t>
            </w:r>
          </w:p>
        </w:tc>
        <w:tc>
          <w:tcPr>
            <w:tcW w:w="181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0.1</w:t>
            </w:r>
          </w:p>
        </w:tc>
        <w:tc>
          <w:tcPr>
            <w:tcW w:w="1815" w:type="dxa"/>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0.0 </w:t>
            </w:r>
          </w:p>
        </w:tc>
        <w:tc>
          <w:tcPr>
            <w:tcW w:w="18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0.2 </w:t>
            </w:r>
          </w:p>
        </w:tc>
        <w:tc>
          <w:tcPr>
            <w:tcW w:w="1815"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0.3</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tcBorders>
              <w:bottom w:val="single" w:sz="4" w:space="0" w:color="F68A42"/>
            </w:tcBorders>
            <w:noWrap/>
            <w:hideMark/>
          </w:tcPr>
          <w:p w:rsidR="00311BB8" w:rsidRDefault="00D91061">
            <w:pPr>
              <w:pStyle w:val="AMPRTABLEA-TextLEFTalligned-BLACK"/>
              <w:rPr>
                <w:noProof/>
              </w:rPr>
            </w:pPr>
            <w:r>
              <w:rPr>
                <w:noProof/>
              </w:rPr>
              <w:t>Sweden</w:t>
            </w:r>
          </w:p>
        </w:tc>
        <w:tc>
          <w:tcPr>
            <w:tcW w:w="1814" w:type="dxa"/>
            <w:tcBorders>
              <w:bottom w:val="single" w:sz="4" w:space="0" w:color="F68A42"/>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0.0</w:t>
            </w:r>
          </w:p>
        </w:tc>
        <w:tc>
          <w:tcPr>
            <w:tcW w:w="1815" w:type="dxa"/>
            <w:tcBorders>
              <w:bottom w:val="single" w:sz="4" w:space="0" w:color="F68A42"/>
            </w:tcBorders>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0.0 </w:t>
            </w:r>
          </w:p>
        </w:tc>
        <w:tc>
          <w:tcPr>
            <w:tcW w:w="1814" w:type="dxa"/>
            <w:tcBorders>
              <w:bottom w:val="single" w:sz="4" w:space="0" w:color="F68A42"/>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0.0 </w:t>
            </w:r>
          </w:p>
        </w:tc>
        <w:tc>
          <w:tcPr>
            <w:tcW w:w="1815" w:type="dxa"/>
            <w:tcBorders>
              <w:bottom w:val="single" w:sz="4" w:space="0" w:color="F68A42"/>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0.0</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tcBorders>
              <w:top w:val="single" w:sz="4" w:space="0" w:color="F68A42"/>
            </w:tcBorders>
            <w:noWrap/>
            <w:hideMark/>
          </w:tcPr>
          <w:p w:rsidR="00311BB8" w:rsidRDefault="00D91061">
            <w:pPr>
              <w:pStyle w:val="AMPRTABLEA-TextLEFTalligned-BLACK"/>
              <w:rPr>
                <w:noProof/>
              </w:rPr>
            </w:pPr>
            <w:r>
              <w:rPr>
                <w:noProof/>
              </w:rPr>
              <w:t>United Kingdom</w:t>
            </w:r>
          </w:p>
        </w:tc>
        <w:tc>
          <w:tcPr>
            <w:tcW w:w="1814" w:type="dxa"/>
            <w:tcBorders>
              <w:top w:val="single" w:sz="4" w:space="0" w:color="F68A42"/>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7.4</w:t>
            </w:r>
          </w:p>
        </w:tc>
        <w:tc>
          <w:tcPr>
            <w:tcW w:w="1815" w:type="dxa"/>
            <w:tcBorders>
              <w:top w:val="single" w:sz="4" w:space="0" w:color="F68A42"/>
            </w:tcBorders>
            <w:noWrap/>
            <w:vAlign w:val="center"/>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 xml:space="preserve">           14.1 </w:t>
            </w:r>
          </w:p>
        </w:tc>
        <w:tc>
          <w:tcPr>
            <w:tcW w:w="1814" w:type="dxa"/>
            <w:tcBorders>
              <w:top w:val="single" w:sz="4" w:space="0" w:color="F68A42"/>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 xml:space="preserve"> 0.4 </w:t>
            </w:r>
          </w:p>
        </w:tc>
        <w:tc>
          <w:tcPr>
            <w:tcW w:w="1815" w:type="dxa"/>
            <w:tcBorders>
              <w:top w:val="single" w:sz="4" w:space="0" w:color="F68A42"/>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21.9</w:t>
            </w:r>
          </w:p>
        </w:tc>
      </w:tr>
      <w:tr w:rsidR="00311BB8" w:rsidTr="00311BB8">
        <w:tc>
          <w:tcPr>
            <w:cnfStyle w:val="001000000000" w:firstRow="0" w:lastRow="0" w:firstColumn="1" w:lastColumn="0" w:oddVBand="0" w:evenVBand="0" w:oddHBand="0" w:evenHBand="0" w:firstRowFirstColumn="0" w:firstRowLastColumn="0" w:lastRowFirstColumn="0" w:lastRowLastColumn="0"/>
            <w:tcW w:w="1814" w:type="dxa"/>
            <w:tcBorders>
              <w:top w:val="single" w:sz="4" w:space="0" w:color="F68A42"/>
            </w:tcBorders>
            <w:noWrap/>
            <w:hideMark/>
          </w:tcPr>
          <w:p w:rsidR="00311BB8" w:rsidRDefault="00D91061">
            <w:pPr>
              <w:pStyle w:val="AMPRTABLEA-TextLEFTalligned-BLACK"/>
              <w:rPr>
                <w:noProof/>
              </w:rPr>
            </w:pPr>
            <w:r>
              <w:rPr>
                <w:noProof/>
              </w:rPr>
              <w:t>European territorial cooperation</w:t>
            </w:r>
          </w:p>
        </w:tc>
        <w:tc>
          <w:tcPr>
            <w:tcW w:w="1814" w:type="dxa"/>
            <w:tcBorders>
              <w:top w:val="single" w:sz="4" w:space="0" w:color="F68A42"/>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1.9</w:t>
            </w:r>
          </w:p>
        </w:tc>
        <w:tc>
          <w:tcPr>
            <w:tcW w:w="1815" w:type="dxa"/>
            <w:tcBorders>
              <w:top w:val="single" w:sz="4" w:space="0" w:color="F68A42"/>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EC Square Sans Pro" w:hAnsi="EC Square Sans Pro" w:cs="Calibri"/>
                <w:noProof/>
              </w:rPr>
              <w:t>—</w:t>
            </w:r>
          </w:p>
        </w:tc>
        <w:tc>
          <w:tcPr>
            <w:tcW w:w="1814" w:type="dxa"/>
            <w:tcBorders>
              <w:top w:val="single" w:sz="4" w:space="0" w:color="F68A42"/>
            </w:tcBorders>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noProof/>
              </w:rPr>
              <w:t>—</w:t>
            </w:r>
          </w:p>
        </w:tc>
        <w:tc>
          <w:tcPr>
            <w:tcW w:w="1815" w:type="dxa"/>
            <w:tcBorders>
              <w:top w:val="single" w:sz="4" w:space="0" w:color="F68A42"/>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cs="EC Square Sans Pro"/>
                <w:b/>
                <w:noProof/>
              </w:rPr>
            </w:pPr>
            <w:r>
              <w:rPr>
                <w:b/>
                <w:noProof/>
              </w:rPr>
              <w:t>1.9</w:t>
            </w:r>
          </w:p>
        </w:tc>
      </w:tr>
      <w:tr w:rsidR="00311BB8" w:rsidTr="00311B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noWrap/>
            <w:hideMark/>
          </w:tcPr>
          <w:p w:rsidR="00311BB8" w:rsidRDefault="00D91061">
            <w:pPr>
              <w:pStyle w:val="AMPRTABLEA-TOTALLEFTalligned-BLACK"/>
              <w:rPr>
                <w:rFonts w:eastAsia="EC Square Sans Pro"/>
                <w:noProof/>
              </w:rPr>
            </w:pPr>
            <w:r>
              <w:rPr>
                <w:noProof/>
              </w:rPr>
              <w:t>Total implemented</w:t>
            </w:r>
          </w:p>
        </w:tc>
        <w:tc>
          <w:tcPr>
            <w:tcW w:w="1814" w:type="dxa"/>
            <w:noWrap/>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EC Square Sans Pro"/>
                <w:noProof/>
              </w:rPr>
            </w:pPr>
            <w:r>
              <w:rPr>
                <w:noProof/>
              </w:rPr>
              <w:t>527.0</w:t>
            </w:r>
          </w:p>
        </w:tc>
        <w:tc>
          <w:tcPr>
            <w:tcW w:w="1815" w:type="dxa"/>
            <w:noWrap/>
            <w:vAlign w:val="center"/>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EC Square Sans Pro" w:cs="Verdana"/>
                <w:noProof/>
              </w:rPr>
            </w:pPr>
            <w:r>
              <w:rPr>
                <w:rFonts w:ascii="EC Square Sans Pro" w:hAnsi="EC Square Sans Pro" w:cs="Calibri"/>
                <w:bCs/>
                <w:noProof/>
              </w:rPr>
              <w:t xml:space="preserve">     134.4 </w:t>
            </w:r>
          </w:p>
        </w:tc>
        <w:tc>
          <w:tcPr>
            <w:tcW w:w="1814"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EC Square Sans Pro"/>
                <w:noProof/>
              </w:rPr>
            </w:pPr>
            <w:r>
              <w:rPr>
                <w:noProof/>
              </w:rPr>
              <w:t xml:space="preserve"> 8.3 </w:t>
            </w:r>
          </w:p>
        </w:tc>
        <w:tc>
          <w:tcPr>
            <w:tcW w:w="1815" w:type="dxa"/>
            <w:noWrap/>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EC Square Sans Pro" w:cs="Verdana"/>
                <w:noProof/>
              </w:rPr>
            </w:pPr>
            <w:r>
              <w:rPr>
                <w:noProof/>
              </w:rPr>
              <w:t>669.6</w:t>
            </w:r>
          </w:p>
        </w:tc>
      </w:tr>
    </w:tbl>
    <w:p w:rsidR="00311BB8" w:rsidRDefault="00D91061">
      <w:pPr>
        <w:pStyle w:val="AMPRChart-Tabletitle"/>
        <w:rPr>
          <w:noProof/>
        </w:rPr>
      </w:pPr>
      <w:r>
        <w:rPr>
          <w:noProof/>
        </w:rPr>
        <w:t>Financial corrections for the accounting year 1</w:t>
      </w:r>
      <w:r>
        <w:rPr>
          <w:rFonts w:ascii="Calibri" w:hAnsi="Calibri" w:cs="Calibri"/>
          <w:noProof/>
        </w:rPr>
        <w:t> </w:t>
      </w:r>
      <w:r>
        <w:rPr>
          <w:noProof/>
        </w:rPr>
        <w:t>July 2018 to 30</w:t>
      </w:r>
      <w:r>
        <w:rPr>
          <w:rFonts w:ascii="Calibri" w:hAnsi="Calibri" w:cs="Calibri"/>
          <w:noProof/>
        </w:rPr>
        <w:t> </w:t>
      </w:r>
      <w:r>
        <w:rPr>
          <w:noProof/>
        </w:rPr>
        <w:t>June 2019 reported by Member States for the cohesion policy period 2014-2020, in addition to Commission reporting (million</w:t>
      </w:r>
      <w:r>
        <w:rPr>
          <w:rFonts w:ascii="Calibri" w:hAnsi="Calibri" w:cs="Calibri"/>
          <w:noProof/>
        </w:rPr>
        <w:t> </w:t>
      </w:r>
      <w:r>
        <w:rPr>
          <w:noProof/>
        </w:rPr>
        <w:t>EUR)</w:t>
      </w:r>
    </w:p>
    <w:p w:rsidR="00311BB8" w:rsidRDefault="00D91061">
      <w:pPr>
        <w:pStyle w:val="AMPRBodyText"/>
        <w:rPr>
          <w:noProof/>
          <w:lang w:eastAsia="fr-BE"/>
        </w:rPr>
      </w:pPr>
      <w:r>
        <w:rPr>
          <w:noProof/>
          <w:lang w:eastAsia="fr-BE"/>
        </w:rPr>
        <w:br w:type="page"/>
      </w:r>
    </w:p>
    <w:p w:rsidR="00311BB8" w:rsidRDefault="00D91061">
      <w:pPr>
        <w:pStyle w:val="AMPRAnnexesTITLE3-Numbered"/>
        <w:rPr>
          <w:noProof/>
        </w:rPr>
      </w:pPr>
      <w:bookmarkStart w:id="127" w:name="_Toc484626504"/>
      <w:bookmarkStart w:id="128" w:name="_Toc512866546"/>
      <w:bookmarkStart w:id="129" w:name="_Toc8386217"/>
      <w:r>
        <w:rPr>
          <w:noProof/>
        </w:rPr>
        <w:t>Direct and indirect management</w:t>
      </w:r>
      <w:bookmarkEnd w:id="127"/>
      <w:bookmarkEnd w:id="128"/>
      <w:bookmarkEnd w:id="129"/>
    </w:p>
    <w:p w:rsidR="00311BB8" w:rsidRDefault="00D91061">
      <w:pPr>
        <w:pStyle w:val="AMPRBodyText"/>
        <w:rPr>
          <w:noProof/>
          <w:lang w:eastAsia="fr-BE"/>
        </w:rPr>
      </w:pPr>
      <w:r>
        <w:rPr>
          <w:noProof/>
          <w:lang w:eastAsia="fr-BE"/>
        </w:rPr>
        <w:t>For direct and indirect management expenditure, the Commission has control frameworks in place to prevent, detect, correct and thus deter irregularities at the different stages of the grant management process in order to achieve both operational and financial objectives. An overview of the controls made in two key areas of direct and indirect management expenditure, research and international aid, are given below.</w:t>
      </w:r>
    </w:p>
    <w:p w:rsidR="00311BB8" w:rsidRDefault="00D91061">
      <w:pPr>
        <w:pStyle w:val="AMPRBodyText"/>
        <w:rPr>
          <w:rFonts w:eastAsia="Calibri"/>
          <w:noProof/>
          <w:lang w:eastAsia="fr-BE"/>
        </w:rPr>
      </w:pPr>
      <w:r>
        <w:rPr>
          <w:rFonts w:eastAsia="Calibri"/>
          <w:noProof/>
          <w:lang w:eastAsia="fr-BE"/>
        </w:rPr>
        <w:t xml:space="preserve">For </w:t>
      </w:r>
      <w:r>
        <w:rPr>
          <w:rStyle w:val="AMPRcharBoldOrange"/>
          <w:noProof/>
        </w:rPr>
        <w:t>research expenditure</w:t>
      </w:r>
      <w:r>
        <w:rPr>
          <w:rFonts w:eastAsia="Calibri"/>
          <w:noProof/>
          <w:lang w:eastAsia="fr-BE"/>
        </w:rPr>
        <w:t>, the control framework applicable to both direct</w:t>
      </w:r>
      <w:r>
        <w:rPr>
          <w:rFonts w:ascii="Calibri" w:eastAsia="Calibri" w:hAnsi="Calibri" w:cs="Calibri"/>
          <w:noProof/>
          <w:lang w:eastAsia="fr-BE"/>
        </w:rPr>
        <w:t> (</w:t>
      </w:r>
      <w:r>
        <w:rPr>
          <w:rFonts w:eastAsia="Calibri" w:cs="Arial"/>
          <w:noProof/>
          <w:vertAlign w:val="superscript"/>
          <w:lang w:eastAsia="fr-BE"/>
        </w:rPr>
        <w:footnoteReference w:id="39"/>
      </w:r>
      <w:r>
        <w:rPr>
          <w:rFonts w:ascii="Calibri" w:eastAsia="Calibri" w:hAnsi="Calibri" w:cs="Calibri"/>
          <w:noProof/>
          <w:lang w:eastAsia="fr-BE"/>
        </w:rPr>
        <w:t>)</w:t>
      </w:r>
      <w:r>
        <w:rPr>
          <w:rFonts w:eastAsia="Calibri"/>
          <w:noProof/>
          <w:lang w:eastAsia="fr-BE"/>
        </w:rPr>
        <w:t xml:space="preserve"> and indirect</w:t>
      </w:r>
      <w:r>
        <w:rPr>
          <w:rFonts w:ascii="Calibri" w:eastAsia="Calibri" w:hAnsi="Calibri" w:cs="Calibri"/>
          <w:noProof/>
          <w:lang w:eastAsia="fr-BE"/>
        </w:rPr>
        <w:t> (</w:t>
      </w:r>
      <w:r>
        <w:rPr>
          <w:rFonts w:eastAsia="Calibri" w:cs="Arial"/>
          <w:noProof/>
          <w:vertAlign w:val="superscript"/>
          <w:lang w:eastAsia="fr-BE"/>
        </w:rPr>
        <w:footnoteReference w:id="40"/>
      </w:r>
      <w:r>
        <w:rPr>
          <w:rFonts w:ascii="Calibri" w:eastAsia="Calibri" w:hAnsi="Calibri" w:cs="Calibri"/>
          <w:noProof/>
          <w:lang w:eastAsia="fr-BE"/>
        </w:rPr>
        <w:t>)</w:t>
      </w:r>
      <w:r>
        <w:rPr>
          <w:rFonts w:eastAsia="Calibri"/>
          <w:noProof/>
          <w:lang w:eastAsia="fr-BE"/>
        </w:rPr>
        <w:t xml:space="preserve"> management modes starts with the development of a work programme, which goes through a wide-ranging consultation process to ensure that it best meets the expectations of all stakeholders and will maximise the research outcome. Following the evaluation of proposals, further controls are then carried out as the selected proposals are translated into legally binding contracts. Project implementation is monitored throughout the lifetime of the project. Payments against cost claims are all subject to </w:t>
      </w:r>
      <w:r>
        <w:rPr>
          <w:rFonts w:eastAsia="Calibri"/>
          <w:i/>
          <w:noProof/>
          <w:lang w:eastAsia="fr-BE"/>
        </w:rPr>
        <w:t>ex</w:t>
      </w:r>
      <w:r>
        <w:rPr>
          <w:rFonts w:ascii="Calibri" w:eastAsia="Calibri" w:hAnsi="Calibri"/>
          <w:i/>
          <w:noProof/>
          <w:lang w:eastAsia="fr-BE"/>
        </w:rPr>
        <w:t> </w:t>
      </w:r>
      <w:r>
        <w:rPr>
          <w:rFonts w:eastAsia="Calibri"/>
          <w:i/>
          <w:noProof/>
          <w:lang w:eastAsia="fr-BE"/>
        </w:rPr>
        <w:t>ante</w:t>
      </w:r>
      <w:r>
        <w:rPr>
          <w:rFonts w:eastAsia="Calibri"/>
          <w:noProof/>
          <w:lang w:eastAsia="fr-BE"/>
        </w:rPr>
        <w:t xml:space="preserve"> checks according to standard procedures, which include an audit certificate given by a qualified auditor. As well as standard controls, additional, targeted controls can also be carried out based on the information received and the risk of the transaction. </w:t>
      </w:r>
    </w:p>
    <w:p w:rsidR="00311BB8" w:rsidRDefault="00D91061">
      <w:pPr>
        <w:pStyle w:val="AMPRBodyText"/>
        <w:rPr>
          <w:noProof/>
          <w:lang w:eastAsia="fr-BE"/>
        </w:rPr>
      </w:pPr>
      <w:r>
        <w:rPr>
          <w:noProof/>
          <w:lang w:eastAsia="fr-BE"/>
        </w:rPr>
        <w:t xml:space="preserve">A main source of assurance comes from in-depth </w:t>
      </w:r>
      <w:r>
        <w:rPr>
          <w:i/>
          <w:noProof/>
          <w:lang w:eastAsia="fr-BE"/>
        </w:rPr>
        <w:t>ex</w:t>
      </w:r>
      <w:r>
        <w:rPr>
          <w:rFonts w:ascii="Calibri" w:hAnsi="Calibri"/>
          <w:i/>
          <w:noProof/>
          <w:lang w:eastAsia="fr-BE"/>
        </w:rPr>
        <w:t> </w:t>
      </w:r>
      <w:r>
        <w:rPr>
          <w:i/>
          <w:noProof/>
          <w:lang w:eastAsia="fr-BE"/>
        </w:rPr>
        <w:t>post</w:t>
      </w:r>
      <w:r>
        <w:rPr>
          <w:noProof/>
          <w:lang w:eastAsia="fr-BE"/>
        </w:rPr>
        <w:t xml:space="preserve"> checks carried out on a sample of claims, at the beneficiaries’ premises, after costs have been incurred and declared. A large number of such in-depth checks are carried out over the lifetime of the programme. Any amounts paid in excess of what is due are recovered, and systemic errors are extrapolated to all of the beneficiary’s ongoing EU-funded projects.</w:t>
      </w:r>
    </w:p>
    <w:p w:rsidR="00311BB8" w:rsidRDefault="00D91061">
      <w:pPr>
        <w:pStyle w:val="AMPRBodyText"/>
        <w:rPr>
          <w:rFonts w:eastAsia="Calibri"/>
          <w:noProof/>
          <w:lang w:eastAsia="fr-BE"/>
        </w:rPr>
      </w:pPr>
      <w:r>
        <w:rPr>
          <w:rFonts w:eastAsia="Calibri"/>
          <w:noProof/>
          <w:lang w:eastAsia="fr-BE"/>
        </w:rPr>
        <w:t xml:space="preserve">In the field of </w:t>
      </w:r>
      <w:r>
        <w:rPr>
          <w:rStyle w:val="AMPRcharBoldOrange"/>
          <w:noProof/>
        </w:rPr>
        <w:t>international cooperation and development</w:t>
      </w:r>
      <w:r>
        <w:rPr>
          <w:rFonts w:eastAsia="Calibri"/>
          <w:noProof/>
          <w:lang w:eastAsia="fr-BE"/>
        </w:rPr>
        <w:t>, the Commission has established a control framework to prevent, detect, correct and thus deter irregularities at the different stages of the implementation of funding, applicable to both management modes, direct and indirect</w:t>
      </w:r>
      <w:r>
        <w:rPr>
          <w:rFonts w:ascii="Calibri" w:eastAsia="Calibri" w:hAnsi="Calibri" w:cs="Calibri"/>
          <w:noProof/>
          <w:lang w:eastAsia="fr-BE"/>
        </w:rPr>
        <w:t> (</w:t>
      </w:r>
      <w:r>
        <w:rPr>
          <w:rFonts w:eastAsia="Calibri" w:cs="Arial"/>
          <w:noProof/>
          <w:vertAlign w:val="superscript"/>
          <w:lang w:eastAsia="fr-BE"/>
        </w:rPr>
        <w:footnoteReference w:id="41"/>
      </w:r>
      <w:r>
        <w:rPr>
          <w:rFonts w:eastAsia="Calibri"/>
          <w:noProof/>
          <w:lang w:eastAsia="fr-BE"/>
        </w:rPr>
        <w:t xml:space="preserve">), used for this implementation. This strategy starts with choosing the most appropriate tool when drafting the planning documents and the financial decisions, and leads into the actual checks carried out at all stages of the implementation. From the point of view of financial control, the system is made up of a number of instruments systematically applied to the implementation of contracts and grants for all management modes: </w:t>
      </w:r>
      <w:r>
        <w:rPr>
          <w:rFonts w:eastAsia="Calibri"/>
          <w:i/>
          <w:noProof/>
          <w:lang w:eastAsia="fr-BE"/>
        </w:rPr>
        <w:t>ex</w:t>
      </w:r>
      <w:r>
        <w:rPr>
          <w:rFonts w:ascii="Calibri" w:eastAsia="Calibri" w:hAnsi="Calibri"/>
          <w:i/>
          <w:noProof/>
          <w:lang w:eastAsia="fr-BE"/>
        </w:rPr>
        <w:t> </w:t>
      </w:r>
      <w:r>
        <w:rPr>
          <w:rFonts w:eastAsia="Calibri"/>
          <w:i/>
          <w:noProof/>
          <w:lang w:eastAsia="fr-BE"/>
        </w:rPr>
        <w:t>ante</w:t>
      </w:r>
      <w:r>
        <w:rPr>
          <w:rFonts w:eastAsia="Calibri"/>
          <w:noProof/>
          <w:lang w:eastAsia="fr-BE"/>
        </w:rPr>
        <w:t xml:space="preserve"> checks on payments, audits carried out by the Commission and provided for in an audit plan, expenditure verifications carried out prior to payments by beneficiaries of grants, verification missions to international organisations and an overall </w:t>
      </w:r>
      <w:r>
        <w:rPr>
          <w:rFonts w:eastAsia="Calibri"/>
          <w:i/>
          <w:noProof/>
          <w:lang w:eastAsia="fr-BE"/>
        </w:rPr>
        <w:t>ex</w:t>
      </w:r>
      <w:r>
        <w:rPr>
          <w:rFonts w:ascii="Calibri" w:eastAsia="Calibri" w:hAnsi="Calibri"/>
          <w:i/>
          <w:noProof/>
          <w:lang w:eastAsia="fr-BE"/>
        </w:rPr>
        <w:t> </w:t>
      </w:r>
      <w:r>
        <w:rPr>
          <w:rFonts w:eastAsia="Calibri"/>
          <w:i/>
          <w:noProof/>
          <w:lang w:eastAsia="fr-BE"/>
        </w:rPr>
        <w:t>post</w:t>
      </w:r>
      <w:r>
        <w:rPr>
          <w:rFonts w:eastAsia="Calibri"/>
          <w:noProof/>
          <w:lang w:eastAsia="fr-BE"/>
        </w:rPr>
        <w:t xml:space="preserve"> control on the basis of the residual error rate study carried out every year.</w:t>
      </w:r>
    </w:p>
    <w:p w:rsidR="00311BB8" w:rsidRDefault="00D91061">
      <w:pPr>
        <w:pStyle w:val="AMPRBodyText"/>
        <w:rPr>
          <w:noProof/>
          <w:lang w:eastAsia="fr-BE"/>
        </w:rPr>
      </w:pPr>
      <w:r>
        <w:rPr>
          <w:noProof/>
          <w:lang w:eastAsia="fr-BE"/>
        </w:rPr>
        <w:t xml:space="preserve">The EU’s financial interests are therefore safeguarded by, in addition to all the other possible means offered by the financial regulation, the Commission’s </w:t>
      </w:r>
      <w:r>
        <w:rPr>
          <w:i/>
          <w:noProof/>
          <w:lang w:eastAsia="fr-BE"/>
        </w:rPr>
        <w:t>ex</w:t>
      </w:r>
      <w:r>
        <w:rPr>
          <w:rFonts w:ascii="Calibri" w:hAnsi="Calibri"/>
          <w:i/>
          <w:noProof/>
          <w:lang w:eastAsia="fr-BE"/>
        </w:rPr>
        <w:t> </w:t>
      </w:r>
      <w:r>
        <w:rPr>
          <w:i/>
          <w:noProof/>
          <w:lang w:eastAsia="fr-BE"/>
        </w:rPr>
        <w:t>ante</w:t>
      </w:r>
      <w:r>
        <w:rPr>
          <w:noProof/>
          <w:lang w:eastAsia="fr-BE"/>
        </w:rPr>
        <w:t xml:space="preserve"> control of individual transactions as well as subsequent controls or audits, and by the resulting recovery of any unduly disbursed funds where the agreed procedures have not been respected, or where the activities were not eligible for EU financing.</w:t>
      </w:r>
    </w:p>
    <w:p w:rsidR="00311BB8" w:rsidRDefault="00D91061">
      <w:pPr>
        <w:pStyle w:val="AMPRBodyText"/>
        <w:rPr>
          <w:noProof/>
        </w:rPr>
      </w:pPr>
      <w:bookmarkStart w:id="130" w:name="_Toc484626505"/>
      <w:bookmarkStart w:id="131" w:name="_Toc512866547"/>
      <w:bookmarkStart w:id="132" w:name="_Toc8386218"/>
      <w:r>
        <w:rPr>
          <w:noProof/>
        </w:rPr>
        <w:br w:type="page"/>
      </w:r>
    </w:p>
    <w:p w:rsidR="00311BB8" w:rsidRDefault="00D91061">
      <w:pPr>
        <w:pStyle w:val="AMPRAnnexesTITLE3-Numbered"/>
        <w:rPr>
          <w:noProof/>
        </w:rPr>
      </w:pPr>
      <w:r>
        <w:rPr>
          <w:noProof/>
        </w:rPr>
        <w:t>Detailed information on financial corrections and recoveries</w:t>
      </w:r>
      <w:bookmarkEnd w:id="130"/>
      <w:bookmarkEnd w:id="131"/>
      <w:bookmarkEnd w:id="132"/>
    </w:p>
    <w:p w:rsidR="00311BB8" w:rsidRDefault="00D91061">
      <w:pPr>
        <w:pStyle w:val="AMPRAnnexesTITLE4-Numbered"/>
        <w:rPr>
          <w:rFonts w:eastAsia="Calibri"/>
          <w:noProof/>
          <w:color w:val="E48C32"/>
          <w:lang w:eastAsia="fr-BE"/>
        </w:rPr>
      </w:pPr>
      <w:bookmarkStart w:id="133" w:name="_Toc484626506"/>
      <w:bookmarkStart w:id="134" w:name="_Toc512866548"/>
      <w:bookmarkStart w:id="135" w:name="_Toc8386219"/>
      <w:r>
        <w:rPr>
          <w:noProof/>
        </w:rPr>
        <w:t>Net financial corrections 2019</w:t>
      </w:r>
      <w:bookmarkEnd w:id="133"/>
      <w:bookmarkEnd w:id="134"/>
      <w:bookmarkEnd w:id="135"/>
    </w:p>
    <w:p w:rsidR="00311BB8" w:rsidRDefault="00D91061">
      <w:pPr>
        <w:pStyle w:val="AMPRAnnexesTITLE5"/>
        <w:rPr>
          <w:noProof/>
        </w:rPr>
      </w:pPr>
      <w:r>
        <w:rPr>
          <w:noProof/>
        </w:rPr>
        <w:t>Confirmed</w:t>
      </w:r>
    </w:p>
    <w:tbl>
      <w:tblPr>
        <w:tblStyle w:val="AMPRTABLEA-Template"/>
        <w:tblW w:w="9070" w:type="dxa"/>
        <w:tblLayout w:type="fixed"/>
        <w:tblLook w:val="04E0" w:firstRow="1" w:lastRow="1" w:firstColumn="1" w:lastColumn="0" w:noHBand="0" w:noVBand="1"/>
      </w:tblPr>
      <w:tblGrid>
        <w:gridCol w:w="3402"/>
        <w:gridCol w:w="1889"/>
        <w:gridCol w:w="1889"/>
        <w:gridCol w:w="1890"/>
      </w:tblGrid>
      <w:tr w:rsidR="00311BB8" w:rsidTr="00311BB8">
        <w:trPr>
          <w:cnfStyle w:val="100000000000" w:firstRow="1" w:lastRow="0" w:firstColumn="0" w:lastColumn="0" w:oddVBand="0" w:evenVBand="0" w:oddHBand="0" w:evenHBand="0"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5B9BD5" w:themeColor="accent1"/>
            </w:tcBorders>
            <w:noWrap/>
            <w:hideMark/>
          </w:tcPr>
          <w:p w:rsidR="00311BB8" w:rsidRDefault="00D91061">
            <w:pPr>
              <w:pStyle w:val="AMPRTABLEA-HEADERText-WHITE"/>
              <w:spacing w:before="144" w:after="144"/>
              <w:rPr>
                <w:noProof/>
                <w:sz w:val="16"/>
                <w:szCs w:val="14"/>
              </w:rPr>
            </w:pPr>
            <w:r>
              <w:rPr>
                <w:noProof/>
                <w:sz w:val="16"/>
              </w:rPr>
              <w:t>Multiannual financial framework heading</w:t>
            </w:r>
          </w:p>
        </w:tc>
        <w:tc>
          <w:tcPr>
            <w:tcW w:w="1889" w:type="dxa"/>
            <w:tcBorders>
              <w:bottom w:val="single" w:sz="4" w:space="0" w:color="5B9BD5" w:themeColor="accent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4"/>
                <w:lang w:val="en-GB"/>
              </w:rPr>
            </w:pPr>
            <w:r>
              <w:rPr>
                <w:noProof/>
                <w:sz w:val="16"/>
                <w:lang w:val="en-GB"/>
              </w:rPr>
              <w:t>Net financial corrections confirmed in 2019</w:t>
            </w:r>
            <w:r>
              <w:rPr>
                <w:rFonts w:ascii="Calibri" w:hAnsi="Calibri" w:cs="Calibri"/>
                <w:noProof/>
                <w:sz w:val="16"/>
                <w:lang w:val="en-GB"/>
              </w:rPr>
              <w:t> </w:t>
            </w:r>
            <w:r>
              <w:rPr>
                <w:rFonts w:ascii="Calibri" w:hAnsi="Calibri" w:cs="Calibri"/>
                <w:b w:val="0"/>
                <w:bCs w:val="0"/>
                <w:noProof/>
                <w:sz w:val="16"/>
                <w:lang w:val="en-GB"/>
              </w:rPr>
              <w:t>(</w:t>
            </w:r>
            <w:r>
              <w:rPr>
                <w:b w:val="0"/>
                <w:bCs w:val="0"/>
                <w:noProof/>
                <w:sz w:val="16"/>
                <w:lang w:val="en-GB"/>
              </w:rPr>
              <w:t>*)</w:t>
            </w:r>
          </w:p>
        </w:tc>
        <w:tc>
          <w:tcPr>
            <w:tcW w:w="1889" w:type="dxa"/>
            <w:tcBorders>
              <w:bottom w:val="single" w:sz="4" w:space="0" w:color="5B9BD5" w:themeColor="accent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4"/>
                <w:lang w:val="en-GB"/>
              </w:rPr>
            </w:pPr>
            <w:r>
              <w:rPr>
                <w:noProof/>
                <w:sz w:val="16"/>
                <w:lang w:val="en-GB"/>
              </w:rPr>
              <w:t>Financial corrections with replacement of expenditure, and other corrections confirmed in 2019</w:t>
            </w:r>
          </w:p>
        </w:tc>
        <w:tc>
          <w:tcPr>
            <w:tcW w:w="1890" w:type="dxa"/>
            <w:tcBorders>
              <w:bottom w:val="single" w:sz="4" w:space="0" w:color="5B9BD5" w:themeColor="accent1"/>
            </w:tcBorders>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4"/>
                <w:lang w:val="en-GB"/>
              </w:rPr>
            </w:pPr>
            <w:r>
              <w:rPr>
                <w:noProof/>
                <w:sz w:val="16"/>
                <w:lang w:val="en-GB"/>
              </w:rPr>
              <w:t>Total financial corrections confirmed in 2019</w:t>
            </w:r>
          </w:p>
        </w:tc>
      </w:tr>
      <w:tr w:rsidR="00311BB8" w:rsidTr="00311BB8">
        <w:trPr>
          <w:trHeight w:val="2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5B9BD5" w:themeColor="accent1"/>
            </w:tcBorders>
            <w:noWrap/>
            <w:hideMark/>
          </w:tcPr>
          <w:p w:rsidR="00311BB8" w:rsidRDefault="00D91061">
            <w:pPr>
              <w:pStyle w:val="AMPRTABLEA-TextLEFTalligned-BLACK"/>
              <w:rPr>
                <w:b/>
                <w:bCs/>
                <w:noProof/>
              </w:rPr>
            </w:pPr>
            <w:r>
              <w:rPr>
                <w:b/>
                <w:bCs/>
                <w:noProof/>
              </w:rPr>
              <w:t>Smart and inclusive growth</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281</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529</w:t>
            </w:r>
          </w:p>
        </w:tc>
        <w:tc>
          <w:tcPr>
            <w:tcW w:w="1890"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810</w:t>
            </w:r>
          </w:p>
        </w:tc>
      </w:tr>
      <w:tr w:rsidR="00311BB8" w:rsidTr="00311BB8">
        <w:trPr>
          <w:trHeight w:val="255"/>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5B9BD5" w:themeColor="accent1"/>
            </w:tcBorders>
            <w:noWrap/>
            <w:hideMark/>
          </w:tcPr>
          <w:p w:rsidR="00311BB8" w:rsidRDefault="00D91061">
            <w:pPr>
              <w:pStyle w:val="AMPRTABLEA-TextLEFTalligned-BLACK"/>
              <w:ind w:left="142"/>
              <w:rPr>
                <w:noProof/>
              </w:rPr>
            </w:pPr>
            <w:r>
              <w:rPr>
                <w:noProof/>
              </w:rPr>
              <w:t>European Regional Development Fund</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443</w:t>
            </w:r>
          </w:p>
        </w:tc>
        <w:tc>
          <w:tcPr>
            <w:tcW w:w="1890" w:type="dxa"/>
            <w:tcBorders>
              <w:top w:val="single" w:sz="4" w:space="0" w:color="5B9BD5" w:themeColor="accent1"/>
            </w:tcBorders>
            <w:shd w:val="clear" w:color="auto" w:fill="auto"/>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443</w:t>
            </w:r>
          </w:p>
        </w:tc>
      </w:tr>
      <w:tr w:rsidR="00311BB8" w:rsidTr="00311BB8">
        <w:trPr>
          <w:trHeight w:val="255"/>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5B9BD5" w:themeColor="accent1"/>
            </w:tcBorders>
            <w:noWrap/>
            <w:hideMark/>
          </w:tcPr>
          <w:p w:rsidR="00311BB8" w:rsidRDefault="00D91061">
            <w:pPr>
              <w:pStyle w:val="AMPRTABLEA-TextLEFTalligned-BLACK"/>
              <w:ind w:left="142"/>
              <w:rPr>
                <w:noProof/>
              </w:rPr>
            </w:pPr>
            <w:r>
              <w:rPr>
                <w:noProof/>
              </w:rPr>
              <w:t>Cohesion Fund</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68</w:t>
            </w:r>
          </w:p>
        </w:tc>
        <w:tc>
          <w:tcPr>
            <w:tcW w:w="1890" w:type="dxa"/>
            <w:tcBorders>
              <w:top w:val="single" w:sz="4" w:space="0" w:color="5B9BD5" w:themeColor="accent1"/>
            </w:tcBorders>
            <w:shd w:val="clear" w:color="auto" w:fill="auto"/>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68</w:t>
            </w:r>
          </w:p>
        </w:tc>
      </w:tr>
      <w:tr w:rsidR="00311BB8" w:rsidTr="00311BB8">
        <w:trPr>
          <w:trHeight w:val="2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5B9BD5" w:themeColor="accent1"/>
            </w:tcBorders>
            <w:noWrap/>
            <w:hideMark/>
          </w:tcPr>
          <w:p w:rsidR="00311BB8" w:rsidRDefault="00D91061">
            <w:pPr>
              <w:pStyle w:val="AMPRTABLEA-TextLEFTalligned-BLACK"/>
              <w:ind w:left="142"/>
              <w:rPr>
                <w:noProof/>
              </w:rPr>
            </w:pPr>
            <w:r>
              <w:rPr>
                <w:noProof/>
              </w:rPr>
              <w:t>European Social Fund</w:t>
            </w:r>
          </w:p>
        </w:tc>
        <w:tc>
          <w:tcPr>
            <w:tcW w:w="1889"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280</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19</w:t>
            </w:r>
          </w:p>
        </w:tc>
        <w:tc>
          <w:tcPr>
            <w:tcW w:w="1890" w:type="dxa"/>
            <w:tcBorders>
              <w:top w:val="single" w:sz="4" w:space="0" w:color="5B9BD5" w:themeColor="accent1"/>
            </w:tcBorders>
            <w:shd w:val="clear" w:color="auto" w:fill="auto"/>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299</w:t>
            </w:r>
          </w:p>
        </w:tc>
      </w:tr>
      <w:tr w:rsidR="00311BB8" w:rsidTr="00311BB8">
        <w:trPr>
          <w:trHeight w:val="2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5B9BD5" w:themeColor="accent1"/>
            </w:tcBorders>
            <w:noWrap/>
            <w:hideMark/>
          </w:tcPr>
          <w:p w:rsidR="00311BB8" w:rsidRDefault="00D91061">
            <w:pPr>
              <w:pStyle w:val="AMPRTABLEA-TextLEFTalligned-BLACK"/>
              <w:rPr>
                <w:b/>
                <w:bCs/>
                <w:noProof/>
              </w:rPr>
            </w:pPr>
            <w:r>
              <w:rPr>
                <w:b/>
                <w:bCs/>
                <w:noProof/>
              </w:rPr>
              <w:t>Sustainable growth: natural resources</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251</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0</w:t>
            </w:r>
          </w:p>
        </w:tc>
        <w:tc>
          <w:tcPr>
            <w:tcW w:w="1890" w:type="dxa"/>
            <w:tcBorders>
              <w:top w:val="single" w:sz="4" w:space="0" w:color="5B9BD5" w:themeColor="accent1"/>
            </w:tcBorders>
            <w:shd w:val="clear" w:color="auto" w:fill="auto"/>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251</w:t>
            </w:r>
          </w:p>
        </w:tc>
      </w:tr>
      <w:tr w:rsidR="00311BB8" w:rsidTr="00311BB8">
        <w:trPr>
          <w:trHeight w:val="255"/>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5B9BD5" w:themeColor="accent1"/>
            </w:tcBorders>
            <w:noWrap/>
            <w:hideMark/>
          </w:tcPr>
          <w:p w:rsidR="00311BB8" w:rsidRDefault="00D91061">
            <w:pPr>
              <w:pStyle w:val="AMPRTABLEA-TextLEFTalligned-BLACK"/>
              <w:ind w:left="142"/>
              <w:rPr>
                <w:noProof/>
              </w:rPr>
            </w:pPr>
            <w:r>
              <w:rPr>
                <w:noProof/>
              </w:rPr>
              <w:t>European Agricultural Guarantee Fund</w:t>
            </w:r>
            <w:r>
              <w:rPr>
                <w:rFonts w:ascii="Calibri" w:hAnsi="Calibri" w:cs="Calibri"/>
                <w:noProof/>
              </w:rPr>
              <w:t> </w:t>
            </w:r>
            <w:r>
              <w:rPr>
                <w:noProof/>
              </w:rPr>
              <w:t>(**)</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141</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w:t>
            </w:r>
          </w:p>
        </w:tc>
        <w:tc>
          <w:tcPr>
            <w:tcW w:w="1890" w:type="dxa"/>
            <w:tcBorders>
              <w:top w:val="single" w:sz="4" w:space="0" w:color="5B9BD5" w:themeColor="accent1"/>
            </w:tcBorders>
            <w:shd w:val="clear" w:color="auto" w:fill="auto"/>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141</w:t>
            </w:r>
          </w:p>
        </w:tc>
      </w:tr>
      <w:tr w:rsidR="00311BB8" w:rsidTr="00311BB8">
        <w:trPr>
          <w:trHeight w:val="255"/>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5B9BD5" w:themeColor="accent1"/>
            </w:tcBorders>
            <w:noWrap/>
            <w:hideMark/>
          </w:tcPr>
          <w:p w:rsidR="00311BB8" w:rsidRDefault="00D91061">
            <w:pPr>
              <w:pStyle w:val="AMPRTABLEA-TextLEFTalligned-BLACK"/>
              <w:ind w:left="142"/>
              <w:rPr>
                <w:noProof/>
              </w:rPr>
            </w:pPr>
            <w:r>
              <w:rPr>
                <w:noProof/>
              </w:rPr>
              <w:t>Rural development</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181</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w:t>
            </w:r>
          </w:p>
        </w:tc>
        <w:tc>
          <w:tcPr>
            <w:tcW w:w="1890" w:type="dxa"/>
            <w:tcBorders>
              <w:top w:val="single" w:sz="4" w:space="0" w:color="5B9BD5" w:themeColor="accent1"/>
            </w:tcBorders>
            <w:shd w:val="clear" w:color="auto" w:fill="auto"/>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181</w:t>
            </w:r>
          </w:p>
        </w:tc>
      </w:tr>
      <w:tr w:rsidR="00311BB8" w:rsidTr="00311BB8">
        <w:trPr>
          <w:trHeight w:val="255"/>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5B9BD5" w:themeColor="accent1"/>
            </w:tcBorders>
            <w:noWrap/>
            <w:hideMark/>
          </w:tcPr>
          <w:p w:rsidR="00311BB8" w:rsidRDefault="00D91061">
            <w:pPr>
              <w:pStyle w:val="AMPRTABLEA-TextLEFTalligned-BLACK"/>
              <w:ind w:left="142"/>
              <w:rPr>
                <w:noProof/>
                <w:lang w:val="en-GB"/>
              </w:rPr>
            </w:pPr>
            <w:r>
              <w:rPr>
                <w:noProof/>
                <w:lang w:val="en-GB"/>
              </w:rPr>
              <w:t>Financial Instrument for Fisheries Guidance</w:t>
            </w:r>
            <w:r>
              <w:rPr>
                <w:rFonts w:ascii="Calibri" w:hAnsi="Calibri" w:cs="Calibri"/>
                <w:noProof/>
                <w:lang w:val="en-GB"/>
              </w:rPr>
              <w:t> </w:t>
            </w:r>
            <w:r>
              <w:rPr>
                <w:noProof/>
                <w:lang w:val="en-GB"/>
              </w:rPr>
              <w:t>/ European Fisheries Fund</w:t>
            </w:r>
            <w:r>
              <w:rPr>
                <w:rFonts w:eastAsia="Calibri"/>
                <w:noProof/>
                <w:sz w:val="16"/>
                <w:szCs w:val="16"/>
                <w:lang w:val="en-GB"/>
              </w:rPr>
              <w:t xml:space="preserve"> / </w:t>
            </w:r>
            <w:r>
              <w:rPr>
                <w:noProof/>
                <w:lang w:val="en-GB"/>
              </w:rPr>
              <w:t>European Maritime and Fisheries Fund</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w:t>
            </w:r>
          </w:p>
        </w:tc>
        <w:tc>
          <w:tcPr>
            <w:tcW w:w="1890" w:type="dxa"/>
            <w:tcBorders>
              <w:top w:val="single" w:sz="4" w:space="0" w:color="5B9BD5" w:themeColor="accent1"/>
            </w:tcBorders>
            <w:shd w:val="clear" w:color="auto" w:fill="auto"/>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0</w:t>
            </w:r>
          </w:p>
        </w:tc>
      </w:tr>
      <w:tr w:rsidR="00311BB8" w:rsidTr="00311BB8">
        <w:trPr>
          <w:trHeight w:val="2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5B9BD5" w:themeColor="accent1"/>
            </w:tcBorders>
            <w:noWrap/>
            <w:hideMark/>
          </w:tcPr>
          <w:p w:rsidR="00311BB8" w:rsidRDefault="00D91061">
            <w:pPr>
              <w:pStyle w:val="AMPRTABLEA-TextLEFTalligned-BLACK"/>
              <w:ind w:left="142"/>
              <w:rPr>
                <w:noProof/>
                <w:lang w:val="en-GB"/>
              </w:rPr>
            </w:pPr>
            <w:r>
              <w:rPr>
                <w:noProof/>
                <w:lang w:val="en-GB"/>
              </w:rPr>
              <w:t>European Agricultural Guidance and Guarantee Fund</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(72)</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w:t>
            </w:r>
          </w:p>
        </w:tc>
        <w:tc>
          <w:tcPr>
            <w:tcW w:w="1890" w:type="dxa"/>
            <w:tcBorders>
              <w:top w:val="single" w:sz="4" w:space="0" w:color="5B9BD5" w:themeColor="accent1"/>
            </w:tcBorders>
            <w:shd w:val="clear" w:color="auto" w:fill="auto"/>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(72)</w:t>
            </w:r>
          </w:p>
        </w:tc>
      </w:tr>
      <w:tr w:rsidR="00311BB8" w:rsidTr="00311BB8">
        <w:trPr>
          <w:trHeight w:val="2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5B9BD5" w:themeColor="accent1"/>
            </w:tcBorders>
            <w:noWrap/>
            <w:hideMark/>
          </w:tcPr>
          <w:p w:rsidR="00311BB8" w:rsidRDefault="00D91061">
            <w:pPr>
              <w:pStyle w:val="AMPRTABLEA-TextLEFTalligned-BLACK"/>
              <w:rPr>
                <w:b/>
                <w:bCs/>
                <w:noProof/>
              </w:rPr>
            </w:pPr>
            <w:r>
              <w:rPr>
                <w:b/>
                <w:bCs/>
                <w:noProof/>
              </w:rPr>
              <w:t xml:space="preserve">Security and citizenship </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6</w:t>
            </w:r>
          </w:p>
        </w:tc>
        <w:tc>
          <w:tcPr>
            <w:tcW w:w="1889" w:type="dxa"/>
            <w:tcBorders>
              <w:top w:val="single" w:sz="4" w:space="0" w:color="5B9BD5" w:themeColor="accent1"/>
            </w:tcBorders>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7</w:t>
            </w:r>
          </w:p>
        </w:tc>
        <w:tc>
          <w:tcPr>
            <w:tcW w:w="1890" w:type="dxa"/>
            <w:tcBorders>
              <w:top w:val="single" w:sz="4" w:space="0" w:color="5B9BD5" w:themeColor="accent1"/>
            </w:tcBorders>
            <w:shd w:val="clear" w:color="auto" w:fill="auto"/>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13</w:t>
            </w:r>
          </w:p>
        </w:tc>
      </w:tr>
      <w:tr w:rsidR="00311BB8" w:rsidTr="00311BB8">
        <w:trPr>
          <w:trHeight w:val="2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5B9BD5" w:themeColor="accent1"/>
              <w:bottom w:val="single" w:sz="4" w:space="0" w:color="5B9BD5" w:themeColor="accent1"/>
            </w:tcBorders>
            <w:noWrap/>
            <w:hideMark/>
          </w:tcPr>
          <w:p w:rsidR="00311BB8" w:rsidRDefault="00D91061">
            <w:pPr>
              <w:pStyle w:val="AMPRTABLEA-TextLEFTalligned-BLACK"/>
              <w:ind w:left="142"/>
              <w:rPr>
                <w:noProof/>
              </w:rPr>
            </w:pPr>
            <w:r>
              <w:rPr>
                <w:noProof/>
              </w:rPr>
              <w:t>Migration and home affairs</w:t>
            </w:r>
          </w:p>
        </w:tc>
        <w:tc>
          <w:tcPr>
            <w:tcW w:w="1889" w:type="dxa"/>
            <w:tcBorders>
              <w:top w:val="single" w:sz="4" w:space="0" w:color="5B9BD5" w:themeColor="accent1"/>
              <w:bottom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6</w:t>
            </w:r>
          </w:p>
        </w:tc>
        <w:tc>
          <w:tcPr>
            <w:tcW w:w="1889" w:type="dxa"/>
            <w:tcBorders>
              <w:top w:val="single" w:sz="4" w:space="0" w:color="5B9BD5" w:themeColor="accent1"/>
              <w:bottom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7</w:t>
            </w:r>
          </w:p>
        </w:tc>
        <w:tc>
          <w:tcPr>
            <w:tcW w:w="1890" w:type="dxa"/>
            <w:tcBorders>
              <w:top w:val="single" w:sz="4" w:space="0" w:color="5B9BD5" w:themeColor="accent1"/>
              <w:bottom w:val="single" w:sz="4" w:space="0" w:color="5B9BD5" w:themeColor="accent1"/>
            </w:tcBorders>
            <w:shd w:val="clear" w:color="auto" w:fill="auto"/>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13</w:t>
            </w:r>
          </w:p>
        </w:tc>
      </w:tr>
      <w:tr w:rsidR="00311BB8" w:rsidTr="00311BB8">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5B9BD5" w:themeColor="accent1"/>
              <w:bottom w:val="single" w:sz="4" w:space="0" w:color="5B9BD5" w:themeColor="accent1"/>
            </w:tcBorders>
            <w:noWrap/>
            <w:hideMark/>
          </w:tcPr>
          <w:p w:rsidR="00311BB8" w:rsidRDefault="00D91061">
            <w:pPr>
              <w:pStyle w:val="AMPRTABLEA-TOTALLEFTalligned-BLACK"/>
              <w:rPr>
                <w:rFonts w:eastAsia="EC Square Sans Pro"/>
                <w:noProof/>
              </w:rPr>
            </w:pPr>
            <w:r>
              <w:rPr>
                <w:rFonts w:eastAsia="EC Square Sans Pro"/>
                <w:noProof/>
              </w:rPr>
              <w:t>Total</w:t>
            </w:r>
          </w:p>
        </w:tc>
        <w:tc>
          <w:tcPr>
            <w:tcW w:w="1889" w:type="dxa"/>
            <w:tcBorders>
              <w:top w:val="single" w:sz="4" w:space="0" w:color="5B9BD5" w:themeColor="accent1"/>
              <w:bottom w:val="single" w:sz="4" w:space="0" w:color="5B9BD5" w:themeColor="accent1"/>
            </w:tcBorders>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537</w:t>
            </w:r>
          </w:p>
        </w:tc>
        <w:tc>
          <w:tcPr>
            <w:tcW w:w="1889" w:type="dxa"/>
            <w:tcBorders>
              <w:top w:val="single" w:sz="4" w:space="0" w:color="5B9BD5" w:themeColor="accent1"/>
              <w:bottom w:val="single" w:sz="4" w:space="0" w:color="5B9BD5" w:themeColor="accent1"/>
            </w:tcBorders>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536</w:t>
            </w:r>
          </w:p>
        </w:tc>
        <w:tc>
          <w:tcPr>
            <w:tcW w:w="1890" w:type="dxa"/>
            <w:tcBorders>
              <w:top w:val="single" w:sz="4" w:space="0" w:color="5B9BD5" w:themeColor="accent1"/>
              <w:bottom w:val="single" w:sz="4" w:space="0" w:color="5B9BD5" w:themeColor="accent1"/>
            </w:tcBorders>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1</w:t>
            </w:r>
            <w:r>
              <w:rPr>
                <w:rFonts w:ascii="Calibri" w:hAnsi="Calibri" w:cs="Calibri"/>
                <w:noProof/>
              </w:rPr>
              <w:t> </w:t>
            </w:r>
            <w:r>
              <w:rPr>
                <w:noProof/>
              </w:rPr>
              <w:t>074</w:t>
            </w:r>
          </w:p>
        </w:tc>
      </w:tr>
    </w:tbl>
    <w:p w:rsidR="00311BB8" w:rsidRDefault="00D91061">
      <w:pPr>
        <w:pStyle w:val="AMPRChart-Tabletitle"/>
        <w:rPr>
          <w:noProof/>
        </w:rPr>
      </w:pPr>
      <w:r>
        <w:rPr>
          <w:noProof/>
        </w:rPr>
        <w:t>Confirmed net financial corrections in 2019, by multiannual financial framework heading (million</w:t>
      </w:r>
      <w:r>
        <w:rPr>
          <w:rFonts w:ascii="Calibri" w:hAnsi="Calibri" w:cs="Calibri"/>
          <w:noProof/>
        </w:rPr>
        <w:t> </w:t>
      </w:r>
      <w:r>
        <w:rPr>
          <w:noProof/>
        </w:rPr>
        <w:t>EUR)</w:t>
      </w:r>
    </w:p>
    <w:p w:rsidR="00311BB8" w:rsidRDefault="00D91061">
      <w:pPr>
        <w:pStyle w:val="AMPRSource-Table-Chart-Photo-Caption"/>
        <w:rPr>
          <w:noProof/>
        </w:rPr>
      </w:pPr>
      <w:r>
        <w:rPr>
          <w:noProof/>
        </w:rPr>
        <w:t>NB: Due to the rounding of figures to the nearest million EUR, some financial data in the table above may appear not to add up.</w:t>
      </w:r>
    </w:p>
    <w:p w:rsidR="00311BB8" w:rsidRDefault="00D91061">
      <w:pPr>
        <w:pStyle w:val="AMPRSource-Table-Chart-Photo-Caption"/>
        <w:tabs>
          <w:tab w:val="left" w:pos="426"/>
        </w:tabs>
        <w:rPr>
          <w:noProof/>
        </w:rPr>
      </w:pPr>
      <w:r>
        <w:rPr>
          <w:noProof/>
        </w:rPr>
        <w:t>(*)</w:t>
      </w:r>
      <w:r>
        <w:rPr>
          <w:noProof/>
        </w:rPr>
        <w:tab/>
        <w:t>A total of EUR</w:t>
      </w:r>
      <w:r>
        <w:rPr>
          <w:rFonts w:ascii="Calibri" w:hAnsi="Calibri" w:cs="Calibri"/>
          <w:noProof/>
        </w:rPr>
        <w:t> </w:t>
      </w:r>
      <w:r>
        <w:rPr>
          <w:noProof/>
        </w:rPr>
        <w:t>235</w:t>
      </w:r>
      <w:r>
        <w:rPr>
          <w:rFonts w:ascii="Calibri" w:hAnsi="Calibri" w:cs="Calibri"/>
          <w:noProof/>
        </w:rPr>
        <w:t> </w:t>
      </w:r>
      <w:r>
        <w:rPr>
          <w:noProof/>
        </w:rPr>
        <w:t>million remains to be classified and is treated as non-net corrections in this table.</w:t>
      </w:r>
    </w:p>
    <w:p w:rsidR="00311BB8" w:rsidRDefault="00D91061">
      <w:pPr>
        <w:pStyle w:val="AMPRSource-Table-Chart-Photo-Caption"/>
        <w:tabs>
          <w:tab w:val="left" w:pos="426"/>
        </w:tabs>
        <w:ind w:left="426" w:hanging="426"/>
        <w:rPr>
          <w:noProof/>
        </w:rPr>
      </w:pPr>
      <w:r>
        <w:rPr>
          <w:noProof/>
        </w:rPr>
        <w:t>(**)</w:t>
      </w:r>
      <w:r>
        <w:rPr>
          <w:noProof/>
        </w:rPr>
        <w:tab/>
        <w:t xml:space="preserve">For the purposes of calculating its corrective capacity in the annual activity report, DG Agriculture and Rural Development only takes into account the amounts related to conformity clearance decisions adopted by the Commission and published in the </w:t>
      </w:r>
      <w:r>
        <w:rPr>
          <w:i/>
          <w:noProof/>
        </w:rPr>
        <w:t>Official Journal of the European Union</w:t>
      </w:r>
      <w:r>
        <w:rPr>
          <w:noProof/>
        </w:rPr>
        <w:t>, and deducts the corrections in respect of cross-compliance infringements</w:t>
      </w:r>
    </w:p>
    <w:p w:rsidR="00311BB8" w:rsidRDefault="00D91061">
      <w:pPr>
        <w:pStyle w:val="AMPRAnnexesTITLE5"/>
        <w:rPr>
          <w:rFonts w:eastAsia="EC Square Sans Pro"/>
          <w:noProof/>
          <w:sz w:val="22"/>
          <w:lang w:eastAsia="fr-BE"/>
        </w:rPr>
      </w:pPr>
      <w:r>
        <w:rPr>
          <w:noProof/>
        </w:rPr>
        <w:t>Implemented</w:t>
      </w:r>
      <w:r>
        <w:rPr>
          <w:rFonts w:eastAsia="EC Square Sans Pro"/>
          <w:noProof/>
          <w:color w:val="FF0000"/>
          <w:sz w:val="22"/>
        </w:rPr>
        <w:t xml:space="preserve"> </w:t>
      </w:r>
    </w:p>
    <w:tbl>
      <w:tblPr>
        <w:tblStyle w:val="AMPRTABLEA-Template"/>
        <w:tblW w:w="9072" w:type="dxa"/>
        <w:tblLayout w:type="fixed"/>
        <w:tblLook w:val="04E0" w:firstRow="1" w:lastRow="1" w:firstColumn="1" w:lastColumn="0" w:noHBand="0" w:noVBand="1"/>
      </w:tblPr>
      <w:tblGrid>
        <w:gridCol w:w="3403"/>
        <w:gridCol w:w="1889"/>
        <w:gridCol w:w="1890"/>
        <w:gridCol w:w="1890"/>
      </w:tblGrid>
      <w:tr w:rsidR="00311BB8" w:rsidTr="00311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noWrap/>
            <w:hideMark/>
          </w:tcPr>
          <w:p w:rsidR="00311BB8" w:rsidRDefault="00D91061">
            <w:pPr>
              <w:pStyle w:val="AMPRTABLEA-HEADERText-WHITE"/>
              <w:spacing w:before="144" w:after="144"/>
              <w:rPr>
                <w:noProof/>
                <w:sz w:val="16"/>
                <w:szCs w:val="14"/>
              </w:rPr>
            </w:pPr>
            <w:r>
              <w:rPr>
                <w:noProof/>
                <w:sz w:val="16"/>
              </w:rPr>
              <w:t>Multiannual financial framework heading</w:t>
            </w:r>
          </w:p>
        </w:tc>
        <w:tc>
          <w:tcPr>
            <w:tcW w:w="1889"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4"/>
                <w:lang w:val="en-GB"/>
              </w:rPr>
            </w:pPr>
            <w:r>
              <w:rPr>
                <w:noProof/>
                <w:sz w:val="16"/>
                <w:lang w:val="en-GB"/>
              </w:rPr>
              <w:t>Net financial corrections implemented in 2019</w:t>
            </w:r>
          </w:p>
        </w:tc>
        <w:tc>
          <w:tcPr>
            <w:tcW w:w="1890"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4"/>
                <w:lang w:val="en-GB"/>
              </w:rPr>
            </w:pPr>
            <w:r>
              <w:rPr>
                <w:noProof/>
                <w:sz w:val="16"/>
                <w:lang w:val="en-GB"/>
              </w:rPr>
              <w:t>Financial corrections with replacement of expenditure, and other corrections implemented in 2019</w:t>
            </w:r>
          </w:p>
        </w:tc>
        <w:tc>
          <w:tcPr>
            <w:tcW w:w="1890"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4"/>
                <w:lang w:val="en-GB"/>
              </w:rPr>
            </w:pPr>
            <w:r>
              <w:rPr>
                <w:noProof/>
                <w:sz w:val="16"/>
                <w:lang w:val="en-GB"/>
              </w:rPr>
              <w:t>Total financial corrections implemented in 2019</w:t>
            </w:r>
          </w:p>
        </w:tc>
      </w:tr>
      <w:tr w:rsidR="00311BB8" w:rsidTr="00311BB8">
        <w:tc>
          <w:tcPr>
            <w:cnfStyle w:val="001000000000" w:firstRow="0" w:lastRow="0" w:firstColumn="1" w:lastColumn="0" w:oddVBand="0" w:evenVBand="0" w:oddHBand="0" w:evenHBand="0" w:firstRowFirstColumn="0" w:firstRowLastColumn="0" w:lastRowFirstColumn="0" w:lastRowLastColumn="0"/>
            <w:tcW w:w="3403" w:type="dxa"/>
            <w:noWrap/>
            <w:hideMark/>
          </w:tcPr>
          <w:p w:rsidR="00311BB8" w:rsidRDefault="00D91061">
            <w:pPr>
              <w:pStyle w:val="AMPRTABLEA-TextLEFTalligned-BLACK"/>
              <w:rPr>
                <w:b/>
                <w:bCs/>
                <w:noProof/>
              </w:rPr>
            </w:pPr>
            <w:r>
              <w:rPr>
                <w:b/>
                <w:bCs/>
                <w:noProof/>
              </w:rPr>
              <w:t>Smart and inclusive growth</w:t>
            </w:r>
          </w:p>
        </w:tc>
        <w:tc>
          <w:tcPr>
            <w:tcW w:w="1889"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304</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654</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958</w:t>
            </w:r>
          </w:p>
        </w:tc>
      </w:tr>
      <w:tr w:rsidR="00311BB8" w:rsidTr="00311BB8">
        <w:tc>
          <w:tcPr>
            <w:cnfStyle w:val="001000000000" w:firstRow="0" w:lastRow="0" w:firstColumn="1" w:lastColumn="0" w:oddVBand="0" w:evenVBand="0" w:oddHBand="0" w:evenHBand="0" w:firstRowFirstColumn="0" w:firstRowLastColumn="0" w:lastRowFirstColumn="0" w:lastRowLastColumn="0"/>
            <w:tcW w:w="3403" w:type="dxa"/>
            <w:noWrap/>
            <w:hideMark/>
          </w:tcPr>
          <w:p w:rsidR="00311BB8" w:rsidRDefault="00D91061">
            <w:pPr>
              <w:pStyle w:val="AMPRTABLEA-TextLEFTalligned-BLACK"/>
              <w:ind w:left="142"/>
              <w:rPr>
                <w:noProof/>
              </w:rPr>
            </w:pPr>
            <w:r>
              <w:rPr>
                <w:noProof/>
              </w:rPr>
              <w:t>European Regional Development Fund</w:t>
            </w:r>
          </w:p>
        </w:tc>
        <w:tc>
          <w:tcPr>
            <w:tcW w:w="1889"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35</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356</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391</w:t>
            </w:r>
          </w:p>
        </w:tc>
      </w:tr>
      <w:tr w:rsidR="00311BB8" w:rsidTr="00311BB8">
        <w:tc>
          <w:tcPr>
            <w:cnfStyle w:val="001000000000" w:firstRow="0" w:lastRow="0" w:firstColumn="1" w:lastColumn="0" w:oddVBand="0" w:evenVBand="0" w:oddHBand="0" w:evenHBand="0" w:firstRowFirstColumn="0" w:firstRowLastColumn="0" w:lastRowFirstColumn="0" w:lastRowLastColumn="0"/>
            <w:tcW w:w="3403" w:type="dxa"/>
            <w:noWrap/>
            <w:hideMark/>
          </w:tcPr>
          <w:p w:rsidR="00311BB8" w:rsidRDefault="00D91061">
            <w:pPr>
              <w:pStyle w:val="AMPRTABLEA-TextLEFTalligned-BLACK"/>
              <w:ind w:left="142"/>
              <w:rPr>
                <w:noProof/>
              </w:rPr>
            </w:pPr>
            <w:r>
              <w:rPr>
                <w:noProof/>
              </w:rPr>
              <w:t>Cohesion Fund</w:t>
            </w:r>
          </w:p>
        </w:tc>
        <w:tc>
          <w:tcPr>
            <w:tcW w:w="1889"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88</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88</w:t>
            </w:r>
          </w:p>
        </w:tc>
      </w:tr>
      <w:tr w:rsidR="00311BB8" w:rsidTr="00311BB8">
        <w:tc>
          <w:tcPr>
            <w:cnfStyle w:val="001000000000" w:firstRow="0" w:lastRow="0" w:firstColumn="1" w:lastColumn="0" w:oddVBand="0" w:evenVBand="0" w:oddHBand="0" w:evenHBand="0" w:firstRowFirstColumn="0" w:firstRowLastColumn="0" w:lastRowFirstColumn="0" w:lastRowLastColumn="0"/>
            <w:tcW w:w="3403" w:type="dxa"/>
            <w:noWrap/>
            <w:hideMark/>
          </w:tcPr>
          <w:p w:rsidR="00311BB8" w:rsidRDefault="00D91061">
            <w:pPr>
              <w:pStyle w:val="AMPRTABLEA-TextLEFTalligned-BLACK"/>
              <w:ind w:left="142"/>
              <w:rPr>
                <w:noProof/>
              </w:rPr>
            </w:pPr>
            <w:r>
              <w:rPr>
                <w:noProof/>
              </w:rPr>
              <w:t>European Social Fund</w:t>
            </w:r>
          </w:p>
        </w:tc>
        <w:tc>
          <w:tcPr>
            <w:tcW w:w="1889"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269</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210</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479</w:t>
            </w:r>
          </w:p>
        </w:tc>
      </w:tr>
      <w:tr w:rsidR="00311BB8" w:rsidTr="00311BB8">
        <w:tc>
          <w:tcPr>
            <w:cnfStyle w:val="001000000000" w:firstRow="0" w:lastRow="0" w:firstColumn="1" w:lastColumn="0" w:oddVBand="0" w:evenVBand="0" w:oddHBand="0" w:evenHBand="0" w:firstRowFirstColumn="0" w:firstRowLastColumn="0" w:lastRowFirstColumn="0" w:lastRowLastColumn="0"/>
            <w:tcW w:w="3403" w:type="dxa"/>
            <w:noWrap/>
            <w:hideMark/>
          </w:tcPr>
          <w:p w:rsidR="00311BB8" w:rsidRDefault="00D91061">
            <w:pPr>
              <w:pStyle w:val="AMPRTABLEA-TextLEFTalligned-BLACK"/>
              <w:rPr>
                <w:b/>
                <w:bCs/>
                <w:noProof/>
              </w:rPr>
            </w:pPr>
            <w:r>
              <w:rPr>
                <w:b/>
                <w:bCs/>
                <w:noProof/>
              </w:rPr>
              <w:t>Sustainable growth: natural resources</w:t>
            </w:r>
          </w:p>
        </w:tc>
        <w:tc>
          <w:tcPr>
            <w:tcW w:w="1889"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1</w:t>
            </w:r>
            <w:r>
              <w:rPr>
                <w:rFonts w:ascii="Calibri" w:eastAsia="EC Square Sans Pro" w:hAnsi="Calibri" w:cs="Calibri"/>
                <w:b/>
                <w:bCs/>
                <w:noProof/>
              </w:rPr>
              <w:t> </w:t>
            </w:r>
            <w:r>
              <w:rPr>
                <w:rFonts w:eastAsia="EC Square Sans Pro"/>
                <w:b/>
                <w:bCs/>
                <w:noProof/>
              </w:rPr>
              <w:t>091</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0</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1</w:t>
            </w:r>
            <w:r>
              <w:rPr>
                <w:rFonts w:ascii="Calibri" w:eastAsia="EC Square Sans Pro" w:hAnsi="Calibri" w:cs="Calibri"/>
                <w:b/>
                <w:bCs/>
                <w:noProof/>
              </w:rPr>
              <w:t> </w:t>
            </w:r>
            <w:r>
              <w:rPr>
                <w:rFonts w:eastAsia="EC Square Sans Pro"/>
                <w:b/>
                <w:bCs/>
                <w:noProof/>
              </w:rPr>
              <w:t>091</w:t>
            </w:r>
          </w:p>
        </w:tc>
      </w:tr>
      <w:tr w:rsidR="00311BB8" w:rsidTr="00311BB8">
        <w:tc>
          <w:tcPr>
            <w:cnfStyle w:val="001000000000" w:firstRow="0" w:lastRow="0" w:firstColumn="1" w:lastColumn="0" w:oddVBand="0" w:evenVBand="0" w:oddHBand="0" w:evenHBand="0" w:firstRowFirstColumn="0" w:firstRowLastColumn="0" w:lastRowFirstColumn="0" w:lastRowLastColumn="0"/>
            <w:tcW w:w="3403" w:type="dxa"/>
            <w:noWrap/>
            <w:hideMark/>
          </w:tcPr>
          <w:p w:rsidR="00311BB8" w:rsidRDefault="00D91061">
            <w:pPr>
              <w:pStyle w:val="AMPRTABLEA-TextLEFTalligned-BLACK"/>
              <w:ind w:left="142"/>
              <w:rPr>
                <w:noProof/>
              </w:rPr>
            </w:pPr>
            <w:r>
              <w:rPr>
                <w:noProof/>
              </w:rPr>
              <w:t>European Agricultural Guarantee Fund</w:t>
            </w:r>
          </w:p>
        </w:tc>
        <w:tc>
          <w:tcPr>
            <w:tcW w:w="1889"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982</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982</w:t>
            </w:r>
          </w:p>
        </w:tc>
      </w:tr>
      <w:tr w:rsidR="00311BB8" w:rsidTr="00311BB8">
        <w:tc>
          <w:tcPr>
            <w:cnfStyle w:val="001000000000" w:firstRow="0" w:lastRow="0" w:firstColumn="1" w:lastColumn="0" w:oddVBand="0" w:evenVBand="0" w:oddHBand="0" w:evenHBand="0" w:firstRowFirstColumn="0" w:firstRowLastColumn="0" w:lastRowFirstColumn="0" w:lastRowLastColumn="0"/>
            <w:tcW w:w="3403" w:type="dxa"/>
            <w:noWrap/>
            <w:hideMark/>
          </w:tcPr>
          <w:p w:rsidR="00311BB8" w:rsidRDefault="00D91061">
            <w:pPr>
              <w:pStyle w:val="AMPRTABLEA-TextLEFTalligned-BLACK"/>
              <w:ind w:left="142"/>
              <w:rPr>
                <w:noProof/>
              </w:rPr>
            </w:pPr>
            <w:r>
              <w:rPr>
                <w:noProof/>
              </w:rPr>
              <w:t>Rural development</w:t>
            </w:r>
          </w:p>
        </w:tc>
        <w:tc>
          <w:tcPr>
            <w:tcW w:w="1889"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181</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181</w:t>
            </w:r>
          </w:p>
        </w:tc>
      </w:tr>
      <w:tr w:rsidR="00311BB8" w:rsidTr="00311BB8">
        <w:tc>
          <w:tcPr>
            <w:cnfStyle w:val="001000000000" w:firstRow="0" w:lastRow="0" w:firstColumn="1" w:lastColumn="0" w:oddVBand="0" w:evenVBand="0" w:oddHBand="0" w:evenHBand="0" w:firstRowFirstColumn="0" w:firstRowLastColumn="0" w:lastRowFirstColumn="0" w:lastRowLastColumn="0"/>
            <w:tcW w:w="3403" w:type="dxa"/>
            <w:noWrap/>
            <w:hideMark/>
          </w:tcPr>
          <w:p w:rsidR="00311BB8" w:rsidRDefault="00D91061">
            <w:pPr>
              <w:pStyle w:val="AMPRTABLEA-TextLEFTalligned-BLACK"/>
              <w:ind w:left="142"/>
              <w:rPr>
                <w:noProof/>
                <w:lang w:val="en-GB"/>
              </w:rPr>
            </w:pPr>
            <w:r>
              <w:rPr>
                <w:noProof/>
                <w:lang w:val="en-GB"/>
              </w:rPr>
              <w:t>Financial Instrument for Fisheries Guidance</w:t>
            </w:r>
            <w:r>
              <w:rPr>
                <w:rFonts w:ascii="Calibri" w:hAnsi="Calibri" w:cs="Calibri"/>
                <w:noProof/>
                <w:lang w:val="en-GB"/>
              </w:rPr>
              <w:t> </w:t>
            </w:r>
            <w:r>
              <w:rPr>
                <w:noProof/>
                <w:lang w:val="en-GB"/>
              </w:rPr>
              <w:t>/ European Fisheries Fund</w:t>
            </w:r>
            <w:r>
              <w:rPr>
                <w:rFonts w:eastAsia="Calibri"/>
                <w:noProof/>
                <w:sz w:val="16"/>
                <w:szCs w:val="16"/>
                <w:lang w:val="en-GB"/>
              </w:rPr>
              <w:t xml:space="preserve"> / </w:t>
            </w:r>
            <w:r>
              <w:rPr>
                <w:noProof/>
                <w:lang w:val="en-GB"/>
              </w:rPr>
              <w:t>European Maritime and Fisheries Fund</w:t>
            </w:r>
          </w:p>
        </w:tc>
        <w:tc>
          <w:tcPr>
            <w:tcW w:w="1889"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0</w:t>
            </w:r>
          </w:p>
        </w:tc>
      </w:tr>
      <w:tr w:rsidR="00311BB8" w:rsidTr="00311BB8">
        <w:tc>
          <w:tcPr>
            <w:cnfStyle w:val="001000000000" w:firstRow="0" w:lastRow="0" w:firstColumn="1" w:lastColumn="0" w:oddVBand="0" w:evenVBand="0" w:oddHBand="0" w:evenHBand="0" w:firstRowFirstColumn="0" w:firstRowLastColumn="0" w:lastRowFirstColumn="0" w:lastRowLastColumn="0"/>
            <w:tcW w:w="3403" w:type="dxa"/>
            <w:noWrap/>
            <w:hideMark/>
          </w:tcPr>
          <w:p w:rsidR="00311BB8" w:rsidRDefault="00D91061">
            <w:pPr>
              <w:pStyle w:val="AMPRTABLEA-TextLEFTalligned-BLACK"/>
              <w:ind w:left="142"/>
              <w:rPr>
                <w:noProof/>
                <w:lang w:val="en-GB"/>
              </w:rPr>
            </w:pPr>
            <w:r>
              <w:rPr>
                <w:noProof/>
                <w:lang w:val="en-GB"/>
              </w:rPr>
              <w:t>European Agricultural Guidance and Guarantee Fund</w:t>
            </w:r>
          </w:p>
        </w:tc>
        <w:tc>
          <w:tcPr>
            <w:tcW w:w="1889"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(72)</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(72)</w:t>
            </w:r>
          </w:p>
        </w:tc>
      </w:tr>
      <w:tr w:rsidR="00311BB8" w:rsidTr="00311BB8">
        <w:tc>
          <w:tcPr>
            <w:cnfStyle w:val="001000000000" w:firstRow="0" w:lastRow="0" w:firstColumn="1" w:lastColumn="0" w:oddVBand="0" w:evenVBand="0" w:oddHBand="0" w:evenHBand="0" w:firstRowFirstColumn="0" w:firstRowLastColumn="0" w:lastRowFirstColumn="0" w:lastRowLastColumn="0"/>
            <w:tcW w:w="3403" w:type="dxa"/>
            <w:noWrap/>
            <w:hideMark/>
          </w:tcPr>
          <w:p w:rsidR="00311BB8" w:rsidRDefault="00D91061">
            <w:pPr>
              <w:pStyle w:val="AMPRTABLEA-TextLEFTalligned-BLACK"/>
              <w:rPr>
                <w:b/>
                <w:bCs/>
                <w:noProof/>
              </w:rPr>
            </w:pPr>
            <w:r>
              <w:rPr>
                <w:b/>
                <w:bCs/>
                <w:noProof/>
              </w:rPr>
              <w:t xml:space="preserve">Security and citizenship </w:t>
            </w:r>
          </w:p>
        </w:tc>
        <w:tc>
          <w:tcPr>
            <w:tcW w:w="1889"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6</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7</w:t>
            </w:r>
          </w:p>
        </w:tc>
        <w:tc>
          <w:tcPr>
            <w:tcW w:w="1890" w:type="dxa"/>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b/>
                <w:bCs/>
                <w:noProof/>
              </w:rPr>
            </w:pPr>
            <w:r>
              <w:rPr>
                <w:rFonts w:eastAsia="EC Square Sans Pro"/>
                <w:b/>
                <w:bCs/>
                <w:noProof/>
              </w:rPr>
              <w:t>13</w:t>
            </w:r>
          </w:p>
        </w:tc>
      </w:tr>
      <w:tr w:rsidR="00311BB8" w:rsidTr="00311BB8">
        <w:tc>
          <w:tcPr>
            <w:cnfStyle w:val="001000000000" w:firstRow="0" w:lastRow="0" w:firstColumn="1" w:lastColumn="0" w:oddVBand="0" w:evenVBand="0" w:oddHBand="0" w:evenHBand="0" w:firstRowFirstColumn="0" w:firstRowLastColumn="0" w:lastRowFirstColumn="0" w:lastRowLastColumn="0"/>
            <w:tcW w:w="3403" w:type="dxa"/>
            <w:noWrap/>
            <w:hideMark/>
          </w:tcPr>
          <w:p w:rsidR="00311BB8" w:rsidRDefault="00D91061">
            <w:pPr>
              <w:pStyle w:val="AMPRTABLEA-TextLEFTalligned-BLACK"/>
              <w:ind w:left="142"/>
              <w:rPr>
                <w:noProof/>
              </w:rPr>
            </w:pPr>
            <w:r>
              <w:rPr>
                <w:noProof/>
              </w:rPr>
              <w:t>Migration and home affairs</w:t>
            </w:r>
          </w:p>
        </w:tc>
        <w:tc>
          <w:tcPr>
            <w:tcW w:w="188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6</w:t>
            </w:r>
          </w:p>
        </w:tc>
        <w:tc>
          <w:tcPr>
            <w:tcW w:w="189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7</w:t>
            </w:r>
          </w:p>
        </w:tc>
        <w:tc>
          <w:tcPr>
            <w:tcW w:w="189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13</w:t>
            </w:r>
          </w:p>
        </w:tc>
      </w:tr>
      <w:tr w:rsidR="00311BB8" w:rsidTr="00311B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noWrap/>
            <w:hideMark/>
          </w:tcPr>
          <w:p w:rsidR="00311BB8" w:rsidRDefault="00D91061">
            <w:pPr>
              <w:pStyle w:val="AMPRTABLEA-TOTALLEFTalligned-BLACK"/>
              <w:rPr>
                <w:rFonts w:eastAsia="EC Square Sans Pro"/>
                <w:noProof/>
              </w:rPr>
            </w:pPr>
            <w:r>
              <w:rPr>
                <w:rFonts w:eastAsia="EC Square Sans Pro"/>
                <w:noProof/>
              </w:rPr>
              <w:t>Total</w:t>
            </w:r>
          </w:p>
        </w:tc>
        <w:tc>
          <w:tcPr>
            <w:tcW w:w="1889"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1</w:t>
            </w:r>
            <w:r>
              <w:rPr>
                <w:rFonts w:ascii="Calibri" w:hAnsi="Calibri" w:cs="Calibri"/>
                <w:noProof/>
              </w:rPr>
              <w:t> </w:t>
            </w:r>
            <w:r>
              <w:rPr>
                <w:noProof/>
              </w:rPr>
              <w:t>401</w:t>
            </w:r>
          </w:p>
        </w:tc>
        <w:tc>
          <w:tcPr>
            <w:tcW w:w="1890"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661</w:t>
            </w:r>
          </w:p>
        </w:tc>
        <w:tc>
          <w:tcPr>
            <w:tcW w:w="1890" w:type="dxa"/>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noProof/>
              </w:rPr>
            </w:pPr>
            <w:r>
              <w:rPr>
                <w:noProof/>
              </w:rPr>
              <w:t>2</w:t>
            </w:r>
            <w:r>
              <w:rPr>
                <w:rFonts w:ascii="Calibri" w:hAnsi="Calibri" w:cs="Calibri"/>
                <w:noProof/>
              </w:rPr>
              <w:t> </w:t>
            </w:r>
            <w:r>
              <w:rPr>
                <w:noProof/>
              </w:rPr>
              <w:t>062</w:t>
            </w:r>
          </w:p>
        </w:tc>
      </w:tr>
    </w:tbl>
    <w:p w:rsidR="00311BB8" w:rsidRDefault="00D91061">
      <w:pPr>
        <w:pStyle w:val="AMPRChart-Tabletitle"/>
        <w:rPr>
          <w:noProof/>
          <w:highlight w:val="green"/>
        </w:rPr>
      </w:pPr>
      <w:r>
        <w:rPr>
          <w:noProof/>
        </w:rPr>
        <w:t>Implemented net financial corrections in 2019, by multiannual financial framework heading (million</w:t>
      </w:r>
      <w:r>
        <w:rPr>
          <w:rFonts w:ascii="Calibri" w:hAnsi="Calibri" w:cs="Calibri"/>
          <w:noProof/>
        </w:rPr>
        <w:t> </w:t>
      </w:r>
      <w:r>
        <w:rPr>
          <w:noProof/>
        </w:rPr>
        <w:t>EUR)</w:t>
      </w:r>
    </w:p>
    <w:p w:rsidR="00311BB8" w:rsidRDefault="00D91061">
      <w:pPr>
        <w:pStyle w:val="AMPRSource-Table-Chart-Photo-Caption"/>
        <w:rPr>
          <w:noProof/>
        </w:rPr>
      </w:pPr>
      <w:r>
        <w:rPr>
          <w:noProof/>
        </w:rPr>
        <w:t>NB: Due to the rounding of figures to the nearest million EUR, some financial data in the table above may appear not to add up.</w:t>
      </w:r>
    </w:p>
    <w:p w:rsidR="00311BB8" w:rsidRDefault="00D91061">
      <w:pPr>
        <w:pStyle w:val="AMPRBodyText"/>
        <w:rPr>
          <w:noProof/>
          <w:lang w:eastAsia="fr-BE"/>
        </w:rPr>
      </w:pPr>
      <w:r>
        <w:rPr>
          <w:noProof/>
          <w:lang w:eastAsia="fr-BE"/>
        </w:rPr>
        <w:t>The impact of the correction mechanism varies depending on the type of budget implementation, the sectorial management and the financial rules of the policy area. In all cases, the correction mechanisms aim to protect the EU budget from expenditure incurred that is in breach of law.</w:t>
      </w:r>
    </w:p>
    <w:p w:rsidR="00311BB8" w:rsidRDefault="00D91061">
      <w:pPr>
        <w:pStyle w:val="AMPRAnnexesTITLE4-Numbered"/>
        <w:rPr>
          <w:rFonts w:eastAsia="Calibri"/>
          <w:noProof/>
          <w:color w:val="E48C32"/>
          <w:lang w:eastAsia="fr-BE"/>
        </w:rPr>
      </w:pPr>
      <w:bookmarkStart w:id="136" w:name="_Toc484626507"/>
      <w:bookmarkStart w:id="137" w:name="_Toc512866549"/>
      <w:bookmarkStart w:id="138" w:name="_Toc8386220"/>
      <w:r>
        <w:rPr>
          <w:noProof/>
        </w:rPr>
        <w:t xml:space="preserve">Breakdown of flat-rate corrections </w:t>
      </w:r>
      <w:bookmarkEnd w:id="136"/>
      <w:bookmarkEnd w:id="137"/>
      <w:r>
        <w:rPr>
          <w:noProof/>
        </w:rPr>
        <w:t>2019</w:t>
      </w:r>
      <w:bookmarkEnd w:id="138"/>
    </w:p>
    <w:p w:rsidR="00311BB8" w:rsidRDefault="00D91061">
      <w:pPr>
        <w:pStyle w:val="AMPRBodyText"/>
        <w:spacing w:after="360"/>
        <w:rPr>
          <w:noProof/>
          <w:lang w:eastAsia="fr-BE"/>
        </w:rPr>
      </w:pPr>
      <w:r>
        <w:rPr>
          <w:noProof/>
          <w:lang w:eastAsia="fr-BE"/>
        </w:rPr>
        <w:t>Flat-rate corrections</w:t>
      </w:r>
      <w:r>
        <w:rPr>
          <w:rFonts w:ascii="Calibri" w:hAnsi="Calibri" w:cs="Calibri"/>
          <w:noProof/>
          <w:lang w:eastAsia="fr-BE"/>
        </w:rPr>
        <w:t> </w:t>
      </w:r>
      <w:r>
        <w:rPr>
          <w:noProof/>
          <w:lang w:eastAsia="fr-BE"/>
        </w:rPr>
        <w:t>(</w:t>
      </w:r>
      <w:r>
        <w:rPr>
          <w:noProof/>
          <w:vertAlign w:val="superscript"/>
          <w:lang w:eastAsia="fr-BE"/>
        </w:rPr>
        <w:footnoteReference w:id="42"/>
      </w:r>
      <w:r>
        <w:rPr>
          <w:noProof/>
          <w:lang w:eastAsia="fr-BE"/>
        </w:rPr>
        <w:t xml:space="preserve">) are a valuable tool used when the related amount cannot be quantified on the basis of a representative statistical sample or when the impact of individual errors on expenditure cannot be quantified precisely. However, this means that a Member State subject to a flat-rate correction normally bears the financial consequences as these corrections are not directly linked to individual irregularities at project level, i.e. there is no individual final beneficiary to recover monies from. </w:t>
      </w:r>
    </w:p>
    <w:tbl>
      <w:tblPr>
        <w:tblStyle w:val="AMPRTABLEA-Template"/>
        <w:tblW w:w="9070" w:type="dxa"/>
        <w:tblLayout w:type="fixed"/>
        <w:tblLook w:val="04E0" w:firstRow="1" w:lastRow="1" w:firstColumn="1" w:lastColumn="0" w:noHBand="0" w:noVBand="1"/>
      </w:tblPr>
      <w:tblGrid>
        <w:gridCol w:w="3017"/>
        <w:gridCol w:w="1513"/>
        <w:gridCol w:w="1513"/>
        <w:gridCol w:w="1513"/>
        <w:gridCol w:w="1514"/>
      </w:tblGrid>
      <w:tr w:rsidR="00311BB8" w:rsidTr="00311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17" w:type="dxa"/>
            <w:hideMark/>
          </w:tcPr>
          <w:p w:rsidR="00311BB8" w:rsidRDefault="00D91061">
            <w:pPr>
              <w:pStyle w:val="AMPRTABLEA-HEADERText-WHITE"/>
              <w:spacing w:before="144" w:after="144"/>
              <w:rPr>
                <w:noProof/>
                <w:sz w:val="16"/>
                <w:szCs w:val="14"/>
              </w:rPr>
            </w:pPr>
            <w:r>
              <w:rPr>
                <w:noProof/>
                <w:sz w:val="16"/>
              </w:rPr>
              <w:t>Multiannual financial framework heading</w:t>
            </w:r>
          </w:p>
        </w:tc>
        <w:tc>
          <w:tcPr>
            <w:tcW w:w="1513"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4"/>
              </w:rPr>
            </w:pPr>
            <w:r>
              <w:rPr>
                <w:rFonts w:eastAsia="Calibri"/>
                <w:noProof/>
                <w:sz w:val="16"/>
              </w:rPr>
              <w:t>Total financial corrections confirmed</w:t>
            </w:r>
          </w:p>
        </w:tc>
        <w:tc>
          <w:tcPr>
            <w:tcW w:w="1513"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4"/>
                <w:lang w:val="en-GB"/>
              </w:rPr>
            </w:pPr>
            <w:r>
              <w:rPr>
                <w:rFonts w:eastAsia="Calibri"/>
                <w:noProof/>
                <w:sz w:val="16"/>
                <w:lang w:val="en-GB"/>
              </w:rPr>
              <w:t>Flat-rate financial corrections</w:t>
            </w:r>
            <w:r>
              <w:rPr>
                <w:rFonts w:ascii="Calibri" w:eastAsia="Calibri" w:hAnsi="Calibri" w:cs="Calibri"/>
                <w:noProof/>
                <w:sz w:val="16"/>
                <w:lang w:val="en-GB"/>
              </w:rPr>
              <w:t> </w:t>
            </w:r>
            <w:r>
              <w:rPr>
                <w:rFonts w:ascii="Calibri" w:eastAsia="Calibri" w:hAnsi="Calibri" w:cs="Calibri"/>
                <w:b w:val="0"/>
                <w:bCs w:val="0"/>
                <w:noProof/>
                <w:sz w:val="16"/>
                <w:lang w:val="en-GB"/>
              </w:rPr>
              <w:t>(</w:t>
            </w:r>
            <w:r>
              <w:rPr>
                <w:rFonts w:eastAsia="Calibri"/>
                <w:b w:val="0"/>
                <w:bCs w:val="0"/>
                <w:noProof/>
                <w:sz w:val="16"/>
                <w:lang w:val="en-GB"/>
              </w:rPr>
              <w:t>*)</w:t>
            </w:r>
            <w:r>
              <w:rPr>
                <w:rFonts w:eastAsia="Calibri"/>
                <w:noProof/>
                <w:sz w:val="16"/>
                <w:lang w:val="en-GB"/>
              </w:rPr>
              <w:t xml:space="preserve"> confirmed in 2019</w:t>
            </w:r>
          </w:p>
        </w:tc>
        <w:tc>
          <w:tcPr>
            <w:tcW w:w="1513"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4"/>
              </w:rPr>
            </w:pPr>
            <w:r>
              <w:rPr>
                <w:rFonts w:eastAsia="Calibri"/>
                <w:noProof/>
                <w:sz w:val="16"/>
              </w:rPr>
              <w:t>Total financial corrections implemented</w:t>
            </w:r>
          </w:p>
        </w:tc>
        <w:tc>
          <w:tcPr>
            <w:tcW w:w="1514"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sz w:val="16"/>
                <w:szCs w:val="14"/>
                <w:lang w:val="en-GB"/>
              </w:rPr>
            </w:pPr>
            <w:r>
              <w:rPr>
                <w:rFonts w:eastAsia="Calibri"/>
                <w:noProof/>
                <w:sz w:val="16"/>
                <w:lang w:val="en-GB"/>
              </w:rPr>
              <w:t>Flat-rate financial corrections</w:t>
            </w:r>
            <w:r>
              <w:rPr>
                <w:rFonts w:ascii="Calibri" w:eastAsia="Calibri" w:hAnsi="Calibri" w:cs="Calibri"/>
                <w:noProof/>
                <w:sz w:val="16"/>
                <w:lang w:val="en-GB"/>
              </w:rPr>
              <w:t> </w:t>
            </w:r>
            <w:r>
              <w:rPr>
                <w:rFonts w:ascii="Calibri" w:eastAsia="Calibri" w:hAnsi="Calibri" w:cs="Calibri"/>
                <w:b w:val="0"/>
                <w:bCs w:val="0"/>
                <w:noProof/>
                <w:sz w:val="16"/>
                <w:lang w:val="en-GB"/>
              </w:rPr>
              <w:t>(</w:t>
            </w:r>
            <w:r>
              <w:rPr>
                <w:rFonts w:eastAsia="Calibri"/>
                <w:b w:val="0"/>
                <w:bCs w:val="0"/>
                <w:noProof/>
                <w:sz w:val="16"/>
                <w:lang w:val="en-GB"/>
              </w:rPr>
              <w:t>*)</w:t>
            </w:r>
            <w:r>
              <w:rPr>
                <w:rFonts w:eastAsia="Calibri"/>
                <w:noProof/>
                <w:sz w:val="16"/>
                <w:lang w:val="en-GB"/>
              </w:rPr>
              <w:t xml:space="preserve"> implemented in 2019</w:t>
            </w:r>
          </w:p>
        </w:tc>
      </w:tr>
      <w:tr w:rsidR="00311BB8" w:rsidTr="00311BB8">
        <w:tc>
          <w:tcPr>
            <w:cnfStyle w:val="001000000000" w:firstRow="0" w:lastRow="0" w:firstColumn="1" w:lastColumn="0" w:oddVBand="0" w:evenVBand="0" w:oddHBand="0" w:evenHBand="0" w:firstRowFirstColumn="0" w:firstRowLastColumn="0" w:lastRowFirstColumn="0" w:lastRowLastColumn="0"/>
            <w:tcW w:w="3017" w:type="dxa"/>
            <w:hideMark/>
          </w:tcPr>
          <w:p w:rsidR="00311BB8" w:rsidRDefault="00D91061">
            <w:pPr>
              <w:pStyle w:val="AMPRTABLEA-TextLEFTalligned-BLACK"/>
              <w:rPr>
                <w:b/>
                <w:bCs/>
                <w:noProof/>
              </w:rPr>
            </w:pPr>
            <w:r>
              <w:rPr>
                <w:b/>
                <w:bCs/>
                <w:noProof/>
              </w:rPr>
              <w:t>Agriculture</w:t>
            </w:r>
          </w:p>
        </w:tc>
        <w:tc>
          <w:tcPr>
            <w:tcW w:w="1513" w:type="dxa"/>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p>
        </w:tc>
        <w:tc>
          <w:tcPr>
            <w:tcW w:w="1513" w:type="dxa"/>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p>
        </w:tc>
        <w:tc>
          <w:tcPr>
            <w:tcW w:w="1513" w:type="dxa"/>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p>
        </w:tc>
        <w:tc>
          <w:tcPr>
            <w:tcW w:w="1514" w:type="dxa"/>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p>
        </w:tc>
      </w:tr>
      <w:tr w:rsidR="00311BB8" w:rsidTr="00311BB8">
        <w:tc>
          <w:tcPr>
            <w:cnfStyle w:val="001000000000" w:firstRow="0" w:lastRow="0" w:firstColumn="1" w:lastColumn="0" w:oddVBand="0" w:evenVBand="0" w:oddHBand="0" w:evenHBand="0" w:firstRowFirstColumn="0" w:firstRowLastColumn="0" w:lastRowFirstColumn="0" w:lastRowLastColumn="0"/>
            <w:tcW w:w="3017" w:type="dxa"/>
            <w:hideMark/>
          </w:tcPr>
          <w:p w:rsidR="00311BB8" w:rsidRDefault="00D91061">
            <w:pPr>
              <w:pStyle w:val="AMPRTABLEA-TextLEFTallignedindented-BLACK"/>
              <w:rPr>
                <w:noProof/>
              </w:rPr>
            </w:pPr>
            <w:r>
              <w:rPr>
                <w:noProof/>
              </w:rPr>
              <w:t>European Agricultural Guarantee Fund</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141</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rFonts w:asciiTheme="majorHAnsi" w:hAnsiTheme="majorHAnsi"/>
                <w:noProof/>
              </w:rPr>
              <w:t>5</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982</w:t>
            </w:r>
          </w:p>
        </w:tc>
        <w:tc>
          <w:tcPr>
            <w:tcW w:w="15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rFonts w:asciiTheme="majorHAnsi" w:hAnsiTheme="majorHAnsi"/>
                <w:noProof/>
              </w:rPr>
              <w:t>458</w:t>
            </w:r>
          </w:p>
        </w:tc>
      </w:tr>
      <w:tr w:rsidR="00311BB8" w:rsidTr="00311BB8">
        <w:tc>
          <w:tcPr>
            <w:cnfStyle w:val="001000000000" w:firstRow="0" w:lastRow="0" w:firstColumn="1" w:lastColumn="0" w:oddVBand="0" w:evenVBand="0" w:oddHBand="0" w:evenHBand="0" w:firstRowFirstColumn="0" w:firstRowLastColumn="0" w:lastRowFirstColumn="0" w:lastRowLastColumn="0"/>
            <w:tcW w:w="3017" w:type="dxa"/>
            <w:hideMark/>
          </w:tcPr>
          <w:p w:rsidR="00311BB8" w:rsidRDefault="00D91061">
            <w:pPr>
              <w:pStyle w:val="AMPRTABLEA-TextLEFTalligned-BLACK"/>
              <w:ind w:left="142"/>
              <w:rPr>
                <w:noProof/>
                <w:lang w:val="en-GB"/>
              </w:rPr>
            </w:pPr>
            <w:r>
              <w:rPr>
                <w:noProof/>
                <w:lang w:val="en-GB"/>
              </w:rPr>
              <w:t>European Agricultural Fund for Rural Development</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181</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rFonts w:asciiTheme="majorHAnsi" w:hAnsiTheme="majorHAnsi"/>
                <w:noProof/>
              </w:rPr>
              <w:t>18</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181</w:t>
            </w:r>
          </w:p>
        </w:tc>
        <w:tc>
          <w:tcPr>
            <w:tcW w:w="15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highlight w:val="yellow"/>
              </w:rPr>
            </w:pPr>
            <w:r>
              <w:rPr>
                <w:rFonts w:asciiTheme="majorHAnsi" w:hAnsiTheme="majorHAnsi"/>
                <w:noProof/>
              </w:rPr>
              <w:t>18</w:t>
            </w:r>
          </w:p>
        </w:tc>
      </w:tr>
      <w:tr w:rsidR="00311BB8" w:rsidTr="00311BB8">
        <w:tc>
          <w:tcPr>
            <w:cnfStyle w:val="001000000000" w:firstRow="0" w:lastRow="0" w:firstColumn="1" w:lastColumn="0" w:oddVBand="0" w:evenVBand="0" w:oddHBand="0" w:evenHBand="0" w:firstRowFirstColumn="0" w:firstRowLastColumn="0" w:lastRowFirstColumn="0" w:lastRowLastColumn="0"/>
            <w:tcW w:w="3017" w:type="dxa"/>
            <w:hideMark/>
          </w:tcPr>
          <w:p w:rsidR="00311BB8" w:rsidRDefault="00D91061">
            <w:pPr>
              <w:pStyle w:val="AMPRTABLEA-TextLEFTalligned-BLACK"/>
              <w:rPr>
                <w:b/>
                <w:bCs/>
                <w:noProof/>
              </w:rPr>
            </w:pPr>
            <w:r>
              <w:rPr>
                <w:b/>
                <w:bCs/>
                <w:noProof/>
              </w:rPr>
              <w:t>Cohesion</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Calibri" w:eastAsia="EC Square Sans Pro" w:hAnsi="Calibri" w:cs="Calibri"/>
                <w:noProof/>
              </w:rPr>
              <w:t> </w:t>
            </w:r>
          </w:p>
        </w:tc>
        <w:tc>
          <w:tcPr>
            <w:tcW w:w="1513" w:type="dxa"/>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Calibri" w:eastAsia="EC Square Sans Pro" w:hAnsi="Calibri" w:cs="Calibri"/>
                <w:noProof/>
              </w:rPr>
              <w:t> </w:t>
            </w:r>
          </w:p>
        </w:tc>
        <w:tc>
          <w:tcPr>
            <w:tcW w:w="1514" w:type="dxa"/>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p>
        </w:tc>
      </w:tr>
      <w:tr w:rsidR="00311BB8" w:rsidTr="00311BB8">
        <w:tc>
          <w:tcPr>
            <w:cnfStyle w:val="001000000000" w:firstRow="0" w:lastRow="0" w:firstColumn="1" w:lastColumn="0" w:oddVBand="0" w:evenVBand="0" w:oddHBand="0" w:evenHBand="0" w:firstRowFirstColumn="0" w:firstRowLastColumn="0" w:lastRowFirstColumn="0" w:lastRowLastColumn="0"/>
            <w:tcW w:w="3017" w:type="dxa"/>
          </w:tcPr>
          <w:p w:rsidR="00311BB8" w:rsidRDefault="00D91061">
            <w:pPr>
              <w:pStyle w:val="AMPRTABLEA-TextLEFTallignedindented-BLACK"/>
              <w:rPr>
                <w:noProof/>
                <w:lang w:val="en-GB"/>
              </w:rPr>
            </w:pPr>
            <w:r>
              <w:rPr>
                <w:noProof/>
                <w:lang w:val="en-GB"/>
              </w:rPr>
              <w:t>European Regional Development Fund and Cohesion Fund</w:t>
            </w:r>
            <w:r>
              <w:rPr>
                <w:rFonts w:ascii="Calibri" w:hAnsi="Calibri" w:cs="Calibri"/>
                <w:noProof/>
                <w:lang w:val="en-GB"/>
              </w:rPr>
              <w:t> (</w:t>
            </w:r>
            <w:r>
              <w:rPr>
                <w:noProof/>
                <w:lang w:val="en-GB"/>
              </w:rPr>
              <w:t>**)</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511</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137</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479</w:t>
            </w:r>
          </w:p>
        </w:tc>
        <w:tc>
          <w:tcPr>
            <w:tcW w:w="15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137</w:t>
            </w:r>
          </w:p>
        </w:tc>
      </w:tr>
      <w:tr w:rsidR="00311BB8" w:rsidTr="00311BB8">
        <w:tc>
          <w:tcPr>
            <w:cnfStyle w:val="001000000000" w:firstRow="0" w:lastRow="0" w:firstColumn="1" w:lastColumn="0" w:oddVBand="0" w:evenVBand="0" w:oddHBand="0" w:evenHBand="0" w:firstRowFirstColumn="0" w:firstRowLastColumn="0" w:lastRowFirstColumn="0" w:lastRowLastColumn="0"/>
            <w:tcW w:w="3017" w:type="dxa"/>
          </w:tcPr>
          <w:p w:rsidR="00311BB8" w:rsidRDefault="00D91061">
            <w:pPr>
              <w:pStyle w:val="AMPRTABLEA-TextLEFTallignedindented-BLACK"/>
              <w:rPr>
                <w:noProof/>
              </w:rPr>
            </w:pPr>
            <w:r>
              <w:rPr>
                <w:noProof/>
              </w:rPr>
              <w:t>European Social Fund</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299</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280</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479</w:t>
            </w:r>
          </w:p>
        </w:tc>
        <w:tc>
          <w:tcPr>
            <w:tcW w:w="15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301</w:t>
            </w:r>
          </w:p>
        </w:tc>
      </w:tr>
      <w:tr w:rsidR="00311BB8" w:rsidTr="00311BB8">
        <w:tc>
          <w:tcPr>
            <w:cnfStyle w:val="001000000000" w:firstRow="0" w:lastRow="0" w:firstColumn="1" w:lastColumn="0" w:oddVBand="0" w:evenVBand="0" w:oddHBand="0" w:evenHBand="0" w:firstRowFirstColumn="0" w:firstRowLastColumn="0" w:lastRowFirstColumn="0" w:lastRowLastColumn="0"/>
            <w:tcW w:w="3017" w:type="dxa"/>
          </w:tcPr>
          <w:p w:rsidR="00311BB8" w:rsidRDefault="00D91061">
            <w:pPr>
              <w:pStyle w:val="AMPRTABLEA-TextLEFTallignedindented-BLACK"/>
              <w:rPr>
                <w:noProof/>
                <w:lang w:val="en-GB"/>
              </w:rPr>
            </w:pPr>
            <w:r>
              <w:rPr>
                <w:noProof/>
                <w:lang w:val="en-GB"/>
              </w:rPr>
              <w:t>Financial Instrument for Fisheries Guidance</w:t>
            </w:r>
            <w:r>
              <w:rPr>
                <w:rFonts w:ascii="Calibri" w:hAnsi="Calibri" w:cs="Calibri"/>
                <w:noProof/>
                <w:lang w:val="en-GB"/>
              </w:rPr>
              <w:t> /</w:t>
            </w:r>
            <w:r>
              <w:rPr>
                <w:noProof/>
                <w:lang w:val="en-GB"/>
              </w:rPr>
              <w:t xml:space="preserve"> European Fisheries Fund</w:t>
            </w:r>
            <w:r>
              <w:rPr>
                <w:rFonts w:eastAsia="Calibri"/>
                <w:noProof/>
                <w:sz w:val="16"/>
                <w:szCs w:val="16"/>
                <w:lang w:val="en-GB"/>
              </w:rPr>
              <w:t xml:space="preserve"> / </w:t>
            </w:r>
            <w:r>
              <w:rPr>
                <w:noProof/>
                <w:lang w:val="en-GB"/>
              </w:rPr>
              <w:t>European Maritime and Fisheries Fund</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0</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0</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0</w:t>
            </w:r>
          </w:p>
        </w:tc>
        <w:tc>
          <w:tcPr>
            <w:tcW w:w="15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0</w:t>
            </w:r>
          </w:p>
        </w:tc>
      </w:tr>
      <w:tr w:rsidR="00311BB8" w:rsidTr="00311BB8">
        <w:tc>
          <w:tcPr>
            <w:cnfStyle w:val="001000000000" w:firstRow="0" w:lastRow="0" w:firstColumn="1" w:lastColumn="0" w:oddVBand="0" w:evenVBand="0" w:oddHBand="0" w:evenHBand="0" w:firstRowFirstColumn="0" w:firstRowLastColumn="0" w:lastRowFirstColumn="0" w:lastRowLastColumn="0"/>
            <w:tcW w:w="3017" w:type="dxa"/>
          </w:tcPr>
          <w:p w:rsidR="00311BB8" w:rsidRDefault="00D91061">
            <w:pPr>
              <w:pStyle w:val="AMPRTABLEA-TextLEFTallignedindented-BLACK"/>
              <w:rPr>
                <w:noProof/>
                <w:lang w:val="en-GB"/>
              </w:rPr>
            </w:pPr>
            <w:r>
              <w:rPr>
                <w:noProof/>
                <w:lang w:val="en-GB"/>
              </w:rPr>
              <w:t>European Agricultural Guidance and Guarantee Fund</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(72)</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Theme="majorHAnsi" w:hAnsiTheme="majorHAnsi"/>
                <w:noProof/>
              </w:rPr>
              <w:t>—</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eastAsia="EC Square Sans Pro"/>
                <w:noProof/>
              </w:rPr>
              <w:t>(72)</w:t>
            </w:r>
          </w:p>
        </w:tc>
        <w:tc>
          <w:tcPr>
            <w:tcW w:w="15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rPr>
            </w:pPr>
            <w:r>
              <w:rPr>
                <w:rFonts w:asciiTheme="majorHAnsi" w:hAnsiTheme="majorHAnsi"/>
                <w:noProof/>
              </w:rPr>
              <w:t>—</w:t>
            </w:r>
          </w:p>
        </w:tc>
      </w:tr>
      <w:tr w:rsidR="00311BB8" w:rsidTr="00311BB8">
        <w:tc>
          <w:tcPr>
            <w:cnfStyle w:val="001000000000" w:firstRow="0" w:lastRow="0" w:firstColumn="1" w:lastColumn="0" w:oddVBand="0" w:evenVBand="0" w:oddHBand="0" w:evenHBand="0" w:firstRowFirstColumn="0" w:firstRowLastColumn="0" w:lastRowFirstColumn="0" w:lastRowLastColumn="0"/>
            <w:tcW w:w="3017" w:type="dxa"/>
          </w:tcPr>
          <w:p w:rsidR="00311BB8" w:rsidRDefault="00D91061">
            <w:pPr>
              <w:pStyle w:val="AMPRTABLEA-TextLEFTalligned-BLACK"/>
              <w:rPr>
                <w:b/>
                <w:bCs/>
                <w:noProof/>
              </w:rPr>
            </w:pPr>
            <w:r>
              <w:rPr>
                <w:b/>
                <w:bCs/>
                <w:noProof/>
              </w:rPr>
              <w:t>Internal policies</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13</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8</w:t>
            </w:r>
          </w:p>
        </w:tc>
        <w:tc>
          <w:tcPr>
            <w:tcW w:w="1513"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13</w:t>
            </w:r>
          </w:p>
        </w:tc>
        <w:tc>
          <w:tcPr>
            <w:tcW w:w="151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8</w:t>
            </w:r>
          </w:p>
        </w:tc>
      </w:tr>
      <w:tr w:rsidR="00311BB8" w:rsidTr="00311B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7" w:type="dxa"/>
            <w:hideMark/>
          </w:tcPr>
          <w:p w:rsidR="00311BB8" w:rsidRDefault="00D91061">
            <w:pPr>
              <w:pStyle w:val="AMPRTABLEA-TOTALLEFTalligned-BLACK"/>
              <w:rPr>
                <w:rFonts w:eastAsia="EC Square Sans Pro"/>
                <w:noProof/>
              </w:rPr>
            </w:pPr>
            <w:r>
              <w:rPr>
                <w:rFonts w:eastAsia="Calibri"/>
                <w:noProof/>
              </w:rPr>
              <w:t>Total</w:t>
            </w:r>
          </w:p>
        </w:tc>
        <w:tc>
          <w:tcPr>
            <w:tcW w:w="1513"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noProof/>
              </w:rPr>
            </w:pPr>
            <w:r>
              <w:rPr>
                <w:noProof/>
              </w:rPr>
              <w:t>1</w:t>
            </w:r>
            <w:r>
              <w:rPr>
                <w:rFonts w:ascii="Calibri" w:hAnsi="Calibri" w:cs="Calibri"/>
                <w:noProof/>
              </w:rPr>
              <w:t> </w:t>
            </w:r>
            <w:r>
              <w:rPr>
                <w:noProof/>
              </w:rPr>
              <w:t>074</w:t>
            </w:r>
          </w:p>
        </w:tc>
        <w:tc>
          <w:tcPr>
            <w:tcW w:w="1513"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448</w:t>
            </w:r>
          </w:p>
        </w:tc>
        <w:tc>
          <w:tcPr>
            <w:tcW w:w="1513"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noProof/>
              </w:rPr>
            </w:pPr>
            <w:r>
              <w:rPr>
                <w:noProof/>
              </w:rPr>
              <w:t>2</w:t>
            </w:r>
            <w:r>
              <w:rPr>
                <w:rFonts w:ascii="Calibri" w:hAnsi="Calibri" w:cs="Calibri"/>
                <w:noProof/>
              </w:rPr>
              <w:t> </w:t>
            </w:r>
            <w:r>
              <w:rPr>
                <w:noProof/>
              </w:rPr>
              <w:t>062</w:t>
            </w:r>
          </w:p>
        </w:tc>
        <w:tc>
          <w:tcPr>
            <w:tcW w:w="1514"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921</w:t>
            </w:r>
          </w:p>
        </w:tc>
      </w:tr>
    </w:tbl>
    <w:p w:rsidR="00311BB8" w:rsidRDefault="00D91061">
      <w:pPr>
        <w:pStyle w:val="AMPRChart-Tabletitle"/>
        <w:rPr>
          <w:noProof/>
          <w:highlight w:val="green"/>
        </w:rPr>
      </w:pPr>
      <w:r>
        <w:rPr>
          <w:noProof/>
        </w:rPr>
        <w:t>Flat-rate financial corrections in 2019, by multiannual financial framework heading (million</w:t>
      </w:r>
      <w:r>
        <w:rPr>
          <w:rFonts w:ascii="Calibri" w:hAnsi="Calibri" w:cs="Calibri"/>
          <w:noProof/>
        </w:rPr>
        <w:t> </w:t>
      </w:r>
      <w:r>
        <w:rPr>
          <w:noProof/>
        </w:rPr>
        <w:t>EUR)</w:t>
      </w:r>
    </w:p>
    <w:p w:rsidR="00311BB8" w:rsidRDefault="00D91061">
      <w:pPr>
        <w:pStyle w:val="AMPRSource-Table-Chart-Photo-Caption"/>
        <w:tabs>
          <w:tab w:val="left" w:pos="426"/>
        </w:tabs>
        <w:ind w:left="426" w:hanging="426"/>
        <w:rPr>
          <w:noProof/>
        </w:rPr>
      </w:pPr>
      <w:r>
        <w:rPr>
          <w:noProof/>
        </w:rPr>
        <w:t>(*)</w:t>
      </w:r>
      <w:r>
        <w:rPr>
          <w:noProof/>
        </w:rPr>
        <w:tab/>
        <w:t>Includes extrapolated corrections.</w:t>
      </w:r>
    </w:p>
    <w:p w:rsidR="00311BB8" w:rsidRDefault="00D91061">
      <w:pPr>
        <w:pStyle w:val="AMPRSource-Table-Chart-Photo-Caption"/>
        <w:tabs>
          <w:tab w:val="left" w:pos="426"/>
        </w:tabs>
        <w:ind w:left="426" w:hanging="426"/>
        <w:rPr>
          <w:noProof/>
        </w:rPr>
      </w:pPr>
      <w:r>
        <w:rPr>
          <w:noProof/>
        </w:rPr>
        <w:t>(**)</w:t>
      </w:r>
      <w:r>
        <w:rPr>
          <w:noProof/>
        </w:rPr>
        <w:tab/>
        <w:t>Breakdown of flat-rate corrections only available for 2007-2013 multiannual financial framework.</w:t>
      </w:r>
    </w:p>
    <w:p w:rsidR="00311BB8" w:rsidRDefault="00311BB8">
      <w:pPr>
        <w:rPr>
          <w:noProof/>
        </w:rPr>
      </w:pPr>
    </w:p>
    <w:p w:rsidR="00311BB8" w:rsidRDefault="00D91061">
      <w:pPr>
        <w:pStyle w:val="AMPRAnnexesTITLE4-Numbered"/>
        <w:rPr>
          <w:noProof/>
          <w:color w:val="000000" w:themeColor="text1"/>
        </w:rPr>
      </w:pPr>
      <w:bookmarkStart w:id="139" w:name="_Toc484626508"/>
      <w:bookmarkStart w:id="140" w:name="_Toc512866550"/>
      <w:bookmarkStart w:id="141" w:name="_Toc8386221"/>
      <w:r>
        <w:rPr>
          <w:noProof/>
        </w:rPr>
        <w:t xml:space="preserve">Breakdown of at-source financial corrections </w:t>
      </w:r>
      <w:bookmarkEnd w:id="139"/>
      <w:bookmarkEnd w:id="140"/>
      <w:r>
        <w:rPr>
          <w:noProof/>
        </w:rPr>
        <w:t>2019</w:t>
      </w:r>
      <w:bookmarkEnd w:id="141"/>
    </w:p>
    <w:tbl>
      <w:tblPr>
        <w:tblStyle w:val="AMPRTABLEA-Template"/>
        <w:tblW w:w="6804" w:type="dxa"/>
        <w:jc w:val="center"/>
        <w:tblInd w:w="0" w:type="dxa"/>
        <w:tblLayout w:type="fixed"/>
        <w:tblLook w:val="04E0" w:firstRow="1" w:lastRow="1" w:firstColumn="1" w:lastColumn="0" w:noHBand="0" w:noVBand="1"/>
      </w:tblPr>
      <w:tblGrid>
        <w:gridCol w:w="2268"/>
        <w:gridCol w:w="2268"/>
        <w:gridCol w:w="2268"/>
      </w:tblGrid>
      <w:tr w:rsidR="00311BB8" w:rsidTr="00311BB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024" w:type="dxa"/>
            <w:hideMark/>
          </w:tcPr>
          <w:p w:rsidR="00311BB8" w:rsidRDefault="00D91061">
            <w:pPr>
              <w:pStyle w:val="AMPRTABLEA-HEADERText-WHITE"/>
              <w:spacing w:before="144" w:after="144"/>
              <w:rPr>
                <w:noProof/>
              </w:rPr>
            </w:pPr>
            <w:r>
              <w:rPr>
                <w:noProof/>
              </w:rPr>
              <w:t>Member State</w:t>
            </w:r>
          </w:p>
        </w:tc>
        <w:tc>
          <w:tcPr>
            <w:tcW w:w="3024"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At-source financial corrections confirmed in 2019</w:t>
            </w:r>
          </w:p>
        </w:tc>
        <w:tc>
          <w:tcPr>
            <w:tcW w:w="3024"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At-source financial corrections implemented in 2019</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3024" w:type="dxa"/>
          </w:tcPr>
          <w:p w:rsidR="00311BB8" w:rsidRDefault="00D91061">
            <w:pPr>
              <w:pStyle w:val="AMPRTABLEA-TextLEFTalligned-BLACK"/>
              <w:rPr>
                <w:rFonts w:eastAsia="Calibri"/>
                <w:noProof/>
              </w:rPr>
            </w:pPr>
            <w:r>
              <w:rPr>
                <w:noProof/>
              </w:rPr>
              <w:t>Belgium</w:t>
            </w:r>
          </w:p>
        </w:tc>
        <w:tc>
          <w:tcPr>
            <w:tcW w:w="302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0.3</w:t>
            </w:r>
          </w:p>
        </w:tc>
        <w:tc>
          <w:tcPr>
            <w:tcW w:w="302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0.3</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3024" w:type="dxa"/>
          </w:tcPr>
          <w:p w:rsidR="00311BB8" w:rsidRDefault="00D91061">
            <w:pPr>
              <w:pStyle w:val="AMPRTABLEA-TextLEFTalligned-BLACK"/>
              <w:rPr>
                <w:rFonts w:eastAsia="Calibri"/>
                <w:noProof/>
              </w:rPr>
            </w:pPr>
            <w:r>
              <w:rPr>
                <w:noProof/>
              </w:rPr>
              <w:t>Czechia</w:t>
            </w:r>
          </w:p>
        </w:tc>
        <w:tc>
          <w:tcPr>
            <w:tcW w:w="302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w:t>
            </w:r>
          </w:p>
        </w:tc>
        <w:tc>
          <w:tcPr>
            <w:tcW w:w="302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67.2</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3024" w:type="dxa"/>
          </w:tcPr>
          <w:p w:rsidR="00311BB8" w:rsidRDefault="00D91061">
            <w:pPr>
              <w:pStyle w:val="AMPRTABLEA-TextLEFTalligned-BLACK"/>
              <w:rPr>
                <w:rFonts w:eastAsia="Calibri"/>
                <w:noProof/>
              </w:rPr>
            </w:pPr>
            <w:r>
              <w:rPr>
                <w:noProof/>
              </w:rPr>
              <w:t>Hungary</w:t>
            </w:r>
          </w:p>
        </w:tc>
        <w:tc>
          <w:tcPr>
            <w:tcW w:w="302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w:t>
            </w:r>
          </w:p>
        </w:tc>
        <w:tc>
          <w:tcPr>
            <w:tcW w:w="3024"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0.1</w:t>
            </w:r>
          </w:p>
        </w:tc>
      </w:tr>
      <w:tr w:rsidR="00311BB8" w:rsidTr="00311BB8">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hideMark/>
          </w:tcPr>
          <w:p w:rsidR="00311BB8" w:rsidRDefault="00D91061">
            <w:pPr>
              <w:pStyle w:val="AMPRTABLEA-TOTALLEFTalligned-BLACK"/>
              <w:rPr>
                <w:rFonts w:eastAsia="Calibri"/>
                <w:noProof/>
              </w:rPr>
            </w:pPr>
            <w:r>
              <w:rPr>
                <w:rFonts w:eastAsia="EC Square Sans Pro"/>
                <w:noProof/>
              </w:rPr>
              <w:t>TOTAL</w:t>
            </w:r>
          </w:p>
        </w:tc>
        <w:tc>
          <w:tcPr>
            <w:tcW w:w="3024"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noProof/>
              </w:rPr>
            </w:pPr>
            <w:r>
              <w:rPr>
                <w:noProof/>
              </w:rPr>
              <w:t>0.3</w:t>
            </w:r>
          </w:p>
        </w:tc>
        <w:tc>
          <w:tcPr>
            <w:tcW w:w="3024"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noProof/>
              </w:rPr>
            </w:pPr>
            <w:r>
              <w:rPr>
                <w:noProof/>
              </w:rPr>
              <w:t>67.6</w:t>
            </w:r>
          </w:p>
        </w:tc>
      </w:tr>
    </w:tbl>
    <w:p w:rsidR="00311BB8" w:rsidRDefault="00D91061">
      <w:pPr>
        <w:pStyle w:val="AMPRChart-Tabletitle"/>
        <w:ind w:left="1134"/>
        <w:rPr>
          <w:noProof/>
          <w:highlight w:val="green"/>
        </w:rPr>
      </w:pPr>
      <w:r>
        <w:rPr>
          <w:noProof/>
        </w:rPr>
        <w:t>At-source financial corrections in 2019 (million</w:t>
      </w:r>
      <w:r>
        <w:rPr>
          <w:rFonts w:ascii="Calibri" w:hAnsi="Calibri" w:cs="Calibri"/>
          <w:noProof/>
        </w:rPr>
        <w:t> </w:t>
      </w:r>
      <w:r>
        <w:rPr>
          <w:noProof/>
        </w:rPr>
        <w:t>EUR)</w:t>
      </w:r>
    </w:p>
    <w:p w:rsidR="00311BB8" w:rsidRDefault="00D91061">
      <w:pPr>
        <w:pStyle w:val="AMPRBodyText"/>
        <w:rPr>
          <w:noProof/>
          <w:lang w:eastAsia="fr-BE"/>
        </w:rPr>
      </w:pPr>
      <w:r>
        <w:rPr>
          <w:noProof/>
          <w:lang w:eastAsia="fr-BE"/>
        </w:rPr>
        <w:t>At-source financial corrections are applied by the Member State authorities before or at the same time that new expenditure is declared to the Commission. In the majority of cases they are the result of flat-rate corrections imposed for deficiencies in the management and control system, identified following the Commission audits</w:t>
      </w:r>
      <w:r>
        <w:rPr>
          <w:rFonts w:ascii="Calibri" w:hAnsi="Calibri" w:cs="Calibri"/>
          <w:noProof/>
          <w:lang w:eastAsia="fr-BE"/>
        </w:rPr>
        <w:t> (</w:t>
      </w:r>
      <w:r>
        <w:rPr>
          <w:rFonts w:cs="Arial"/>
          <w:noProof/>
          <w:vertAlign w:val="superscript"/>
          <w:lang w:eastAsia="fr-BE"/>
        </w:rPr>
        <w:footnoteReference w:id="43"/>
      </w:r>
      <w:r>
        <w:rPr>
          <w:rFonts w:ascii="Calibri" w:hAnsi="Calibri" w:cs="Calibri"/>
          <w:noProof/>
          <w:lang w:eastAsia="fr-BE"/>
        </w:rPr>
        <w:t>)</w:t>
      </w:r>
      <w:r>
        <w:rPr>
          <w:noProof/>
          <w:lang w:eastAsia="fr-BE"/>
        </w:rPr>
        <w:t>.</w:t>
      </w:r>
    </w:p>
    <w:p w:rsidR="00311BB8" w:rsidRDefault="00D91061">
      <w:pPr>
        <w:pStyle w:val="AMPRBodyText"/>
        <w:rPr>
          <w:rFonts w:eastAsia="Calibri"/>
          <w:noProof/>
          <w:lang w:eastAsia="fr-BE"/>
        </w:rPr>
      </w:pPr>
      <w:r>
        <w:rPr>
          <w:rFonts w:eastAsia="Calibri"/>
          <w:noProof/>
          <w:lang w:eastAsia="fr-BE"/>
        </w:rPr>
        <w:t xml:space="preserve">The main at-source financial correction implemented in 2019 concerns the </w:t>
      </w:r>
      <w:r>
        <w:rPr>
          <w:rStyle w:val="AMPRcharBoldOrange"/>
          <w:noProof/>
        </w:rPr>
        <w:t>European Regional Development Fund</w:t>
      </w:r>
      <w:r>
        <w:rPr>
          <w:rFonts w:eastAsia="Calibri"/>
          <w:noProof/>
          <w:lang w:eastAsia="fr-BE"/>
        </w:rPr>
        <w:t xml:space="preserve"> (in Czechia, for EUR</w:t>
      </w:r>
      <w:r>
        <w:rPr>
          <w:rFonts w:ascii="Calibri" w:eastAsia="Arial" w:hAnsi="Calibri" w:cs="Calibri"/>
          <w:noProof/>
          <w:sz w:val="17"/>
          <w:szCs w:val="17"/>
          <w:lang w:bidi="en-US"/>
        </w:rPr>
        <w:t> </w:t>
      </w:r>
      <w:r>
        <w:rPr>
          <w:rFonts w:eastAsia="Calibri"/>
          <w:noProof/>
          <w:lang w:eastAsia="fr-BE"/>
        </w:rPr>
        <w:t>67</w:t>
      </w:r>
      <w:r>
        <w:rPr>
          <w:rFonts w:ascii="Calibri" w:eastAsia="Calibri" w:hAnsi="Calibri" w:cs="Calibri"/>
          <w:noProof/>
          <w:lang w:eastAsia="fr-BE"/>
        </w:rPr>
        <w:t> </w:t>
      </w:r>
      <w:r>
        <w:rPr>
          <w:rFonts w:eastAsia="Calibri"/>
          <w:noProof/>
          <w:lang w:eastAsia="fr-BE"/>
        </w:rPr>
        <w:t xml:space="preserve">million). </w:t>
      </w:r>
    </w:p>
    <w:p w:rsidR="00311BB8" w:rsidRDefault="00D91061">
      <w:pPr>
        <w:pStyle w:val="AMPRBodyText"/>
        <w:rPr>
          <w:rFonts w:eastAsia="Calibri"/>
          <w:noProof/>
          <w:lang w:eastAsia="fr-BE"/>
        </w:rPr>
      </w:pPr>
      <w:r>
        <w:rPr>
          <w:noProof/>
          <w:lang w:eastAsia="fr-BE"/>
        </w:rPr>
        <w:br w:type="page"/>
      </w:r>
    </w:p>
    <w:p w:rsidR="00311BB8" w:rsidRDefault="00D91061">
      <w:pPr>
        <w:pStyle w:val="AMPRAnnexesTITLE4-Numbered"/>
        <w:rPr>
          <w:noProof/>
          <w:color w:val="000000" w:themeColor="text1"/>
        </w:rPr>
      </w:pPr>
      <w:bookmarkStart w:id="142" w:name="_Toc484626509"/>
      <w:bookmarkStart w:id="143" w:name="_Toc512866551"/>
      <w:bookmarkStart w:id="144" w:name="_Toc8386222"/>
      <w:r>
        <w:rPr>
          <w:noProof/>
        </w:rPr>
        <w:t>Breakdown by Member State: Financial corrections in 2019 compared to EU payments received</w:t>
      </w:r>
      <w:bookmarkEnd w:id="142"/>
      <w:bookmarkEnd w:id="143"/>
      <w:bookmarkEnd w:id="144"/>
    </w:p>
    <w:tbl>
      <w:tblPr>
        <w:tblStyle w:val="AMPRTABLEA-Template"/>
        <w:tblW w:w="9018" w:type="dxa"/>
        <w:tblLayout w:type="fixed"/>
        <w:tblLook w:val="04E0" w:firstRow="1" w:lastRow="1" w:firstColumn="1" w:lastColumn="0" w:noHBand="0" w:noVBand="1"/>
      </w:tblPr>
      <w:tblGrid>
        <w:gridCol w:w="1789"/>
        <w:gridCol w:w="1275"/>
        <w:gridCol w:w="1418"/>
        <w:gridCol w:w="1484"/>
        <w:gridCol w:w="1521"/>
        <w:gridCol w:w="1531"/>
      </w:tblGrid>
      <w:tr w:rsidR="00311BB8" w:rsidTr="00311BB8">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789" w:type="dxa"/>
            <w:hideMark/>
          </w:tcPr>
          <w:p w:rsidR="00311BB8" w:rsidRDefault="00D91061">
            <w:pPr>
              <w:pStyle w:val="AMPRTABLEA-HEADERText-WHITE"/>
              <w:spacing w:before="144" w:after="144"/>
              <w:rPr>
                <w:noProof/>
              </w:rPr>
            </w:pPr>
            <w:r>
              <w:rPr>
                <w:noProof/>
              </w:rPr>
              <w:t>Member State</w:t>
            </w:r>
          </w:p>
        </w:tc>
        <w:tc>
          <w:tcPr>
            <w:tcW w:w="1275"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Payments received from the EU budget in 2019 (million</w:t>
            </w:r>
            <w:r>
              <w:rPr>
                <w:rFonts w:ascii="Calibri" w:hAnsi="Calibri" w:cs="Calibri"/>
                <w:noProof/>
                <w:lang w:val="en-GB"/>
              </w:rPr>
              <w:t> </w:t>
            </w:r>
            <w:r>
              <w:rPr>
                <w:noProof/>
                <w:lang w:val="en-GB"/>
              </w:rPr>
              <w:t>EUR)</w:t>
            </w:r>
          </w:p>
        </w:tc>
        <w:tc>
          <w:tcPr>
            <w:tcW w:w="1418"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Financial corrections confirmed in 2019 (million</w:t>
            </w:r>
            <w:r>
              <w:rPr>
                <w:rFonts w:ascii="Calibri" w:hAnsi="Calibri" w:cs="Calibri"/>
                <w:noProof/>
              </w:rPr>
              <w:t> </w:t>
            </w:r>
            <w:r>
              <w:rPr>
                <w:noProof/>
              </w:rPr>
              <w:t>EUR)</w:t>
            </w:r>
          </w:p>
        </w:tc>
        <w:tc>
          <w:tcPr>
            <w:tcW w:w="1484"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Financial corrections confirmed in 2019 as % of payments received from the EU budget in 2019</w:t>
            </w:r>
          </w:p>
        </w:tc>
        <w:tc>
          <w:tcPr>
            <w:tcW w:w="1521"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Financial corrections implemented in 2019 (million</w:t>
            </w:r>
            <w:r>
              <w:rPr>
                <w:rFonts w:ascii="Calibri" w:hAnsi="Calibri" w:cs="Calibri"/>
                <w:noProof/>
              </w:rPr>
              <w:t> </w:t>
            </w:r>
            <w:r>
              <w:rPr>
                <w:noProof/>
              </w:rPr>
              <w:t>EUR)</w:t>
            </w:r>
          </w:p>
        </w:tc>
        <w:tc>
          <w:tcPr>
            <w:tcW w:w="1531"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Financial corrections implemented in 2019 as % of payments received from the EU budget in 2019</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Belgium</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r>
              <w:rPr>
                <w:rFonts w:ascii="Calibri" w:eastAsia="EC Square Sans Pro" w:hAnsi="Calibri" w:cs="Calibri"/>
                <w:noProof/>
              </w:rPr>
              <w:t> </w:t>
            </w:r>
            <w:r>
              <w:rPr>
                <w:rFonts w:eastAsia="EC Square Sans Pro"/>
                <w:noProof/>
              </w:rPr>
              <w:t>245</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15</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1.2%</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17</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1.3%</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Bulgaria</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2</w:t>
            </w:r>
            <w:r>
              <w:rPr>
                <w:rFonts w:ascii="Calibri" w:eastAsia="EC Square Sans Pro" w:hAnsi="Calibri" w:cs="Calibri"/>
                <w:noProof/>
              </w:rPr>
              <w:t> </w:t>
            </w:r>
            <w:r>
              <w:rPr>
                <w:rFonts w:eastAsia="EC Square Sans Pro"/>
                <w:noProof/>
              </w:rPr>
              <w:t>238</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20</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0.9%</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19</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0.9%</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Czechia</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5</w:t>
            </w:r>
            <w:r>
              <w:rPr>
                <w:rFonts w:ascii="Calibri" w:eastAsia="EC Square Sans Pro" w:hAnsi="Calibri" w:cs="Calibri"/>
                <w:noProof/>
              </w:rPr>
              <w:t> </w:t>
            </w:r>
            <w:r>
              <w:rPr>
                <w:rFonts w:eastAsia="EC Square Sans Pro"/>
                <w:noProof/>
              </w:rPr>
              <w:t>017</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0.0%</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92</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1.8%</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Denmark</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r>
              <w:rPr>
                <w:rFonts w:ascii="Calibri" w:eastAsia="EC Square Sans Pro" w:hAnsi="Calibri" w:cs="Calibri"/>
                <w:noProof/>
              </w:rPr>
              <w:t> </w:t>
            </w:r>
            <w:r>
              <w:rPr>
                <w:rFonts w:eastAsia="EC Square Sans Pro"/>
                <w:noProof/>
              </w:rPr>
              <w:t>063</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0</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0.0%</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0</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0.0%</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Germany</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9</w:t>
            </w:r>
            <w:r>
              <w:rPr>
                <w:rFonts w:ascii="Calibri" w:eastAsia="EC Square Sans Pro" w:hAnsi="Calibri" w:cs="Calibri"/>
                <w:noProof/>
              </w:rPr>
              <w:t> </w:t>
            </w:r>
            <w:r>
              <w:rPr>
                <w:rFonts w:eastAsia="EC Square Sans Pro"/>
                <w:noProof/>
              </w:rPr>
              <w:t>233</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0.0%</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0.0%</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Estonia</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r>
              <w:rPr>
                <w:rFonts w:ascii="Calibri" w:eastAsia="EC Square Sans Pro" w:hAnsi="Calibri" w:cs="Calibri"/>
                <w:noProof/>
              </w:rPr>
              <w:t> </w:t>
            </w:r>
            <w:r>
              <w:rPr>
                <w:rFonts w:eastAsia="EC Square Sans Pro"/>
                <w:noProof/>
              </w:rPr>
              <w:t>018</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7</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0.7%</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7</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0.7%</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Ireland</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r>
              <w:rPr>
                <w:rFonts w:ascii="Calibri" w:eastAsia="EC Square Sans Pro" w:hAnsi="Calibri" w:cs="Calibri"/>
                <w:noProof/>
              </w:rPr>
              <w:t> </w:t>
            </w:r>
            <w:r>
              <w:rPr>
                <w:rFonts w:eastAsia="EC Square Sans Pro"/>
                <w:noProof/>
              </w:rPr>
              <w:t>758</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5</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0.3%</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5</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0.3%</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Greece</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4</w:t>
            </w:r>
            <w:r>
              <w:rPr>
                <w:rFonts w:ascii="Calibri" w:eastAsia="EC Square Sans Pro" w:hAnsi="Calibri" w:cs="Calibri"/>
                <w:noProof/>
              </w:rPr>
              <w:t> </w:t>
            </w:r>
            <w:r>
              <w:rPr>
                <w:rFonts w:eastAsia="EC Square Sans Pro"/>
                <w:noProof/>
              </w:rPr>
              <w:t>740</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(46)</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(1.0%)</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415</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8.8%</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Spain</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10</w:t>
            </w:r>
            <w:r>
              <w:rPr>
                <w:rFonts w:ascii="Calibri" w:eastAsia="EC Square Sans Pro" w:hAnsi="Calibri" w:cs="Calibri"/>
                <w:noProof/>
              </w:rPr>
              <w:t> </w:t>
            </w:r>
            <w:r>
              <w:rPr>
                <w:rFonts w:eastAsia="EC Square Sans Pro"/>
                <w:noProof/>
              </w:rPr>
              <w:t>947</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(8)</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(0.1%)</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180</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1.6%</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France</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12</w:t>
            </w:r>
            <w:r>
              <w:rPr>
                <w:rFonts w:ascii="Calibri" w:eastAsia="EC Square Sans Pro" w:hAnsi="Calibri" w:cs="Calibri"/>
                <w:noProof/>
              </w:rPr>
              <w:t> </w:t>
            </w:r>
            <w:r>
              <w:rPr>
                <w:rFonts w:eastAsia="EC Square Sans Pro"/>
                <w:noProof/>
              </w:rPr>
              <w:t>159</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68</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0.6%</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120</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1.0%</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Croatia</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r>
              <w:rPr>
                <w:rFonts w:ascii="Calibri" w:eastAsia="EC Square Sans Pro" w:hAnsi="Calibri" w:cs="Calibri"/>
                <w:noProof/>
              </w:rPr>
              <w:t> </w:t>
            </w:r>
            <w:r>
              <w:rPr>
                <w:rFonts w:eastAsia="EC Square Sans Pro"/>
                <w:noProof/>
              </w:rPr>
              <w:t>997</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2</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0.1%</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2</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0.1%</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Italy</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10</w:t>
            </w:r>
            <w:r>
              <w:rPr>
                <w:rFonts w:ascii="Calibri" w:eastAsia="EC Square Sans Pro" w:hAnsi="Calibri" w:cs="Calibri"/>
                <w:noProof/>
              </w:rPr>
              <w:t> </w:t>
            </w:r>
            <w:r>
              <w:rPr>
                <w:rFonts w:eastAsia="EC Square Sans Pro"/>
                <w:noProof/>
              </w:rPr>
              <w:t>711</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567</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5.3%</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632</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5.9%</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Cyprus</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201</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0</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0.0%</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0</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0.0%</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Latvia</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r>
              <w:rPr>
                <w:rFonts w:ascii="Calibri" w:eastAsia="EC Square Sans Pro" w:hAnsi="Calibri" w:cs="Calibri"/>
                <w:noProof/>
              </w:rPr>
              <w:t> </w:t>
            </w:r>
            <w:r>
              <w:rPr>
                <w:rFonts w:eastAsia="EC Square Sans Pro"/>
                <w:noProof/>
              </w:rPr>
              <w:t>343</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0</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0.0%</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0</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0.0%</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Lithuania</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r>
              <w:rPr>
                <w:rFonts w:ascii="Calibri" w:eastAsia="EC Square Sans Pro" w:hAnsi="Calibri" w:cs="Calibri"/>
                <w:noProof/>
              </w:rPr>
              <w:t> </w:t>
            </w:r>
            <w:r>
              <w:rPr>
                <w:rFonts w:eastAsia="EC Square Sans Pro"/>
                <w:noProof/>
              </w:rPr>
              <w:t>428</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0.1%</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2</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0.2%</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Luxembourg</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86</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0</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0.5%</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0</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0.5%</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Hungary</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5</w:t>
            </w:r>
            <w:r>
              <w:rPr>
                <w:rFonts w:ascii="Calibri" w:eastAsia="EC Square Sans Pro" w:hAnsi="Calibri" w:cs="Calibri"/>
                <w:noProof/>
              </w:rPr>
              <w:t> </w:t>
            </w:r>
            <w:r>
              <w:rPr>
                <w:rFonts w:eastAsia="EC Square Sans Pro"/>
                <w:noProof/>
              </w:rPr>
              <w:t>973</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138</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2.3%</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134</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2.2%</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Malta</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198</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0</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0.2%</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0</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0.2%</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Netherlands</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986</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12</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1.2%</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12</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1.2%</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Austria</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r>
              <w:rPr>
                <w:rFonts w:ascii="Calibri" w:eastAsia="EC Square Sans Pro" w:hAnsi="Calibri" w:cs="Calibri"/>
                <w:noProof/>
              </w:rPr>
              <w:t> </w:t>
            </w:r>
            <w:r>
              <w:rPr>
                <w:rFonts w:eastAsia="EC Square Sans Pro"/>
                <w:noProof/>
              </w:rPr>
              <w:t>545</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10</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0.6%</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19</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1.2%</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Poland</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16</w:t>
            </w:r>
            <w:r>
              <w:rPr>
                <w:rFonts w:ascii="Calibri" w:eastAsia="EC Square Sans Pro" w:hAnsi="Calibri" w:cs="Calibri"/>
                <w:noProof/>
              </w:rPr>
              <w:t> </w:t>
            </w:r>
            <w:r>
              <w:rPr>
                <w:rFonts w:eastAsia="EC Square Sans Pro"/>
                <w:noProof/>
              </w:rPr>
              <w:t>989</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65</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0.4%</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129</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0.8%</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Portugal</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4</w:t>
            </w:r>
            <w:r>
              <w:rPr>
                <w:rFonts w:ascii="Calibri" w:eastAsia="EC Square Sans Pro" w:hAnsi="Calibri" w:cs="Calibri"/>
                <w:noProof/>
              </w:rPr>
              <w:t> </w:t>
            </w:r>
            <w:r>
              <w:rPr>
                <w:rFonts w:eastAsia="EC Square Sans Pro"/>
                <w:noProof/>
              </w:rPr>
              <w:t>520</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20</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0.5%</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27</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0.6%</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Romania</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5</w:t>
            </w:r>
            <w:r>
              <w:rPr>
                <w:rFonts w:ascii="Calibri" w:eastAsia="EC Square Sans Pro" w:hAnsi="Calibri" w:cs="Calibri"/>
                <w:noProof/>
              </w:rPr>
              <w:t> </w:t>
            </w:r>
            <w:r>
              <w:rPr>
                <w:rFonts w:eastAsia="EC Square Sans Pro"/>
                <w:noProof/>
              </w:rPr>
              <w:t>530</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151</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2.7%</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166</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3.0%</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Slovenia</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846</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0</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0.0%</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0</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0.0%</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Slovakia</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2</w:t>
            </w:r>
            <w:r>
              <w:rPr>
                <w:rFonts w:ascii="Calibri" w:eastAsia="EC Square Sans Pro" w:hAnsi="Calibri" w:cs="Calibri"/>
                <w:noProof/>
              </w:rPr>
              <w:t> </w:t>
            </w:r>
            <w:r>
              <w:rPr>
                <w:rFonts w:eastAsia="EC Square Sans Pro"/>
                <w:noProof/>
              </w:rPr>
              <w:t>294</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9</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0.4%</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35</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1.5%</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Finland</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r>
              <w:rPr>
                <w:rFonts w:ascii="Calibri" w:eastAsia="EC Square Sans Pro" w:hAnsi="Calibri" w:cs="Calibri"/>
                <w:noProof/>
              </w:rPr>
              <w:t> </w:t>
            </w:r>
            <w:r>
              <w:rPr>
                <w:rFonts w:eastAsia="EC Square Sans Pro"/>
                <w:noProof/>
              </w:rPr>
              <w:t>127</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0</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0.0%</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0</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0.0%</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Sweden</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w:t>
            </w:r>
            <w:r>
              <w:rPr>
                <w:rFonts w:ascii="Calibri" w:eastAsia="EC Square Sans Pro" w:hAnsi="Calibri" w:cs="Calibri"/>
                <w:noProof/>
              </w:rPr>
              <w:t> </w:t>
            </w:r>
            <w:r>
              <w:rPr>
                <w:rFonts w:eastAsia="EC Square Sans Pro"/>
                <w:noProof/>
              </w:rPr>
              <w:t>288</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17</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1.3%</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19</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1.5%</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United Kingdom</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6</w:t>
            </w:r>
            <w:r>
              <w:rPr>
                <w:rFonts w:ascii="Calibri" w:eastAsia="EC Square Sans Pro" w:hAnsi="Calibri" w:cs="Calibri"/>
                <w:noProof/>
              </w:rPr>
              <w:t> </w:t>
            </w:r>
            <w:r>
              <w:rPr>
                <w:rFonts w:eastAsia="EC Square Sans Pro"/>
                <w:noProof/>
              </w:rPr>
              <w:t>034</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17</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0.3%</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25</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0.4%</w:t>
            </w:r>
          </w:p>
        </w:tc>
      </w:tr>
      <w:tr w:rsidR="00311BB8" w:rsidTr="00311BB8">
        <w:trPr>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extLEFTalligned-BLACK"/>
              <w:rPr>
                <w:rFonts w:eastAsia="Calibri"/>
                <w:noProof/>
              </w:rPr>
            </w:pPr>
            <w:r>
              <w:rPr>
                <w:noProof/>
              </w:rPr>
              <w:t>European territorial cooperation</w:t>
            </w:r>
          </w:p>
        </w:tc>
        <w:tc>
          <w:tcPr>
            <w:tcW w:w="1275"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EC Square Sans Pro"/>
                <w:noProof/>
              </w:rPr>
              <w:t>178</w:t>
            </w:r>
          </w:p>
        </w:tc>
        <w:tc>
          <w:tcPr>
            <w:tcW w:w="1418"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w:t>
            </w:r>
          </w:p>
        </w:tc>
        <w:tc>
          <w:tcPr>
            <w:tcW w:w="1484" w:type="dxa"/>
            <w:noWrap/>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0.8%</w:t>
            </w:r>
          </w:p>
        </w:tc>
        <w:tc>
          <w:tcPr>
            <w:tcW w:w="152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w:t>
            </w:r>
          </w:p>
        </w:tc>
        <w:tc>
          <w:tcPr>
            <w:tcW w:w="1531" w:type="dxa"/>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0.8%</w:t>
            </w:r>
          </w:p>
        </w:tc>
      </w:tr>
      <w:tr w:rsidR="00311BB8" w:rsidTr="00311BB8">
        <w:trPr>
          <w:cnfStyle w:val="010000000000" w:firstRow="0" w:lastRow="1"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89" w:type="dxa"/>
          </w:tcPr>
          <w:p w:rsidR="00311BB8" w:rsidRDefault="00D91061">
            <w:pPr>
              <w:pStyle w:val="AMPRTABLEA-TOTALLEFTalligned-BLACK"/>
              <w:rPr>
                <w:rFonts w:eastAsia="Calibri"/>
                <w:noProof/>
              </w:rPr>
            </w:pPr>
            <w:r>
              <w:rPr>
                <w:rFonts w:eastAsia="Calibri"/>
                <w:noProof/>
              </w:rPr>
              <w:t>Total</w:t>
            </w:r>
          </w:p>
        </w:tc>
        <w:tc>
          <w:tcPr>
            <w:tcW w:w="1275"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noProof/>
              </w:rPr>
            </w:pPr>
            <w:r>
              <w:rPr>
                <w:noProof/>
              </w:rPr>
              <w:t>112</w:t>
            </w:r>
            <w:r>
              <w:rPr>
                <w:rFonts w:ascii="Calibri" w:hAnsi="Calibri" w:cs="Calibri"/>
                <w:noProof/>
              </w:rPr>
              <w:t> </w:t>
            </w:r>
            <w:r>
              <w:rPr>
                <w:noProof/>
              </w:rPr>
              <w:t>693</w:t>
            </w:r>
          </w:p>
        </w:tc>
        <w:tc>
          <w:tcPr>
            <w:tcW w:w="1418"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1</w:t>
            </w:r>
            <w:r>
              <w:rPr>
                <w:rFonts w:ascii="Calibri" w:hAnsi="Calibri" w:cs="Calibri"/>
                <w:noProof/>
              </w:rPr>
              <w:t> </w:t>
            </w:r>
            <w:r>
              <w:rPr>
                <w:rFonts w:asciiTheme="majorHAnsi" w:hAnsiTheme="majorHAnsi"/>
                <w:noProof/>
              </w:rPr>
              <w:t>074</w:t>
            </w:r>
          </w:p>
        </w:tc>
        <w:tc>
          <w:tcPr>
            <w:tcW w:w="1484"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1.0%</w:t>
            </w:r>
          </w:p>
        </w:tc>
        <w:tc>
          <w:tcPr>
            <w:tcW w:w="1521"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noProof/>
              </w:rPr>
            </w:pPr>
            <w:r>
              <w:rPr>
                <w:rFonts w:asciiTheme="majorHAnsi" w:hAnsiTheme="majorHAnsi"/>
                <w:noProof/>
              </w:rPr>
              <w:t>2</w:t>
            </w:r>
            <w:r>
              <w:rPr>
                <w:rFonts w:ascii="Calibri" w:hAnsi="Calibri" w:cs="Calibri"/>
                <w:noProof/>
              </w:rPr>
              <w:t> </w:t>
            </w:r>
            <w:r>
              <w:rPr>
                <w:rFonts w:asciiTheme="majorHAnsi" w:hAnsiTheme="majorHAnsi"/>
                <w:noProof/>
              </w:rPr>
              <w:t>062</w:t>
            </w:r>
          </w:p>
        </w:tc>
        <w:tc>
          <w:tcPr>
            <w:tcW w:w="1531" w:type="dxa"/>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Calibri"/>
                <w:i/>
                <w:noProof/>
              </w:rPr>
            </w:pPr>
            <w:r>
              <w:rPr>
                <w:rFonts w:asciiTheme="majorHAnsi" w:hAnsiTheme="majorHAnsi"/>
                <w:i/>
                <w:iCs/>
                <w:noProof/>
              </w:rPr>
              <w:t>1.8%</w:t>
            </w:r>
          </w:p>
        </w:tc>
      </w:tr>
    </w:tbl>
    <w:p w:rsidR="00311BB8" w:rsidRDefault="00D91061">
      <w:pPr>
        <w:pStyle w:val="AMPRChart-Tabletitle"/>
        <w:rPr>
          <w:noProof/>
        </w:rPr>
      </w:pPr>
      <w:r>
        <w:rPr>
          <w:noProof/>
        </w:rPr>
        <w:t>Financial corrections compared to EU payments received in 2019, by Member State</w:t>
      </w:r>
    </w:p>
    <w:p w:rsidR="00311BB8" w:rsidRDefault="00D91061">
      <w:pPr>
        <w:pStyle w:val="AMPRAnnexesTITLE4-Numbered"/>
        <w:rPr>
          <w:noProof/>
          <w:color w:val="000000" w:themeColor="text1"/>
          <w:lang w:eastAsia="fr-BE"/>
        </w:rPr>
      </w:pPr>
      <w:bookmarkStart w:id="145" w:name="_Toc512866552"/>
      <w:bookmarkStart w:id="146" w:name="_Toc8386223"/>
      <w:r>
        <w:rPr>
          <w:noProof/>
        </w:rPr>
        <w:t>Agricultural funding amounts recovered from final beneficiaries by the Member States in 2019 and used in the calculation of the corrective capacity</w:t>
      </w:r>
      <w:bookmarkEnd w:id="145"/>
      <w:bookmarkEnd w:id="146"/>
    </w:p>
    <w:tbl>
      <w:tblPr>
        <w:tblStyle w:val="AMPRTABLEA-Template"/>
        <w:tblW w:w="6881" w:type="dxa"/>
        <w:jc w:val="center"/>
        <w:tblInd w:w="0" w:type="dxa"/>
        <w:tblLayout w:type="fixed"/>
        <w:tblLook w:val="04E0" w:firstRow="1" w:lastRow="1" w:firstColumn="1" w:lastColumn="0" w:noHBand="0" w:noVBand="1"/>
      </w:tblPr>
      <w:tblGrid>
        <w:gridCol w:w="1720"/>
        <w:gridCol w:w="1720"/>
        <w:gridCol w:w="1720"/>
        <w:gridCol w:w="1721"/>
      </w:tblGrid>
      <w:tr w:rsidR="00311BB8" w:rsidTr="00311B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0" w:type="dxa"/>
            <w:hideMark/>
          </w:tcPr>
          <w:p w:rsidR="00311BB8" w:rsidRDefault="00D91061">
            <w:pPr>
              <w:pStyle w:val="AMPRTABLEA-HEADERText-WHITE"/>
              <w:spacing w:before="144" w:after="144"/>
              <w:rPr>
                <w:noProof/>
                <w:highlight w:val="green"/>
              </w:rPr>
            </w:pPr>
            <w:r>
              <w:rPr>
                <w:noProof/>
              </w:rPr>
              <w:t>Member State</w:t>
            </w:r>
          </w:p>
        </w:tc>
        <w:tc>
          <w:tcPr>
            <w:tcW w:w="1720"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European Agricultural Guarantee Fund recoveries</w:t>
            </w:r>
          </w:p>
        </w:tc>
        <w:tc>
          <w:tcPr>
            <w:tcW w:w="1720"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European Agricultural Fund for Rural Development recoveries</w:t>
            </w:r>
          </w:p>
        </w:tc>
        <w:tc>
          <w:tcPr>
            <w:tcW w:w="1721" w:type="dxa"/>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rPr>
            </w:pPr>
            <w:r>
              <w:rPr>
                <w:noProof/>
              </w:rPr>
              <w:t>Total recoveries 2019</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Belgium</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1.64</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0.89</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2.53</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Bulgaria</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3.55</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5.99</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9.54</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Czechia</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1.32</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3.03</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4.35</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Denmark</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1.20</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0.74</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1.94</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Germany</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11.54</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9.02</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20.56</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Estonia</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0.33</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1.88</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2.21</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Ireland</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4.24</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2.06</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6.30</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Greece</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6.61</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2.99</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9.60</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Spain</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12.52</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5.88</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18.40</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France</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31.66</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5.13</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36.79</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Croatia</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1.67</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2.28</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3.94</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Italy</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41.00</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41.63</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82.64</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Cyprus</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0.30</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0.03</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0.34</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Latvia</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0.32</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0.52</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0.83</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Lithuania</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2.00</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1.61</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3.61</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Luxembourg</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0.26</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0.24</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0.50</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Hungary</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3.76</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4.34</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8.11</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Malta</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0.03</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0.09</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0.13</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Netherlands</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2.37</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0.13</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2.49</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Austria</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1.83</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3.09</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4.92</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Poland</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5.78</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10.32</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16.10</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Portugal</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5.91</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10.50</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16.41</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Romania</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8.39</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17.46</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25.86</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Slovenia</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0.44</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0.74</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1.17</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Slovakia</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1.07</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1.60</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2.68</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Finland</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1.06</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1.09</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2.15</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Sweden</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0.25</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0.14</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0.39</w:t>
            </w:r>
          </w:p>
        </w:tc>
      </w:tr>
      <w:tr w:rsidR="00311BB8" w:rsidTr="00311BB8">
        <w:trPr>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extLEFTalligned-BLACK"/>
              <w:rPr>
                <w:noProof/>
              </w:rPr>
            </w:pPr>
            <w:r>
              <w:rPr>
                <w:noProof/>
              </w:rPr>
              <w:t>United Kingdom</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4.74</w:t>
            </w:r>
          </w:p>
        </w:tc>
        <w:tc>
          <w:tcPr>
            <w:tcW w:w="1720"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6.67</w:t>
            </w:r>
          </w:p>
        </w:tc>
        <w:tc>
          <w:tcPr>
            <w:tcW w:w="1721"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eastAsia="EC Square Sans Pro"/>
                <w:noProof/>
                <w:highlight w:val="yellow"/>
              </w:rPr>
            </w:pPr>
            <w:r>
              <w:rPr>
                <w:noProof/>
              </w:rPr>
              <w:t>11.41</w:t>
            </w:r>
          </w:p>
        </w:tc>
      </w:tr>
      <w:tr w:rsidR="00311BB8" w:rsidTr="00311BB8">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1BB8" w:rsidRDefault="00D91061">
            <w:pPr>
              <w:pStyle w:val="AMPRTABLEA-TOTALLEFTalligned-BLACK"/>
              <w:rPr>
                <w:rFonts w:eastAsia="EC Square Sans Pro"/>
                <w:bCs/>
                <w:noProof/>
                <w:highlight w:val="green"/>
              </w:rPr>
            </w:pPr>
            <w:r>
              <w:rPr>
                <w:noProof/>
              </w:rPr>
              <w:t>Total</w:t>
            </w:r>
          </w:p>
        </w:tc>
        <w:tc>
          <w:tcPr>
            <w:tcW w:w="1720" w:type="dxa"/>
            <w:noWrap/>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EC Square Sans Pro"/>
                <w:noProof/>
                <w:highlight w:val="yellow"/>
              </w:rPr>
            </w:pPr>
            <w:r>
              <w:rPr>
                <w:noProof/>
              </w:rPr>
              <w:t>155.80</w:t>
            </w:r>
          </w:p>
        </w:tc>
        <w:tc>
          <w:tcPr>
            <w:tcW w:w="1720" w:type="dxa"/>
            <w:noWrap/>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EC Square Sans Pro"/>
                <w:noProof/>
                <w:highlight w:val="yellow"/>
              </w:rPr>
            </w:pPr>
            <w:r>
              <w:rPr>
                <w:rFonts w:eastAsia="Times New Roman"/>
                <w:noProof/>
              </w:rPr>
              <w:t>140.10</w:t>
            </w:r>
          </w:p>
        </w:tc>
        <w:tc>
          <w:tcPr>
            <w:tcW w:w="1721" w:type="dxa"/>
            <w:noWrap/>
            <w:hideMark/>
          </w:tcPr>
          <w:p w:rsidR="00311BB8" w:rsidRDefault="00D91061">
            <w:pPr>
              <w:pStyle w:val="AMPRTABLEA-TOTALRIGHTalligned-BLACK"/>
              <w:cnfStyle w:val="010000000000" w:firstRow="0" w:lastRow="1" w:firstColumn="0" w:lastColumn="0" w:oddVBand="0" w:evenVBand="0" w:oddHBand="0" w:evenHBand="0" w:firstRowFirstColumn="0" w:firstRowLastColumn="0" w:lastRowFirstColumn="0" w:lastRowLastColumn="0"/>
              <w:rPr>
                <w:rFonts w:eastAsia="EC Square Sans Pro"/>
                <w:noProof/>
                <w:highlight w:val="yellow"/>
              </w:rPr>
            </w:pPr>
            <w:r>
              <w:rPr>
                <w:noProof/>
              </w:rPr>
              <w:t>295.90</w:t>
            </w:r>
          </w:p>
        </w:tc>
      </w:tr>
    </w:tbl>
    <w:p w:rsidR="00311BB8" w:rsidRDefault="00D91061">
      <w:pPr>
        <w:pStyle w:val="AMPRChart-Tabletitle"/>
        <w:ind w:left="1134"/>
        <w:rPr>
          <w:noProof/>
        </w:rPr>
      </w:pPr>
      <w:r>
        <w:rPr>
          <w:noProof/>
        </w:rPr>
        <w:t>Member States’ financial recoveries from final beneficiaries of agricultural funding in 2019 (million</w:t>
      </w:r>
      <w:r>
        <w:rPr>
          <w:rFonts w:ascii="Calibri" w:hAnsi="Calibri" w:cs="Calibri"/>
          <w:noProof/>
        </w:rPr>
        <w:t> </w:t>
      </w:r>
      <w:r>
        <w:rPr>
          <w:noProof/>
        </w:rPr>
        <w:t>EUR)</w:t>
      </w:r>
    </w:p>
    <w:p w:rsidR="00311BB8" w:rsidRDefault="00D91061">
      <w:pPr>
        <w:rPr>
          <w:noProof/>
          <w:color w:val="000000"/>
          <w:szCs w:val="20"/>
          <w:lang w:eastAsia="fr-BE"/>
        </w:rPr>
      </w:pPr>
      <w:r>
        <w:rPr>
          <w:noProof/>
          <w:lang w:eastAsia="fr-BE"/>
        </w:rPr>
        <w:br w:type="page"/>
      </w:r>
    </w:p>
    <w:p w:rsidR="00311BB8" w:rsidRDefault="00D91061">
      <w:pPr>
        <w:pStyle w:val="AMPRBodyText"/>
        <w:rPr>
          <w:noProof/>
          <w:lang w:eastAsia="fr-BE"/>
        </w:rPr>
      </w:pPr>
      <w:r>
        <w:rPr>
          <w:noProof/>
          <w:lang w:eastAsia="fr-BE"/>
        </w:rPr>
        <w:t xml:space="preserve">For the </w:t>
      </w:r>
      <w:r>
        <w:rPr>
          <w:rStyle w:val="AMPRcharBoldOrange"/>
          <w:noProof/>
        </w:rPr>
        <w:t>European Agricultural Fund for Rural Development</w:t>
      </w:r>
      <w:r>
        <w:rPr>
          <w:noProof/>
          <w:lang w:eastAsia="fr-BE"/>
        </w:rPr>
        <w:t xml:space="preserve">, the figures are taken from the debtors’ ledger (recovered amount plus interest), as reconciled at the end of March 2020. Only recoveries to the </w:t>
      </w:r>
      <w:r>
        <w:rPr>
          <w:rStyle w:val="AMPRcharBoldOrange"/>
          <w:noProof/>
        </w:rPr>
        <w:t>European Agricultural Fund for Rural Development</w:t>
      </w:r>
      <w:r>
        <w:rPr>
          <w:noProof/>
          <w:lang w:eastAsia="fr-BE"/>
        </w:rPr>
        <w:t xml:space="preserve"> (2007-2013 and 2014-2020) are taken into account. For the </w:t>
      </w:r>
      <w:r>
        <w:rPr>
          <w:rStyle w:val="AMPRcharBoldOrange"/>
          <w:noProof/>
        </w:rPr>
        <w:t>European Agricultural Guarantee Fund</w:t>
      </w:r>
      <w:r>
        <w:rPr>
          <w:noProof/>
          <w:lang w:eastAsia="fr-BE"/>
        </w:rPr>
        <w:t>, the figures represent amounts recovered from the beneficiaries by the Member States and reimbursed to the Commission as assigned revenue (‘implemented’ amounts).</w:t>
      </w:r>
    </w:p>
    <w:p w:rsidR="00311BB8" w:rsidRDefault="00D91061">
      <w:pPr>
        <w:pStyle w:val="AMPRBodyText"/>
        <w:rPr>
          <w:noProof/>
        </w:rPr>
      </w:pPr>
      <w:r>
        <w:rPr>
          <w:noProof/>
          <w:color w:val="auto"/>
        </w:rPr>
        <w:t>The recovered amounts presented above include recoveries due to cross-compliance infringements. However, for the purposes of calculating the corrective capacity, such recoveries are excluded.</w:t>
      </w:r>
    </w:p>
    <w:p w:rsidR="00311BB8" w:rsidRDefault="00311BB8">
      <w:pPr>
        <w:rPr>
          <w:noProof/>
        </w:rPr>
        <w:sectPr w:rsidR="00311BB8">
          <w:headerReference w:type="even" r:id="rId91"/>
          <w:headerReference w:type="default" r:id="rId92"/>
          <w:footerReference w:type="even" r:id="rId93"/>
          <w:footerReference w:type="default" r:id="rId94"/>
          <w:headerReference w:type="first" r:id="rId95"/>
          <w:footerReference w:type="first" r:id="rId96"/>
          <w:footnotePr>
            <w:numStart w:val="94"/>
          </w:footnotePr>
          <w:pgSz w:w="11906" w:h="16838" w:code="9"/>
          <w:pgMar w:top="1417" w:right="1417" w:bottom="1134" w:left="1417" w:header="567" w:footer="454" w:gutter="0"/>
          <w:cols w:space="720"/>
          <w:docGrid w:linePitch="360"/>
        </w:sectPr>
      </w:pPr>
    </w:p>
    <w:p w:rsidR="00311BB8" w:rsidRDefault="00D91061">
      <w:pPr>
        <w:rPr>
          <w:noProof/>
          <w:color w:val="005D95"/>
          <w:sz w:val="48"/>
        </w:rPr>
      </w:pPr>
      <w:r>
        <w:rPr>
          <w:noProof/>
        </w:rPr>
        <w:br w:type="page"/>
      </w:r>
    </w:p>
    <w:p w:rsidR="00311BB8" w:rsidRDefault="00D91061">
      <w:pPr>
        <w:pStyle w:val="AMPRAnnexesTITLE2"/>
        <w:pageBreakBefore w:val="0"/>
        <w:rPr>
          <w:noProof/>
        </w:rPr>
      </w:pPr>
      <w:bookmarkStart w:id="147" w:name="_Toc6304472"/>
      <w:bookmarkStart w:id="148" w:name="_Toc8386224"/>
      <w:bookmarkStart w:id="149" w:name="_Toc11679103"/>
      <w:r>
        <w:rPr>
          <w:noProof/>
        </w:rPr>
        <w:t>Annex</w:t>
      </w:r>
      <w:r>
        <w:rPr>
          <w:rFonts w:ascii="Calibri" w:hAnsi="Calibri" w:cs="Calibri"/>
          <w:noProof/>
        </w:rPr>
        <w:t> </w:t>
      </w:r>
      <w:r>
        <w:rPr>
          <w:noProof/>
        </w:rPr>
        <w:t xml:space="preserve">6: </w:t>
      </w:r>
      <w:r>
        <w:rPr>
          <w:noProof/>
        </w:rPr>
        <w:br/>
        <w:t>Assurance provided by the Internal Audit Service</w:t>
      </w:r>
      <w:bookmarkEnd w:id="147"/>
      <w:bookmarkEnd w:id="148"/>
      <w:bookmarkEnd w:id="149"/>
    </w:p>
    <w:p w:rsidR="00311BB8" w:rsidRDefault="00D91061">
      <w:pPr>
        <w:pStyle w:val="AMPRBodyText"/>
        <w:rPr>
          <w:noProof/>
        </w:rPr>
      </w:pPr>
      <w:r>
        <w:rPr>
          <w:noProof/>
        </w:rPr>
        <w:t xml:space="preserve">The work of the Internal Audit Service, its principal findings and recommendations, and the information from the Audit Progress Committee contribute to the overall assurance-building process at Commission level. The Audit Progress Committee supports the Commission by ensuring the independence of the internal auditor and that audit recommendations are properly taken into account and appropriately followed up. </w:t>
      </w:r>
    </w:p>
    <w:p w:rsidR="00311BB8" w:rsidRDefault="00D91061">
      <w:pPr>
        <w:pStyle w:val="AMPRBodyText"/>
        <w:rPr>
          <w:noProof/>
        </w:rPr>
      </w:pPr>
      <w:r>
        <w:rPr>
          <w:noProof/>
        </w:rPr>
        <w:t>In 2019, the Internal Audit Service produced an annual internal audit report, in line with Article</w:t>
      </w:r>
      <w:r>
        <w:rPr>
          <w:rFonts w:ascii="Calibri" w:hAnsi="Calibri" w:cs="Calibri"/>
          <w:noProof/>
        </w:rPr>
        <w:t> </w:t>
      </w:r>
      <w:r>
        <w:rPr>
          <w:noProof/>
        </w:rPr>
        <w:t xml:space="preserve">118(4) of the financial regulation, which: (i) summarised the performance audits completed in 2019, (ii) presented the overall opinion on financial management for the year 2019, (iii) recalled the contribution of the Internal Audit Service to the annual activity reporting of the Commission’s departments and the executive agencies and (iv) reported on progress in implementing its audit recommendations. </w:t>
      </w:r>
    </w:p>
    <w:p w:rsidR="00311BB8" w:rsidRDefault="00D91061">
      <w:pPr>
        <w:pStyle w:val="AMPRAnnexesTITLE3"/>
        <w:rPr>
          <w:noProof/>
        </w:rPr>
      </w:pPr>
      <w:r>
        <w:rPr>
          <w:noProof/>
        </w:rPr>
        <w:t>Financial management: internal auditor’s overall opinion</w:t>
      </w:r>
    </w:p>
    <w:p w:rsidR="00311BB8" w:rsidRDefault="00D91061">
      <w:pPr>
        <w:pStyle w:val="AMPRBodyText"/>
        <w:rPr>
          <w:noProof/>
        </w:rPr>
      </w:pPr>
      <w:r>
        <w:rPr>
          <w:noProof/>
        </w:rPr>
        <w:t>As required by its mission charter, the Commission’s Internal Audit Service issued an overall opinion, which is based on the audit work it had carried out in the area of financial management in the Commission during the previous 3</w:t>
      </w:r>
      <w:r>
        <w:rPr>
          <w:rFonts w:ascii="Calibri" w:hAnsi="Calibri" w:cs="Calibri"/>
          <w:noProof/>
        </w:rPr>
        <w:t> </w:t>
      </w:r>
      <w:r>
        <w:rPr>
          <w:noProof/>
        </w:rPr>
        <w:t xml:space="preserve">years (2017-2019) and also takes into account information from other sources, namely the reports from the European Court of Auditors. Based on this audit information, the internal auditor considered that, in 2019, the Commission had put in place governance, risk management and internal control procedures which, taken as a whole, are adequate to give reasonable assurance on the achievement of its financial objectives. However, the overall opinion is qualified with regard to the reservations the authorising officers by delegation made in their declarations of assurance and issued in their respective annual activity reports. </w:t>
      </w:r>
    </w:p>
    <w:p w:rsidR="00311BB8" w:rsidRDefault="00D91061">
      <w:pPr>
        <w:pStyle w:val="AMPRBodyText"/>
        <w:rPr>
          <w:noProof/>
        </w:rPr>
      </w:pPr>
      <w:r>
        <w:rPr>
          <w:noProof/>
        </w:rPr>
        <w:t xml:space="preserve">In arriving at the overall opinion, the internal auditor also considered the combined impact of all amounts estimated to be at risk at payment as calculated by the authorising officers by delegation, as these go beyond the amounts put under reservation. The overall amounts at risk are the best estimation by authorising officers by delegation for the amount of the expenditure authorised that was not in conformity with the applicable contractual and regulatory provisions at the time of the payment in 2019. </w:t>
      </w:r>
    </w:p>
    <w:p w:rsidR="00311BB8" w:rsidRDefault="00D91061">
      <w:pPr>
        <w:pStyle w:val="AMPRBodyText"/>
        <w:rPr>
          <w:noProof/>
        </w:rPr>
      </w:pPr>
      <w:r>
        <w:rPr>
          <w:noProof/>
        </w:rPr>
        <w:t xml:space="preserve">In their annual activity reports, the directorates-general estimate amounts at risk to total between EUR 2.68 billion and EUR 3.11 billion approximately. This corresponds to between 1.8% and 2.1% of total expenditure from the Commission budget, the European Development Fund and the EU Trust Funds in 2019 and therefore just above a materiality of 2% as defined in the instructions for the preparation of the 2019 annual activity reports. </w:t>
      </w:r>
    </w:p>
    <w:p w:rsidR="00311BB8" w:rsidRDefault="00D91061">
      <w:pPr>
        <w:pStyle w:val="AMPRBodyText"/>
        <w:rPr>
          <w:noProof/>
        </w:rPr>
      </w:pPr>
      <w:r>
        <w:rPr>
          <w:noProof/>
        </w:rPr>
        <w:t xml:space="preserve">These amounts at risk at payment in 2019 do not yet include any financial corrections and recoveries related to deficiencies and errors that the Commission departments will detect and correct in the coming years due to the multiannual corrective mechanisms built into the Commission’s internal control systems. </w:t>
      </w:r>
    </w:p>
    <w:p w:rsidR="00311BB8" w:rsidRDefault="00D91061">
      <w:pPr>
        <w:pStyle w:val="AMPRBodyText"/>
        <w:rPr>
          <w:noProof/>
        </w:rPr>
      </w:pPr>
      <w:r>
        <w:rPr>
          <w:noProof/>
        </w:rPr>
        <w:t xml:space="preserve">Given these elements, the internal auditor considers that the EU budget is therefore adequately protected in total and over time. The COVID-19 outbreak and the Commission’s response to it did not affect the Commission’s ability to protect the EU budget during 2019. It may however do so in 2020 and the following years as </w:t>
      </w:r>
      <w:r>
        <w:rPr>
          <w:i/>
          <w:noProof/>
        </w:rPr>
        <w:t>ex post</w:t>
      </w:r>
      <w:r>
        <w:rPr>
          <w:noProof/>
        </w:rPr>
        <w:t xml:space="preserve"> corrective measures that have led to corrections in the past may become less effective (affecting corrective capacity) (see also the related emphasis of matter below).</w:t>
      </w:r>
    </w:p>
    <w:p w:rsidR="00311BB8" w:rsidRDefault="00D91061">
      <w:pPr>
        <w:pStyle w:val="AMPRBodyText"/>
        <w:rPr>
          <w:noProof/>
        </w:rPr>
      </w:pPr>
      <w:r>
        <w:rPr>
          <w:noProof/>
        </w:rPr>
        <w:t xml:space="preserve">Without further qualifying the opinion, the internal auditor added the following two ‘emphases of matter’, highlighting issues that require particular attention. </w:t>
      </w:r>
    </w:p>
    <w:p w:rsidR="00311BB8" w:rsidRDefault="00D91061">
      <w:pPr>
        <w:pStyle w:val="AMPRBodyText"/>
        <w:rPr>
          <w:i/>
          <w:noProof/>
        </w:rPr>
      </w:pPr>
      <w:r>
        <w:rPr>
          <w:i/>
          <w:noProof/>
        </w:rPr>
        <w:t>(i) Implementation of the EU budget in the context of the current crisis related to the COVID-19 pandemic: need for a detailed assessment of emerging risks and for the definition and implementation of corresponding mitigating measures.</w:t>
      </w:r>
    </w:p>
    <w:p w:rsidR="00311BB8" w:rsidRDefault="00D91061">
      <w:pPr>
        <w:pStyle w:val="AMPRBodyText"/>
        <w:rPr>
          <w:noProof/>
        </w:rPr>
      </w:pPr>
      <w:r>
        <w:rPr>
          <w:noProof/>
        </w:rPr>
        <w:t xml:space="preserve">The health, social, economic and financial situation created by the COVID-19 pandemic entails potentially high, cross-cutting risks for the institution as regards the implementation of the EU budget and the delivery of its policy priorities. </w:t>
      </w:r>
    </w:p>
    <w:p w:rsidR="00311BB8" w:rsidRDefault="00D91061">
      <w:pPr>
        <w:pStyle w:val="AMPRBodyText"/>
        <w:rPr>
          <w:noProof/>
        </w:rPr>
      </w:pPr>
      <w:r>
        <w:rPr>
          <w:noProof/>
        </w:rPr>
        <w:t>The Commission is accountable for the implementation of the EU budget. This includes the operations conducted prior to the crisis (as part of the 2014-2020 multiannual financial framework), for which adequate controls (</w:t>
      </w:r>
      <w:r>
        <w:rPr>
          <w:i/>
          <w:noProof/>
        </w:rPr>
        <w:t>ex post</w:t>
      </w:r>
      <w:r>
        <w:rPr>
          <w:noProof/>
        </w:rPr>
        <w:t xml:space="preserve"> in particular) still need to be performed, and during the crisis itself, on assurance, compliance and performance aspects. </w:t>
      </w:r>
    </w:p>
    <w:p w:rsidR="00311BB8" w:rsidRDefault="00D91061">
      <w:pPr>
        <w:pStyle w:val="AMPRBodyText"/>
        <w:rPr>
          <w:noProof/>
        </w:rPr>
      </w:pPr>
      <w:r>
        <w:rPr>
          <w:noProof/>
        </w:rPr>
        <w:t>As the crisis continues, this context poses challenges, in particular as regards:</w:t>
      </w:r>
    </w:p>
    <w:p w:rsidR="00311BB8" w:rsidRDefault="00D91061">
      <w:pPr>
        <w:pStyle w:val="AMPRListOrange-L1"/>
        <w:rPr>
          <w:noProof/>
        </w:rPr>
      </w:pPr>
      <w:r>
        <w:rPr>
          <w:noProof/>
        </w:rPr>
        <w:t>the implementation of the budget in compliance with the applicable legal framework, due to changing rules and evolving regulations, urgent procedures, use of exceptional measures, difficult conditions and/or limited availability of financial and human resources;</w:t>
      </w:r>
    </w:p>
    <w:p w:rsidR="00311BB8" w:rsidRDefault="00D91061">
      <w:pPr>
        <w:pStyle w:val="AMPRListOrange-L1"/>
        <w:rPr>
          <w:noProof/>
        </w:rPr>
      </w:pPr>
      <w:r>
        <w:rPr>
          <w:noProof/>
        </w:rPr>
        <w:t>the extent to which the necessary controls and verifications, whether at the level of the Commission, Member States, non-EU countries, implementing partners and/or beneficiaries, can be performed as intended due to logistical constraints such as the need for full and timely access to information and documentation, problems in undertaking missions / on-site checks and the ability of implementing partners and beneficiaries to continue their normal activities;</w:t>
      </w:r>
    </w:p>
    <w:p w:rsidR="00311BB8" w:rsidRDefault="00D91061">
      <w:pPr>
        <w:pStyle w:val="AMPRListOrange-L1"/>
        <w:rPr>
          <w:noProof/>
        </w:rPr>
      </w:pPr>
      <w:r>
        <w:rPr>
          <w:noProof/>
        </w:rPr>
        <w:t xml:space="preserve">the potential impact on the Commission’s current and future corrective capacity, due to the very challenging economic situation, which will need to be tackled at EU and national levels, including the possible bankruptcies of final beneficiaries, which could make it difficult to recover undue amounts. </w:t>
      </w:r>
    </w:p>
    <w:p w:rsidR="00311BB8" w:rsidRDefault="00D91061">
      <w:pPr>
        <w:pStyle w:val="AMPRBodyText"/>
        <w:rPr>
          <w:noProof/>
        </w:rPr>
      </w:pPr>
      <w:r>
        <w:rPr>
          <w:noProof/>
        </w:rPr>
        <w:t xml:space="preserve">The assurances provided on the financial management of the EU budget are multiannual in nature and depend on the robustness of the corresponding control strategies at different levels. These are based on risk assessments of the specific programmes and related budget operations, </w:t>
      </w:r>
      <w:r>
        <w:rPr>
          <w:i/>
          <w:noProof/>
        </w:rPr>
        <w:t>ex ante</w:t>
      </w:r>
      <w:r>
        <w:rPr>
          <w:noProof/>
        </w:rPr>
        <w:t xml:space="preserve"> and </w:t>
      </w:r>
      <w:r>
        <w:rPr>
          <w:i/>
          <w:noProof/>
        </w:rPr>
        <w:t>ex post</w:t>
      </w:r>
      <w:r>
        <w:rPr>
          <w:noProof/>
        </w:rPr>
        <w:t xml:space="preserve"> controls on expenditure, supervision strategies regarding third parties implementing policies and programmes, together with the implementation of the corrective capacity to protect the EU budget. </w:t>
      </w:r>
    </w:p>
    <w:p w:rsidR="00311BB8" w:rsidRDefault="00D91061">
      <w:pPr>
        <w:pStyle w:val="AMPRBodyText"/>
        <w:rPr>
          <w:noProof/>
        </w:rPr>
      </w:pPr>
      <w:r>
        <w:rPr>
          <w:noProof/>
        </w:rPr>
        <w:t>To ensure the budget is duly protected in the face of these unprecedented challenges, the Commission’s directorates-general and services should (i) duly assess the risks caused by the COVID-19 pandemic related to financial management in terms of assurance, compliance with the legal framework and the corrective capacity of the multiannual systems, as well as performance; and (ii) define and implement adequate mitigating measures, such as adjusting or redefining their control strategies.</w:t>
      </w:r>
    </w:p>
    <w:p w:rsidR="00311BB8" w:rsidRDefault="00D91061">
      <w:pPr>
        <w:pStyle w:val="AMPRBodyText"/>
        <w:rPr>
          <w:i/>
          <w:noProof/>
        </w:rPr>
      </w:pPr>
      <w:r>
        <w:rPr>
          <w:i/>
          <w:noProof/>
        </w:rPr>
        <w:t>(ii) Supervision strategies regarding third parties implementing policies and programmes.</w:t>
      </w:r>
    </w:p>
    <w:p w:rsidR="00311BB8" w:rsidRDefault="00D91061">
      <w:pPr>
        <w:pStyle w:val="AMPRBodyText"/>
        <w:rPr>
          <w:noProof/>
        </w:rPr>
      </w:pPr>
      <w:r>
        <w:rPr>
          <w:noProof/>
        </w:rPr>
        <w:t xml:space="preserve">Although the Commission remains fully responsible for ensuring the legality and regularity of expenditure and sound financial management (and also the achievement of policy objectives), it has increasingly relied on third parties to implement its programmes. This is mostly done by delegating the implementation of the EU’s operational budget or certain tasks to countries outside the EU, international organisations or international financial institutions, national authorities and national agencies in Member States, joint undertakings, non-EU bodies and EU decentralised agencies. Moreover, in certain policy areas, alternative funding mechanisms such as financial instruments are (planned to be) increasingly used and entail specific challenges and risks for the Commission, as also highlighted by the European Court of Auditors. </w:t>
      </w:r>
    </w:p>
    <w:p w:rsidR="00311BB8" w:rsidRDefault="00D91061">
      <w:pPr>
        <w:pStyle w:val="AMPRBodyText"/>
        <w:rPr>
          <w:noProof/>
        </w:rPr>
      </w:pPr>
      <w:r>
        <w:rPr>
          <w:noProof/>
        </w:rPr>
        <w:t xml:space="preserve">To fulfil their overall responsibilities, the directorates-general have to oversee the implementation of the programmes and policies and provide guidance and assistance where needed. Therefore, they have to define and implement adequate, effective and efficient supervision/monitoring/reporting activities to ensure that the delegated entities and other partners effectively implement the programmes, adequately protect the financial interests of the EU, comply with the delegation agreements, where applicable, and that any potential issues identified are addressed as soon as possible. </w:t>
      </w:r>
    </w:p>
    <w:p w:rsidR="00311BB8" w:rsidRDefault="00D91061">
      <w:pPr>
        <w:pStyle w:val="AMPRBodyText"/>
        <w:rPr>
          <w:noProof/>
        </w:rPr>
      </w:pPr>
      <w:r>
        <w:rPr>
          <w:noProof/>
        </w:rPr>
        <w:t xml:space="preserve">The Internal Audit Service continued to recommend in a number of audits in 2019 that the control strategies and supervisory arrangements of the relevant directorates-general should set out the priorities and the need to obtain assurance on sound financial management in those EU and non-EU bodies more clearly. Although actions have been taken in recent years both at the level of the central services and at that of the relevant directorates-general to mitigate the risks identified as a result of audit work, further improvements are still needed in some areas. </w:t>
      </w:r>
    </w:p>
    <w:p w:rsidR="00311BB8" w:rsidRDefault="00D91061">
      <w:pPr>
        <w:pStyle w:val="AMPRBodyText"/>
        <w:rPr>
          <w:noProof/>
        </w:rPr>
      </w:pPr>
      <w:r>
        <w:rPr>
          <w:noProof/>
        </w:rPr>
        <w:t>In this context, the Commission directorates-general should continue their efforts to identify and assess the risks involved in delegating tasks to third parties and pursue effective and efficient supervisory activities by further developing the relevant control strategies. This is relevant not only for the activities delegated under the current 2014-2020 multiannual financial framework, but even more so in view of the expected increase in the use of equity, guarantee and risk-sharing instruments in the next, 2021-2027 multi financial framework.</w:t>
      </w:r>
    </w:p>
    <w:p w:rsidR="00311BB8" w:rsidRDefault="00D91061">
      <w:pPr>
        <w:pStyle w:val="AMPRBOXB-bgWHITElnBLUE-BLACKtext"/>
        <w:pBdr>
          <w:top w:val="none" w:sz="0" w:space="0" w:color="auto"/>
          <w:left w:val="none" w:sz="0" w:space="0" w:color="auto"/>
          <w:bottom w:val="none" w:sz="0" w:space="0" w:color="auto"/>
          <w:right w:val="none" w:sz="0" w:space="0" w:color="auto"/>
        </w:pBdr>
        <w:rPr>
          <w:noProof/>
        </w:rPr>
      </w:pPr>
      <w:r>
        <w:rPr>
          <w:noProof/>
        </w:rPr>
        <w:t>The Internal Audit Service will monitor the developments regarding the impact of the COVID-19 crisis and the reliance on third parties for the implementation of programmes, on the current and the new (revised) multiannual financial framework, the updated political priorities and the Commission’s financial management. This will be done as part of the Internal Audit Service’s updates of the periodic (strategic) risk assessments and resulting audit plans.</w:t>
      </w:r>
    </w:p>
    <w:p w:rsidR="00311BB8" w:rsidRDefault="00D91061">
      <w:pPr>
        <w:pStyle w:val="AMPRAnnexesTITLE3"/>
        <w:rPr>
          <w:noProof/>
        </w:rPr>
      </w:pPr>
      <w:r>
        <w:rPr>
          <w:noProof/>
        </w:rPr>
        <w:t>Results of performance audits</w:t>
      </w:r>
      <w:r>
        <w:rPr>
          <w:rFonts w:asciiTheme="minorHAnsi" w:hAnsiTheme="minorHAnsi" w:cs="Calibri"/>
          <w:noProof/>
        </w:rPr>
        <w:t xml:space="preserve"> by the</w:t>
      </w:r>
      <w:r>
        <w:rPr>
          <w:rFonts w:asciiTheme="minorHAnsi" w:hAnsiTheme="minorHAnsi"/>
          <w:noProof/>
        </w:rPr>
        <w:t xml:space="preserve"> I</w:t>
      </w:r>
      <w:r>
        <w:rPr>
          <w:noProof/>
        </w:rPr>
        <w:t>nternal Audit Service</w:t>
      </w:r>
    </w:p>
    <w:p w:rsidR="00311BB8" w:rsidRDefault="00D91061">
      <w:pPr>
        <w:pStyle w:val="AMPRBodyText"/>
        <w:rPr>
          <w:noProof/>
        </w:rPr>
      </w:pPr>
      <w:r>
        <w:rPr>
          <w:noProof/>
        </w:rPr>
        <w:t>With a view to contributing to the Commission’s performance-based culture and greater focus on value for money, the Internal Audit Service carried out performance audits and audits that included important performance elements (comprehensive audits) in 2019 as part of its 2019-2021 strategic audit plan.</w:t>
      </w:r>
    </w:p>
    <w:p w:rsidR="00311BB8" w:rsidRDefault="00D91061">
      <w:pPr>
        <w:pStyle w:val="AMPRBodyText"/>
        <w:rPr>
          <w:noProof/>
        </w:rPr>
      </w:pPr>
      <w:r>
        <w:rPr>
          <w:noProof/>
        </w:rPr>
        <w:t>The Internal Audit Service made recommendations to help improve the overall performance of several key processes in the following areas.</w:t>
      </w:r>
    </w:p>
    <w:p w:rsidR="00311BB8" w:rsidRDefault="00D91061">
      <w:pPr>
        <w:pStyle w:val="AMPRListOrange-L1"/>
        <w:rPr>
          <w:noProof/>
        </w:rPr>
      </w:pPr>
      <w:r>
        <w:rPr>
          <w:rStyle w:val="AMPRcharBoldBlue"/>
          <w:noProof/>
        </w:rPr>
        <w:t xml:space="preserve">Supervision strategies regarding the implementation of programmes by third parties. </w:t>
      </w:r>
      <w:r>
        <w:rPr>
          <w:noProof/>
        </w:rPr>
        <w:t>The 2019 audits provide a mixed picture in this area, with weaknesses identified (in three out of five audits completed in 2019). In DG Energy and DG Mobility and Transport, the Internal Audit Service audits did not give rise to any critical or very important recommendations concerning the supervision. However, the Internal Audit Service issued recommendations on supervision strategies in specific areas regarding the performance framework of the European Union Finance for Innovators Instrument (DG Research and Innovation); the fruit and vegetable regime, in relation to the Member States (DG Agriculture and Rural Development); and the monitoring of the implementation and performance of 2014-2020 operational programmes in relation to the Member States (DG Employment, Social Affairs and Inclusion, DG Regional and Urban Policy and DG Maritime Affairs and Fisheries).</w:t>
      </w:r>
    </w:p>
    <w:p w:rsidR="00311BB8" w:rsidRDefault="00D91061">
      <w:pPr>
        <w:pStyle w:val="AMPRListOrange-L1"/>
        <w:rPr>
          <w:noProof/>
        </w:rPr>
      </w:pPr>
      <w:r>
        <w:rPr>
          <w:rStyle w:val="AMPRcharBoldBlue"/>
          <w:noProof/>
        </w:rPr>
        <w:t>Control strategies of selected directorates-general and services.</w:t>
      </w:r>
      <w:r>
        <w:rPr>
          <w:noProof/>
        </w:rPr>
        <w:t xml:space="preserve"> The Internal Audit Service identified in its audits in this area several weaknesses as regards: the planning and design of the control activities for a specific programme (an Executive Agency for Small and Medium-sized Enterprises programme on environment and climate action); the monitoring and follow-up of audits (DG International Cooperation and Development, DG Neighbourhood and Enlargement Negotiations); the effectiveness of the control strategy (DG European Civil Protection and Humanitarian Aid Operations</w:t>
      </w:r>
      <w:r>
        <w:rPr>
          <w:rFonts w:ascii="Calibri" w:hAnsi="Calibri" w:cs="Calibri"/>
          <w:noProof/>
        </w:rPr>
        <w:t> </w:t>
      </w:r>
      <w:r>
        <w:rPr>
          <w:noProof/>
        </w:rPr>
        <w:t xml:space="preserve">– for ensuring regularity and sound financial management in the </w:t>
      </w:r>
      <w:r>
        <w:rPr>
          <w:i/>
          <w:noProof/>
        </w:rPr>
        <w:t>ex ante</w:t>
      </w:r>
      <w:r>
        <w:rPr>
          <w:noProof/>
        </w:rPr>
        <w:t xml:space="preserve"> controls as well as in </w:t>
      </w:r>
      <w:r>
        <w:rPr>
          <w:i/>
          <w:noProof/>
        </w:rPr>
        <w:t>ex post</w:t>
      </w:r>
      <w:r>
        <w:rPr>
          <w:noProof/>
        </w:rPr>
        <w:t xml:space="preserve"> audits); the closure of mandates for common foreign security policy missions and the specific mitigating measures applied for the implementation of the EU budget delegated to the non-pillar-assessed mission in Somalia (Service for Foreign Policy Instruments); and the set-up, planning and execution of the audit activity and the clearance of accounts (DG Migration and Home Affairs).</w:t>
      </w:r>
    </w:p>
    <w:p w:rsidR="00311BB8" w:rsidRDefault="00D91061">
      <w:pPr>
        <w:pStyle w:val="AMPRListOrange-L1"/>
        <w:rPr>
          <w:noProof/>
        </w:rPr>
      </w:pPr>
      <w:r>
        <w:rPr>
          <w:rStyle w:val="AMPRcharBoldBlue"/>
          <w:noProof/>
        </w:rPr>
        <w:t>Human resources management processes.</w:t>
      </w:r>
      <w:r>
        <w:rPr>
          <w:noProof/>
        </w:rPr>
        <w:t xml:space="preserve"> Although action had already been taken in several areas following audits performed by the Internal Audit Service, the issues identified in previous years were also identified in two of the three human resources audits performed in 2019 (mainly as regards task and skills mapping, workload assessment and staff allocation in DG Taxation and Customs Union and the European Anti-Fraud Office, and as regards the human resources strategy in DG Taxation and Customs Union and the implementation </w:t>
      </w:r>
      <w:r>
        <w:rPr>
          <w:rFonts w:cs="Calibri"/>
          <w:noProof/>
        </w:rPr>
        <w:t>of the human resources strategy in</w:t>
      </w:r>
      <w:r>
        <w:rPr>
          <w:noProof/>
        </w:rPr>
        <w:t xml:space="preserve"> the European Anti-Fraud Office). In contrast, the human resources audit in DG Trade did not give rise to any critical or very important recommendations. Two other audits (of site management in the Joint Research Centre and of the efficiency and effectiveness of the Health and Food Audits and Analysis Directorate in DG Health and Food Safety) revealed specific issues related to the staffing in the audited areas. </w:t>
      </w:r>
    </w:p>
    <w:p w:rsidR="00311BB8" w:rsidRDefault="00D91061">
      <w:pPr>
        <w:pStyle w:val="AMPRListOrange-L1-consecutive"/>
        <w:ind w:left="714"/>
        <w:rPr>
          <w:noProof/>
        </w:rPr>
      </w:pPr>
      <w:r>
        <w:rPr>
          <w:noProof/>
        </w:rPr>
        <w:t>These audits confirmed that in the area of human resources management both the corporate and the operational directorates-general and services need to assume the responsibility for the tasks relating to their respective roles (DG Human Resources and Security for the design of the policies, development of centralised tools and provision of specific assistance and support; and directorates-general and services – at directorate-general level or for specific business processes – for the design and implementation of adequate human resources strategies to support the achievement of their objectives).</w:t>
      </w:r>
    </w:p>
    <w:p w:rsidR="00311BB8" w:rsidRDefault="00D91061">
      <w:pPr>
        <w:pStyle w:val="AMPRListOrange-L1"/>
        <w:rPr>
          <w:noProof/>
        </w:rPr>
      </w:pPr>
      <w:r>
        <w:rPr>
          <w:rStyle w:val="AMPRcharBoldBlue"/>
          <w:noProof/>
        </w:rPr>
        <w:t>Information technology management processes.</w:t>
      </w:r>
      <w:r>
        <w:rPr>
          <w:noProof/>
        </w:rPr>
        <w:t xml:space="preserve"> Several audits focused on information technology project management practices. While two audits on this topic (of DG Informatics and DG Education, Youth, Sport and Culture) did not identify any significant performance issues, one issue</w:t>
      </w:r>
      <w:r>
        <w:rPr>
          <w:rFonts w:ascii="Calibri" w:hAnsi="Calibri" w:cs="Calibri"/>
          <w:noProof/>
        </w:rPr>
        <w:t> –</w:t>
      </w:r>
      <w:r>
        <w:rPr>
          <w:noProof/>
        </w:rPr>
        <w:t xml:space="preserve"> concerning governance practices for the monitoring of programmes and projects</w:t>
      </w:r>
      <w:r>
        <w:rPr>
          <w:rFonts w:ascii="Calibri" w:hAnsi="Calibri" w:cs="Calibri"/>
          <w:noProof/>
        </w:rPr>
        <w:t> –</w:t>
      </w:r>
      <w:r>
        <w:rPr>
          <w:noProof/>
        </w:rPr>
        <w:t xml:space="preserve"> was identified in the audit in the Publications Office. In the European Anti-Fraud Office, overall, the controls in place for information technology project management practices did not provide sufficient assurance to mitigate the risks, and five very important weaknesses were identified.</w:t>
      </w:r>
    </w:p>
    <w:p w:rsidR="00311BB8" w:rsidRDefault="00D91061">
      <w:pPr>
        <w:pStyle w:val="AMPRListOrange-L1"/>
        <w:rPr>
          <w:noProof/>
        </w:rPr>
      </w:pPr>
      <w:r>
        <w:rPr>
          <w:rStyle w:val="AMPRcharBoldBlue"/>
          <w:noProof/>
        </w:rPr>
        <w:t>Better regulation.</w:t>
      </w:r>
      <w:r>
        <w:rPr>
          <w:noProof/>
        </w:rPr>
        <w:t xml:space="preserve"> No significant performance issues were identified in the several areas audited in relation to the better regulation framework (i.e. the digital single market policy proposals of DG Communications Networks, Content and Technology, the impact assessments in DG Justice and Consumers, the evaluation and studies by DG Climate Action and DG Environment and the monitoring of EU law implementation by DG Taxation and Customs Union), except for specific issues related to the procurement of evaluations and studies in DG Environment.</w:t>
      </w:r>
    </w:p>
    <w:p w:rsidR="00311BB8" w:rsidRDefault="00D91061">
      <w:pPr>
        <w:pStyle w:val="AMPRListOrange-L1"/>
        <w:rPr>
          <w:noProof/>
        </w:rPr>
      </w:pPr>
      <w:r>
        <w:rPr>
          <w:rStyle w:val="AMPRcharBoldBlue"/>
          <w:noProof/>
        </w:rPr>
        <w:t>Assessment of the implementation of the new internal control framework in the Commission in selected directorates-general.</w:t>
      </w:r>
      <w:r>
        <w:rPr>
          <w:noProof/>
        </w:rPr>
        <w:t xml:space="preserve"> The results of a series of limited reviews performed by the Internal Audit Service in six directorates-general and offices were satisfactory overall, as none gave rise to any critical or very important recommendations.</w:t>
      </w:r>
    </w:p>
    <w:p w:rsidR="00311BB8" w:rsidRDefault="00D91061">
      <w:pPr>
        <w:pStyle w:val="AMPRListOrange-L1"/>
        <w:rPr>
          <w:noProof/>
        </w:rPr>
      </w:pPr>
      <w:r>
        <w:rPr>
          <w:rStyle w:val="AMPRcharBoldBlue"/>
          <w:noProof/>
        </w:rPr>
        <w:t>Performance-related issues in other processes.</w:t>
      </w:r>
      <w:r>
        <w:rPr>
          <w:noProof/>
        </w:rPr>
        <w:t xml:space="preserve"> A number of weaknesses were identified and recommendations issued by the Internal Audit Service in various other areas, such as: the quality review function in Eurostat; the internal control system underpinning the processes for reviewing the unit costs methodology used by Member States to finance veterinary and plant health programmes and emergency measures in DG Health and Food Safety; specific areas of the management of international activities in DG Environment; specific issues related to the management of recovery orders (the management of insolvencies and bankruptcies, and the offsetting process) in DG Budget.</w:t>
      </w:r>
    </w:p>
    <w:p w:rsidR="00311BB8" w:rsidRDefault="00D91061">
      <w:pPr>
        <w:pStyle w:val="AMPRAnnexesTITLE3"/>
        <w:rPr>
          <w:noProof/>
        </w:rPr>
      </w:pPr>
      <w:r>
        <w:rPr>
          <w:noProof/>
        </w:rPr>
        <w:t>Contribution of the Internal Audit Service to the annual activity reporting of the authorising officers by delegation</w:t>
      </w:r>
    </w:p>
    <w:p w:rsidR="00311BB8" w:rsidRDefault="00D91061">
      <w:pPr>
        <w:pStyle w:val="AMPRBodyText"/>
        <w:rPr>
          <w:noProof/>
        </w:rPr>
      </w:pPr>
      <w:r>
        <w:rPr>
          <w:noProof/>
        </w:rPr>
        <w:t xml:space="preserve">The Internal Audit Service issued </w:t>
      </w:r>
      <w:r>
        <w:rPr>
          <w:rStyle w:val="AMPRcharBoldBlue"/>
          <w:noProof/>
        </w:rPr>
        <w:t>limited conclusions on the state of internal control</w:t>
      </w:r>
      <w:r>
        <w:rPr>
          <w:noProof/>
        </w:rPr>
        <w:t xml:space="preserve"> to every directorate-general and service</w:t>
      </w:r>
      <w:r>
        <w:rPr>
          <w:rFonts w:ascii="Calibri" w:hAnsi="Calibri" w:cs="Calibri"/>
          <w:noProof/>
        </w:rPr>
        <w:t> (</w:t>
      </w:r>
      <w:r>
        <w:rPr>
          <w:noProof/>
          <w:vertAlign w:val="superscript"/>
        </w:rPr>
        <w:footnoteReference w:id="44"/>
      </w:r>
      <w:r>
        <w:rPr>
          <w:rFonts w:ascii="Calibri" w:hAnsi="Calibri" w:cs="Calibri"/>
          <w:noProof/>
        </w:rPr>
        <w:t>)</w:t>
      </w:r>
      <w:r>
        <w:rPr>
          <w:noProof/>
        </w:rPr>
        <w:t xml:space="preserve"> in February 2020. These limited conclusions contributed to the 2019 annual activity reports of the directorates-general and services concerned. They draw on the audit work carried out in the last 3</w:t>
      </w:r>
      <w:r>
        <w:rPr>
          <w:rFonts w:ascii="Calibri" w:hAnsi="Calibri" w:cs="Calibri"/>
          <w:noProof/>
        </w:rPr>
        <w:t> </w:t>
      </w:r>
      <w:r>
        <w:rPr>
          <w:noProof/>
        </w:rPr>
        <w:t xml:space="preserve">years and cover all open recommendations issued by the Internal Audit Service. </w:t>
      </w:r>
    </w:p>
    <w:p w:rsidR="00311BB8" w:rsidRDefault="00D91061">
      <w:pPr>
        <w:pStyle w:val="AMPRBodyText"/>
        <w:rPr>
          <w:noProof/>
        </w:rPr>
      </w:pPr>
      <w:r>
        <w:rPr>
          <w:noProof/>
        </w:rPr>
        <w:t>The Internal Audit Service’s conclusions on the state of internal control in the directorates-general are limited to the management and control systems that were audited in the past 3</w:t>
      </w:r>
      <w:r>
        <w:rPr>
          <w:rFonts w:ascii="Calibri" w:hAnsi="Calibri" w:cs="Calibri"/>
          <w:noProof/>
        </w:rPr>
        <w:t> </w:t>
      </w:r>
      <w:r>
        <w:rPr>
          <w:noProof/>
        </w:rPr>
        <w:t>years (2017-2019).</w:t>
      </w:r>
    </w:p>
    <w:p w:rsidR="00311BB8" w:rsidRDefault="00D91061">
      <w:pPr>
        <w:pStyle w:val="AMPRAnnexesTITLE3"/>
        <w:rPr>
          <w:noProof/>
        </w:rPr>
      </w:pPr>
      <w:r>
        <w:rPr>
          <w:noProof/>
        </w:rPr>
        <w:t>Follow-up of previous Internal Audit Service recommendations</w:t>
      </w:r>
    </w:p>
    <w:p w:rsidR="00311BB8" w:rsidRDefault="00D91061">
      <w:pPr>
        <w:pStyle w:val="AMPRBodyText"/>
        <w:rPr>
          <w:rFonts w:asciiTheme="minorHAnsi" w:eastAsia="Calibri" w:hAnsiTheme="minorHAnsi"/>
          <w:noProof/>
        </w:rPr>
      </w:pPr>
      <w:r>
        <w:rPr>
          <w:rFonts w:asciiTheme="minorHAnsi" w:eastAsia="Calibri" w:hAnsiTheme="minorHAnsi"/>
          <w:noProof/>
        </w:rPr>
        <w:t xml:space="preserve">The Internal Audit Service’s follow-up work confirmed that, overall, </w:t>
      </w:r>
      <w:r>
        <w:rPr>
          <w:rStyle w:val="AMPRcharBoldBlue"/>
          <w:noProof/>
        </w:rPr>
        <w:t>recommendations are being implemented satisfactorily by the Commission’s directorates-general, services and executive agencies and the control systems in the audited departments are improving</w:t>
      </w:r>
      <w:r>
        <w:rPr>
          <w:rFonts w:asciiTheme="minorHAnsi" w:eastAsia="Calibri" w:hAnsiTheme="minorHAnsi"/>
          <w:noProof/>
        </w:rPr>
        <w:t xml:space="preserve">. </w:t>
      </w:r>
    </w:p>
    <w:p w:rsidR="00311BB8" w:rsidRDefault="00D91061">
      <w:pPr>
        <w:pStyle w:val="AMPRBodyText"/>
        <w:rPr>
          <w:noProof/>
        </w:rPr>
      </w:pPr>
      <w:r>
        <w:rPr>
          <w:noProof/>
        </w:rPr>
        <w:t xml:space="preserve">Of the 245 recommendations (classified as critical, very important or important) </w:t>
      </w:r>
      <w:r>
        <w:rPr>
          <w:rStyle w:val="AMPRcharBoldBlue"/>
          <w:noProof/>
        </w:rPr>
        <w:t>still in progress</w:t>
      </w:r>
      <w:r>
        <w:rPr>
          <w:noProof/>
        </w:rPr>
        <w:t xml:space="preserve"> in the Commission departments at the cut-off date of 31</w:t>
      </w:r>
      <w:r>
        <w:rPr>
          <w:rFonts w:ascii="Calibri" w:hAnsi="Calibri" w:cs="Calibri"/>
          <w:noProof/>
        </w:rPr>
        <w:t> </w:t>
      </w:r>
      <w:r>
        <w:rPr>
          <w:noProof/>
        </w:rPr>
        <w:t>January 2020 (representing 13% of the total number of accepted recommendations over the past 5</w:t>
      </w:r>
      <w:r>
        <w:rPr>
          <w:rFonts w:ascii="Calibri" w:hAnsi="Calibri" w:cs="Calibri"/>
          <w:noProof/>
        </w:rPr>
        <w:t> </w:t>
      </w:r>
      <w:r>
        <w:rPr>
          <w:noProof/>
        </w:rPr>
        <w:t>years), none are classified as critical and 71 are rated as very important. Out of these 71 recommendations, only six were long overdue (i.e. still open more than 6</w:t>
      </w:r>
      <w:r>
        <w:rPr>
          <w:rFonts w:ascii="Calibri" w:hAnsi="Calibri" w:cs="Calibri"/>
          <w:noProof/>
        </w:rPr>
        <w:t> </w:t>
      </w:r>
      <w:r>
        <w:rPr>
          <w:noProof/>
        </w:rPr>
        <w:t>months after the original implementation date), representing 0.3% of the total number of accepted critical and very important recommendations of the past 5</w:t>
      </w:r>
      <w:r>
        <w:rPr>
          <w:rFonts w:ascii="Calibri" w:hAnsi="Calibri" w:cs="Calibri"/>
          <w:noProof/>
        </w:rPr>
        <w:t> </w:t>
      </w:r>
      <w:r>
        <w:rPr>
          <w:noProof/>
        </w:rPr>
        <w:t>years.</w:t>
      </w:r>
    </w:p>
    <w:p w:rsidR="00311BB8" w:rsidRDefault="00D91061">
      <w:pPr>
        <w:pStyle w:val="AMPRBodyText"/>
        <w:rPr>
          <w:rFonts w:asciiTheme="minorHAnsi" w:eastAsia="Calibri" w:hAnsiTheme="minorHAnsi"/>
          <w:noProof/>
        </w:rPr>
      </w:pPr>
      <w:r>
        <w:rPr>
          <w:rFonts w:asciiTheme="minorHAnsi" w:eastAsia="Calibri" w:hAnsiTheme="minorHAnsi"/>
          <w:noProof/>
        </w:rPr>
        <w:t xml:space="preserve">Once </w:t>
      </w:r>
      <w:r>
        <w:rPr>
          <w:rStyle w:val="AMPRcharBoldBlue"/>
          <w:noProof/>
        </w:rPr>
        <w:t>management reports the recommendations as completed, the Internal Audit Service conducts follow-up audits to assess the effectiveness of their implementation</w:t>
      </w:r>
      <w:r>
        <w:rPr>
          <w:rFonts w:asciiTheme="minorHAnsi" w:eastAsia="Calibri" w:hAnsiTheme="minorHAnsi"/>
          <w:noProof/>
        </w:rPr>
        <w:t>. As a result, the Internal Audit Service concluded that 98% of the recommendations followed up during 2015 to 2019 had been adequately and effectively implemented by the auditees.</w:t>
      </w:r>
    </w:p>
    <w:p w:rsidR="00311BB8" w:rsidRDefault="00311BB8">
      <w:pPr>
        <w:rPr>
          <w:noProof/>
        </w:rPr>
      </w:pPr>
    </w:p>
    <w:p w:rsidR="00311BB8" w:rsidRDefault="00311BB8">
      <w:pPr>
        <w:rPr>
          <w:noProof/>
        </w:rPr>
      </w:pPr>
    </w:p>
    <w:p w:rsidR="00311BB8" w:rsidRDefault="00D91061">
      <w:pPr>
        <w:rPr>
          <w:noProof/>
        </w:rPr>
      </w:pPr>
      <w:r>
        <w:rPr>
          <w:noProof/>
        </w:rPr>
        <w:br w:type="page"/>
      </w:r>
    </w:p>
    <w:p w:rsidR="00311BB8" w:rsidRDefault="00311BB8">
      <w:pPr>
        <w:rPr>
          <w:noProof/>
        </w:rPr>
        <w:sectPr w:rsidR="00311BB8">
          <w:headerReference w:type="even" r:id="rId97"/>
          <w:headerReference w:type="default" r:id="rId98"/>
          <w:footerReference w:type="even" r:id="rId99"/>
          <w:footerReference w:type="default" r:id="rId100"/>
          <w:headerReference w:type="first" r:id="rId101"/>
          <w:footerReference w:type="first" r:id="rId102"/>
          <w:footnotePr>
            <w:numStart w:val="94"/>
          </w:footnotePr>
          <w:type w:val="continuous"/>
          <w:pgSz w:w="11906" w:h="16838" w:code="9"/>
          <w:pgMar w:top="1417" w:right="1417" w:bottom="1134" w:left="1417" w:header="567" w:footer="454" w:gutter="0"/>
          <w:cols w:space="720"/>
          <w:docGrid w:linePitch="360"/>
        </w:sectPr>
      </w:pPr>
    </w:p>
    <w:p w:rsidR="00311BB8" w:rsidRDefault="00D91061">
      <w:pPr>
        <w:pStyle w:val="AMPRAnnexesTITLE2"/>
        <w:rPr>
          <w:noProof/>
        </w:rPr>
      </w:pPr>
      <w:r>
        <w:rPr>
          <w:noProof/>
        </w:rPr>
        <w:t>Annex</w:t>
      </w:r>
      <w:r>
        <w:rPr>
          <w:rFonts w:ascii="Calibri" w:hAnsi="Calibri" w:cs="Calibri"/>
          <w:noProof/>
        </w:rPr>
        <w:t> </w:t>
      </w:r>
      <w:r>
        <w:rPr>
          <w:noProof/>
        </w:rPr>
        <w:t>7: Summary of the work and conclusions of the Audit Progress Committee</w:t>
      </w:r>
    </w:p>
    <w:p w:rsidR="00311BB8" w:rsidRDefault="00D91061">
      <w:pPr>
        <w:pStyle w:val="AMPRBodyText"/>
        <w:rPr>
          <w:noProof/>
        </w:rPr>
      </w:pPr>
      <w:bookmarkStart w:id="150" w:name="_Toc6304473"/>
      <w:bookmarkStart w:id="151" w:name="_Toc8386225"/>
      <w:bookmarkStart w:id="152" w:name="_Toc11679104"/>
      <w:r>
        <w:rPr>
          <w:noProof/>
        </w:rPr>
        <w:t>An updated Audit Progress Committee charter was adopted by the College of Commissioners in February 2020. It largely builds on the strengths of the previous charter, keeping the mandate and the composition of the Audit Progress Committee stable</w:t>
      </w:r>
      <w:r>
        <w:rPr>
          <w:rFonts w:ascii="Calibri" w:hAnsi="Calibri" w:cs="Calibri"/>
          <w:noProof/>
        </w:rPr>
        <w:t> (</w:t>
      </w:r>
      <w:r>
        <w:rPr>
          <w:noProof/>
          <w:vertAlign w:val="superscript"/>
        </w:rPr>
        <w:footnoteReference w:id="45"/>
      </w:r>
      <w:r>
        <w:rPr>
          <w:rFonts w:ascii="Calibri" w:hAnsi="Calibri" w:cs="Calibri"/>
          <w:noProof/>
        </w:rPr>
        <w:t>)</w:t>
      </w:r>
      <w:r>
        <w:rPr>
          <w:noProof/>
        </w:rPr>
        <w:t xml:space="preserve"> while reflecting the required changes in the internal membership as a result of the new Commission taking office on 1</w:t>
      </w:r>
      <w:r>
        <w:rPr>
          <w:rFonts w:ascii="Calibri" w:hAnsi="Calibri" w:cs="Calibri"/>
          <w:noProof/>
        </w:rPr>
        <w:t> </w:t>
      </w:r>
      <w:r>
        <w:rPr>
          <w:noProof/>
        </w:rPr>
        <w:t xml:space="preserve">December 2019. </w:t>
      </w:r>
    </w:p>
    <w:p w:rsidR="00311BB8" w:rsidRDefault="00D91061">
      <w:pPr>
        <w:pStyle w:val="AMPRBodyText"/>
        <w:rPr>
          <w:noProof/>
        </w:rPr>
      </w:pPr>
      <w:r>
        <w:rPr>
          <w:noProof/>
        </w:rPr>
        <w:t>The Audit Progress Committee has focused its work on four key objectives set out in its 2019 and 2020 work programmes, namely: considering the audit planning of the internal auditor; analysing the results of internal and external audit work to identify potentially significant risks, including in a thematic manner; monitoring the follow-up mitigation of significant residual risks identified by audit work; and ensuring the independence of the internal auditor and monitoring the quality of internal audit work.</w:t>
      </w:r>
    </w:p>
    <w:p w:rsidR="00311BB8" w:rsidRDefault="00D91061">
      <w:pPr>
        <w:pStyle w:val="AMPRBodyText"/>
        <w:rPr>
          <w:noProof/>
        </w:rPr>
      </w:pPr>
      <w:r>
        <w:rPr>
          <w:noProof/>
        </w:rPr>
        <w:t>The Audit Progress Committee is satisfied as to the independence and quality of internal audit work and that the internal auditor’s planning adequately covers the audit universe and continues to cover the key risk areas. The Audit Progress Committee observed, based on the analysis prepared by the internal auditor, the high level of convergence between the critical risks identified by management and the high risks identified by the Internal Audit Service. The Audit Progress Committee also expressed satisfaction about the further increase in the quality and coherence of the list of critical risks as identified by management in response to the Committee’s previous requests for improvements.</w:t>
      </w:r>
    </w:p>
    <w:p w:rsidR="00311BB8" w:rsidRDefault="00D91061">
      <w:pPr>
        <w:pStyle w:val="AMPRBodyText"/>
        <w:rPr>
          <w:noProof/>
        </w:rPr>
      </w:pPr>
      <w:r>
        <w:rPr>
          <w:noProof/>
        </w:rPr>
        <w:t>The committee welcomed that the Internal Auditor’s overall opinion for 2019 is positive and is qualified only with regard to the management reservations as expressed in the annual activity reports of the Authorising Officers by Delegation. For the fifth year in a row the Internal Auditor includes an emphasis of matter relating to outsourcing (‘externalisation’). The committee has highlighted its concerns about such risks on numerous occasions, and again reiterated that efforts to mitigate them through adequate control strategies and tools need to be continued as a matter of priority. The committee also took note of and expressed support for the newly raised emphasis of matter on the implementation of the EU budget in the context of the ongoing crisis related to the COVID-19 pandemic. It held a dedicated discussion on the associated new and emerging risks, as well as their potential impact on the wider control environment, audit conditions and assurance building in general.</w:t>
      </w:r>
    </w:p>
    <w:p w:rsidR="00311BB8" w:rsidRDefault="00D91061">
      <w:pPr>
        <w:pStyle w:val="AMPRBodyText"/>
        <w:rPr>
          <w:noProof/>
        </w:rPr>
      </w:pPr>
      <w:r>
        <w:rPr>
          <w:noProof/>
        </w:rPr>
        <w:t xml:space="preserve">The committee took note of the Internal Auditor’s overall conclusion on performance audits, in particular concerning the supervision strategies regarding the implementation of programmes by third parties, control strategies of selected </w:t>
      </w:r>
      <w:r w:rsidR="002877B9">
        <w:rPr>
          <w:noProof/>
        </w:rPr>
        <w:t>Commission departments</w:t>
      </w:r>
      <w:r>
        <w:rPr>
          <w:noProof/>
        </w:rPr>
        <w:t xml:space="preserve">, information technology and human resources management processes, and better regulation initiatives. The committee noted with satisfaction the thematic convergence with its own priorities and that most of the highlighted key audit findings had been discussed by the committee or were scheduled for discussion at its future meetings.  </w:t>
      </w:r>
    </w:p>
    <w:p w:rsidR="00311BB8" w:rsidRDefault="00D91061">
      <w:pPr>
        <w:pStyle w:val="AMPRBodyText"/>
        <w:rPr>
          <w:noProof/>
        </w:rPr>
      </w:pPr>
      <w:r>
        <w:rPr>
          <w:noProof/>
        </w:rPr>
        <w:t>The Audit Progress Committee noted that all of the audit recommendations issued by the Internal Auditor in 2019 were accepted by the management and satisfactory action plans were being implemented to address the risks identified.</w:t>
      </w:r>
    </w:p>
    <w:p w:rsidR="00311BB8" w:rsidRDefault="00D91061">
      <w:pPr>
        <w:pStyle w:val="AMPRBodyText"/>
        <w:rPr>
          <w:noProof/>
        </w:rPr>
      </w:pPr>
      <w:r>
        <w:rPr>
          <w:noProof/>
        </w:rPr>
        <w:t>No critical recommendations were issued by the internal auditor during the reporting period.</w:t>
      </w:r>
    </w:p>
    <w:p w:rsidR="00311BB8" w:rsidRDefault="00D91061">
      <w:pPr>
        <w:pStyle w:val="AMPRBodyText"/>
        <w:rPr>
          <w:noProof/>
        </w:rPr>
      </w:pPr>
      <w:r>
        <w:rPr>
          <w:noProof/>
        </w:rPr>
        <w:t>The Committee continued to closely follow up on the issues raised in its previous annual reports, as detailed below:</w:t>
      </w:r>
    </w:p>
    <w:p w:rsidR="00311BB8" w:rsidRDefault="00D91061">
      <w:pPr>
        <w:pStyle w:val="AMPRListOrange-L1"/>
        <w:rPr>
          <w:noProof/>
        </w:rPr>
      </w:pPr>
      <w:r>
        <w:rPr>
          <w:noProof/>
        </w:rPr>
        <w:t xml:space="preserve">the Audit Progress Committee welcomed the fact that all recommendations from the internal auditor’s report on the Commission’s governance/oversight arrangements concerning risk management, financial reporting and the </w:t>
      </w:r>
      <w:r>
        <w:rPr>
          <w:i/>
          <w:noProof/>
        </w:rPr>
        <w:t>ex post</w:t>
      </w:r>
      <w:r>
        <w:rPr>
          <w:noProof/>
        </w:rPr>
        <w:t xml:space="preserve"> verification/audit function had been fully implemented and closed;</w:t>
      </w:r>
    </w:p>
    <w:p w:rsidR="00311BB8" w:rsidRDefault="00D91061">
      <w:pPr>
        <w:pStyle w:val="AMPRListOrange-L1"/>
        <w:rPr>
          <w:noProof/>
        </w:rPr>
      </w:pPr>
      <w:r>
        <w:rPr>
          <w:noProof/>
        </w:rPr>
        <w:t>in the area of performance, all three very important internal audit recommendations to Eurostat as concerns the production process and the quality of statistics other than those produced by that service were implemented during the reporting period;</w:t>
      </w:r>
    </w:p>
    <w:p w:rsidR="00311BB8" w:rsidRDefault="00D91061">
      <w:pPr>
        <w:pStyle w:val="AMPRListOrange-L1"/>
        <w:rPr>
          <w:noProof/>
        </w:rPr>
      </w:pPr>
      <w:r>
        <w:rPr>
          <w:noProof/>
        </w:rPr>
        <w:t>the Audit Progress Committee noted with satisfaction that the long-outstanding recommendations addressed to the Office for the Administration and Payment of Individual Entitlements concerning the budget of the European Anti-Fraud Office’s Supervisory Committee were fully implemented and had been closed.</w:t>
      </w:r>
    </w:p>
    <w:p w:rsidR="00311BB8" w:rsidRDefault="00D91061">
      <w:pPr>
        <w:pStyle w:val="AMPRBodyText"/>
        <w:rPr>
          <w:noProof/>
        </w:rPr>
      </w:pPr>
      <w:r>
        <w:rPr>
          <w:noProof/>
        </w:rPr>
        <w:t>The effective implementation rate of the internal auditor’s recommendations (i.e. 98% for recommendations issued from 2015 to 2019) is high. The number of very important audit recommendations that are overdue by more than 6</w:t>
      </w:r>
      <w:r>
        <w:rPr>
          <w:rFonts w:ascii="Calibri" w:hAnsi="Calibri" w:cs="Calibri"/>
          <w:noProof/>
        </w:rPr>
        <w:t> </w:t>
      </w:r>
      <w:r>
        <w:rPr>
          <w:noProof/>
        </w:rPr>
        <w:t>months has fallen considerably over recent years, from an average of 28 in the period between June 2015 and October 2016 to an average of 14 since January 2017, as shown in the chart below.</w:t>
      </w:r>
    </w:p>
    <w:p w:rsidR="00311BB8" w:rsidRDefault="00D91061">
      <w:pPr>
        <w:pStyle w:val="AMPRChart-Tabletitle"/>
        <w:rPr>
          <w:noProof/>
        </w:rPr>
      </w:pPr>
      <w:r>
        <w:rPr>
          <w:noProof/>
          <w:lang w:val="fr-BE"/>
        </w:rPr>
        <w:drawing>
          <wp:inline distT="0" distB="0" distL="0" distR="0">
            <wp:extent cx="5759450" cy="3038535"/>
            <wp:effectExtent l="0" t="0" r="0" b="0"/>
            <wp:docPr id="7193" name="Chart 7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Pr>
          <w:noProof/>
        </w:rPr>
        <w:t>Number of critical and very important recommendations overdue for more than 6</w:t>
      </w:r>
      <w:r>
        <w:rPr>
          <w:rFonts w:ascii="Calibri" w:hAnsi="Calibri" w:cs="Calibri"/>
          <w:noProof/>
        </w:rPr>
        <w:t> </w:t>
      </w:r>
      <w:r>
        <w:rPr>
          <w:noProof/>
        </w:rPr>
        <w:t>months</w:t>
      </w:r>
    </w:p>
    <w:p w:rsidR="00311BB8" w:rsidRDefault="00D91061">
      <w:pPr>
        <w:pStyle w:val="AMPRSource-Table-Chart-Photo-Caption"/>
        <w:rPr>
          <w:noProof/>
        </w:rPr>
      </w:pPr>
      <w:r>
        <w:rPr>
          <w:i/>
          <w:noProof/>
        </w:rPr>
        <w:t>Source</w:t>
      </w:r>
      <w:r>
        <w:rPr>
          <w:noProof/>
        </w:rPr>
        <w:t>: European Commission.</w:t>
      </w:r>
    </w:p>
    <w:p w:rsidR="00311BB8" w:rsidRDefault="00D91061">
      <w:pPr>
        <w:pStyle w:val="AMPRBodyText"/>
        <w:rPr>
          <w:noProof/>
        </w:rPr>
      </w:pPr>
      <w:r>
        <w:rPr>
          <w:noProof/>
        </w:rPr>
        <w:t>During the reporting period, the Audit Progress Committee continued to scrutinise the state of play of the implementation of the European Court of Auditors’ recommendations, including the follow-up of the Court’s audit findings on the reliability of the EU consolidated accounts.</w:t>
      </w:r>
    </w:p>
    <w:p w:rsidR="00311BB8" w:rsidRDefault="00D91061">
      <w:pPr>
        <w:pStyle w:val="AMPRBodyText"/>
        <w:rPr>
          <w:noProof/>
        </w:rPr>
      </w:pPr>
      <w:r>
        <w:rPr>
          <w:noProof/>
        </w:rPr>
        <w:t>With the recent updates applied to its charter, the Audit Progress Committee has evolved into a mature and effective actor in the Commission’s governance structures. The newly established Audit Progress Committee for the 2019-2024 period will ensure that it continues to play its important role in enhancing governance, organisational performance and accountability across the entire organisation, throughout the term of the Commission.</w:t>
      </w:r>
    </w:p>
    <w:p w:rsidR="00311BB8" w:rsidRDefault="00311BB8">
      <w:pPr>
        <w:rPr>
          <w:noProof/>
        </w:rPr>
        <w:sectPr w:rsidR="00311BB8">
          <w:headerReference w:type="even" r:id="rId104"/>
          <w:headerReference w:type="default" r:id="rId105"/>
          <w:footerReference w:type="even" r:id="rId106"/>
          <w:footerReference w:type="default" r:id="rId107"/>
          <w:headerReference w:type="first" r:id="rId108"/>
          <w:footerReference w:type="first" r:id="rId109"/>
          <w:footnotePr>
            <w:numStart w:val="94"/>
          </w:footnotePr>
          <w:type w:val="continuous"/>
          <w:pgSz w:w="11906" w:h="16838" w:code="9"/>
          <w:pgMar w:top="1417" w:right="1417" w:bottom="1134" w:left="1417" w:header="567" w:footer="454" w:gutter="0"/>
          <w:cols w:space="720"/>
          <w:docGrid w:linePitch="360"/>
        </w:sectPr>
      </w:pPr>
    </w:p>
    <w:p w:rsidR="00311BB8" w:rsidRDefault="00D91061">
      <w:pPr>
        <w:pStyle w:val="AMPRAnnexesTITLE2"/>
        <w:rPr>
          <w:noProof/>
        </w:rPr>
      </w:pPr>
      <w:r>
        <w:rPr>
          <w:noProof/>
        </w:rPr>
        <w:t>Annex</w:t>
      </w:r>
      <w:r>
        <w:rPr>
          <w:rFonts w:ascii="Calibri" w:hAnsi="Calibri" w:cs="Calibri"/>
          <w:noProof/>
        </w:rPr>
        <w:t> </w:t>
      </w:r>
      <w:r>
        <w:rPr>
          <w:noProof/>
        </w:rPr>
        <w:t xml:space="preserve">8: </w:t>
      </w:r>
      <w:r>
        <w:rPr>
          <w:noProof/>
        </w:rPr>
        <w:br/>
        <w:t>Compliance with payment time limits</w:t>
      </w:r>
      <w:bookmarkEnd w:id="150"/>
      <w:bookmarkEnd w:id="151"/>
      <w:bookmarkEnd w:id="152"/>
    </w:p>
    <w:p w:rsidR="00311BB8" w:rsidRDefault="00D91061">
      <w:pPr>
        <w:pStyle w:val="AMPRBodyText"/>
        <w:rPr>
          <w:noProof/>
        </w:rPr>
      </w:pPr>
      <w:r>
        <w:rPr>
          <w:noProof/>
        </w:rPr>
        <w:t xml:space="preserve">The </w:t>
      </w:r>
      <w:r>
        <w:rPr>
          <w:rStyle w:val="AMPRcharBoldOrange"/>
          <w:noProof/>
        </w:rPr>
        <w:t>statutory time limits</w:t>
      </w:r>
      <w:r>
        <w:rPr>
          <w:noProof/>
        </w:rPr>
        <w:t xml:space="preserve"> for payments are laid down in the financial regulation</w:t>
      </w:r>
      <w:r>
        <w:rPr>
          <w:rFonts w:ascii="Calibri" w:hAnsi="Calibri" w:cs="Calibri"/>
          <w:noProof/>
        </w:rPr>
        <w:t> </w:t>
      </w:r>
      <w:r>
        <w:rPr>
          <w:noProof/>
        </w:rPr>
        <w:t>(</w:t>
      </w:r>
      <w:r>
        <w:rPr>
          <w:noProof/>
          <w:vertAlign w:val="superscript"/>
        </w:rPr>
        <w:footnoteReference w:id="46"/>
      </w:r>
      <w:r>
        <w:rPr>
          <w:noProof/>
        </w:rPr>
        <w:t xml:space="preserve">). There are also some exceptionally applied time limits which are detailed in sector-specific regulations. </w:t>
      </w:r>
    </w:p>
    <w:p w:rsidR="00311BB8" w:rsidRDefault="00D91061">
      <w:pPr>
        <w:pStyle w:val="AMPRBodyText"/>
        <w:rPr>
          <w:noProof/>
        </w:rPr>
      </w:pPr>
      <w:r>
        <w:rPr>
          <w:rStyle w:val="AMPRcharBoldOrange"/>
          <w:noProof/>
        </w:rPr>
        <w:t>Article</w:t>
      </w:r>
      <w:r>
        <w:rPr>
          <w:rStyle w:val="AMPRcharBoldOrange"/>
          <w:rFonts w:ascii="Calibri" w:hAnsi="Calibri" w:cs="Calibri"/>
          <w:noProof/>
        </w:rPr>
        <w:t> </w:t>
      </w:r>
      <w:r>
        <w:rPr>
          <w:rStyle w:val="AMPRcharBoldOrange"/>
          <w:noProof/>
        </w:rPr>
        <w:t>116 of the financial regulation</w:t>
      </w:r>
      <w:r>
        <w:rPr>
          <w:noProof/>
        </w:rPr>
        <w:t xml:space="preserve"> provides that payments to creditors must be made within deadlines of 30, 60 or 90</w:t>
      </w:r>
      <w:r>
        <w:rPr>
          <w:rFonts w:ascii="Calibri" w:hAnsi="Calibri" w:cs="Calibri"/>
          <w:noProof/>
        </w:rPr>
        <w:t> </w:t>
      </w:r>
      <w:r>
        <w:rPr>
          <w:noProof/>
        </w:rPr>
        <w:t>days, depending on how demanding and complicated it is to test the deliverables against the contractual obligations. Most of the payments have to be executed within 30</w:t>
      </w:r>
      <w:r>
        <w:rPr>
          <w:rFonts w:ascii="Calibri" w:hAnsi="Calibri" w:cs="Calibri"/>
          <w:noProof/>
        </w:rPr>
        <w:t> </w:t>
      </w:r>
      <w:r>
        <w:rPr>
          <w:noProof/>
        </w:rPr>
        <w:t xml:space="preserve">days; these represented a global average of 89% of payments in 2017, 2018 and 2019. For contracts and grant agreements for which payment depends on the approval of a report or a certificate, the time limit for the payment periods is no longer automatically suspended until the report or certificate in question has been approved. </w:t>
      </w:r>
    </w:p>
    <w:p w:rsidR="00311BB8" w:rsidRDefault="00D91061">
      <w:pPr>
        <w:pStyle w:val="AMPRBodyText"/>
        <w:rPr>
          <w:noProof/>
        </w:rPr>
      </w:pPr>
      <w:r>
        <w:rPr>
          <w:noProof/>
        </w:rPr>
        <w:t>The period of 2</w:t>
      </w:r>
      <w:r>
        <w:rPr>
          <w:rFonts w:ascii="Calibri" w:hAnsi="Calibri" w:cs="Calibri"/>
          <w:noProof/>
        </w:rPr>
        <w:t> </w:t>
      </w:r>
      <w:r>
        <w:rPr>
          <w:noProof/>
        </w:rPr>
        <w:t>months remains valid for payments under Article</w:t>
      </w:r>
      <w:r>
        <w:rPr>
          <w:rFonts w:ascii="Calibri" w:hAnsi="Calibri" w:cs="Calibri"/>
          <w:noProof/>
        </w:rPr>
        <w:t> </w:t>
      </w:r>
      <w:r>
        <w:rPr>
          <w:noProof/>
        </w:rPr>
        <w:t>87 of the regulation laying down the general provisions on the European Regional Development Fund, the European Social Fund and the Cohesion Fund</w:t>
      </w:r>
      <w:r>
        <w:rPr>
          <w:rFonts w:ascii="Calibri" w:hAnsi="Calibri" w:cs="Calibri"/>
          <w:noProof/>
        </w:rPr>
        <w:t> </w:t>
      </w:r>
      <w:r>
        <w:rPr>
          <w:noProof/>
        </w:rPr>
        <w:t>(</w:t>
      </w:r>
      <w:r>
        <w:rPr>
          <w:noProof/>
          <w:vertAlign w:val="superscript"/>
        </w:rPr>
        <w:footnoteReference w:id="47"/>
      </w:r>
      <w:r>
        <w:rPr>
          <w:noProof/>
        </w:rPr>
        <w:t xml:space="preserve">). </w:t>
      </w:r>
    </w:p>
    <w:p w:rsidR="00311BB8" w:rsidRDefault="00D91061">
      <w:pPr>
        <w:pStyle w:val="AMPRBodyText"/>
        <w:rPr>
          <w:noProof/>
        </w:rPr>
      </w:pPr>
      <w:r>
        <w:rPr>
          <w:noProof/>
        </w:rPr>
        <w:t>Compliance with payment time limits has been reported on by the departments in their annual activity reports since 2007</w:t>
      </w:r>
      <w:r>
        <w:rPr>
          <w:rFonts w:ascii="Calibri" w:hAnsi="Calibri" w:cs="Calibri"/>
          <w:noProof/>
        </w:rPr>
        <w:t> </w:t>
      </w:r>
      <w:r>
        <w:rPr>
          <w:noProof/>
        </w:rPr>
        <w:t>(</w:t>
      </w:r>
      <w:r>
        <w:rPr>
          <w:noProof/>
          <w:vertAlign w:val="superscript"/>
        </w:rPr>
        <w:footnoteReference w:id="48"/>
      </w:r>
      <w:r>
        <w:rPr>
          <w:noProof/>
        </w:rPr>
        <w:t>). In accordance with the applicable rules, the payment times reported in this annex have been calculated as follows.</w:t>
      </w:r>
    </w:p>
    <w:p w:rsidR="00311BB8" w:rsidRDefault="00D91061">
      <w:pPr>
        <w:pStyle w:val="AMPRListOrange-L1"/>
        <w:rPr>
          <w:noProof/>
        </w:rPr>
      </w:pPr>
      <w:r>
        <w:rPr>
          <w:noProof/>
        </w:rPr>
        <w:t>For payments related to contracts and grant agreements signed before 2013, the time limits specified in the 2007 financial regulation relate to:</w:t>
      </w:r>
    </w:p>
    <w:p w:rsidR="00311BB8" w:rsidRDefault="00D91061">
      <w:pPr>
        <w:pStyle w:val="AMPRListOrange-L2"/>
        <w:rPr>
          <w:noProof/>
        </w:rPr>
      </w:pPr>
      <w:r>
        <w:rPr>
          <w:noProof/>
        </w:rPr>
        <w:t>where the payment is contingent upon the approval of a report, the time from approval of the report until payment;</w:t>
      </w:r>
    </w:p>
    <w:p w:rsidR="00311BB8" w:rsidRDefault="00D91061">
      <w:pPr>
        <w:pStyle w:val="AMPRListOrange-L2"/>
        <w:rPr>
          <w:noProof/>
        </w:rPr>
      </w:pPr>
      <w:r>
        <w:rPr>
          <w:noProof/>
        </w:rPr>
        <w:t>where no report is required, the time from reception of the payment request until payment.</w:t>
      </w:r>
    </w:p>
    <w:p w:rsidR="00311BB8" w:rsidRDefault="00D91061">
      <w:pPr>
        <w:pStyle w:val="AMPRListOrange-L1-consecutive"/>
        <w:ind w:left="0"/>
        <w:rPr>
          <w:noProof/>
        </w:rPr>
      </w:pPr>
      <w:r>
        <w:rPr>
          <w:noProof/>
        </w:rPr>
        <w:t>For payments related to contracts and grant agreements signed from 2013 on, the time limits in the 2018 financial regulation relate to:</w:t>
      </w:r>
    </w:p>
    <w:p w:rsidR="00311BB8" w:rsidRDefault="00D91061">
      <w:pPr>
        <w:pStyle w:val="AMPRListOrange-L2"/>
        <w:rPr>
          <w:noProof/>
        </w:rPr>
      </w:pPr>
      <w:r>
        <w:rPr>
          <w:noProof/>
        </w:rPr>
        <w:t>the time from reception of the payment request until payment, both where no report is required and where payment is contingent upon the approval of a report.</w:t>
      </w:r>
    </w:p>
    <w:p w:rsidR="00311BB8" w:rsidRDefault="00D91061">
      <w:pPr>
        <w:pStyle w:val="AMPRBodyText"/>
        <w:spacing w:after="360"/>
        <w:rPr>
          <w:noProof/>
        </w:rPr>
      </w:pPr>
      <w:r>
        <w:rPr>
          <w:noProof/>
        </w:rPr>
        <w:t xml:space="preserve">The </w:t>
      </w:r>
      <w:r>
        <w:rPr>
          <w:rStyle w:val="AMPRcharBoldOrange"/>
          <w:noProof/>
        </w:rPr>
        <w:t>Commission’s global average payment time</w:t>
      </w:r>
      <w:r>
        <w:rPr>
          <w:noProof/>
        </w:rPr>
        <w:t xml:space="preserve"> is monitored by the accounting officer. It has evolved as follows in recent years.</w:t>
      </w:r>
    </w:p>
    <w:tbl>
      <w:tblPr>
        <w:tblStyle w:val="AMPRTABLEA-Template"/>
        <w:tblW w:w="9070" w:type="dxa"/>
        <w:tblLayout w:type="fixed"/>
        <w:tblLook w:val="01A0" w:firstRow="1" w:lastRow="0" w:firstColumn="1" w:lastColumn="1" w:noHBand="0" w:noVBand="0"/>
      </w:tblPr>
      <w:tblGrid>
        <w:gridCol w:w="3237"/>
        <w:gridCol w:w="1944"/>
        <w:gridCol w:w="1944"/>
        <w:gridCol w:w="1945"/>
      </w:tblGrid>
      <w:tr w:rsidR="00311BB8" w:rsidTr="00311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rsidR="00311BB8" w:rsidRDefault="00311BB8">
            <w:pPr>
              <w:pStyle w:val="AMPRTABLEA-HEADERText-WHITE"/>
              <w:spacing w:before="144" w:after="144"/>
              <w:rPr>
                <w:noProof/>
                <w:lang w:eastAsia="en-GB"/>
              </w:rPr>
            </w:pPr>
          </w:p>
        </w:tc>
        <w:tc>
          <w:tcPr>
            <w:tcW w:w="1944"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2017</w:t>
            </w:r>
          </w:p>
        </w:tc>
        <w:tc>
          <w:tcPr>
            <w:tcW w:w="1944"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2018</w:t>
            </w:r>
          </w:p>
        </w:tc>
        <w:tc>
          <w:tcPr>
            <w:tcW w:w="1945"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2019</w:t>
            </w:r>
          </w:p>
        </w:tc>
      </w:tr>
      <w:tr w:rsidR="00311BB8" w:rsidTr="00311BB8">
        <w:tc>
          <w:tcPr>
            <w:cnfStyle w:val="001000000000" w:firstRow="0" w:lastRow="0" w:firstColumn="1" w:lastColumn="0" w:oddVBand="0" w:evenVBand="0" w:oddHBand="0" w:evenHBand="0" w:firstRowFirstColumn="0" w:firstRowLastColumn="0" w:lastRowFirstColumn="0" w:lastRowLastColumn="0"/>
            <w:tcW w:w="3237" w:type="dxa"/>
          </w:tcPr>
          <w:p w:rsidR="00311BB8" w:rsidRDefault="00D91061">
            <w:pPr>
              <w:pStyle w:val="AMPRTABLEA-TextLEFTalligned-BLACK"/>
              <w:rPr>
                <w:noProof/>
                <w:lang w:val="en-GB" w:eastAsia="en-GB"/>
              </w:rPr>
            </w:pPr>
            <w:r>
              <w:rPr>
                <w:noProof/>
                <w:lang w:val="en-GB" w:eastAsia="en-GB"/>
              </w:rPr>
              <w:t>Global average net payment time</w:t>
            </w:r>
          </w:p>
        </w:tc>
        <w:tc>
          <w:tcPr>
            <w:tcW w:w="1944"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20.4</w:t>
            </w:r>
            <w:r>
              <w:rPr>
                <w:rFonts w:ascii="Calibri" w:hAnsi="Calibri" w:cs="Calibri"/>
                <w:noProof/>
                <w:lang w:eastAsia="en-GB"/>
              </w:rPr>
              <w:t> </w:t>
            </w:r>
            <w:r>
              <w:rPr>
                <w:noProof/>
                <w:lang w:eastAsia="en-GB"/>
              </w:rPr>
              <w:t>days</w:t>
            </w:r>
          </w:p>
        </w:tc>
        <w:tc>
          <w:tcPr>
            <w:tcW w:w="1944"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18.4</w:t>
            </w:r>
            <w:r>
              <w:rPr>
                <w:rFonts w:ascii="Calibri" w:hAnsi="Calibri" w:cs="Calibri"/>
                <w:noProof/>
                <w:lang w:eastAsia="en-GB"/>
              </w:rPr>
              <w:t> </w:t>
            </w:r>
            <w:r>
              <w:rPr>
                <w:noProof/>
                <w:lang w:eastAsia="en-GB"/>
              </w:rPr>
              <w:t>days</w:t>
            </w:r>
          </w:p>
        </w:tc>
        <w:tc>
          <w:tcPr>
            <w:tcW w:w="1945"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16.3</w:t>
            </w:r>
            <w:r>
              <w:rPr>
                <w:rFonts w:ascii="Calibri" w:hAnsi="Calibri" w:cs="Calibri"/>
                <w:noProof/>
                <w:lang w:eastAsia="en-GB"/>
              </w:rPr>
              <w:t> </w:t>
            </w:r>
            <w:r>
              <w:rPr>
                <w:noProof/>
                <w:lang w:eastAsia="en-GB"/>
              </w:rPr>
              <w:t>days</w:t>
            </w:r>
          </w:p>
        </w:tc>
      </w:tr>
      <w:tr w:rsidR="00311BB8" w:rsidTr="00311BB8">
        <w:tc>
          <w:tcPr>
            <w:cnfStyle w:val="001000000000" w:firstRow="0" w:lastRow="0" w:firstColumn="1" w:lastColumn="0" w:oddVBand="0" w:evenVBand="0" w:oddHBand="0" w:evenHBand="0" w:firstRowFirstColumn="0" w:firstRowLastColumn="0" w:lastRowFirstColumn="0" w:lastRowLastColumn="0"/>
            <w:tcW w:w="3237" w:type="dxa"/>
          </w:tcPr>
          <w:p w:rsidR="00311BB8" w:rsidRDefault="00D91061">
            <w:pPr>
              <w:pStyle w:val="AMPRTABLEA-TextLEFTalligned-BLACK"/>
              <w:rPr>
                <w:noProof/>
                <w:lang w:val="en-GB" w:eastAsia="en-GB"/>
              </w:rPr>
            </w:pPr>
            <w:r>
              <w:rPr>
                <w:noProof/>
                <w:lang w:val="en-GB" w:eastAsia="en-GB"/>
              </w:rPr>
              <w:t>Global average gross payment time</w:t>
            </w:r>
          </w:p>
        </w:tc>
        <w:tc>
          <w:tcPr>
            <w:tcW w:w="1944"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23.3</w:t>
            </w:r>
            <w:r>
              <w:rPr>
                <w:rFonts w:ascii="Calibri" w:hAnsi="Calibri" w:cs="Calibri"/>
                <w:noProof/>
                <w:lang w:eastAsia="en-GB"/>
              </w:rPr>
              <w:t> </w:t>
            </w:r>
            <w:r>
              <w:rPr>
                <w:noProof/>
                <w:lang w:eastAsia="en-GB"/>
              </w:rPr>
              <w:t>days</w:t>
            </w:r>
          </w:p>
        </w:tc>
        <w:tc>
          <w:tcPr>
            <w:tcW w:w="1944"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21.5</w:t>
            </w:r>
            <w:r>
              <w:rPr>
                <w:rFonts w:ascii="Calibri" w:hAnsi="Calibri" w:cs="Calibri"/>
                <w:noProof/>
                <w:lang w:eastAsia="en-GB"/>
              </w:rPr>
              <w:t> </w:t>
            </w:r>
            <w:r>
              <w:rPr>
                <w:noProof/>
                <w:lang w:eastAsia="en-GB"/>
              </w:rPr>
              <w:t>days</w:t>
            </w:r>
          </w:p>
        </w:tc>
        <w:tc>
          <w:tcPr>
            <w:tcW w:w="1945"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19.1</w:t>
            </w:r>
            <w:r>
              <w:rPr>
                <w:rFonts w:ascii="Calibri" w:hAnsi="Calibri" w:cs="Calibri"/>
                <w:noProof/>
                <w:lang w:eastAsia="en-GB"/>
              </w:rPr>
              <w:t> </w:t>
            </w:r>
            <w:r>
              <w:rPr>
                <w:noProof/>
                <w:lang w:eastAsia="en-GB"/>
              </w:rPr>
              <w:t>days</w:t>
            </w:r>
          </w:p>
        </w:tc>
      </w:tr>
    </w:tbl>
    <w:p w:rsidR="00311BB8" w:rsidRDefault="00D91061">
      <w:pPr>
        <w:pStyle w:val="AMPRChart-Tabletitle"/>
        <w:rPr>
          <w:noProof/>
        </w:rPr>
      </w:pPr>
      <w:r>
        <w:rPr>
          <w:noProof/>
        </w:rPr>
        <w:t>Commission’s global average payment times, with all time limits combined, over the past 3 years</w:t>
      </w:r>
    </w:p>
    <w:p w:rsidR="00311BB8" w:rsidRDefault="00D91061">
      <w:pPr>
        <w:pStyle w:val="AMPRBodyText"/>
        <w:spacing w:before="360"/>
        <w:rPr>
          <w:noProof/>
        </w:rPr>
      </w:pPr>
      <w:r>
        <w:rPr>
          <w:noProof/>
        </w:rPr>
        <w:t>The data show that the global average net payment time, combining all time limits, of the Commission departments is below 30</w:t>
      </w:r>
      <w:r>
        <w:rPr>
          <w:rFonts w:ascii="Calibri" w:hAnsi="Calibri" w:cs="Calibri"/>
          <w:noProof/>
        </w:rPr>
        <w:t> </w:t>
      </w:r>
      <w:r>
        <w:rPr>
          <w:noProof/>
        </w:rPr>
        <w:t>days for the past 3</w:t>
      </w:r>
      <w:r>
        <w:rPr>
          <w:rFonts w:ascii="Calibri" w:hAnsi="Calibri" w:cs="Calibri"/>
          <w:noProof/>
        </w:rPr>
        <w:t> </w:t>
      </w:r>
      <w:r>
        <w:rPr>
          <w:noProof/>
        </w:rPr>
        <w:t>years and has steadily decreased since 2016. Departments are encouraged to continue their efforts in this regard and to implement follow-up measures whenever payment time problems are identified. The provision of the global average gross payment time is a new feature, following a recommendation from the Ombudsman. It represents the average time taken to pay, including any period of suspension.</w:t>
      </w:r>
    </w:p>
    <w:p w:rsidR="00311BB8" w:rsidRDefault="00D91061">
      <w:pPr>
        <w:pStyle w:val="AMPRBodyText"/>
        <w:spacing w:after="360"/>
        <w:rPr>
          <w:noProof/>
        </w:rPr>
      </w:pPr>
      <w:r>
        <w:rPr>
          <w:noProof/>
        </w:rPr>
        <w:t xml:space="preserve">The table below illustrates the evolution of the </w:t>
      </w:r>
      <w:r>
        <w:rPr>
          <w:rStyle w:val="AMPRcharBoldOrange"/>
          <w:i/>
          <w:iCs/>
          <w:noProof/>
        </w:rPr>
        <w:t>late</w:t>
      </w:r>
      <w:r>
        <w:rPr>
          <w:rStyle w:val="AMPRcharBoldOrange"/>
          <w:noProof/>
        </w:rPr>
        <w:t xml:space="preserve"> payments</w:t>
      </w:r>
      <w:r>
        <w:rPr>
          <w:noProof/>
        </w:rPr>
        <w:t>, i.e. payments made after the expiry of the statutory time limit, in recent years for all payments combined. The data used have been extracted from the corporate accounting system.</w:t>
      </w:r>
    </w:p>
    <w:tbl>
      <w:tblPr>
        <w:tblStyle w:val="AMPRTABLEA-Template"/>
        <w:tblW w:w="9070" w:type="dxa"/>
        <w:tblLayout w:type="fixed"/>
        <w:tblLook w:val="01A0" w:firstRow="1" w:lastRow="0" w:firstColumn="1" w:lastColumn="1" w:noHBand="0" w:noVBand="0"/>
      </w:tblPr>
      <w:tblGrid>
        <w:gridCol w:w="3237"/>
        <w:gridCol w:w="1944"/>
        <w:gridCol w:w="1944"/>
        <w:gridCol w:w="1945"/>
      </w:tblGrid>
      <w:tr w:rsidR="00311BB8" w:rsidTr="00311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rsidR="00311BB8" w:rsidRDefault="00311BB8">
            <w:pPr>
              <w:pStyle w:val="AMPRTABLEA-HEADERText-WHITE"/>
              <w:spacing w:before="144" w:after="144"/>
              <w:rPr>
                <w:noProof/>
                <w:lang w:val="en-GB" w:eastAsia="en-GB"/>
              </w:rPr>
            </w:pPr>
          </w:p>
        </w:tc>
        <w:tc>
          <w:tcPr>
            <w:tcW w:w="1944"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2017</w:t>
            </w:r>
          </w:p>
        </w:tc>
        <w:tc>
          <w:tcPr>
            <w:tcW w:w="1944"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2018</w:t>
            </w:r>
          </w:p>
        </w:tc>
        <w:tc>
          <w:tcPr>
            <w:tcW w:w="1945"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2019</w:t>
            </w:r>
          </w:p>
        </w:tc>
      </w:tr>
      <w:tr w:rsidR="00311BB8" w:rsidTr="00311BB8">
        <w:tc>
          <w:tcPr>
            <w:cnfStyle w:val="001000000000" w:firstRow="0" w:lastRow="0" w:firstColumn="1" w:lastColumn="0" w:oddVBand="0" w:evenVBand="0" w:oddHBand="0" w:evenHBand="0" w:firstRowFirstColumn="0" w:firstRowLastColumn="0" w:lastRowFirstColumn="0" w:lastRowLastColumn="0"/>
            <w:tcW w:w="3237" w:type="dxa"/>
          </w:tcPr>
          <w:p w:rsidR="00311BB8" w:rsidRDefault="00D91061">
            <w:pPr>
              <w:pStyle w:val="AMPRTABLEA-TextLEFTalligned-BLACK"/>
              <w:rPr>
                <w:noProof/>
                <w:lang w:val="en-GB" w:eastAsia="en-GB"/>
              </w:rPr>
            </w:pPr>
            <w:r>
              <w:rPr>
                <w:noProof/>
                <w:lang w:val="en-GB" w:eastAsia="en-GB"/>
              </w:rPr>
              <w:t>Share of payments that were late</w:t>
            </w:r>
          </w:p>
        </w:tc>
        <w:tc>
          <w:tcPr>
            <w:tcW w:w="1944"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10.4%</w:t>
            </w:r>
          </w:p>
        </w:tc>
        <w:tc>
          <w:tcPr>
            <w:tcW w:w="1944"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7.6%</w:t>
            </w:r>
          </w:p>
        </w:tc>
        <w:tc>
          <w:tcPr>
            <w:tcW w:w="1945"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5.0%</w:t>
            </w:r>
          </w:p>
        </w:tc>
      </w:tr>
      <w:tr w:rsidR="00311BB8" w:rsidTr="00311BB8">
        <w:tc>
          <w:tcPr>
            <w:cnfStyle w:val="001000000000" w:firstRow="0" w:lastRow="0" w:firstColumn="1" w:lastColumn="0" w:oddVBand="0" w:evenVBand="0" w:oddHBand="0" w:evenHBand="0" w:firstRowFirstColumn="0" w:firstRowLastColumn="0" w:lastRowFirstColumn="0" w:lastRowLastColumn="0"/>
            <w:tcW w:w="3237" w:type="dxa"/>
          </w:tcPr>
          <w:p w:rsidR="00311BB8" w:rsidRDefault="00D91061">
            <w:pPr>
              <w:pStyle w:val="AMPRTABLEA-TextLEFTalligned-BLACK"/>
              <w:rPr>
                <w:noProof/>
                <w:lang w:val="en-GB" w:eastAsia="en-GB"/>
              </w:rPr>
            </w:pPr>
            <w:r>
              <w:rPr>
                <w:noProof/>
                <w:lang w:val="en-GB" w:eastAsia="en-GB"/>
              </w:rPr>
              <w:t>Share in value of late payments out of value of total payments</w:t>
            </w:r>
          </w:p>
        </w:tc>
        <w:tc>
          <w:tcPr>
            <w:tcW w:w="1944"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3.1%</w:t>
            </w:r>
          </w:p>
        </w:tc>
        <w:tc>
          <w:tcPr>
            <w:tcW w:w="1944"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3.3%</w:t>
            </w:r>
          </w:p>
        </w:tc>
        <w:tc>
          <w:tcPr>
            <w:tcW w:w="1945"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2.2%</w:t>
            </w:r>
          </w:p>
        </w:tc>
      </w:tr>
      <w:tr w:rsidR="00311BB8" w:rsidTr="00311BB8">
        <w:tc>
          <w:tcPr>
            <w:cnfStyle w:val="001000000000" w:firstRow="0" w:lastRow="0" w:firstColumn="1" w:lastColumn="0" w:oddVBand="0" w:evenVBand="0" w:oddHBand="0" w:evenHBand="0" w:firstRowFirstColumn="0" w:firstRowLastColumn="0" w:lastRowFirstColumn="0" w:lastRowLastColumn="0"/>
            <w:tcW w:w="3237" w:type="dxa"/>
          </w:tcPr>
          <w:p w:rsidR="00311BB8" w:rsidRDefault="00D91061">
            <w:pPr>
              <w:pStyle w:val="AMPRTABLEA-TextLEFTalligned-BLACK"/>
              <w:rPr>
                <w:noProof/>
                <w:lang w:val="en-GB" w:eastAsia="en-GB"/>
              </w:rPr>
            </w:pPr>
            <w:r>
              <w:rPr>
                <w:noProof/>
                <w:lang w:val="en-GB" w:eastAsia="en-GB"/>
              </w:rPr>
              <w:t>Average number of days overdue</w:t>
            </w:r>
            <w:r>
              <w:rPr>
                <w:rFonts w:ascii="Calibri" w:hAnsi="Calibri" w:cs="Calibri"/>
                <w:noProof/>
                <w:lang w:val="en-GB" w:eastAsia="en-GB"/>
              </w:rPr>
              <w:t> (*)</w:t>
            </w:r>
          </w:p>
        </w:tc>
        <w:tc>
          <w:tcPr>
            <w:tcW w:w="1944"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39.6</w:t>
            </w:r>
            <w:r>
              <w:rPr>
                <w:rFonts w:ascii="Calibri" w:hAnsi="Calibri" w:cs="Calibri"/>
                <w:noProof/>
                <w:lang w:eastAsia="en-GB"/>
              </w:rPr>
              <w:t> </w:t>
            </w:r>
            <w:r>
              <w:rPr>
                <w:noProof/>
                <w:lang w:eastAsia="en-GB"/>
              </w:rPr>
              <w:t>days</w:t>
            </w:r>
          </w:p>
        </w:tc>
        <w:tc>
          <w:tcPr>
            <w:tcW w:w="1944"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45.5</w:t>
            </w:r>
            <w:r>
              <w:rPr>
                <w:rFonts w:ascii="Calibri" w:hAnsi="Calibri" w:cs="Calibri"/>
                <w:noProof/>
                <w:lang w:eastAsia="en-GB"/>
              </w:rPr>
              <w:t> </w:t>
            </w:r>
            <w:r>
              <w:rPr>
                <w:noProof/>
                <w:lang w:eastAsia="en-GB"/>
              </w:rPr>
              <w:t>days</w:t>
            </w:r>
          </w:p>
        </w:tc>
        <w:tc>
          <w:tcPr>
            <w:tcW w:w="1945"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42.4</w:t>
            </w:r>
            <w:r>
              <w:rPr>
                <w:rFonts w:ascii="Calibri" w:hAnsi="Calibri" w:cs="Calibri"/>
                <w:noProof/>
                <w:lang w:eastAsia="en-GB"/>
              </w:rPr>
              <w:t> </w:t>
            </w:r>
            <w:r>
              <w:rPr>
                <w:noProof/>
                <w:lang w:eastAsia="en-GB"/>
              </w:rPr>
              <w:t>days</w:t>
            </w:r>
          </w:p>
        </w:tc>
      </w:tr>
    </w:tbl>
    <w:p w:rsidR="00311BB8" w:rsidRDefault="00D91061">
      <w:pPr>
        <w:pStyle w:val="AMPRChart-Tabletitle"/>
        <w:rPr>
          <w:noProof/>
        </w:rPr>
      </w:pPr>
      <w:r>
        <w:rPr>
          <w:noProof/>
        </w:rPr>
        <w:t>Evolution of Commission’s late payments, with all time limits combined, over the past 3 years</w:t>
      </w:r>
    </w:p>
    <w:p w:rsidR="00311BB8" w:rsidRDefault="00D91061">
      <w:pPr>
        <w:pStyle w:val="AMPRSource-Table-Chart-Photo-Caption"/>
        <w:rPr>
          <w:noProof/>
        </w:rPr>
      </w:pPr>
      <w:r>
        <w:rPr>
          <w:noProof/>
        </w:rPr>
        <w:t>(*)</w:t>
      </w:r>
      <w:r>
        <w:rPr>
          <w:rFonts w:ascii="Calibri" w:hAnsi="Calibri" w:cs="Calibri"/>
          <w:noProof/>
        </w:rPr>
        <w:t> </w:t>
      </w:r>
      <w:r>
        <w:rPr>
          <w:noProof/>
        </w:rPr>
        <w:t>I.e. number of days over the statutory time limit.</w:t>
      </w:r>
    </w:p>
    <w:p w:rsidR="00311BB8" w:rsidRDefault="00D91061">
      <w:pPr>
        <w:pStyle w:val="AMPRBodyText"/>
        <w:spacing w:before="360"/>
        <w:rPr>
          <w:noProof/>
        </w:rPr>
      </w:pPr>
      <w:r>
        <w:rPr>
          <w:noProof/>
        </w:rPr>
        <w:t>The number of late payments and the amounts associated with them have decreased significantly since 2016. This is believed to be partly the result of the more stringent requirements associated with the 2018 financial regulation. Another reason relates to the sufficient availability of payment appropriations. However, the average number of days overdue (delays are calculated in days), for all time limits combined, increased in 2018.</w:t>
      </w:r>
    </w:p>
    <w:p w:rsidR="00311BB8" w:rsidRDefault="00D91061">
      <w:pPr>
        <w:pStyle w:val="AMPRBodyText"/>
        <w:spacing w:after="360"/>
        <w:rPr>
          <w:noProof/>
        </w:rPr>
      </w:pPr>
      <w:r>
        <w:rPr>
          <w:noProof/>
        </w:rPr>
        <w:t xml:space="preserve">Concerning the </w:t>
      </w:r>
      <w:r>
        <w:rPr>
          <w:rStyle w:val="AMPRcharBoldOrange"/>
          <w:noProof/>
        </w:rPr>
        <w:t>interest paid for late payments</w:t>
      </w:r>
      <w:r>
        <w:rPr>
          <w:rStyle w:val="AMPRcharBoldOrange"/>
          <w:rFonts w:ascii="Calibri" w:hAnsi="Calibri" w:cs="Calibri"/>
          <w:noProof/>
        </w:rPr>
        <w:t> </w:t>
      </w:r>
      <w:r>
        <w:rPr>
          <w:rStyle w:val="fnRef"/>
          <w:noProof/>
        </w:rPr>
        <w:t>(</w:t>
      </w:r>
      <w:r>
        <w:rPr>
          <w:rStyle w:val="fnRefNo"/>
          <w:noProof/>
        </w:rPr>
        <w:footnoteReference w:id="49"/>
      </w:r>
      <w:r>
        <w:rPr>
          <w:rStyle w:val="fnRef"/>
          <w:noProof/>
        </w:rPr>
        <w:t>)</w:t>
      </w:r>
      <w:r>
        <w:rPr>
          <w:noProof/>
        </w:rPr>
        <w:t xml:space="preserve"> (see figures in the table below), </w:t>
      </w:r>
      <w:r>
        <w:rPr>
          <w:rStyle w:val="AMPRcharBoldOrange"/>
          <w:noProof/>
        </w:rPr>
        <w:t>the total amount paid by the Commission remained stable in 2019</w:t>
      </w:r>
      <w:r>
        <w:rPr>
          <w:noProof/>
        </w:rPr>
        <w:t xml:space="preserve">. The higher amount in 2017 was mainly the consequence of interest paid in 2017 by DG International Cooperation and Development after a Court of Justice case. </w:t>
      </w:r>
    </w:p>
    <w:tbl>
      <w:tblPr>
        <w:tblStyle w:val="AMPRTABLEA-Template"/>
        <w:tblW w:w="9070" w:type="dxa"/>
        <w:tblLayout w:type="fixed"/>
        <w:tblLook w:val="01A0" w:firstRow="1" w:lastRow="0" w:firstColumn="1" w:lastColumn="1" w:noHBand="0" w:noVBand="0"/>
      </w:tblPr>
      <w:tblGrid>
        <w:gridCol w:w="3289"/>
        <w:gridCol w:w="1927"/>
        <w:gridCol w:w="1927"/>
        <w:gridCol w:w="1927"/>
      </w:tblGrid>
      <w:tr w:rsidR="00311BB8" w:rsidTr="00311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tcPr>
          <w:p w:rsidR="00311BB8" w:rsidRDefault="00311BB8">
            <w:pPr>
              <w:pStyle w:val="AMPRTABLEA-HEADERText-WHITE"/>
              <w:spacing w:before="144" w:after="144"/>
              <w:rPr>
                <w:noProof/>
                <w:lang w:val="en-GB" w:eastAsia="en-GB"/>
              </w:rPr>
            </w:pPr>
          </w:p>
        </w:tc>
        <w:tc>
          <w:tcPr>
            <w:tcW w:w="1927"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2017</w:t>
            </w:r>
          </w:p>
        </w:tc>
        <w:tc>
          <w:tcPr>
            <w:tcW w:w="1927"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2018</w:t>
            </w:r>
          </w:p>
        </w:tc>
        <w:tc>
          <w:tcPr>
            <w:tcW w:w="1927"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2019</w:t>
            </w:r>
          </w:p>
        </w:tc>
      </w:tr>
      <w:tr w:rsidR="00311BB8" w:rsidTr="00311BB8">
        <w:tc>
          <w:tcPr>
            <w:cnfStyle w:val="001000000000" w:firstRow="0" w:lastRow="0" w:firstColumn="1" w:lastColumn="0" w:oddVBand="0" w:evenVBand="0" w:oddHBand="0" w:evenHBand="0" w:firstRowFirstColumn="0" w:firstRowLastColumn="0" w:lastRowFirstColumn="0" w:lastRowLastColumn="0"/>
            <w:tcW w:w="3289" w:type="dxa"/>
          </w:tcPr>
          <w:p w:rsidR="00311BB8" w:rsidRDefault="00D91061">
            <w:pPr>
              <w:pStyle w:val="AMPRTABLEA-TextLEFTalligned-BLACK"/>
              <w:rPr>
                <w:noProof/>
                <w:lang w:val="en-GB" w:eastAsia="en-GB"/>
              </w:rPr>
            </w:pPr>
            <w:r>
              <w:rPr>
                <w:noProof/>
                <w:lang w:val="en-GB" w:eastAsia="en-GB"/>
              </w:rPr>
              <w:t>Interest paid on late payments (EUR)</w:t>
            </w:r>
          </w:p>
        </w:tc>
        <w:tc>
          <w:tcPr>
            <w:tcW w:w="1927"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824</w:t>
            </w:r>
            <w:r>
              <w:rPr>
                <w:rFonts w:ascii="Calibri" w:hAnsi="Calibri" w:cs="Calibri"/>
                <w:noProof/>
                <w:lang w:eastAsia="en-GB"/>
              </w:rPr>
              <w:t> </w:t>
            </w:r>
            <w:r>
              <w:rPr>
                <w:noProof/>
                <w:lang w:eastAsia="en-GB"/>
              </w:rPr>
              <w:t>421</w:t>
            </w:r>
          </w:p>
        </w:tc>
        <w:tc>
          <w:tcPr>
            <w:tcW w:w="1927"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385</w:t>
            </w:r>
            <w:r>
              <w:rPr>
                <w:rFonts w:ascii="Calibri" w:hAnsi="Calibri" w:cs="Calibri"/>
                <w:noProof/>
                <w:lang w:eastAsia="en-GB"/>
              </w:rPr>
              <w:t> </w:t>
            </w:r>
            <w:r>
              <w:rPr>
                <w:noProof/>
                <w:lang w:eastAsia="en-GB"/>
              </w:rPr>
              <w:t>468</w:t>
            </w:r>
          </w:p>
        </w:tc>
        <w:tc>
          <w:tcPr>
            <w:tcW w:w="1927"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380</w:t>
            </w:r>
            <w:r>
              <w:rPr>
                <w:rFonts w:ascii="Calibri" w:hAnsi="Calibri" w:cs="Calibri"/>
                <w:noProof/>
                <w:lang w:eastAsia="en-GB"/>
              </w:rPr>
              <w:t> </w:t>
            </w:r>
            <w:r>
              <w:rPr>
                <w:noProof/>
                <w:lang w:eastAsia="en-GB"/>
              </w:rPr>
              <w:t>653</w:t>
            </w:r>
          </w:p>
        </w:tc>
      </w:tr>
    </w:tbl>
    <w:p w:rsidR="00311BB8" w:rsidRDefault="00D91061">
      <w:pPr>
        <w:pStyle w:val="AMPRBodyText"/>
        <w:spacing w:before="360"/>
        <w:rPr>
          <w:noProof/>
        </w:rPr>
      </w:pPr>
      <w:r>
        <w:rPr>
          <w:noProof/>
        </w:rPr>
        <w:t>In general, payment delays and interest paid are a consequence of payment shortages. For that reason, DG Budget has summarised some possible measures that could be applied by the authorising officer to actively manage payment appropriations.</w:t>
      </w:r>
    </w:p>
    <w:p w:rsidR="00311BB8" w:rsidRDefault="00D91061">
      <w:pPr>
        <w:pStyle w:val="AMPRBodyText"/>
        <w:rPr>
          <w:noProof/>
        </w:rPr>
      </w:pPr>
      <w:r>
        <w:rPr>
          <w:noProof/>
        </w:rPr>
        <w:t xml:space="preserve">Other </w:t>
      </w:r>
      <w:r>
        <w:rPr>
          <w:rStyle w:val="AMPRcharBoldOrange"/>
          <w:noProof/>
        </w:rPr>
        <w:t>causes of late payments</w:t>
      </w:r>
      <w:r>
        <w:rPr>
          <w:noProof/>
        </w:rPr>
        <w:t xml:space="preserve"> include the complexities of evaluating the supporting documents that are a prerequisite for all payments. This is particularly onerous when the supporting documents are reports of a technical nature (as was the case for, on average, 11% of the payments in 2017, 2018 and 2019), which sometimes have to be assessed by external experts. Other causes are associated with difficulties in coordinating the financial and operational checks of payment requests and issues with the management of payment suspensions. </w:t>
      </w:r>
    </w:p>
    <w:p w:rsidR="00311BB8" w:rsidRDefault="00D91061">
      <w:pPr>
        <w:pStyle w:val="AMPRBodyText"/>
        <w:rPr>
          <w:noProof/>
        </w:rPr>
      </w:pPr>
      <w:r>
        <w:rPr>
          <w:noProof/>
        </w:rPr>
        <w:t xml:space="preserve">The 2009 communication establishing internal Commission payment targets provided a clear incentive to services to reduce their payment times. There is scope for reducing payment times even further. When setting up action plans in this area, departments should focus on further reducing late payments from their current levels of 5% of the number of payments and of 2.2% of the value of the payments. </w:t>
      </w:r>
      <w:r>
        <w:rPr>
          <w:rStyle w:val="AMPRcharBoldOrange"/>
          <w:noProof/>
        </w:rPr>
        <w:t>The aim should be to meet the statutory payment time for every payment.</w:t>
      </w:r>
      <w:bookmarkStart w:id="153" w:name="_CopyToNewDocument_"/>
      <w:bookmarkEnd w:id="153"/>
    </w:p>
    <w:p w:rsidR="00311BB8" w:rsidRDefault="00D91061">
      <w:pPr>
        <w:rPr>
          <w:noProof/>
          <w:color w:val="000000"/>
          <w:szCs w:val="20"/>
        </w:rPr>
      </w:pPr>
      <w:r>
        <w:rPr>
          <w:noProof/>
        </w:rPr>
        <w:br w:type="page"/>
      </w:r>
    </w:p>
    <w:p w:rsidR="00311BB8" w:rsidRDefault="00D91061">
      <w:pPr>
        <w:pStyle w:val="AMPRBodyText"/>
        <w:rPr>
          <w:noProof/>
        </w:rPr>
      </w:pPr>
      <w:r>
        <w:rPr>
          <w:noProof/>
        </w:rPr>
        <w:t>The following table gives a detailed overview of the suspensions of payment.</w:t>
      </w:r>
    </w:p>
    <w:tbl>
      <w:tblPr>
        <w:tblStyle w:val="AMPRTABLEA-Template"/>
        <w:tblW w:w="9070" w:type="dxa"/>
        <w:tblLayout w:type="fixed"/>
        <w:tblLook w:val="01A0" w:firstRow="1" w:lastRow="0" w:firstColumn="1" w:lastColumn="1" w:noHBand="0" w:noVBand="0"/>
      </w:tblPr>
      <w:tblGrid>
        <w:gridCol w:w="3289"/>
        <w:gridCol w:w="1927"/>
        <w:gridCol w:w="1927"/>
        <w:gridCol w:w="1927"/>
      </w:tblGrid>
      <w:tr w:rsidR="00311BB8" w:rsidTr="00311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tcPr>
          <w:p w:rsidR="00311BB8" w:rsidRDefault="00311BB8">
            <w:pPr>
              <w:pStyle w:val="AMPRTABLEA-HEADERText-WHITE"/>
              <w:spacing w:before="144" w:after="144"/>
              <w:rPr>
                <w:noProof/>
                <w:lang w:val="en-GB" w:eastAsia="en-GB"/>
              </w:rPr>
            </w:pPr>
          </w:p>
        </w:tc>
        <w:tc>
          <w:tcPr>
            <w:tcW w:w="1927"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2017</w:t>
            </w:r>
          </w:p>
        </w:tc>
        <w:tc>
          <w:tcPr>
            <w:tcW w:w="1927"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2018</w:t>
            </w:r>
          </w:p>
        </w:tc>
        <w:tc>
          <w:tcPr>
            <w:tcW w:w="1927" w:type="dxa"/>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2019</w:t>
            </w:r>
          </w:p>
        </w:tc>
      </w:tr>
      <w:tr w:rsidR="00311BB8" w:rsidTr="00311BB8">
        <w:tc>
          <w:tcPr>
            <w:cnfStyle w:val="001000000000" w:firstRow="0" w:lastRow="0" w:firstColumn="1" w:lastColumn="0" w:oddVBand="0" w:evenVBand="0" w:oddHBand="0" w:evenHBand="0" w:firstRowFirstColumn="0" w:firstRowLastColumn="0" w:lastRowFirstColumn="0" w:lastRowLastColumn="0"/>
            <w:tcW w:w="3289" w:type="dxa"/>
          </w:tcPr>
          <w:p w:rsidR="00311BB8" w:rsidRDefault="00D91061">
            <w:pPr>
              <w:pStyle w:val="AMPRTABLEA-TextLEFTalligned-BLACK"/>
              <w:rPr>
                <w:noProof/>
                <w:lang w:eastAsia="en-GB"/>
              </w:rPr>
            </w:pPr>
            <w:r>
              <w:rPr>
                <w:noProof/>
                <w:lang w:eastAsia="en-GB"/>
              </w:rPr>
              <w:t>Total number of suspensions</w:t>
            </w:r>
          </w:p>
        </w:tc>
        <w:tc>
          <w:tcPr>
            <w:tcW w:w="1927"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26</w:t>
            </w:r>
            <w:r>
              <w:rPr>
                <w:rFonts w:ascii="Calibri" w:hAnsi="Calibri" w:cs="Calibri"/>
                <w:noProof/>
                <w:lang w:eastAsia="en-GB"/>
              </w:rPr>
              <w:t> </w:t>
            </w:r>
            <w:r>
              <w:rPr>
                <w:noProof/>
                <w:lang w:eastAsia="en-GB"/>
              </w:rPr>
              <w:t>173</w:t>
            </w:r>
          </w:p>
        </w:tc>
        <w:tc>
          <w:tcPr>
            <w:tcW w:w="1927"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24</w:t>
            </w:r>
            <w:r>
              <w:rPr>
                <w:rFonts w:ascii="Calibri" w:hAnsi="Calibri" w:cs="Calibri"/>
                <w:noProof/>
                <w:lang w:eastAsia="en-GB"/>
              </w:rPr>
              <w:t> </w:t>
            </w:r>
            <w:r>
              <w:rPr>
                <w:noProof/>
                <w:lang w:eastAsia="en-GB"/>
              </w:rPr>
              <w:t>643</w:t>
            </w:r>
          </w:p>
        </w:tc>
        <w:tc>
          <w:tcPr>
            <w:tcW w:w="1927" w:type="dxa"/>
          </w:tcPr>
          <w:p w:rsidR="00311BB8" w:rsidRDefault="00D91061">
            <w:pPr>
              <w:pStyle w:val="AMPRTABLEA-TextLEFTalligned-BLACK"/>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24</w:t>
            </w:r>
            <w:r>
              <w:rPr>
                <w:rFonts w:ascii="Calibri" w:hAnsi="Calibri" w:cs="Calibri"/>
                <w:noProof/>
                <w:lang w:eastAsia="en-GB"/>
              </w:rPr>
              <w:t> </w:t>
            </w:r>
            <w:r>
              <w:rPr>
                <w:noProof/>
                <w:lang w:eastAsia="en-GB"/>
              </w:rPr>
              <w:t>765</w:t>
            </w:r>
          </w:p>
        </w:tc>
      </w:tr>
    </w:tbl>
    <w:p w:rsidR="00311BB8" w:rsidRDefault="00D91061">
      <w:pPr>
        <w:pStyle w:val="AMPRBodyText"/>
        <w:rPr>
          <w:rFonts w:eastAsia="Times New Roman" w:cs="Arial"/>
          <w:noProof/>
          <w:lang w:eastAsia="en-GB"/>
        </w:rPr>
      </w:pPr>
      <w:r>
        <w:rPr>
          <w:noProof/>
        </w:rPr>
        <w:t>Suspensions are a tool that allows the authorising officer responsible to temporarily withhold the execution of a payment because the amount is not due, because of the absence of appropriate supporting documentation or because there are doubts about the eligibility of the expenditure concerned. It is a basic tool for the authorising officer in the payment process for avoiding irregular or erroneous payments and is fundamental in ensuring sound financial management and protecting the EU’s financial interests.</w:t>
      </w:r>
    </w:p>
    <w:p w:rsidR="00311BB8" w:rsidRDefault="00311BB8">
      <w:pPr>
        <w:pStyle w:val="BodyText"/>
        <w:rPr>
          <w:rFonts w:eastAsia="Times New Roman" w:cs="Arial"/>
          <w:noProof/>
          <w:szCs w:val="20"/>
          <w:lang w:eastAsia="en-GB"/>
        </w:rPr>
        <w:sectPr w:rsidR="00311BB8">
          <w:headerReference w:type="even" r:id="rId110"/>
          <w:headerReference w:type="default" r:id="rId111"/>
          <w:footerReference w:type="even" r:id="rId112"/>
          <w:footerReference w:type="default" r:id="rId113"/>
          <w:headerReference w:type="first" r:id="rId114"/>
          <w:footerReference w:type="first" r:id="rId115"/>
          <w:footnotePr>
            <w:numStart w:val="94"/>
          </w:footnotePr>
          <w:type w:val="continuous"/>
          <w:pgSz w:w="11906" w:h="16838" w:code="9"/>
          <w:pgMar w:top="1417" w:right="1417" w:bottom="1134" w:left="1417" w:header="567" w:footer="454" w:gutter="0"/>
          <w:cols w:space="720"/>
          <w:docGrid w:linePitch="360"/>
        </w:sectPr>
      </w:pPr>
    </w:p>
    <w:p w:rsidR="00311BB8" w:rsidRDefault="00311BB8">
      <w:pPr>
        <w:rPr>
          <w:noProof/>
        </w:rPr>
        <w:sectPr w:rsidR="00311BB8">
          <w:headerReference w:type="even" r:id="rId116"/>
          <w:headerReference w:type="default" r:id="rId117"/>
          <w:footerReference w:type="even" r:id="rId118"/>
          <w:footerReference w:type="default" r:id="rId119"/>
          <w:headerReference w:type="first" r:id="rId120"/>
          <w:footerReference w:type="first" r:id="rId121"/>
          <w:footnotePr>
            <w:numStart w:val="94"/>
          </w:footnotePr>
          <w:pgSz w:w="11906" w:h="16838" w:code="9"/>
          <w:pgMar w:top="1417" w:right="1417" w:bottom="1134" w:left="1417" w:header="567" w:footer="454" w:gutter="0"/>
          <w:cols w:space="720"/>
          <w:docGrid w:linePitch="360"/>
        </w:sectPr>
      </w:pPr>
      <w:bookmarkStart w:id="154" w:name="_Toc6304474"/>
      <w:bookmarkStart w:id="155" w:name="_Toc8386226"/>
      <w:bookmarkStart w:id="156" w:name="_Toc11679105"/>
    </w:p>
    <w:p w:rsidR="00311BB8" w:rsidRDefault="00D91061">
      <w:pPr>
        <w:pStyle w:val="AMPRAnnexesTITLE2"/>
        <w:rPr>
          <w:noProof/>
        </w:rPr>
      </w:pPr>
      <w:r>
        <w:rPr>
          <w:noProof/>
        </w:rPr>
        <w:t>Annex</w:t>
      </w:r>
      <w:r>
        <w:rPr>
          <w:rFonts w:ascii="Calibri" w:hAnsi="Calibri" w:cs="Calibri"/>
          <w:noProof/>
        </w:rPr>
        <w:t> </w:t>
      </w:r>
      <w:r>
        <w:rPr>
          <w:noProof/>
        </w:rPr>
        <w:t xml:space="preserve">9: </w:t>
      </w:r>
      <w:r>
        <w:rPr>
          <w:noProof/>
        </w:rPr>
        <w:br/>
        <w:t>Summary of waivers of recoveries</w:t>
      </w:r>
      <w:bookmarkEnd w:id="154"/>
      <w:bookmarkEnd w:id="155"/>
      <w:bookmarkEnd w:id="156"/>
    </w:p>
    <w:p w:rsidR="00311BB8" w:rsidRDefault="00D91061">
      <w:pPr>
        <w:pStyle w:val="AMPRBodyText"/>
        <w:rPr>
          <w:noProof/>
        </w:rPr>
      </w:pPr>
      <w:r>
        <w:rPr>
          <w:noProof/>
        </w:rPr>
        <w:t xml:space="preserve">In accordance with </w:t>
      </w:r>
      <w:r>
        <w:rPr>
          <w:rStyle w:val="AMPRcharBoldOrange"/>
          <w:noProof/>
        </w:rPr>
        <w:t>Article</w:t>
      </w:r>
      <w:r>
        <w:rPr>
          <w:rStyle w:val="AMPRcharBoldOrange"/>
          <w:rFonts w:ascii="Calibri" w:hAnsi="Calibri" w:cs="Calibri"/>
          <w:noProof/>
        </w:rPr>
        <w:t> </w:t>
      </w:r>
      <w:r>
        <w:rPr>
          <w:rStyle w:val="AMPRcharBoldOrange"/>
          <w:noProof/>
        </w:rPr>
        <w:t>101(5) of the financial regulation</w:t>
      </w:r>
      <w:r>
        <w:rPr>
          <w:noProof/>
        </w:rPr>
        <w:t xml:space="preserve">, the Commission reports each year to the budgetary authority on the waivers it has granted in an annex to the summary of the annual activity reports. </w:t>
      </w:r>
    </w:p>
    <w:p w:rsidR="00311BB8" w:rsidRDefault="00D91061">
      <w:pPr>
        <w:pStyle w:val="AMPRBodyText"/>
        <w:rPr>
          <w:noProof/>
        </w:rPr>
      </w:pPr>
      <w:r>
        <w:rPr>
          <w:noProof/>
        </w:rPr>
        <w:t>The table below shows the total value and the number of waivers above and below EUR</w:t>
      </w:r>
      <w:r>
        <w:rPr>
          <w:rFonts w:ascii="Calibri" w:hAnsi="Calibri" w:cs="Calibri"/>
          <w:noProof/>
        </w:rPr>
        <w:t> </w:t>
      </w:r>
      <w:r>
        <w:rPr>
          <w:noProof/>
        </w:rPr>
        <w:t>60</w:t>
      </w:r>
      <w:r>
        <w:rPr>
          <w:rFonts w:ascii="Calibri" w:hAnsi="Calibri" w:cs="Calibri"/>
          <w:noProof/>
        </w:rPr>
        <w:t> </w:t>
      </w:r>
      <w:r>
        <w:rPr>
          <w:noProof/>
        </w:rPr>
        <w:t xml:space="preserve">000 in the financial year 2019. </w:t>
      </w:r>
    </w:p>
    <w:p w:rsidR="00311BB8" w:rsidRDefault="00D91061">
      <w:pPr>
        <w:pStyle w:val="AMPRBodyText"/>
        <w:rPr>
          <w:noProof/>
        </w:rPr>
      </w:pPr>
      <w:r>
        <w:rPr>
          <w:noProof/>
        </w:rPr>
        <w:t>The individual annual activity reports provide more details on the individual waivers above EUR</w:t>
      </w:r>
      <w:r>
        <w:rPr>
          <w:rFonts w:ascii="Calibri" w:hAnsi="Calibri" w:cs="Calibri"/>
          <w:noProof/>
        </w:rPr>
        <w:t> </w:t>
      </w:r>
      <w:r>
        <w:rPr>
          <w:noProof/>
        </w:rPr>
        <w:t>60</w:t>
      </w:r>
      <w:r>
        <w:rPr>
          <w:rFonts w:ascii="Calibri" w:hAnsi="Calibri" w:cs="Calibri"/>
          <w:noProof/>
        </w:rPr>
        <w:t> </w:t>
      </w:r>
      <w:r>
        <w:rPr>
          <w:noProof/>
        </w:rPr>
        <w:t>000.</w:t>
      </w:r>
    </w:p>
    <w:tbl>
      <w:tblPr>
        <w:tblStyle w:val="AMPRTABLEA-Template"/>
        <w:tblW w:w="9072" w:type="dxa"/>
        <w:tblLayout w:type="fixed"/>
        <w:tblLook w:val="04A0" w:firstRow="1" w:lastRow="0" w:firstColumn="1" w:lastColumn="0" w:noHBand="0" w:noVBand="1"/>
      </w:tblPr>
      <w:tblGrid>
        <w:gridCol w:w="1339"/>
        <w:gridCol w:w="1800"/>
        <w:gridCol w:w="1639"/>
        <w:gridCol w:w="555"/>
        <w:gridCol w:w="1515"/>
        <w:gridCol w:w="826"/>
        <w:gridCol w:w="1398"/>
      </w:tblGrid>
      <w:tr w:rsidR="00311BB8" w:rsidTr="00311BB8">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371" w:type="dxa"/>
            <w:noWrap/>
            <w:hideMark/>
          </w:tcPr>
          <w:p w:rsidR="00311BB8" w:rsidRDefault="00D91061">
            <w:pPr>
              <w:pStyle w:val="AMPRTABLEA-HEADERText-WHITE"/>
              <w:spacing w:before="144" w:after="144"/>
              <w:rPr>
                <w:rFonts w:eastAsia="Times New Roman"/>
                <w:noProof/>
                <w:lang w:eastAsia="en-GB"/>
              </w:rPr>
            </w:pPr>
            <w:r>
              <w:rPr>
                <w:noProof/>
              </w:rPr>
              <w:t>EU budget area</w:t>
            </w:r>
          </w:p>
        </w:tc>
        <w:tc>
          <w:tcPr>
            <w:tcW w:w="1845" w:type="dxa"/>
            <w:noWrap/>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rFonts w:eastAsia="Times New Roman"/>
                <w:noProof/>
                <w:szCs w:val="18"/>
                <w:lang w:eastAsia="en-GB"/>
              </w:rPr>
            </w:pPr>
            <w:r>
              <w:rPr>
                <w:noProof/>
              </w:rPr>
              <w:t>Department</w:t>
            </w:r>
          </w:p>
        </w:tc>
        <w:tc>
          <w:tcPr>
            <w:tcW w:w="1679" w:type="dxa"/>
            <w:noWrap/>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rFonts w:eastAsia="Times New Roman"/>
                <w:noProof/>
                <w:szCs w:val="18"/>
                <w:lang w:val="en-GB" w:eastAsia="en-GB"/>
              </w:rPr>
            </w:pPr>
            <w:r>
              <w:rPr>
                <w:noProof/>
                <w:lang w:val="en-GB"/>
              </w:rPr>
              <w:t>Total value of waivers (EUR)</w:t>
            </w:r>
          </w:p>
        </w:tc>
        <w:tc>
          <w:tcPr>
            <w:tcW w:w="2116" w:type="dxa"/>
            <w:gridSpan w:val="2"/>
            <w:noWrap/>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rFonts w:eastAsia="Times New Roman"/>
                <w:noProof/>
                <w:szCs w:val="18"/>
                <w:lang w:val="en-GB" w:eastAsia="en-GB"/>
              </w:rPr>
            </w:pPr>
            <w:r>
              <w:rPr>
                <w:noProof/>
                <w:lang w:val="en-GB"/>
              </w:rPr>
              <w:t>Number (left) and value (right, EUR) of waivers above EUR</w:t>
            </w:r>
            <w:r>
              <w:rPr>
                <w:rFonts w:ascii="Calibri" w:hAnsi="Calibri" w:cs="Calibri"/>
                <w:noProof/>
                <w:lang w:val="en-GB"/>
              </w:rPr>
              <w:t> </w:t>
            </w:r>
            <w:r>
              <w:rPr>
                <w:noProof/>
                <w:lang w:val="en-GB"/>
              </w:rPr>
              <w:t>60</w:t>
            </w:r>
            <w:r>
              <w:rPr>
                <w:rFonts w:ascii="Calibri" w:hAnsi="Calibri" w:cs="Calibri"/>
                <w:noProof/>
                <w:lang w:val="en-GB"/>
              </w:rPr>
              <w:t> </w:t>
            </w:r>
            <w:r>
              <w:rPr>
                <w:noProof/>
                <w:lang w:val="en-GB"/>
              </w:rPr>
              <w:t>000</w:t>
            </w:r>
          </w:p>
        </w:tc>
        <w:tc>
          <w:tcPr>
            <w:tcW w:w="2275" w:type="dxa"/>
            <w:gridSpan w:val="2"/>
            <w:noWrap/>
            <w:hideMark/>
          </w:tcPr>
          <w:p w:rsidR="00311BB8" w:rsidRDefault="00D91061">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rFonts w:eastAsia="Times New Roman"/>
                <w:noProof/>
                <w:szCs w:val="18"/>
                <w:lang w:val="en-GB" w:eastAsia="en-GB"/>
              </w:rPr>
            </w:pPr>
            <w:r>
              <w:rPr>
                <w:noProof/>
                <w:lang w:val="en-GB"/>
              </w:rPr>
              <w:t>Number (left) and value (right, EUR) of waivers below EUR</w:t>
            </w:r>
            <w:r>
              <w:rPr>
                <w:rFonts w:ascii="Calibri" w:hAnsi="Calibri" w:cs="Calibri"/>
                <w:noProof/>
                <w:lang w:val="en-GB"/>
              </w:rPr>
              <w:t> </w:t>
            </w:r>
            <w:r>
              <w:rPr>
                <w:noProof/>
                <w:lang w:val="en-GB"/>
              </w:rPr>
              <w:t>60</w:t>
            </w:r>
            <w:r>
              <w:rPr>
                <w:rFonts w:ascii="Calibri" w:hAnsi="Calibri" w:cs="Calibri"/>
                <w:noProof/>
                <w:lang w:val="en-GB"/>
              </w:rPr>
              <w:t> </w:t>
            </w:r>
            <w:r>
              <w:rPr>
                <w:noProof/>
                <w:lang w:val="en-GB"/>
              </w:rPr>
              <w:t>000</w:t>
            </w: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noWrap/>
            <w:hideMark/>
          </w:tcPr>
          <w:p w:rsidR="00311BB8" w:rsidRDefault="00311BB8">
            <w:pPr>
              <w:pStyle w:val="AMPRTABLEA-TextLEFTalligned-BLACK"/>
              <w:rPr>
                <w:noProof/>
                <w:lang w:val="en-GB" w:eastAsia="en-GB"/>
              </w:rPr>
            </w:pPr>
          </w:p>
        </w:tc>
        <w:tc>
          <w:tcPr>
            <w:tcW w:w="1845" w:type="dxa"/>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val="en-GB" w:eastAsia="en-GB"/>
              </w:rPr>
            </w:pPr>
            <w:r>
              <w:rPr>
                <w:noProof/>
                <w:lang w:val="en-GB"/>
              </w:rPr>
              <w:t>DG Communications Networks, Content and Technology</w:t>
            </w:r>
          </w:p>
        </w:tc>
        <w:tc>
          <w:tcPr>
            <w:tcW w:w="16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2</w:t>
            </w:r>
            <w:r>
              <w:rPr>
                <w:rFonts w:ascii="Calibri" w:hAnsi="Calibri" w:cs="Calibri"/>
                <w:noProof/>
              </w:rPr>
              <w:t> </w:t>
            </w:r>
            <w:r>
              <w:rPr>
                <w:noProof/>
              </w:rPr>
              <w:t>775</w:t>
            </w:r>
            <w:r>
              <w:rPr>
                <w:rFonts w:ascii="Calibri" w:hAnsi="Calibri" w:cs="Calibri"/>
                <w:noProof/>
              </w:rPr>
              <w:t> </w:t>
            </w:r>
            <w:r>
              <w:rPr>
                <w:noProof/>
              </w:rPr>
              <w:t>513.99</w:t>
            </w:r>
          </w:p>
        </w:tc>
        <w:tc>
          <w:tcPr>
            <w:tcW w:w="56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13</w:t>
            </w:r>
          </w:p>
        </w:tc>
        <w:tc>
          <w:tcPr>
            <w:tcW w:w="155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2</w:t>
            </w:r>
            <w:r>
              <w:rPr>
                <w:rFonts w:ascii="Calibri" w:hAnsi="Calibri" w:cs="Calibri"/>
                <w:noProof/>
              </w:rPr>
              <w:t> </w:t>
            </w:r>
            <w:r>
              <w:rPr>
                <w:noProof/>
              </w:rPr>
              <w:t>340</w:t>
            </w:r>
            <w:r>
              <w:rPr>
                <w:rFonts w:ascii="Calibri" w:hAnsi="Calibri" w:cs="Calibri"/>
                <w:noProof/>
              </w:rPr>
              <w:t> </w:t>
            </w:r>
            <w:r>
              <w:rPr>
                <w:noProof/>
              </w:rPr>
              <w:t>136.24</w:t>
            </w:r>
          </w:p>
        </w:tc>
        <w:tc>
          <w:tcPr>
            <w:tcW w:w="843"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18</w:t>
            </w:r>
          </w:p>
        </w:tc>
        <w:tc>
          <w:tcPr>
            <w:tcW w:w="143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r>
              <w:rPr>
                <w:noProof/>
              </w:rPr>
              <w:t>435</w:t>
            </w:r>
            <w:r>
              <w:rPr>
                <w:rFonts w:ascii="Calibri" w:hAnsi="Calibri" w:cs="Calibri"/>
                <w:noProof/>
              </w:rPr>
              <w:t> </w:t>
            </w:r>
            <w:r>
              <w:rPr>
                <w:noProof/>
              </w:rPr>
              <w:t>377.75</w:t>
            </w: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noWrap/>
            <w:hideMark/>
          </w:tcPr>
          <w:p w:rsidR="00311BB8" w:rsidRDefault="00311BB8">
            <w:pPr>
              <w:pStyle w:val="AMPRTABLEA-TextLEFTalligned-BLACK"/>
              <w:rPr>
                <w:rFonts w:cstheme="minorBidi"/>
                <w:noProof/>
                <w:lang w:eastAsia="en-GB"/>
              </w:rPr>
            </w:pPr>
          </w:p>
        </w:tc>
        <w:tc>
          <w:tcPr>
            <w:tcW w:w="1845" w:type="dxa"/>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DG Communication</w:t>
            </w:r>
          </w:p>
        </w:tc>
        <w:tc>
          <w:tcPr>
            <w:tcW w:w="16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6</w:t>
            </w:r>
            <w:r>
              <w:rPr>
                <w:rFonts w:ascii="Calibri" w:hAnsi="Calibri" w:cs="Calibri"/>
                <w:noProof/>
              </w:rPr>
              <w:t> </w:t>
            </w:r>
            <w:r>
              <w:rPr>
                <w:noProof/>
              </w:rPr>
              <w:t>905.99</w:t>
            </w:r>
          </w:p>
        </w:tc>
        <w:tc>
          <w:tcPr>
            <w:tcW w:w="564"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1552"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843"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w:t>
            </w:r>
          </w:p>
        </w:tc>
        <w:tc>
          <w:tcPr>
            <w:tcW w:w="143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6</w:t>
            </w:r>
            <w:r>
              <w:rPr>
                <w:rFonts w:ascii="Calibri" w:hAnsi="Calibri" w:cs="Calibri"/>
                <w:noProof/>
              </w:rPr>
              <w:t> </w:t>
            </w:r>
            <w:r>
              <w:rPr>
                <w:noProof/>
              </w:rPr>
              <w:t>905.99</w:t>
            </w: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noWrap/>
            <w:hideMark/>
          </w:tcPr>
          <w:p w:rsidR="00311BB8" w:rsidRDefault="00311BB8">
            <w:pPr>
              <w:pStyle w:val="AMPRTABLEA-TextLEFTalligned-BLACK"/>
              <w:rPr>
                <w:noProof/>
                <w:color w:val="333333"/>
                <w:lang w:eastAsia="en-GB"/>
              </w:rPr>
            </w:pPr>
          </w:p>
        </w:tc>
        <w:tc>
          <w:tcPr>
            <w:tcW w:w="1845" w:type="dxa"/>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DG Competition</w:t>
            </w:r>
          </w:p>
        </w:tc>
        <w:tc>
          <w:tcPr>
            <w:tcW w:w="16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w:t>
            </w:r>
            <w:r>
              <w:rPr>
                <w:rFonts w:ascii="Calibri" w:hAnsi="Calibri" w:cs="Calibri"/>
                <w:noProof/>
              </w:rPr>
              <w:t> </w:t>
            </w:r>
            <w:r>
              <w:rPr>
                <w:noProof/>
              </w:rPr>
              <w:t>152</w:t>
            </w:r>
            <w:r>
              <w:rPr>
                <w:rFonts w:ascii="Calibri" w:hAnsi="Calibri" w:cs="Calibri"/>
                <w:noProof/>
              </w:rPr>
              <w:t> </w:t>
            </w:r>
            <w:r>
              <w:rPr>
                <w:noProof/>
              </w:rPr>
              <w:t>250.00</w:t>
            </w:r>
          </w:p>
        </w:tc>
        <w:tc>
          <w:tcPr>
            <w:tcW w:w="56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2</w:t>
            </w:r>
          </w:p>
        </w:tc>
        <w:tc>
          <w:tcPr>
            <w:tcW w:w="155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r>
              <w:rPr>
                <w:noProof/>
              </w:rPr>
              <w:t>1</w:t>
            </w:r>
            <w:r>
              <w:rPr>
                <w:rFonts w:ascii="Calibri" w:hAnsi="Calibri" w:cs="Calibri"/>
                <w:noProof/>
              </w:rPr>
              <w:t> </w:t>
            </w:r>
            <w:r>
              <w:rPr>
                <w:noProof/>
              </w:rPr>
              <w:t>152</w:t>
            </w:r>
            <w:r>
              <w:rPr>
                <w:rFonts w:ascii="Calibri" w:hAnsi="Calibri" w:cs="Calibri"/>
                <w:noProof/>
              </w:rPr>
              <w:t> </w:t>
            </w:r>
            <w:r>
              <w:rPr>
                <w:noProof/>
              </w:rPr>
              <w:t>250.00</w:t>
            </w:r>
          </w:p>
        </w:tc>
        <w:tc>
          <w:tcPr>
            <w:tcW w:w="843"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1432"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noWrap/>
            <w:hideMark/>
          </w:tcPr>
          <w:p w:rsidR="00311BB8" w:rsidRDefault="00311BB8">
            <w:pPr>
              <w:pStyle w:val="AMPRTABLEA-TextLEFTalligned-BLACK"/>
              <w:rPr>
                <w:noProof/>
                <w:color w:val="333333"/>
                <w:lang w:eastAsia="en-GB"/>
              </w:rPr>
            </w:pPr>
          </w:p>
        </w:tc>
        <w:tc>
          <w:tcPr>
            <w:tcW w:w="1845" w:type="dxa"/>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val="en-GB" w:eastAsia="en-GB"/>
              </w:rPr>
            </w:pPr>
            <w:r>
              <w:rPr>
                <w:noProof/>
                <w:lang w:val="en-GB"/>
              </w:rPr>
              <w:t>DG International Cooperation and Development</w:t>
            </w:r>
          </w:p>
        </w:tc>
        <w:tc>
          <w:tcPr>
            <w:tcW w:w="16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2</w:t>
            </w:r>
            <w:r>
              <w:rPr>
                <w:rFonts w:ascii="Calibri" w:hAnsi="Calibri" w:cs="Calibri"/>
                <w:noProof/>
              </w:rPr>
              <w:t> </w:t>
            </w:r>
            <w:r>
              <w:rPr>
                <w:noProof/>
              </w:rPr>
              <w:t>432</w:t>
            </w:r>
            <w:r>
              <w:rPr>
                <w:rFonts w:ascii="Calibri" w:hAnsi="Calibri" w:cs="Calibri"/>
                <w:noProof/>
              </w:rPr>
              <w:t> </w:t>
            </w:r>
            <w:r>
              <w:rPr>
                <w:noProof/>
              </w:rPr>
              <w:t>435.69</w:t>
            </w:r>
          </w:p>
        </w:tc>
        <w:tc>
          <w:tcPr>
            <w:tcW w:w="56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11</w:t>
            </w:r>
          </w:p>
        </w:tc>
        <w:tc>
          <w:tcPr>
            <w:tcW w:w="155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w:t>
            </w:r>
            <w:r>
              <w:rPr>
                <w:rFonts w:ascii="Calibri" w:hAnsi="Calibri" w:cs="Calibri"/>
                <w:noProof/>
              </w:rPr>
              <w:t> </w:t>
            </w:r>
            <w:r>
              <w:rPr>
                <w:noProof/>
              </w:rPr>
              <w:t>843</w:t>
            </w:r>
            <w:r>
              <w:rPr>
                <w:rFonts w:ascii="Calibri" w:hAnsi="Calibri" w:cs="Calibri"/>
                <w:noProof/>
              </w:rPr>
              <w:t> </w:t>
            </w:r>
            <w:r>
              <w:rPr>
                <w:noProof/>
              </w:rPr>
              <w:t>447.70</w:t>
            </w:r>
          </w:p>
        </w:tc>
        <w:tc>
          <w:tcPr>
            <w:tcW w:w="843"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28</w:t>
            </w:r>
          </w:p>
        </w:tc>
        <w:tc>
          <w:tcPr>
            <w:tcW w:w="143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588</w:t>
            </w:r>
            <w:r>
              <w:rPr>
                <w:rFonts w:ascii="Calibri" w:hAnsi="Calibri" w:cs="Calibri"/>
                <w:noProof/>
              </w:rPr>
              <w:t> </w:t>
            </w:r>
            <w:r>
              <w:rPr>
                <w:noProof/>
              </w:rPr>
              <w:t>987.99</w:t>
            </w: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noWrap/>
            <w:hideMark/>
          </w:tcPr>
          <w:p w:rsidR="00311BB8" w:rsidRDefault="00311BB8">
            <w:pPr>
              <w:pStyle w:val="AMPRTABLEA-TextLEFTalligned-BLACK"/>
              <w:rPr>
                <w:noProof/>
                <w:color w:val="333333"/>
                <w:lang w:eastAsia="en-GB"/>
              </w:rPr>
            </w:pPr>
          </w:p>
        </w:tc>
        <w:tc>
          <w:tcPr>
            <w:tcW w:w="1845" w:type="dxa"/>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val="en-GB" w:eastAsia="en-GB"/>
              </w:rPr>
            </w:pPr>
            <w:r>
              <w:rPr>
                <w:noProof/>
                <w:lang w:val="en-GB"/>
              </w:rPr>
              <w:t>DG Education, Youth, Sport and Culture</w:t>
            </w:r>
          </w:p>
        </w:tc>
        <w:tc>
          <w:tcPr>
            <w:tcW w:w="16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66</w:t>
            </w:r>
            <w:r>
              <w:rPr>
                <w:rFonts w:ascii="Calibri" w:hAnsi="Calibri" w:cs="Calibri"/>
                <w:noProof/>
              </w:rPr>
              <w:t> </w:t>
            </w:r>
            <w:r>
              <w:rPr>
                <w:noProof/>
              </w:rPr>
              <w:t>034.77</w:t>
            </w:r>
          </w:p>
        </w:tc>
        <w:tc>
          <w:tcPr>
            <w:tcW w:w="56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w:t>
            </w:r>
          </w:p>
        </w:tc>
        <w:tc>
          <w:tcPr>
            <w:tcW w:w="155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r>
              <w:rPr>
                <w:noProof/>
              </w:rPr>
              <w:t>66</w:t>
            </w:r>
            <w:r>
              <w:rPr>
                <w:rFonts w:ascii="Calibri" w:hAnsi="Calibri" w:cs="Calibri"/>
                <w:noProof/>
              </w:rPr>
              <w:t> </w:t>
            </w:r>
            <w:r>
              <w:rPr>
                <w:noProof/>
              </w:rPr>
              <w:t>034.77</w:t>
            </w:r>
          </w:p>
        </w:tc>
        <w:tc>
          <w:tcPr>
            <w:tcW w:w="843"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1432"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noWrap/>
            <w:hideMark/>
          </w:tcPr>
          <w:p w:rsidR="00311BB8" w:rsidRDefault="00311BB8">
            <w:pPr>
              <w:pStyle w:val="AMPRTABLEA-TextLEFTalligned-BLACK"/>
              <w:rPr>
                <w:noProof/>
                <w:color w:val="333333"/>
                <w:lang w:eastAsia="en-GB"/>
              </w:rPr>
            </w:pPr>
          </w:p>
        </w:tc>
        <w:tc>
          <w:tcPr>
            <w:tcW w:w="1845" w:type="dxa"/>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val="en-GB" w:eastAsia="en-GB"/>
              </w:rPr>
            </w:pPr>
            <w:r>
              <w:rPr>
                <w:noProof/>
                <w:lang w:val="en-GB"/>
              </w:rPr>
              <w:t>Education, Audiovisual and Culture Executive Agency</w:t>
            </w:r>
          </w:p>
        </w:tc>
        <w:tc>
          <w:tcPr>
            <w:tcW w:w="16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724</w:t>
            </w:r>
            <w:r>
              <w:rPr>
                <w:rFonts w:ascii="Calibri" w:hAnsi="Calibri" w:cs="Calibri"/>
                <w:noProof/>
              </w:rPr>
              <w:t> </w:t>
            </w:r>
            <w:r>
              <w:rPr>
                <w:noProof/>
              </w:rPr>
              <w:t>818.47</w:t>
            </w:r>
          </w:p>
        </w:tc>
        <w:tc>
          <w:tcPr>
            <w:tcW w:w="56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2</w:t>
            </w:r>
          </w:p>
        </w:tc>
        <w:tc>
          <w:tcPr>
            <w:tcW w:w="155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222</w:t>
            </w:r>
            <w:r>
              <w:rPr>
                <w:rFonts w:ascii="Calibri" w:hAnsi="Calibri" w:cs="Calibri"/>
                <w:noProof/>
              </w:rPr>
              <w:t> </w:t>
            </w:r>
            <w:r>
              <w:rPr>
                <w:noProof/>
              </w:rPr>
              <w:t>199.24</w:t>
            </w:r>
          </w:p>
        </w:tc>
        <w:tc>
          <w:tcPr>
            <w:tcW w:w="843"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27</w:t>
            </w:r>
          </w:p>
        </w:tc>
        <w:tc>
          <w:tcPr>
            <w:tcW w:w="143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502</w:t>
            </w:r>
            <w:r>
              <w:rPr>
                <w:rFonts w:ascii="Calibri" w:hAnsi="Calibri" w:cs="Calibri"/>
                <w:noProof/>
              </w:rPr>
              <w:t> </w:t>
            </w:r>
            <w:r>
              <w:rPr>
                <w:noProof/>
              </w:rPr>
              <w:t>619.23</w:t>
            </w: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noWrap/>
            <w:hideMark/>
          </w:tcPr>
          <w:p w:rsidR="00311BB8" w:rsidRDefault="00311BB8">
            <w:pPr>
              <w:pStyle w:val="AMPRTABLEA-TextLEFTalligned-BLACK"/>
              <w:rPr>
                <w:noProof/>
                <w:color w:val="333333"/>
                <w:lang w:eastAsia="en-GB"/>
              </w:rPr>
            </w:pPr>
          </w:p>
        </w:tc>
        <w:tc>
          <w:tcPr>
            <w:tcW w:w="1845" w:type="dxa"/>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val="en-GB" w:eastAsia="en-GB"/>
              </w:rPr>
            </w:pPr>
            <w:r>
              <w:rPr>
                <w:noProof/>
                <w:lang w:val="en-GB"/>
              </w:rPr>
              <w:t>DG Economic and Financial Affairs</w:t>
            </w:r>
          </w:p>
        </w:tc>
        <w:tc>
          <w:tcPr>
            <w:tcW w:w="16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321</w:t>
            </w:r>
            <w:r>
              <w:rPr>
                <w:rFonts w:ascii="Calibri" w:hAnsi="Calibri" w:cs="Calibri"/>
                <w:noProof/>
              </w:rPr>
              <w:t> </w:t>
            </w:r>
            <w:r>
              <w:rPr>
                <w:noProof/>
              </w:rPr>
              <w:t>558.00</w:t>
            </w:r>
          </w:p>
        </w:tc>
        <w:tc>
          <w:tcPr>
            <w:tcW w:w="56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w:t>
            </w:r>
          </w:p>
        </w:tc>
        <w:tc>
          <w:tcPr>
            <w:tcW w:w="155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321</w:t>
            </w:r>
            <w:r>
              <w:rPr>
                <w:rFonts w:ascii="Calibri" w:hAnsi="Calibri" w:cs="Calibri"/>
                <w:noProof/>
              </w:rPr>
              <w:t> </w:t>
            </w:r>
            <w:r>
              <w:rPr>
                <w:noProof/>
              </w:rPr>
              <w:t>558.00</w:t>
            </w:r>
          </w:p>
        </w:tc>
        <w:tc>
          <w:tcPr>
            <w:tcW w:w="843"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1432"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noWrap/>
            <w:hideMark/>
          </w:tcPr>
          <w:p w:rsidR="00311BB8" w:rsidRDefault="00311BB8">
            <w:pPr>
              <w:pStyle w:val="AMPRTABLEA-TextLEFTalligned-BLACK"/>
              <w:rPr>
                <w:noProof/>
                <w:color w:val="333333"/>
                <w:lang w:eastAsia="en-GB"/>
              </w:rPr>
            </w:pPr>
          </w:p>
        </w:tc>
        <w:tc>
          <w:tcPr>
            <w:tcW w:w="1845" w:type="dxa"/>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DG Energy</w:t>
            </w:r>
          </w:p>
        </w:tc>
        <w:tc>
          <w:tcPr>
            <w:tcW w:w="16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3</w:t>
            </w:r>
            <w:r>
              <w:rPr>
                <w:rFonts w:ascii="Calibri" w:hAnsi="Calibri" w:cs="Calibri"/>
                <w:noProof/>
              </w:rPr>
              <w:t> </w:t>
            </w:r>
            <w:r>
              <w:rPr>
                <w:noProof/>
              </w:rPr>
              <w:t>142.71</w:t>
            </w:r>
          </w:p>
        </w:tc>
        <w:tc>
          <w:tcPr>
            <w:tcW w:w="564"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1552"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843"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w:t>
            </w:r>
          </w:p>
        </w:tc>
        <w:tc>
          <w:tcPr>
            <w:tcW w:w="143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r>
              <w:rPr>
                <w:noProof/>
              </w:rPr>
              <w:t>3</w:t>
            </w:r>
            <w:r>
              <w:rPr>
                <w:rFonts w:ascii="Calibri" w:hAnsi="Calibri" w:cs="Calibri"/>
                <w:noProof/>
              </w:rPr>
              <w:t> </w:t>
            </w:r>
            <w:r>
              <w:rPr>
                <w:noProof/>
              </w:rPr>
              <w:t>142.71</w:t>
            </w: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noWrap/>
            <w:hideMark/>
          </w:tcPr>
          <w:p w:rsidR="00311BB8" w:rsidRDefault="00311BB8">
            <w:pPr>
              <w:pStyle w:val="AMPRTABLEA-TextLEFTalligned-BLACK"/>
              <w:rPr>
                <w:rFonts w:cstheme="minorBidi"/>
                <w:noProof/>
                <w:lang w:eastAsia="en-GB"/>
              </w:rPr>
            </w:pPr>
          </w:p>
        </w:tc>
        <w:tc>
          <w:tcPr>
            <w:tcW w:w="1845" w:type="dxa"/>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DG Environment</w:t>
            </w:r>
          </w:p>
        </w:tc>
        <w:tc>
          <w:tcPr>
            <w:tcW w:w="16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214</w:t>
            </w:r>
            <w:r>
              <w:rPr>
                <w:rFonts w:ascii="Calibri" w:hAnsi="Calibri" w:cs="Calibri"/>
                <w:noProof/>
              </w:rPr>
              <w:t> </w:t>
            </w:r>
            <w:r>
              <w:rPr>
                <w:noProof/>
              </w:rPr>
              <w:t>037.32</w:t>
            </w:r>
          </w:p>
        </w:tc>
        <w:tc>
          <w:tcPr>
            <w:tcW w:w="56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2</w:t>
            </w:r>
          </w:p>
        </w:tc>
        <w:tc>
          <w:tcPr>
            <w:tcW w:w="155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176</w:t>
            </w:r>
            <w:r>
              <w:rPr>
                <w:rFonts w:ascii="Calibri" w:hAnsi="Calibri" w:cs="Calibri"/>
                <w:noProof/>
              </w:rPr>
              <w:t> </w:t>
            </w:r>
            <w:r>
              <w:rPr>
                <w:noProof/>
              </w:rPr>
              <w:t>055.77</w:t>
            </w:r>
          </w:p>
        </w:tc>
        <w:tc>
          <w:tcPr>
            <w:tcW w:w="843"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5</w:t>
            </w:r>
          </w:p>
        </w:tc>
        <w:tc>
          <w:tcPr>
            <w:tcW w:w="143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r>
              <w:rPr>
                <w:noProof/>
              </w:rPr>
              <w:t>37</w:t>
            </w:r>
            <w:r>
              <w:rPr>
                <w:rFonts w:ascii="Calibri" w:hAnsi="Calibri" w:cs="Calibri"/>
                <w:noProof/>
              </w:rPr>
              <w:t> </w:t>
            </w:r>
            <w:r>
              <w:rPr>
                <w:noProof/>
              </w:rPr>
              <w:t>981.55</w:t>
            </w: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noWrap/>
            <w:hideMark/>
          </w:tcPr>
          <w:p w:rsidR="00311BB8" w:rsidRDefault="00311BB8">
            <w:pPr>
              <w:pStyle w:val="AMPRTABLEA-TextLEFTalligned-BLACK"/>
              <w:rPr>
                <w:rFonts w:cstheme="minorBidi"/>
                <w:noProof/>
                <w:lang w:eastAsia="en-GB"/>
              </w:rPr>
            </w:pPr>
          </w:p>
        </w:tc>
        <w:tc>
          <w:tcPr>
            <w:tcW w:w="1845" w:type="dxa"/>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val="en-GB" w:eastAsia="en-GB"/>
              </w:rPr>
            </w:pPr>
            <w:r>
              <w:rPr>
                <w:noProof/>
                <w:lang w:val="en-GB"/>
              </w:rPr>
              <w:t>European Research Council Executive Agency</w:t>
            </w:r>
          </w:p>
        </w:tc>
        <w:tc>
          <w:tcPr>
            <w:tcW w:w="16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673</w:t>
            </w:r>
            <w:r>
              <w:rPr>
                <w:rFonts w:ascii="Calibri" w:hAnsi="Calibri" w:cs="Calibri"/>
                <w:noProof/>
              </w:rPr>
              <w:t> </w:t>
            </w:r>
            <w:r>
              <w:rPr>
                <w:noProof/>
              </w:rPr>
              <w:t>035.56</w:t>
            </w:r>
          </w:p>
        </w:tc>
        <w:tc>
          <w:tcPr>
            <w:tcW w:w="56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w:t>
            </w:r>
          </w:p>
        </w:tc>
        <w:tc>
          <w:tcPr>
            <w:tcW w:w="155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673</w:t>
            </w:r>
            <w:r>
              <w:rPr>
                <w:rFonts w:ascii="Calibri" w:hAnsi="Calibri" w:cs="Calibri"/>
                <w:noProof/>
              </w:rPr>
              <w:t> </w:t>
            </w:r>
            <w:r>
              <w:rPr>
                <w:noProof/>
              </w:rPr>
              <w:t>035.56</w:t>
            </w:r>
          </w:p>
        </w:tc>
        <w:tc>
          <w:tcPr>
            <w:tcW w:w="843"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1432"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noWrap/>
            <w:hideMark/>
          </w:tcPr>
          <w:p w:rsidR="00311BB8" w:rsidRDefault="00311BB8">
            <w:pPr>
              <w:pStyle w:val="AMPRTABLEA-TextLEFTalligned-BLACK"/>
              <w:rPr>
                <w:noProof/>
                <w:color w:val="333333"/>
                <w:lang w:eastAsia="en-GB"/>
              </w:rPr>
            </w:pPr>
          </w:p>
        </w:tc>
        <w:tc>
          <w:tcPr>
            <w:tcW w:w="1845" w:type="dxa"/>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val="en-GB" w:eastAsia="en-GB"/>
              </w:rPr>
            </w:pPr>
            <w:r>
              <w:rPr>
                <w:noProof/>
                <w:lang w:val="en-GB"/>
              </w:rPr>
              <w:t>Service for Foreign Policy Instruments</w:t>
            </w:r>
          </w:p>
        </w:tc>
        <w:tc>
          <w:tcPr>
            <w:tcW w:w="16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677</w:t>
            </w:r>
            <w:r>
              <w:rPr>
                <w:rFonts w:ascii="Calibri" w:hAnsi="Calibri" w:cs="Calibri"/>
                <w:noProof/>
              </w:rPr>
              <w:t> </w:t>
            </w:r>
            <w:r>
              <w:rPr>
                <w:noProof/>
              </w:rPr>
              <w:t>150.44</w:t>
            </w:r>
          </w:p>
        </w:tc>
        <w:tc>
          <w:tcPr>
            <w:tcW w:w="56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5</w:t>
            </w:r>
          </w:p>
        </w:tc>
        <w:tc>
          <w:tcPr>
            <w:tcW w:w="155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617</w:t>
            </w:r>
            <w:r>
              <w:rPr>
                <w:rFonts w:ascii="Calibri" w:hAnsi="Calibri" w:cs="Calibri"/>
                <w:noProof/>
              </w:rPr>
              <w:t> </w:t>
            </w:r>
            <w:r>
              <w:rPr>
                <w:noProof/>
              </w:rPr>
              <w:t>442.04</w:t>
            </w:r>
          </w:p>
        </w:tc>
        <w:tc>
          <w:tcPr>
            <w:tcW w:w="843"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3</w:t>
            </w:r>
          </w:p>
        </w:tc>
        <w:tc>
          <w:tcPr>
            <w:tcW w:w="143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r>
              <w:rPr>
                <w:noProof/>
              </w:rPr>
              <w:t>59</w:t>
            </w:r>
            <w:r>
              <w:rPr>
                <w:rFonts w:ascii="Calibri" w:hAnsi="Calibri" w:cs="Calibri"/>
                <w:noProof/>
              </w:rPr>
              <w:t> </w:t>
            </w:r>
            <w:r>
              <w:rPr>
                <w:noProof/>
              </w:rPr>
              <w:t>708.40</w:t>
            </w: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noWrap/>
            <w:hideMark/>
          </w:tcPr>
          <w:p w:rsidR="00311BB8" w:rsidRDefault="00311BB8">
            <w:pPr>
              <w:pStyle w:val="AMPRTABLEA-TextLEFTalligned-BLACK"/>
              <w:rPr>
                <w:rFonts w:cstheme="minorBidi"/>
                <w:noProof/>
                <w:lang w:eastAsia="en-GB"/>
              </w:rPr>
            </w:pPr>
          </w:p>
        </w:tc>
        <w:tc>
          <w:tcPr>
            <w:tcW w:w="1845" w:type="dxa"/>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val="en-GB" w:eastAsia="en-GB"/>
              </w:rPr>
            </w:pPr>
            <w:r>
              <w:rPr>
                <w:noProof/>
                <w:lang w:val="en-GB"/>
              </w:rPr>
              <w:t>DG Internal Market, Industry, Entrepreneurship and SMEs</w:t>
            </w:r>
          </w:p>
        </w:tc>
        <w:tc>
          <w:tcPr>
            <w:tcW w:w="16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35</w:t>
            </w:r>
            <w:r>
              <w:rPr>
                <w:rFonts w:ascii="Calibri" w:hAnsi="Calibri" w:cs="Calibri"/>
                <w:noProof/>
              </w:rPr>
              <w:t> </w:t>
            </w:r>
            <w:r>
              <w:rPr>
                <w:noProof/>
              </w:rPr>
              <w:t>117.10</w:t>
            </w:r>
          </w:p>
        </w:tc>
        <w:tc>
          <w:tcPr>
            <w:tcW w:w="564"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1552"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843"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w:t>
            </w:r>
          </w:p>
        </w:tc>
        <w:tc>
          <w:tcPr>
            <w:tcW w:w="143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35</w:t>
            </w:r>
            <w:r>
              <w:rPr>
                <w:rFonts w:ascii="Calibri" w:hAnsi="Calibri" w:cs="Calibri"/>
                <w:noProof/>
              </w:rPr>
              <w:t> </w:t>
            </w:r>
            <w:r>
              <w:rPr>
                <w:noProof/>
              </w:rPr>
              <w:t>117.10</w:t>
            </w: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tcBorders>
              <w:bottom w:val="single" w:sz="4" w:space="0" w:color="5B9BD5" w:themeColor="accent1"/>
            </w:tcBorders>
            <w:noWrap/>
            <w:hideMark/>
          </w:tcPr>
          <w:p w:rsidR="00311BB8" w:rsidRDefault="00311BB8">
            <w:pPr>
              <w:pStyle w:val="AMPRTABLEA-TextLEFTalligned-BLACK"/>
              <w:rPr>
                <w:noProof/>
                <w:color w:val="333333"/>
                <w:lang w:eastAsia="en-GB"/>
              </w:rPr>
            </w:pPr>
          </w:p>
        </w:tc>
        <w:tc>
          <w:tcPr>
            <w:tcW w:w="1845" w:type="dxa"/>
            <w:tcBorders>
              <w:bottom w:val="single" w:sz="4" w:space="0" w:color="5B9BD5" w:themeColor="accent1"/>
            </w:tcBorders>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val="en-GB" w:eastAsia="en-GB"/>
              </w:rPr>
            </w:pPr>
            <w:r>
              <w:rPr>
                <w:noProof/>
                <w:lang w:val="en-GB"/>
              </w:rPr>
              <w:t>Executive Agency for Small and Medium-sized Enterprises</w:t>
            </w:r>
          </w:p>
        </w:tc>
        <w:tc>
          <w:tcPr>
            <w:tcW w:w="1679" w:type="dxa"/>
            <w:tcBorders>
              <w:bottom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201</w:t>
            </w:r>
            <w:r>
              <w:rPr>
                <w:rFonts w:ascii="Calibri" w:hAnsi="Calibri" w:cs="Calibri"/>
                <w:noProof/>
              </w:rPr>
              <w:t> </w:t>
            </w:r>
            <w:r>
              <w:rPr>
                <w:noProof/>
              </w:rPr>
              <w:t>385.20</w:t>
            </w:r>
          </w:p>
        </w:tc>
        <w:tc>
          <w:tcPr>
            <w:tcW w:w="564" w:type="dxa"/>
            <w:tcBorders>
              <w:bottom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w:t>
            </w:r>
          </w:p>
        </w:tc>
        <w:tc>
          <w:tcPr>
            <w:tcW w:w="1552" w:type="dxa"/>
            <w:tcBorders>
              <w:bottom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201</w:t>
            </w:r>
            <w:r>
              <w:rPr>
                <w:rFonts w:ascii="Calibri" w:hAnsi="Calibri" w:cs="Calibri"/>
                <w:noProof/>
              </w:rPr>
              <w:t> </w:t>
            </w:r>
            <w:r>
              <w:rPr>
                <w:noProof/>
              </w:rPr>
              <w:t>385.20</w:t>
            </w:r>
          </w:p>
        </w:tc>
        <w:tc>
          <w:tcPr>
            <w:tcW w:w="843" w:type="dxa"/>
            <w:tcBorders>
              <w:bottom w:val="single" w:sz="4" w:space="0" w:color="5B9BD5" w:themeColor="accent1"/>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1432" w:type="dxa"/>
            <w:tcBorders>
              <w:bottom w:val="single" w:sz="4" w:space="0" w:color="5B9BD5" w:themeColor="accent1"/>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tcBorders>
              <w:top w:val="single" w:sz="4" w:space="0" w:color="5B9BD5" w:themeColor="accent1"/>
              <w:bottom w:val="single" w:sz="4" w:space="0" w:color="5B9BD5" w:themeColor="accent1"/>
            </w:tcBorders>
            <w:noWrap/>
            <w:hideMark/>
          </w:tcPr>
          <w:p w:rsidR="00311BB8" w:rsidRDefault="00311BB8">
            <w:pPr>
              <w:pStyle w:val="AMPRTABLEA-TextLEFTalligned-BLACK"/>
              <w:rPr>
                <w:noProof/>
                <w:color w:val="333333"/>
                <w:lang w:eastAsia="en-GB"/>
              </w:rPr>
            </w:pPr>
          </w:p>
        </w:tc>
        <w:tc>
          <w:tcPr>
            <w:tcW w:w="1845" w:type="dxa"/>
            <w:tcBorders>
              <w:top w:val="single" w:sz="4" w:space="0" w:color="5B9BD5" w:themeColor="accent1"/>
              <w:bottom w:val="single" w:sz="4" w:space="0" w:color="5B9BD5" w:themeColor="accent1"/>
            </w:tcBorders>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val="en-GB" w:eastAsia="en-GB"/>
              </w:rPr>
            </w:pPr>
            <w:r>
              <w:rPr>
                <w:noProof/>
                <w:lang w:val="en-GB"/>
              </w:rPr>
              <w:t>Innovation and Networks Executive Agency</w:t>
            </w:r>
          </w:p>
        </w:tc>
        <w:tc>
          <w:tcPr>
            <w:tcW w:w="1679" w:type="dxa"/>
            <w:tcBorders>
              <w:top w:val="single" w:sz="4" w:space="0" w:color="5B9BD5" w:themeColor="accent1"/>
              <w:bottom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15</w:t>
            </w:r>
            <w:r>
              <w:rPr>
                <w:rFonts w:ascii="Calibri" w:hAnsi="Calibri" w:cs="Calibri"/>
                <w:noProof/>
              </w:rPr>
              <w:t> </w:t>
            </w:r>
            <w:r>
              <w:rPr>
                <w:noProof/>
              </w:rPr>
              <w:t>551.90</w:t>
            </w:r>
          </w:p>
        </w:tc>
        <w:tc>
          <w:tcPr>
            <w:tcW w:w="564" w:type="dxa"/>
            <w:tcBorders>
              <w:top w:val="single" w:sz="4" w:space="0" w:color="5B9BD5" w:themeColor="accent1"/>
              <w:bottom w:val="single" w:sz="4" w:space="0" w:color="5B9BD5" w:themeColor="accent1"/>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1552" w:type="dxa"/>
            <w:tcBorders>
              <w:top w:val="single" w:sz="4" w:space="0" w:color="5B9BD5" w:themeColor="accent1"/>
              <w:bottom w:val="single" w:sz="4" w:space="0" w:color="5B9BD5" w:themeColor="accent1"/>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p>
        </w:tc>
        <w:tc>
          <w:tcPr>
            <w:tcW w:w="843" w:type="dxa"/>
            <w:tcBorders>
              <w:top w:val="single" w:sz="4" w:space="0" w:color="5B9BD5" w:themeColor="accent1"/>
              <w:bottom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w:t>
            </w:r>
          </w:p>
        </w:tc>
        <w:tc>
          <w:tcPr>
            <w:tcW w:w="1432" w:type="dxa"/>
            <w:tcBorders>
              <w:top w:val="single" w:sz="4" w:space="0" w:color="5B9BD5" w:themeColor="accent1"/>
              <w:bottom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15</w:t>
            </w:r>
            <w:r>
              <w:rPr>
                <w:rFonts w:ascii="Calibri" w:hAnsi="Calibri" w:cs="Calibri"/>
                <w:noProof/>
              </w:rPr>
              <w:t> </w:t>
            </w:r>
            <w:r>
              <w:rPr>
                <w:noProof/>
              </w:rPr>
              <w:t>551.90</w:t>
            </w: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tcBorders>
              <w:top w:val="single" w:sz="4" w:space="0" w:color="5B9BD5" w:themeColor="accent1"/>
            </w:tcBorders>
            <w:noWrap/>
            <w:hideMark/>
          </w:tcPr>
          <w:p w:rsidR="00311BB8" w:rsidRDefault="00311BB8">
            <w:pPr>
              <w:pStyle w:val="AMPRTABLEA-TextLEFTalligned-BLACK"/>
              <w:rPr>
                <w:noProof/>
                <w:color w:val="333333"/>
                <w:lang w:eastAsia="en-GB"/>
              </w:rPr>
            </w:pPr>
          </w:p>
        </w:tc>
        <w:tc>
          <w:tcPr>
            <w:tcW w:w="1845" w:type="dxa"/>
            <w:tcBorders>
              <w:top w:val="single" w:sz="4" w:space="0" w:color="5B9BD5" w:themeColor="accent1"/>
            </w:tcBorders>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val="en-GB" w:eastAsia="en-GB"/>
              </w:rPr>
            </w:pPr>
            <w:r>
              <w:rPr>
                <w:noProof/>
                <w:lang w:val="en-GB"/>
              </w:rPr>
              <w:t>DG Neighbourhood and Enlargement Negotiations</w:t>
            </w:r>
          </w:p>
        </w:tc>
        <w:tc>
          <w:tcPr>
            <w:tcW w:w="1679"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w:t>
            </w:r>
            <w:r>
              <w:rPr>
                <w:rFonts w:ascii="Calibri" w:hAnsi="Calibri" w:cs="Calibri"/>
                <w:noProof/>
              </w:rPr>
              <w:t> </w:t>
            </w:r>
            <w:r>
              <w:rPr>
                <w:noProof/>
              </w:rPr>
              <w:t>251</w:t>
            </w:r>
            <w:r>
              <w:rPr>
                <w:rFonts w:ascii="Calibri" w:hAnsi="Calibri" w:cs="Calibri"/>
                <w:noProof/>
              </w:rPr>
              <w:t> </w:t>
            </w:r>
            <w:r>
              <w:rPr>
                <w:noProof/>
              </w:rPr>
              <w:t>347.08</w:t>
            </w:r>
          </w:p>
        </w:tc>
        <w:tc>
          <w:tcPr>
            <w:tcW w:w="564"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4</w:t>
            </w:r>
          </w:p>
        </w:tc>
        <w:tc>
          <w:tcPr>
            <w:tcW w:w="155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r>
              <w:rPr>
                <w:noProof/>
              </w:rPr>
              <w:t>968</w:t>
            </w:r>
            <w:r>
              <w:rPr>
                <w:rFonts w:ascii="Calibri" w:hAnsi="Calibri" w:cs="Calibri"/>
                <w:noProof/>
              </w:rPr>
              <w:t> </w:t>
            </w:r>
            <w:r>
              <w:rPr>
                <w:noProof/>
              </w:rPr>
              <w:t>680.38</w:t>
            </w:r>
          </w:p>
        </w:tc>
        <w:tc>
          <w:tcPr>
            <w:tcW w:w="843"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18</w:t>
            </w:r>
          </w:p>
        </w:tc>
        <w:tc>
          <w:tcPr>
            <w:tcW w:w="1432" w:type="dxa"/>
            <w:tcBorders>
              <w:top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282</w:t>
            </w:r>
            <w:r>
              <w:rPr>
                <w:rFonts w:ascii="Calibri" w:hAnsi="Calibri" w:cs="Calibri"/>
                <w:noProof/>
              </w:rPr>
              <w:t> </w:t>
            </w:r>
            <w:r>
              <w:rPr>
                <w:noProof/>
              </w:rPr>
              <w:t>666.70</w:t>
            </w: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noWrap/>
            <w:hideMark/>
          </w:tcPr>
          <w:p w:rsidR="00311BB8" w:rsidRDefault="00311BB8">
            <w:pPr>
              <w:pStyle w:val="AMPRTABLEA-TextLEFTalligned-BLACK"/>
              <w:rPr>
                <w:noProof/>
                <w:color w:val="333333"/>
                <w:lang w:eastAsia="en-GB"/>
              </w:rPr>
            </w:pPr>
          </w:p>
        </w:tc>
        <w:tc>
          <w:tcPr>
            <w:tcW w:w="1845" w:type="dxa"/>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val="en-GB" w:eastAsia="en-GB"/>
              </w:rPr>
            </w:pPr>
            <w:r>
              <w:rPr>
                <w:noProof/>
                <w:lang w:val="en-GB"/>
              </w:rPr>
              <w:t>Office for the Administration and Payment of Individual Entitlements</w:t>
            </w:r>
          </w:p>
        </w:tc>
        <w:tc>
          <w:tcPr>
            <w:tcW w:w="16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50</w:t>
            </w:r>
            <w:r>
              <w:rPr>
                <w:rFonts w:ascii="Calibri" w:hAnsi="Calibri" w:cs="Calibri"/>
                <w:noProof/>
              </w:rPr>
              <w:t> </w:t>
            </w:r>
            <w:r>
              <w:rPr>
                <w:noProof/>
              </w:rPr>
              <w:t>275.50</w:t>
            </w:r>
          </w:p>
        </w:tc>
        <w:tc>
          <w:tcPr>
            <w:tcW w:w="564"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1552"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843"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17</w:t>
            </w:r>
          </w:p>
        </w:tc>
        <w:tc>
          <w:tcPr>
            <w:tcW w:w="143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50</w:t>
            </w:r>
            <w:r>
              <w:rPr>
                <w:rFonts w:ascii="Calibri" w:hAnsi="Calibri" w:cs="Calibri"/>
                <w:noProof/>
              </w:rPr>
              <w:t> </w:t>
            </w:r>
            <w:r>
              <w:rPr>
                <w:noProof/>
              </w:rPr>
              <w:t>275.50</w:t>
            </w: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noWrap/>
            <w:hideMark/>
          </w:tcPr>
          <w:p w:rsidR="00311BB8" w:rsidRDefault="00311BB8">
            <w:pPr>
              <w:pStyle w:val="AMPRTABLEA-TextLEFTalligned-BLACK"/>
              <w:rPr>
                <w:noProof/>
                <w:color w:val="333333"/>
                <w:lang w:eastAsia="en-GB"/>
              </w:rPr>
            </w:pPr>
          </w:p>
        </w:tc>
        <w:tc>
          <w:tcPr>
            <w:tcW w:w="1845" w:type="dxa"/>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DG Research and Innovation</w:t>
            </w:r>
          </w:p>
        </w:tc>
        <w:tc>
          <w:tcPr>
            <w:tcW w:w="16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817</w:t>
            </w:r>
            <w:r>
              <w:rPr>
                <w:rFonts w:ascii="Calibri" w:hAnsi="Calibri" w:cs="Calibri"/>
                <w:noProof/>
              </w:rPr>
              <w:t> </w:t>
            </w:r>
            <w:r>
              <w:rPr>
                <w:noProof/>
              </w:rPr>
              <w:t>146.41</w:t>
            </w:r>
          </w:p>
        </w:tc>
        <w:tc>
          <w:tcPr>
            <w:tcW w:w="564"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2</w:t>
            </w:r>
          </w:p>
        </w:tc>
        <w:tc>
          <w:tcPr>
            <w:tcW w:w="155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817</w:t>
            </w:r>
            <w:r>
              <w:rPr>
                <w:rFonts w:ascii="Calibri" w:hAnsi="Calibri" w:cs="Calibri"/>
                <w:noProof/>
              </w:rPr>
              <w:t> </w:t>
            </w:r>
            <w:r>
              <w:rPr>
                <w:noProof/>
              </w:rPr>
              <w:t>146.41</w:t>
            </w:r>
          </w:p>
        </w:tc>
        <w:tc>
          <w:tcPr>
            <w:tcW w:w="843"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1432"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noWrap/>
            <w:hideMark/>
          </w:tcPr>
          <w:p w:rsidR="00311BB8" w:rsidRDefault="00311BB8">
            <w:pPr>
              <w:pStyle w:val="AMPRTABLEA-TextLEFTalligned-BLACK"/>
              <w:rPr>
                <w:noProof/>
                <w:color w:val="333333"/>
                <w:lang w:eastAsia="en-GB"/>
              </w:rPr>
            </w:pPr>
          </w:p>
        </w:tc>
        <w:tc>
          <w:tcPr>
            <w:tcW w:w="1845" w:type="dxa"/>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Legal Service</w:t>
            </w:r>
          </w:p>
        </w:tc>
        <w:tc>
          <w:tcPr>
            <w:tcW w:w="1679"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109</w:t>
            </w:r>
            <w:r>
              <w:rPr>
                <w:rFonts w:ascii="Calibri" w:hAnsi="Calibri" w:cs="Calibri"/>
                <w:noProof/>
              </w:rPr>
              <w:t> </w:t>
            </w:r>
            <w:r>
              <w:rPr>
                <w:noProof/>
              </w:rPr>
              <w:t>455.79</w:t>
            </w:r>
          </w:p>
        </w:tc>
        <w:tc>
          <w:tcPr>
            <w:tcW w:w="564"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1552" w:type="dxa"/>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p>
        </w:tc>
        <w:tc>
          <w:tcPr>
            <w:tcW w:w="843"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10</w:t>
            </w:r>
          </w:p>
        </w:tc>
        <w:tc>
          <w:tcPr>
            <w:tcW w:w="1432" w:type="dxa"/>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109</w:t>
            </w:r>
            <w:r>
              <w:rPr>
                <w:rFonts w:ascii="Calibri" w:hAnsi="Calibri" w:cs="Calibri"/>
                <w:noProof/>
              </w:rPr>
              <w:t> </w:t>
            </w:r>
            <w:r>
              <w:rPr>
                <w:noProof/>
              </w:rPr>
              <w:t>455.79</w:t>
            </w: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tcBorders>
              <w:bottom w:val="single" w:sz="4" w:space="0" w:color="5B9BD5" w:themeColor="accent1"/>
            </w:tcBorders>
            <w:noWrap/>
            <w:hideMark/>
          </w:tcPr>
          <w:p w:rsidR="00311BB8" w:rsidRDefault="00311BB8">
            <w:pPr>
              <w:pStyle w:val="AMPRTABLEA-TextLEFTalligned-BLACK"/>
              <w:rPr>
                <w:noProof/>
                <w:color w:val="333333"/>
                <w:lang w:eastAsia="en-GB"/>
              </w:rPr>
            </w:pPr>
          </w:p>
        </w:tc>
        <w:tc>
          <w:tcPr>
            <w:tcW w:w="1845" w:type="dxa"/>
            <w:tcBorders>
              <w:bottom w:val="single" w:sz="4" w:space="0" w:color="5B9BD5" w:themeColor="accent1"/>
            </w:tcBorders>
            <w:noWrap/>
            <w:hideMark/>
          </w:tcPr>
          <w:p w:rsidR="00311BB8" w:rsidRDefault="00D91061">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DG Structural Reform Support</w:t>
            </w:r>
          </w:p>
        </w:tc>
        <w:tc>
          <w:tcPr>
            <w:tcW w:w="1679" w:type="dxa"/>
            <w:tcBorders>
              <w:bottom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182</w:t>
            </w:r>
            <w:r>
              <w:rPr>
                <w:rFonts w:ascii="Calibri" w:hAnsi="Calibri" w:cs="Calibri"/>
                <w:noProof/>
              </w:rPr>
              <w:t> </w:t>
            </w:r>
            <w:r>
              <w:rPr>
                <w:noProof/>
              </w:rPr>
              <w:t>310.10</w:t>
            </w:r>
          </w:p>
        </w:tc>
        <w:tc>
          <w:tcPr>
            <w:tcW w:w="564" w:type="dxa"/>
            <w:tcBorders>
              <w:bottom w:val="single" w:sz="4" w:space="0" w:color="5B9BD5" w:themeColor="accent1"/>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1552" w:type="dxa"/>
            <w:tcBorders>
              <w:bottom w:val="single" w:sz="4" w:space="0" w:color="5B9BD5" w:themeColor="accent1"/>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p>
        </w:tc>
        <w:tc>
          <w:tcPr>
            <w:tcW w:w="843" w:type="dxa"/>
            <w:tcBorders>
              <w:bottom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16</w:t>
            </w:r>
          </w:p>
        </w:tc>
        <w:tc>
          <w:tcPr>
            <w:tcW w:w="1432" w:type="dxa"/>
            <w:tcBorders>
              <w:bottom w:val="single" w:sz="4" w:space="0" w:color="5B9BD5" w:themeColor="accent1"/>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182</w:t>
            </w:r>
            <w:r>
              <w:rPr>
                <w:rFonts w:ascii="Calibri" w:hAnsi="Calibri" w:cs="Calibri"/>
                <w:noProof/>
              </w:rPr>
              <w:t> </w:t>
            </w:r>
            <w:r>
              <w:rPr>
                <w:noProof/>
              </w:rPr>
              <w:t>310.10</w:t>
            </w: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tcBorders>
              <w:top w:val="single" w:sz="4" w:space="0" w:color="5B9BD5" w:themeColor="accent1"/>
              <w:bottom w:val="nil"/>
            </w:tcBorders>
            <w:shd w:val="clear" w:color="auto" w:fill="DEEAF6" w:themeFill="accent1" w:themeFillTint="33"/>
            <w:noWrap/>
            <w:hideMark/>
          </w:tcPr>
          <w:p w:rsidR="00311BB8" w:rsidRDefault="00311BB8">
            <w:pPr>
              <w:pStyle w:val="AMPRTABLEA-TOTALRIGHTalligned-BLACK"/>
              <w:rPr>
                <w:noProof/>
                <w:lang w:eastAsia="en-GB"/>
              </w:rPr>
            </w:pPr>
          </w:p>
        </w:tc>
        <w:tc>
          <w:tcPr>
            <w:tcW w:w="1845" w:type="dxa"/>
            <w:tcBorders>
              <w:top w:val="single" w:sz="4" w:space="0" w:color="5B9BD5" w:themeColor="accent1"/>
              <w:bottom w:val="nil"/>
            </w:tcBorders>
            <w:shd w:val="clear" w:color="auto" w:fill="DEEAF6" w:themeFill="accent1" w:themeFillTint="33"/>
            <w:noWrap/>
            <w:hideMark/>
          </w:tcPr>
          <w:p w:rsidR="00311BB8" w:rsidRDefault="00311BB8">
            <w:pPr>
              <w:pStyle w:val="AMPRTABLEA-TOTALRIGHTalligned-BLACK"/>
              <w:cnfStyle w:val="000000000000" w:firstRow="0" w:lastRow="0" w:firstColumn="0" w:lastColumn="0" w:oddVBand="0" w:evenVBand="0" w:oddHBand="0" w:evenHBand="0" w:firstRowFirstColumn="0" w:firstRowLastColumn="0" w:lastRowFirstColumn="0" w:lastRowLastColumn="0"/>
              <w:rPr>
                <w:noProof/>
                <w:lang w:eastAsia="en-GB"/>
              </w:rPr>
            </w:pPr>
          </w:p>
        </w:tc>
        <w:tc>
          <w:tcPr>
            <w:tcW w:w="1679" w:type="dxa"/>
            <w:tcBorders>
              <w:top w:val="single" w:sz="4" w:space="0" w:color="5B9BD5" w:themeColor="accent1"/>
              <w:bottom w:val="nil"/>
            </w:tcBorders>
            <w:shd w:val="clear" w:color="auto" w:fill="DEEAF6" w:themeFill="accent1" w:themeFillTint="33"/>
            <w:noWrap/>
            <w:hideMark/>
          </w:tcPr>
          <w:p w:rsidR="00311BB8" w:rsidRDefault="00D91061">
            <w:pPr>
              <w:pStyle w:val="AMPRTABLEA-TOTALRIGHTalligned-BLACK"/>
              <w:cnfStyle w:val="000000000000" w:firstRow="0" w:lastRow="0" w:firstColumn="0" w:lastColumn="0" w:oddVBand="0" w:evenVBand="0" w:oddHBand="0" w:evenHBand="0" w:firstRowFirstColumn="0" w:firstRowLastColumn="0" w:lastRowFirstColumn="0" w:lastRowLastColumn="0"/>
              <w:rPr>
                <w:rStyle w:val="AMPRcharBoldBlue"/>
                <w:b/>
                <w:noProof/>
              </w:rPr>
            </w:pPr>
            <w:r>
              <w:rPr>
                <w:rStyle w:val="AMPRcharBoldBlue"/>
                <w:noProof/>
              </w:rPr>
              <w:t>11</w:t>
            </w:r>
            <w:r>
              <w:rPr>
                <w:rStyle w:val="AMPRcharBoldBlue"/>
                <w:rFonts w:ascii="Calibri" w:hAnsi="Calibri" w:cs="Calibri"/>
                <w:noProof/>
              </w:rPr>
              <w:t> </w:t>
            </w:r>
            <w:r>
              <w:rPr>
                <w:rStyle w:val="AMPRcharBoldBlue"/>
                <w:noProof/>
              </w:rPr>
              <w:t>709</w:t>
            </w:r>
            <w:r>
              <w:rPr>
                <w:rStyle w:val="AMPRcharBoldBlue"/>
                <w:rFonts w:ascii="Calibri" w:hAnsi="Calibri" w:cs="Calibri"/>
                <w:noProof/>
              </w:rPr>
              <w:t> </w:t>
            </w:r>
            <w:r>
              <w:rPr>
                <w:rStyle w:val="AMPRcharBoldBlue"/>
                <w:noProof/>
              </w:rPr>
              <w:t>472.02</w:t>
            </w:r>
          </w:p>
        </w:tc>
        <w:tc>
          <w:tcPr>
            <w:tcW w:w="564" w:type="dxa"/>
            <w:tcBorders>
              <w:top w:val="single" w:sz="4" w:space="0" w:color="5B9BD5" w:themeColor="accent1"/>
              <w:bottom w:val="nil"/>
            </w:tcBorders>
            <w:shd w:val="clear" w:color="auto" w:fill="DEEAF6" w:themeFill="accent1" w:themeFillTint="33"/>
            <w:noWrap/>
            <w:hideMark/>
          </w:tcPr>
          <w:p w:rsidR="00311BB8" w:rsidRDefault="00D91061">
            <w:pPr>
              <w:pStyle w:val="AMPRTABLEA-TOTALRIGHTalligned-BLACK"/>
              <w:cnfStyle w:val="000000000000" w:firstRow="0" w:lastRow="0" w:firstColumn="0" w:lastColumn="0" w:oddVBand="0" w:evenVBand="0" w:oddHBand="0" w:evenHBand="0" w:firstRowFirstColumn="0" w:firstRowLastColumn="0" w:lastRowFirstColumn="0" w:lastRowLastColumn="0"/>
              <w:rPr>
                <w:rStyle w:val="AMPRcharBoldBlue"/>
                <w:b/>
                <w:noProof/>
              </w:rPr>
            </w:pPr>
            <w:r>
              <w:rPr>
                <w:rStyle w:val="AMPRcharBoldBlue"/>
                <w:noProof/>
              </w:rPr>
              <w:t>45</w:t>
            </w:r>
          </w:p>
        </w:tc>
        <w:tc>
          <w:tcPr>
            <w:tcW w:w="1552" w:type="dxa"/>
            <w:tcBorders>
              <w:top w:val="single" w:sz="4" w:space="0" w:color="5B9BD5" w:themeColor="accent1"/>
              <w:bottom w:val="nil"/>
            </w:tcBorders>
            <w:shd w:val="clear" w:color="auto" w:fill="DEEAF6" w:themeFill="accent1" w:themeFillTint="33"/>
            <w:noWrap/>
            <w:hideMark/>
          </w:tcPr>
          <w:p w:rsidR="00311BB8" w:rsidRDefault="00D91061">
            <w:pPr>
              <w:pStyle w:val="AMPRTABLEA-TOTALRIGHTalligned-BLACK"/>
              <w:cnfStyle w:val="000000000000" w:firstRow="0" w:lastRow="0" w:firstColumn="0" w:lastColumn="0" w:oddVBand="0" w:evenVBand="0" w:oddHBand="0" w:evenHBand="0" w:firstRowFirstColumn="0" w:firstRowLastColumn="0" w:lastRowFirstColumn="0" w:lastRowLastColumn="0"/>
              <w:rPr>
                <w:rStyle w:val="AMPRcharBoldBlue"/>
                <w:b/>
                <w:noProof/>
              </w:rPr>
            </w:pPr>
            <w:r>
              <w:rPr>
                <w:rStyle w:val="AMPRcharBoldBlue"/>
                <w:noProof/>
              </w:rPr>
              <w:t>9</w:t>
            </w:r>
            <w:r>
              <w:rPr>
                <w:rStyle w:val="AMPRcharBoldBlue"/>
                <w:rFonts w:ascii="Calibri" w:hAnsi="Calibri" w:cs="Calibri"/>
                <w:noProof/>
              </w:rPr>
              <w:t> </w:t>
            </w:r>
            <w:r>
              <w:rPr>
                <w:rStyle w:val="AMPRcharBoldBlue"/>
                <w:noProof/>
              </w:rPr>
              <w:t>399</w:t>
            </w:r>
            <w:r>
              <w:rPr>
                <w:rStyle w:val="AMPRcharBoldBlue"/>
                <w:rFonts w:ascii="Calibri" w:hAnsi="Calibri" w:cs="Calibri"/>
                <w:noProof/>
              </w:rPr>
              <w:t> </w:t>
            </w:r>
            <w:r>
              <w:rPr>
                <w:rStyle w:val="AMPRcharBoldBlue"/>
                <w:noProof/>
              </w:rPr>
              <w:t>371.31</w:t>
            </w:r>
          </w:p>
        </w:tc>
        <w:tc>
          <w:tcPr>
            <w:tcW w:w="843" w:type="dxa"/>
            <w:tcBorders>
              <w:top w:val="single" w:sz="4" w:space="0" w:color="5B9BD5" w:themeColor="accent1"/>
              <w:bottom w:val="nil"/>
            </w:tcBorders>
            <w:shd w:val="clear" w:color="auto" w:fill="DEEAF6" w:themeFill="accent1" w:themeFillTint="33"/>
            <w:noWrap/>
            <w:hideMark/>
          </w:tcPr>
          <w:p w:rsidR="00311BB8" w:rsidRDefault="00D91061">
            <w:pPr>
              <w:pStyle w:val="AMPRTABLEA-TOTALRIGHTalligned-BLACK"/>
              <w:cnfStyle w:val="000000000000" w:firstRow="0" w:lastRow="0" w:firstColumn="0" w:lastColumn="0" w:oddVBand="0" w:evenVBand="0" w:oddHBand="0" w:evenHBand="0" w:firstRowFirstColumn="0" w:firstRowLastColumn="0" w:lastRowFirstColumn="0" w:lastRowLastColumn="0"/>
              <w:rPr>
                <w:rStyle w:val="AMPRcharBoldBlue"/>
                <w:b/>
                <w:noProof/>
              </w:rPr>
            </w:pPr>
            <w:r>
              <w:rPr>
                <w:rStyle w:val="AMPRcharBoldBlue"/>
                <w:noProof/>
              </w:rPr>
              <w:t>146</w:t>
            </w:r>
          </w:p>
        </w:tc>
        <w:tc>
          <w:tcPr>
            <w:tcW w:w="1432" w:type="dxa"/>
            <w:tcBorders>
              <w:top w:val="single" w:sz="4" w:space="0" w:color="5B9BD5" w:themeColor="accent1"/>
              <w:bottom w:val="nil"/>
            </w:tcBorders>
            <w:shd w:val="clear" w:color="auto" w:fill="DEEAF6" w:themeFill="accent1" w:themeFillTint="33"/>
            <w:noWrap/>
            <w:hideMark/>
          </w:tcPr>
          <w:p w:rsidR="00311BB8" w:rsidRDefault="00D91061">
            <w:pPr>
              <w:pStyle w:val="AMPRTABLEA-TOTALRIGHTalligned-BLACK"/>
              <w:cnfStyle w:val="000000000000" w:firstRow="0" w:lastRow="0" w:firstColumn="0" w:lastColumn="0" w:oddVBand="0" w:evenVBand="0" w:oddHBand="0" w:evenHBand="0" w:firstRowFirstColumn="0" w:firstRowLastColumn="0" w:lastRowFirstColumn="0" w:lastRowLastColumn="0"/>
              <w:rPr>
                <w:rStyle w:val="AMPRcharBoldBlue"/>
                <w:b/>
                <w:noProof/>
              </w:rPr>
            </w:pPr>
            <w:r>
              <w:rPr>
                <w:rStyle w:val="AMPRcharBoldBlue"/>
                <w:noProof/>
              </w:rPr>
              <w:t>2</w:t>
            </w:r>
            <w:r>
              <w:rPr>
                <w:rStyle w:val="AMPRcharBoldBlue"/>
                <w:rFonts w:ascii="Calibri" w:hAnsi="Calibri" w:cs="Calibri"/>
                <w:noProof/>
              </w:rPr>
              <w:t> </w:t>
            </w:r>
            <w:r>
              <w:rPr>
                <w:rStyle w:val="AMPRcharBoldBlue"/>
                <w:noProof/>
              </w:rPr>
              <w:t>310</w:t>
            </w:r>
            <w:r>
              <w:rPr>
                <w:rStyle w:val="AMPRcharBoldBlue"/>
                <w:rFonts w:ascii="Calibri" w:hAnsi="Calibri" w:cs="Calibri"/>
                <w:noProof/>
              </w:rPr>
              <w:t> </w:t>
            </w:r>
            <w:r>
              <w:rPr>
                <w:rStyle w:val="AMPRcharBoldBlue"/>
                <w:noProof/>
              </w:rPr>
              <w:t>100.71</w:t>
            </w:r>
          </w:p>
        </w:tc>
      </w:tr>
      <w:tr w:rsidR="00311BB8" w:rsidTr="00311BB8">
        <w:trPr>
          <w:trHeight w:val="455"/>
        </w:trPr>
        <w:tc>
          <w:tcPr>
            <w:cnfStyle w:val="001000000000" w:firstRow="0" w:lastRow="0" w:firstColumn="1" w:lastColumn="0" w:oddVBand="0" w:evenVBand="0" w:oddHBand="0" w:evenHBand="0" w:firstRowFirstColumn="0" w:firstRowLastColumn="0" w:lastRowFirstColumn="0" w:lastRowLastColumn="0"/>
            <w:tcW w:w="1371" w:type="dxa"/>
            <w:tcBorders>
              <w:top w:val="nil"/>
              <w:bottom w:val="nil"/>
              <w:right w:val="single" w:sz="4" w:space="0" w:color="FFFFFF" w:themeColor="background1"/>
            </w:tcBorders>
            <w:shd w:val="clear" w:color="auto" w:fill="44546A" w:themeFill="text2"/>
            <w:noWrap/>
            <w:hideMark/>
          </w:tcPr>
          <w:p w:rsidR="00311BB8" w:rsidRDefault="00D91061">
            <w:pPr>
              <w:pStyle w:val="AMPRTABLEA-HEADERText-WHITE"/>
              <w:rPr>
                <w:noProof/>
                <w:szCs w:val="18"/>
                <w:lang w:eastAsia="en-GB"/>
              </w:rPr>
            </w:pPr>
            <w:r>
              <w:rPr>
                <w:noProof/>
              </w:rPr>
              <w:t>European Development Fund</w:t>
            </w:r>
          </w:p>
        </w:tc>
        <w:tc>
          <w:tcPr>
            <w:tcW w:w="1845" w:type="dxa"/>
            <w:tcBorders>
              <w:top w:val="nil"/>
              <w:left w:val="single" w:sz="4" w:space="0" w:color="FFFFFF" w:themeColor="background1"/>
              <w:bottom w:val="nil"/>
              <w:right w:val="single" w:sz="4" w:space="0" w:color="FFFFFF" w:themeColor="background1"/>
            </w:tcBorders>
            <w:shd w:val="clear" w:color="auto" w:fill="44546A" w:themeFill="text2"/>
            <w:noWrap/>
            <w:hideMark/>
          </w:tcPr>
          <w:p w:rsidR="00311BB8" w:rsidRDefault="00311BB8">
            <w:pPr>
              <w:pStyle w:val="AMPRTABLEA-HEADERText-WHITE"/>
              <w:cnfStyle w:val="000000000000" w:firstRow="0" w:lastRow="0" w:firstColumn="0" w:lastColumn="0" w:oddVBand="0" w:evenVBand="0" w:oddHBand="0" w:evenHBand="0" w:firstRowFirstColumn="0" w:firstRowLastColumn="0" w:lastRowFirstColumn="0" w:lastRowLastColumn="0"/>
              <w:rPr>
                <w:noProof/>
                <w:szCs w:val="18"/>
                <w:lang w:eastAsia="en-GB"/>
              </w:rPr>
            </w:pPr>
          </w:p>
        </w:tc>
        <w:tc>
          <w:tcPr>
            <w:tcW w:w="1679" w:type="dxa"/>
            <w:tcBorders>
              <w:top w:val="nil"/>
              <w:left w:val="single" w:sz="4" w:space="0" w:color="FFFFFF" w:themeColor="background1"/>
              <w:bottom w:val="nil"/>
              <w:right w:val="single" w:sz="4" w:space="0" w:color="FFFFFF" w:themeColor="background1"/>
            </w:tcBorders>
            <w:shd w:val="clear" w:color="auto" w:fill="44546A" w:themeFill="text2"/>
            <w:noWrap/>
            <w:hideMark/>
          </w:tcPr>
          <w:p w:rsidR="00311BB8" w:rsidRDefault="00D91061">
            <w:pPr>
              <w:pStyle w:val="AMPRTABLEA-HEADERText-WHITE"/>
              <w:cnfStyle w:val="000000000000" w:firstRow="0" w:lastRow="0" w:firstColumn="0" w:lastColumn="0" w:oddVBand="0" w:evenVBand="0" w:oddHBand="0" w:evenHBand="0" w:firstRowFirstColumn="0" w:firstRowLastColumn="0" w:lastRowFirstColumn="0" w:lastRowLastColumn="0"/>
              <w:rPr>
                <w:noProof/>
                <w:szCs w:val="18"/>
                <w:lang w:val="en-GB" w:eastAsia="en-GB"/>
              </w:rPr>
            </w:pPr>
            <w:r>
              <w:rPr>
                <w:noProof/>
                <w:lang w:val="en-GB"/>
              </w:rPr>
              <w:t>Total value of waivers (EUR)</w:t>
            </w:r>
          </w:p>
        </w:tc>
        <w:tc>
          <w:tcPr>
            <w:tcW w:w="2116" w:type="dxa"/>
            <w:gridSpan w:val="2"/>
            <w:tcBorders>
              <w:top w:val="nil"/>
              <w:left w:val="single" w:sz="4" w:space="0" w:color="FFFFFF" w:themeColor="background1"/>
              <w:bottom w:val="nil"/>
              <w:right w:val="single" w:sz="4" w:space="0" w:color="FFFFFF" w:themeColor="background1"/>
            </w:tcBorders>
            <w:shd w:val="clear" w:color="auto" w:fill="44546A" w:themeFill="text2"/>
            <w:noWrap/>
            <w:hideMark/>
          </w:tcPr>
          <w:p w:rsidR="00311BB8" w:rsidRDefault="00D91061">
            <w:pPr>
              <w:pStyle w:val="AMPRTABLEA-HEADERText-WHITE"/>
              <w:cnfStyle w:val="000000000000" w:firstRow="0" w:lastRow="0" w:firstColumn="0" w:lastColumn="0" w:oddVBand="0" w:evenVBand="0" w:oddHBand="0" w:evenHBand="0" w:firstRowFirstColumn="0" w:firstRowLastColumn="0" w:lastRowFirstColumn="0" w:lastRowLastColumn="0"/>
              <w:rPr>
                <w:noProof/>
                <w:szCs w:val="18"/>
                <w:lang w:val="en-GB" w:eastAsia="en-GB"/>
              </w:rPr>
            </w:pPr>
            <w:r>
              <w:rPr>
                <w:noProof/>
                <w:lang w:val="en-GB"/>
              </w:rPr>
              <w:t>Number (left) and value (right, EUR) of waivers above EUR</w:t>
            </w:r>
            <w:r>
              <w:rPr>
                <w:rFonts w:ascii="Calibri" w:hAnsi="Calibri" w:cs="Calibri"/>
                <w:noProof/>
                <w:lang w:val="en-GB"/>
              </w:rPr>
              <w:t> </w:t>
            </w:r>
            <w:r>
              <w:rPr>
                <w:noProof/>
                <w:lang w:val="en-GB"/>
              </w:rPr>
              <w:t>60</w:t>
            </w:r>
            <w:r>
              <w:rPr>
                <w:rFonts w:ascii="Calibri" w:hAnsi="Calibri" w:cs="Calibri"/>
                <w:noProof/>
                <w:lang w:val="en-GB"/>
              </w:rPr>
              <w:t> </w:t>
            </w:r>
            <w:r>
              <w:rPr>
                <w:noProof/>
                <w:lang w:val="en-GB"/>
              </w:rPr>
              <w:t>000</w:t>
            </w:r>
          </w:p>
        </w:tc>
        <w:tc>
          <w:tcPr>
            <w:tcW w:w="2275" w:type="dxa"/>
            <w:gridSpan w:val="2"/>
            <w:tcBorders>
              <w:top w:val="nil"/>
              <w:left w:val="single" w:sz="4" w:space="0" w:color="FFFFFF" w:themeColor="background1"/>
              <w:bottom w:val="nil"/>
            </w:tcBorders>
            <w:shd w:val="clear" w:color="auto" w:fill="44546A" w:themeFill="text2"/>
            <w:noWrap/>
            <w:hideMark/>
          </w:tcPr>
          <w:p w:rsidR="00311BB8" w:rsidRDefault="00D91061">
            <w:pPr>
              <w:pStyle w:val="AMPRTABLEA-HEADERText-WHITE"/>
              <w:cnfStyle w:val="000000000000" w:firstRow="0" w:lastRow="0" w:firstColumn="0" w:lastColumn="0" w:oddVBand="0" w:evenVBand="0" w:oddHBand="0" w:evenHBand="0" w:firstRowFirstColumn="0" w:firstRowLastColumn="0" w:lastRowFirstColumn="0" w:lastRowLastColumn="0"/>
              <w:rPr>
                <w:noProof/>
                <w:szCs w:val="18"/>
                <w:lang w:val="en-GB" w:eastAsia="en-GB"/>
              </w:rPr>
            </w:pPr>
            <w:r>
              <w:rPr>
                <w:noProof/>
                <w:lang w:val="en-GB"/>
              </w:rPr>
              <w:t>Number (left) and value (right, EUR) of waivers below EUR</w:t>
            </w:r>
            <w:r>
              <w:rPr>
                <w:rFonts w:ascii="Calibri" w:hAnsi="Calibri" w:cs="Calibri"/>
                <w:noProof/>
                <w:lang w:val="en-GB"/>
              </w:rPr>
              <w:t> </w:t>
            </w:r>
            <w:r>
              <w:rPr>
                <w:noProof/>
                <w:lang w:val="en-GB"/>
              </w:rPr>
              <w:t>60</w:t>
            </w:r>
            <w:r>
              <w:rPr>
                <w:rFonts w:ascii="Calibri" w:hAnsi="Calibri" w:cs="Calibri"/>
                <w:noProof/>
                <w:lang w:val="en-GB"/>
              </w:rPr>
              <w:t> </w:t>
            </w:r>
            <w:r>
              <w:rPr>
                <w:noProof/>
                <w:lang w:val="en-GB"/>
              </w:rPr>
              <w:t>000</w:t>
            </w: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tcBorders>
              <w:top w:val="nil"/>
            </w:tcBorders>
            <w:noWrap/>
            <w:hideMark/>
          </w:tcPr>
          <w:p w:rsidR="00311BB8" w:rsidRDefault="00D91061">
            <w:pPr>
              <w:pStyle w:val="AMPRTABLEA-TextLEFTalligned-BLACK"/>
              <w:rPr>
                <w:noProof/>
                <w:color w:val="333333"/>
                <w:lang w:eastAsia="en-GB"/>
              </w:rPr>
            </w:pPr>
            <w:r>
              <w:rPr>
                <w:noProof/>
                <w:color w:val="333333"/>
                <w:lang w:eastAsia="en-GB"/>
              </w:rPr>
              <w:t>European Development Fund</w:t>
            </w:r>
          </w:p>
        </w:tc>
        <w:tc>
          <w:tcPr>
            <w:tcW w:w="1845" w:type="dxa"/>
            <w:tcBorders>
              <w:top w:val="nil"/>
            </w:tcBorders>
            <w:noWrap/>
            <w:hideMark/>
          </w:tcPr>
          <w:p w:rsidR="00311BB8" w:rsidRDefault="00311BB8">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1679"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3</w:t>
            </w:r>
            <w:r>
              <w:rPr>
                <w:rFonts w:ascii="Calibri" w:hAnsi="Calibri" w:cs="Calibri"/>
                <w:noProof/>
              </w:rPr>
              <w:t> </w:t>
            </w:r>
            <w:r>
              <w:rPr>
                <w:noProof/>
              </w:rPr>
              <w:t>001</w:t>
            </w:r>
            <w:r>
              <w:rPr>
                <w:rFonts w:ascii="Calibri" w:hAnsi="Calibri" w:cs="Calibri"/>
                <w:noProof/>
              </w:rPr>
              <w:t> </w:t>
            </w:r>
            <w:r>
              <w:rPr>
                <w:noProof/>
              </w:rPr>
              <w:t>628.61</w:t>
            </w:r>
          </w:p>
        </w:tc>
        <w:tc>
          <w:tcPr>
            <w:tcW w:w="564"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5</w:t>
            </w:r>
          </w:p>
        </w:tc>
        <w:tc>
          <w:tcPr>
            <w:tcW w:w="1552"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2</w:t>
            </w:r>
            <w:r>
              <w:rPr>
                <w:rFonts w:ascii="Calibri" w:hAnsi="Calibri" w:cs="Calibri"/>
                <w:noProof/>
              </w:rPr>
              <w:t> </w:t>
            </w:r>
            <w:r>
              <w:rPr>
                <w:noProof/>
              </w:rPr>
              <w:t>940</w:t>
            </w:r>
            <w:r>
              <w:rPr>
                <w:rFonts w:ascii="Calibri" w:hAnsi="Calibri" w:cs="Calibri"/>
                <w:noProof/>
              </w:rPr>
              <w:t> </w:t>
            </w:r>
            <w:r>
              <w:rPr>
                <w:noProof/>
              </w:rPr>
              <w:t>684.44</w:t>
            </w:r>
          </w:p>
        </w:tc>
        <w:tc>
          <w:tcPr>
            <w:tcW w:w="843"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5</w:t>
            </w:r>
          </w:p>
        </w:tc>
        <w:tc>
          <w:tcPr>
            <w:tcW w:w="1432"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60</w:t>
            </w:r>
            <w:r>
              <w:rPr>
                <w:rFonts w:ascii="Calibri" w:hAnsi="Calibri" w:cs="Calibri"/>
                <w:noProof/>
              </w:rPr>
              <w:t> </w:t>
            </w:r>
            <w:r>
              <w:rPr>
                <w:noProof/>
              </w:rPr>
              <w:t>944.17</w:t>
            </w:r>
          </w:p>
        </w:tc>
      </w:tr>
      <w:tr w:rsidR="00311BB8" w:rsidTr="00311BB8">
        <w:trPr>
          <w:trHeight w:val="210"/>
        </w:trPr>
        <w:tc>
          <w:tcPr>
            <w:cnfStyle w:val="001000000000" w:firstRow="0" w:lastRow="0" w:firstColumn="1" w:lastColumn="0" w:oddVBand="0" w:evenVBand="0" w:oddHBand="0" w:evenHBand="0" w:firstRowFirstColumn="0" w:firstRowLastColumn="0" w:lastRowFirstColumn="0" w:lastRowLastColumn="0"/>
            <w:tcW w:w="1371" w:type="dxa"/>
            <w:tcBorders>
              <w:bottom w:val="nil"/>
            </w:tcBorders>
            <w:noWrap/>
            <w:hideMark/>
          </w:tcPr>
          <w:p w:rsidR="00311BB8" w:rsidRDefault="00311BB8">
            <w:pPr>
              <w:pStyle w:val="AMPRTABLEA-TextLEFTalligned-BLACK"/>
              <w:rPr>
                <w:noProof/>
                <w:color w:val="333333"/>
                <w:lang w:eastAsia="en-GB"/>
              </w:rPr>
            </w:pPr>
          </w:p>
        </w:tc>
        <w:tc>
          <w:tcPr>
            <w:tcW w:w="1845" w:type="dxa"/>
            <w:tcBorders>
              <w:bottom w:val="nil"/>
            </w:tcBorders>
            <w:noWrap/>
            <w:hideMark/>
          </w:tcPr>
          <w:p w:rsidR="00311BB8" w:rsidRDefault="00311BB8">
            <w:pPr>
              <w:pStyle w:val="AMPRTABLEA-TextLEF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p>
        </w:tc>
        <w:tc>
          <w:tcPr>
            <w:tcW w:w="1679" w:type="dxa"/>
            <w:tcBorders>
              <w:bottom w:val="nil"/>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p>
        </w:tc>
        <w:tc>
          <w:tcPr>
            <w:tcW w:w="564" w:type="dxa"/>
            <w:tcBorders>
              <w:bottom w:val="nil"/>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p>
        </w:tc>
        <w:tc>
          <w:tcPr>
            <w:tcW w:w="1552" w:type="dxa"/>
            <w:tcBorders>
              <w:bottom w:val="nil"/>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p>
        </w:tc>
        <w:tc>
          <w:tcPr>
            <w:tcW w:w="843" w:type="dxa"/>
            <w:tcBorders>
              <w:bottom w:val="nil"/>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p>
        </w:tc>
        <w:tc>
          <w:tcPr>
            <w:tcW w:w="1432" w:type="dxa"/>
            <w:tcBorders>
              <w:bottom w:val="nil"/>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p>
        </w:tc>
      </w:tr>
      <w:tr w:rsidR="00311BB8" w:rsidTr="00311BB8">
        <w:trPr>
          <w:trHeight w:val="455"/>
        </w:trPr>
        <w:tc>
          <w:tcPr>
            <w:cnfStyle w:val="001000000000" w:firstRow="0" w:lastRow="0" w:firstColumn="1" w:lastColumn="0" w:oddVBand="0" w:evenVBand="0" w:oddHBand="0" w:evenHBand="0" w:firstRowFirstColumn="0" w:firstRowLastColumn="0" w:lastRowFirstColumn="0" w:lastRowLastColumn="0"/>
            <w:tcW w:w="1371" w:type="dxa"/>
            <w:tcBorders>
              <w:top w:val="nil"/>
              <w:bottom w:val="nil"/>
              <w:right w:val="single" w:sz="4" w:space="0" w:color="FFFFFF" w:themeColor="background1"/>
            </w:tcBorders>
            <w:shd w:val="clear" w:color="auto" w:fill="44546A" w:themeFill="text2"/>
            <w:noWrap/>
            <w:hideMark/>
          </w:tcPr>
          <w:p w:rsidR="00311BB8" w:rsidRDefault="00D91061">
            <w:pPr>
              <w:pStyle w:val="AMPRTABLEA-HEADERText-WHITE"/>
              <w:rPr>
                <w:noProof/>
                <w:szCs w:val="18"/>
                <w:lang w:eastAsia="en-GB"/>
              </w:rPr>
            </w:pPr>
            <w:r>
              <w:rPr>
                <w:noProof/>
              </w:rPr>
              <w:t>Guarantee Funds</w:t>
            </w:r>
          </w:p>
        </w:tc>
        <w:tc>
          <w:tcPr>
            <w:tcW w:w="1845" w:type="dxa"/>
            <w:tcBorders>
              <w:top w:val="nil"/>
              <w:left w:val="single" w:sz="4" w:space="0" w:color="FFFFFF" w:themeColor="background1"/>
              <w:bottom w:val="nil"/>
              <w:right w:val="single" w:sz="4" w:space="0" w:color="FFFFFF" w:themeColor="background1"/>
            </w:tcBorders>
            <w:shd w:val="clear" w:color="auto" w:fill="44546A" w:themeFill="text2"/>
            <w:noWrap/>
            <w:hideMark/>
          </w:tcPr>
          <w:p w:rsidR="00311BB8" w:rsidRDefault="00311BB8">
            <w:pPr>
              <w:pStyle w:val="AMPRTABLEA-HEADERText-WHITE"/>
              <w:cnfStyle w:val="000000000000" w:firstRow="0" w:lastRow="0" w:firstColumn="0" w:lastColumn="0" w:oddVBand="0" w:evenVBand="0" w:oddHBand="0" w:evenHBand="0" w:firstRowFirstColumn="0" w:firstRowLastColumn="0" w:lastRowFirstColumn="0" w:lastRowLastColumn="0"/>
              <w:rPr>
                <w:noProof/>
                <w:szCs w:val="18"/>
                <w:lang w:eastAsia="en-GB"/>
              </w:rPr>
            </w:pPr>
          </w:p>
        </w:tc>
        <w:tc>
          <w:tcPr>
            <w:tcW w:w="1679" w:type="dxa"/>
            <w:tcBorders>
              <w:top w:val="nil"/>
              <w:left w:val="single" w:sz="4" w:space="0" w:color="FFFFFF" w:themeColor="background1"/>
              <w:bottom w:val="nil"/>
              <w:right w:val="single" w:sz="4" w:space="0" w:color="FFFFFF" w:themeColor="background1"/>
            </w:tcBorders>
            <w:shd w:val="clear" w:color="auto" w:fill="44546A" w:themeFill="text2"/>
            <w:noWrap/>
            <w:hideMark/>
          </w:tcPr>
          <w:p w:rsidR="00311BB8" w:rsidRDefault="00D91061">
            <w:pPr>
              <w:pStyle w:val="AMPRTABLEA-HEADERText-WHITE"/>
              <w:cnfStyle w:val="000000000000" w:firstRow="0" w:lastRow="0" w:firstColumn="0" w:lastColumn="0" w:oddVBand="0" w:evenVBand="0" w:oddHBand="0" w:evenHBand="0" w:firstRowFirstColumn="0" w:firstRowLastColumn="0" w:lastRowFirstColumn="0" w:lastRowLastColumn="0"/>
              <w:rPr>
                <w:noProof/>
                <w:szCs w:val="18"/>
                <w:lang w:val="en-GB" w:eastAsia="en-GB"/>
              </w:rPr>
            </w:pPr>
            <w:r>
              <w:rPr>
                <w:noProof/>
                <w:lang w:val="en-GB"/>
              </w:rPr>
              <w:t>Total value of waivers (EUR)</w:t>
            </w:r>
          </w:p>
        </w:tc>
        <w:tc>
          <w:tcPr>
            <w:tcW w:w="2116" w:type="dxa"/>
            <w:gridSpan w:val="2"/>
            <w:tcBorders>
              <w:top w:val="nil"/>
              <w:left w:val="single" w:sz="4" w:space="0" w:color="FFFFFF" w:themeColor="background1"/>
              <w:bottom w:val="nil"/>
              <w:right w:val="single" w:sz="4" w:space="0" w:color="FFFFFF" w:themeColor="background1"/>
            </w:tcBorders>
            <w:shd w:val="clear" w:color="auto" w:fill="44546A" w:themeFill="text2"/>
            <w:noWrap/>
            <w:hideMark/>
          </w:tcPr>
          <w:p w:rsidR="00311BB8" w:rsidRDefault="00D91061">
            <w:pPr>
              <w:pStyle w:val="AMPRTABLEA-HEADERText-WHITE"/>
              <w:cnfStyle w:val="000000000000" w:firstRow="0" w:lastRow="0" w:firstColumn="0" w:lastColumn="0" w:oddVBand="0" w:evenVBand="0" w:oddHBand="0" w:evenHBand="0" w:firstRowFirstColumn="0" w:firstRowLastColumn="0" w:lastRowFirstColumn="0" w:lastRowLastColumn="0"/>
              <w:rPr>
                <w:noProof/>
                <w:szCs w:val="18"/>
                <w:lang w:val="en-GB" w:eastAsia="en-GB"/>
              </w:rPr>
            </w:pPr>
            <w:r>
              <w:rPr>
                <w:noProof/>
                <w:lang w:val="en-GB"/>
              </w:rPr>
              <w:t>Number (left) and value (right, EUR) of waivers above EUR</w:t>
            </w:r>
            <w:r>
              <w:rPr>
                <w:rFonts w:ascii="Calibri" w:hAnsi="Calibri" w:cs="Calibri"/>
                <w:noProof/>
                <w:lang w:val="en-GB"/>
              </w:rPr>
              <w:t> </w:t>
            </w:r>
            <w:r>
              <w:rPr>
                <w:noProof/>
                <w:lang w:val="en-GB"/>
              </w:rPr>
              <w:t>60</w:t>
            </w:r>
            <w:r>
              <w:rPr>
                <w:rFonts w:ascii="Calibri" w:hAnsi="Calibri" w:cs="Calibri"/>
                <w:noProof/>
                <w:lang w:val="en-GB"/>
              </w:rPr>
              <w:t> </w:t>
            </w:r>
            <w:r>
              <w:rPr>
                <w:noProof/>
                <w:lang w:val="en-GB"/>
              </w:rPr>
              <w:t>000</w:t>
            </w:r>
          </w:p>
        </w:tc>
        <w:tc>
          <w:tcPr>
            <w:tcW w:w="2275" w:type="dxa"/>
            <w:gridSpan w:val="2"/>
            <w:tcBorders>
              <w:top w:val="nil"/>
              <w:left w:val="single" w:sz="4" w:space="0" w:color="FFFFFF" w:themeColor="background1"/>
              <w:bottom w:val="nil"/>
            </w:tcBorders>
            <w:shd w:val="clear" w:color="auto" w:fill="44546A" w:themeFill="text2"/>
            <w:noWrap/>
            <w:hideMark/>
          </w:tcPr>
          <w:p w:rsidR="00311BB8" w:rsidRDefault="00D91061">
            <w:pPr>
              <w:pStyle w:val="AMPRTABLEA-HEADERText-WHITE"/>
              <w:cnfStyle w:val="000000000000" w:firstRow="0" w:lastRow="0" w:firstColumn="0" w:lastColumn="0" w:oddVBand="0" w:evenVBand="0" w:oddHBand="0" w:evenHBand="0" w:firstRowFirstColumn="0" w:firstRowLastColumn="0" w:lastRowFirstColumn="0" w:lastRowLastColumn="0"/>
              <w:rPr>
                <w:noProof/>
                <w:szCs w:val="18"/>
                <w:lang w:val="en-GB" w:eastAsia="en-GB"/>
              </w:rPr>
            </w:pPr>
            <w:r>
              <w:rPr>
                <w:noProof/>
                <w:lang w:val="en-GB"/>
              </w:rPr>
              <w:t>Number (left) and value (right, EUR) of waivers below EUR</w:t>
            </w:r>
            <w:r>
              <w:rPr>
                <w:rFonts w:ascii="Calibri" w:hAnsi="Calibri" w:cs="Calibri"/>
                <w:noProof/>
                <w:lang w:val="en-GB"/>
              </w:rPr>
              <w:t> </w:t>
            </w:r>
            <w:r>
              <w:rPr>
                <w:noProof/>
                <w:lang w:val="en-GB"/>
              </w:rPr>
              <w:t>60</w:t>
            </w:r>
            <w:r>
              <w:rPr>
                <w:rFonts w:ascii="Calibri" w:hAnsi="Calibri" w:cs="Calibri"/>
                <w:noProof/>
                <w:lang w:val="en-GB"/>
              </w:rPr>
              <w:t> </w:t>
            </w:r>
            <w:r>
              <w:rPr>
                <w:noProof/>
                <w:lang w:val="en-GB"/>
              </w:rPr>
              <w:t>000</w:t>
            </w: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tcBorders>
              <w:top w:val="nil"/>
            </w:tcBorders>
            <w:noWrap/>
            <w:hideMark/>
          </w:tcPr>
          <w:p w:rsidR="00311BB8" w:rsidRDefault="00D91061">
            <w:pPr>
              <w:pStyle w:val="AMPRTABLEA-TextLEFTalligned-BLACK"/>
              <w:rPr>
                <w:noProof/>
                <w:color w:val="333333"/>
                <w:lang w:eastAsia="en-GB"/>
              </w:rPr>
            </w:pPr>
            <w:r>
              <w:rPr>
                <w:noProof/>
                <w:color w:val="333333"/>
                <w:lang w:eastAsia="en-GB"/>
              </w:rPr>
              <w:t>Guarantee Funds</w:t>
            </w:r>
          </w:p>
        </w:tc>
        <w:tc>
          <w:tcPr>
            <w:tcW w:w="1845" w:type="dxa"/>
            <w:tcBorders>
              <w:top w:val="nil"/>
            </w:tcBorders>
            <w:noWrap/>
            <w:hideMark/>
          </w:tcPr>
          <w:p w:rsidR="00311BB8" w:rsidRDefault="00311BB8">
            <w:pPr>
              <w:pStyle w:val="AMPRTABLEA-TextLEF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p>
        </w:tc>
        <w:tc>
          <w:tcPr>
            <w:tcW w:w="1679"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3</w:t>
            </w:r>
            <w:r>
              <w:rPr>
                <w:rFonts w:ascii="Calibri" w:hAnsi="Calibri" w:cs="Calibri"/>
                <w:noProof/>
              </w:rPr>
              <w:t> </w:t>
            </w:r>
            <w:r>
              <w:rPr>
                <w:noProof/>
              </w:rPr>
              <w:t>322</w:t>
            </w:r>
            <w:r>
              <w:rPr>
                <w:rFonts w:ascii="Calibri" w:hAnsi="Calibri" w:cs="Calibri"/>
                <w:noProof/>
              </w:rPr>
              <w:t> </w:t>
            </w:r>
            <w:r>
              <w:rPr>
                <w:noProof/>
              </w:rPr>
              <w:t>191.54</w:t>
            </w:r>
          </w:p>
        </w:tc>
        <w:tc>
          <w:tcPr>
            <w:tcW w:w="564"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17</w:t>
            </w:r>
          </w:p>
        </w:tc>
        <w:tc>
          <w:tcPr>
            <w:tcW w:w="1552"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2</w:t>
            </w:r>
            <w:r>
              <w:rPr>
                <w:rFonts w:ascii="Calibri" w:hAnsi="Calibri" w:cs="Calibri"/>
                <w:noProof/>
              </w:rPr>
              <w:t> </w:t>
            </w:r>
            <w:r>
              <w:rPr>
                <w:noProof/>
              </w:rPr>
              <w:t>250</w:t>
            </w:r>
            <w:r>
              <w:rPr>
                <w:rFonts w:ascii="Calibri" w:hAnsi="Calibri" w:cs="Calibri"/>
                <w:noProof/>
              </w:rPr>
              <w:t> </w:t>
            </w:r>
            <w:r>
              <w:rPr>
                <w:noProof/>
              </w:rPr>
              <w:t>996.75</w:t>
            </w:r>
          </w:p>
        </w:tc>
        <w:tc>
          <w:tcPr>
            <w:tcW w:w="843"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47</w:t>
            </w:r>
          </w:p>
        </w:tc>
        <w:tc>
          <w:tcPr>
            <w:tcW w:w="1432" w:type="dxa"/>
            <w:tcBorders>
              <w:top w:val="nil"/>
            </w:tcBorders>
            <w:noWrap/>
            <w:hideMark/>
          </w:tcPr>
          <w:p w:rsidR="00311BB8" w:rsidRDefault="00D91061">
            <w:pPr>
              <w:pStyle w:val="AMPRTABLEA-TextRIGHTalligned-BLACK"/>
              <w:cnfStyle w:val="000000000000" w:firstRow="0" w:lastRow="0" w:firstColumn="0" w:lastColumn="0" w:oddVBand="0" w:evenVBand="0" w:oddHBand="0" w:evenHBand="0" w:firstRowFirstColumn="0" w:firstRowLastColumn="0" w:lastRowFirstColumn="0" w:lastRowLastColumn="0"/>
              <w:rPr>
                <w:noProof/>
                <w:color w:val="333333"/>
                <w:lang w:eastAsia="en-GB"/>
              </w:rPr>
            </w:pPr>
            <w:r>
              <w:rPr>
                <w:noProof/>
              </w:rPr>
              <w:t>1</w:t>
            </w:r>
            <w:r>
              <w:rPr>
                <w:rFonts w:ascii="Calibri" w:hAnsi="Calibri" w:cs="Calibri"/>
                <w:noProof/>
              </w:rPr>
              <w:t> </w:t>
            </w:r>
            <w:r>
              <w:rPr>
                <w:noProof/>
              </w:rPr>
              <w:t>071</w:t>
            </w:r>
            <w:r>
              <w:rPr>
                <w:rFonts w:ascii="Calibri" w:hAnsi="Calibri" w:cs="Calibri"/>
                <w:noProof/>
              </w:rPr>
              <w:t> </w:t>
            </w:r>
            <w:r>
              <w:rPr>
                <w:noProof/>
              </w:rPr>
              <w:t>194.79</w:t>
            </w:r>
          </w:p>
        </w:tc>
      </w:tr>
      <w:tr w:rsidR="00311BB8" w:rsidTr="00311BB8">
        <w:trPr>
          <w:trHeight w:val="210"/>
        </w:trPr>
        <w:tc>
          <w:tcPr>
            <w:cnfStyle w:val="001000000000" w:firstRow="0" w:lastRow="0" w:firstColumn="1" w:lastColumn="0" w:oddVBand="0" w:evenVBand="0" w:oddHBand="0" w:evenHBand="0" w:firstRowFirstColumn="0" w:firstRowLastColumn="0" w:lastRowFirstColumn="0" w:lastRowLastColumn="0"/>
            <w:tcW w:w="1371" w:type="dxa"/>
            <w:tcBorders>
              <w:bottom w:val="single" w:sz="4" w:space="0" w:color="5B9BD5" w:themeColor="accent1"/>
            </w:tcBorders>
            <w:noWrap/>
            <w:hideMark/>
          </w:tcPr>
          <w:p w:rsidR="00311BB8" w:rsidRDefault="00311BB8">
            <w:pPr>
              <w:pStyle w:val="AMPRTABLEA-TextLEFTalligned-BLACK"/>
              <w:rPr>
                <w:noProof/>
                <w:color w:val="333333"/>
                <w:lang w:eastAsia="en-GB"/>
              </w:rPr>
            </w:pPr>
          </w:p>
        </w:tc>
        <w:tc>
          <w:tcPr>
            <w:tcW w:w="1845" w:type="dxa"/>
            <w:tcBorders>
              <w:bottom w:val="single" w:sz="4" w:space="0" w:color="5B9BD5" w:themeColor="accent1"/>
            </w:tcBorders>
            <w:noWrap/>
            <w:hideMark/>
          </w:tcPr>
          <w:p w:rsidR="00311BB8" w:rsidRDefault="00311BB8">
            <w:pPr>
              <w:pStyle w:val="AMPRTABLEA-TextLEF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p>
        </w:tc>
        <w:tc>
          <w:tcPr>
            <w:tcW w:w="1679" w:type="dxa"/>
            <w:tcBorders>
              <w:bottom w:val="single" w:sz="4" w:space="0" w:color="5B9BD5" w:themeColor="accent1"/>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p>
        </w:tc>
        <w:tc>
          <w:tcPr>
            <w:tcW w:w="564" w:type="dxa"/>
            <w:tcBorders>
              <w:bottom w:val="single" w:sz="4" w:space="0" w:color="5B9BD5" w:themeColor="accent1"/>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p>
        </w:tc>
        <w:tc>
          <w:tcPr>
            <w:tcW w:w="1552" w:type="dxa"/>
            <w:tcBorders>
              <w:bottom w:val="single" w:sz="4" w:space="0" w:color="5B9BD5" w:themeColor="accent1"/>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p>
        </w:tc>
        <w:tc>
          <w:tcPr>
            <w:tcW w:w="843" w:type="dxa"/>
            <w:tcBorders>
              <w:bottom w:val="single" w:sz="4" w:space="0" w:color="5B9BD5" w:themeColor="accent1"/>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p>
        </w:tc>
        <w:tc>
          <w:tcPr>
            <w:tcW w:w="1432" w:type="dxa"/>
            <w:tcBorders>
              <w:bottom w:val="single" w:sz="4" w:space="0" w:color="5B9BD5" w:themeColor="accent1"/>
            </w:tcBorders>
            <w:noWrap/>
            <w:hideMark/>
          </w:tcPr>
          <w:p w:rsidR="00311BB8" w:rsidRDefault="00311BB8">
            <w:pPr>
              <w:pStyle w:val="AMPRTABLEA-TextRIGHTalligned-BLACK"/>
              <w:cnfStyle w:val="000000000000" w:firstRow="0" w:lastRow="0" w:firstColumn="0" w:lastColumn="0" w:oddVBand="0" w:evenVBand="0" w:oddHBand="0" w:evenHBand="0" w:firstRowFirstColumn="0" w:firstRowLastColumn="0" w:lastRowFirstColumn="0" w:lastRowLastColumn="0"/>
              <w:rPr>
                <w:rFonts w:cstheme="minorBidi"/>
                <w:noProof/>
                <w:lang w:eastAsia="en-GB"/>
              </w:rPr>
            </w:pPr>
          </w:p>
        </w:tc>
      </w:tr>
      <w:tr w:rsidR="00311BB8" w:rsidTr="00311BB8">
        <w:trPr>
          <w:trHeight w:val="372"/>
        </w:trPr>
        <w:tc>
          <w:tcPr>
            <w:cnfStyle w:val="001000000000" w:firstRow="0" w:lastRow="0" w:firstColumn="1" w:lastColumn="0" w:oddVBand="0" w:evenVBand="0" w:oddHBand="0" w:evenHBand="0" w:firstRowFirstColumn="0" w:firstRowLastColumn="0" w:lastRowFirstColumn="0" w:lastRowLastColumn="0"/>
            <w:tcW w:w="1371"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OTALLEFTalligned-BLACK"/>
              <w:rPr>
                <w:rStyle w:val="AMPRcharBlue"/>
                <w:noProof/>
              </w:rPr>
            </w:pPr>
            <w:r>
              <w:rPr>
                <w:rStyle w:val="AMPRcharBlue"/>
                <w:noProof/>
              </w:rPr>
              <w:t>OVERALL TOTAL</w:t>
            </w:r>
          </w:p>
        </w:tc>
        <w:tc>
          <w:tcPr>
            <w:tcW w:w="1845"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311BB8">
            <w:pPr>
              <w:pStyle w:val="AMPRTABLEA-TOTALRIGHTalligned-BLACK"/>
              <w:cnfStyle w:val="000000000000" w:firstRow="0" w:lastRow="0" w:firstColumn="0" w:lastColumn="0" w:oddVBand="0" w:evenVBand="0" w:oddHBand="0" w:evenHBand="0" w:firstRowFirstColumn="0" w:firstRowLastColumn="0" w:lastRowFirstColumn="0" w:lastRowLastColumn="0"/>
              <w:rPr>
                <w:noProof/>
                <w:lang w:eastAsia="en-GB"/>
              </w:rPr>
            </w:pPr>
          </w:p>
        </w:tc>
        <w:tc>
          <w:tcPr>
            <w:tcW w:w="1679"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OTAL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rPr>
              <w:t>18</w:t>
            </w:r>
            <w:r>
              <w:rPr>
                <w:rFonts w:ascii="Calibri" w:hAnsi="Calibri" w:cs="Calibri"/>
                <w:noProof/>
              </w:rPr>
              <w:t> </w:t>
            </w:r>
            <w:r>
              <w:rPr>
                <w:noProof/>
              </w:rPr>
              <w:t>033</w:t>
            </w:r>
            <w:r>
              <w:rPr>
                <w:rFonts w:ascii="Calibri" w:hAnsi="Calibri" w:cs="Calibri"/>
                <w:noProof/>
              </w:rPr>
              <w:t> </w:t>
            </w:r>
            <w:r>
              <w:rPr>
                <w:noProof/>
              </w:rPr>
              <w:t>292.17</w:t>
            </w:r>
          </w:p>
        </w:tc>
        <w:tc>
          <w:tcPr>
            <w:tcW w:w="564"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OTAL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rPr>
              <w:t>67</w:t>
            </w:r>
          </w:p>
        </w:tc>
        <w:tc>
          <w:tcPr>
            <w:tcW w:w="1552"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OTAL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rPr>
              <w:t>14</w:t>
            </w:r>
            <w:r>
              <w:rPr>
                <w:rFonts w:ascii="Calibri" w:hAnsi="Calibri" w:cs="Calibri"/>
                <w:noProof/>
              </w:rPr>
              <w:t> </w:t>
            </w:r>
            <w:r>
              <w:rPr>
                <w:noProof/>
              </w:rPr>
              <w:t>591</w:t>
            </w:r>
            <w:r>
              <w:rPr>
                <w:rFonts w:ascii="Calibri" w:hAnsi="Calibri" w:cs="Calibri"/>
                <w:noProof/>
              </w:rPr>
              <w:t> </w:t>
            </w:r>
            <w:r>
              <w:rPr>
                <w:noProof/>
              </w:rPr>
              <w:t>052.50</w:t>
            </w:r>
          </w:p>
        </w:tc>
        <w:tc>
          <w:tcPr>
            <w:tcW w:w="843"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OTAL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rPr>
              <w:t>198</w:t>
            </w:r>
          </w:p>
        </w:tc>
        <w:tc>
          <w:tcPr>
            <w:tcW w:w="1432" w:type="dxa"/>
            <w:tcBorders>
              <w:top w:val="single" w:sz="4" w:space="0" w:color="5B9BD5" w:themeColor="accent1"/>
              <w:bottom w:val="single" w:sz="4" w:space="0" w:color="5B9BD5" w:themeColor="accent1"/>
            </w:tcBorders>
            <w:shd w:val="clear" w:color="auto" w:fill="DEEAF6" w:themeFill="accent1" w:themeFillTint="33"/>
            <w:noWrap/>
            <w:hideMark/>
          </w:tcPr>
          <w:p w:rsidR="00311BB8" w:rsidRDefault="00D91061">
            <w:pPr>
              <w:pStyle w:val="AMPRTABLEA-TOTALRIGHTalligned-BLACK"/>
              <w:cnfStyle w:val="000000000000" w:firstRow="0" w:lastRow="0" w:firstColumn="0" w:lastColumn="0" w:oddVBand="0" w:evenVBand="0" w:oddHBand="0" w:evenHBand="0" w:firstRowFirstColumn="0" w:firstRowLastColumn="0" w:lastRowFirstColumn="0" w:lastRowLastColumn="0"/>
              <w:rPr>
                <w:noProof/>
                <w:lang w:eastAsia="en-GB"/>
              </w:rPr>
            </w:pPr>
            <w:r>
              <w:rPr>
                <w:noProof/>
              </w:rPr>
              <w:t>3</w:t>
            </w:r>
            <w:r>
              <w:rPr>
                <w:rFonts w:ascii="Calibri" w:hAnsi="Calibri" w:cs="Calibri"/>
                <w:noProof/>
              </w:rPr>
              <w:t> </w:t>
            </w:r>
            <w:r>
              <w:rPr>
                <w:noProof/>
              </w:rPr>
              <w:t>442</w:t>
            </w:r>
            <w:r>
              <w:rPr>
                <w:rFonts w:ascii="Calibri" w:hAnsi="Calibri" w:cs="Calibri"/>
                <w:noProof/>
              </w:rPr>
              <w:t> </w:t>
            </w:r>
            <w:r>
              <w:rPr>
                <w:noProof/>
              </w:rPr>
              <w:t>239.67</w:t>
            </w:r>
          </w:p>
        </w:tc>
      </w:tr>
    </w:tbl>
    <w:p w:rsidR="00311BB8" w:rsidRDefault="00311BB8">
      <w:pPr>
        <w:rPr>
          <w:rFonts w:eastAsia="Times New Roman" w:cs="Arial"/>
          <w:noProof/>
          <w:szCs w:val="20"/>
          <w:lang w:eastAsia="en-GB"/>
        </w:rPr>
      </w:pPr>
    </w:p>
    <w:p w:rsidR="00311BB8" w:rsidRDefault="00311BB8">
      <w:pPr>
        <w:pStyle w:val="Title1Annexes"/>
        <w:rPr>
          <w:noProof/>
        </w:rPr>
        <w:sectPr w:rsidR="00311BB8">
          <w:headerReference w:type="even" r:id="rId122"/>
          <w:headerReference w:type="default" r:id="rId123"/>
          <w:footerReference w:type="even" r:id="rId124"/>
          <w:footerReference w:type="default" r:id="rId125"/>
          <w:headerReference w:type="first" r:id="rId126"/>
          <w:footerReference w:type="first" r:id="rId127"/>
          <w:footnotePr>
            <w:numStart w:val="94"/>
          </w:footnotePr>
          <w:pgSz w:w="11906" w:h="16838" w:code="9"/>
          <w:pgMar w:top="1417" w:right="1417" w:bottom="1134" w:left="1417" w:header="567" w:footer="454" w:gutter="0"/>
          <w:cols w:space="720"/>
          <w:docGrid w:linePitch="360"/>
        </w:sectPr>
      </w:pPr>
    </w:p>
    <w:p w:rsidR="00311BB8" w:rsidRDefault="00D91061">
      <w:pPr>
        <w:pStyle w:val="AMPRAnnexesTITLE2"/>
        <w:rPr>
          <w:noProof/>
        </w:rPr>
      </w:pPr>
      <w:bookmarkStart w:id="157" w:name="_Toc6304475"/>
      <w:bookmarkStart w:id="158" w:name="_Toc8386227"/>
      <w:bookmarkStart w:id="159" w:name="_Toc11679106"/>
      <w:r>
        <w:rPr>
          <w:noProof/>
        </w:rPr>
        <w:t>Annex</w:t>
      </w:r>
      <w:r>
        <w:rPr>
          <w:rFonts w:ascii="Calibri" w:hAnsi="Calibri" w:cs="Calibri"/>
          <w:noProof/>
        </w:rPr>
        <w:t> </w:t>
      </w:r>
      <w:r>
        <w:rPr>
          <w:noProof/>
        </w:rPr>
        <w:t xml:space="preserve">10: </w:t>
      </w:r>
      <w:r>
        <w:rPr>
          <w:noProof/>
        </w:rPr>
        <w:br/>
        <w:t>Report on negotiated procedures</w:t>
      </w:r>
      <w:bookmarkEnd w:id="157"/>
      <w:bookmarkEnd w:id="158"/>
      <w:bookmarkEnd w:id="159"/>
    </w:p>
    <w:p w:rsidR="00311BB8" w:rsidRDefault="00D91061">
      <w:pPr>
        <w:pStyle w:val="AMPRAnnexesTITLE3"/>
        <w:rPr>
          <w:noProof/>
        </w:rPr>
      </w:pPr>
      <w:r>
        <w:rPr>
          <w:noProof/>
        </w:rPr>
        <w:t xml:space="preserve">Legal basis </w:t>
      </w:r>
    </w:p>
    <w:p w:rsidR="00311BB8" w:rsidRDefault="00D91061">
      <w:pPr>
        <w:pStyle w:val="AMPRBodyText"/>
        <w:rPr>
          <w:noProof/>
          <w:lang w:eastAsia="en-GB"/>
        </w:rPr>
      </w:pPr>
      <w:r>
        <w:rPr>
          <w:rStyle w:val="AMPRcharBoldOrange"/>
          <w:noProof/>
        </w:rPr>
        <w:t>Article 74(10) of the financial regulation</w:t>
      </w:r>
      <w:r>
        <w:rPr>
          <w:rStyle w:val="fnRef"/>
          <w:rFonts w:ascii="Arial" w:hAnsi="Arial" w:cs="Arial"/>
          <w:noProof/>
        </w:rPr>
        <w:t> </w:t>
      </w:r>
      <w:r>
        <w:rPr>
          <w:rStyle w:val="fnRef"/>
          <w:noProof/>
        </w:rPr>
        <w:t>(</w:t>
      </w:r>
      <w:r>
        <w:rPr>
          <w:rStyle w:val="fnRefNo"/>
          <w:noProof/>
        </w:rPr>
        <w:footnoteReference w:id="50"/>
      </w:r>
      <w:r>
        <w:rPr>
          <w:rStyle w:val="fnRef"/>
          <w:noProof/>
        </w:rPr>
        <w:t>)</w:t>
      </w:r>
      <w:r>
        <w:rPr>
          <w:noProof/>
          <w:lang w:eastAsia="en-GB"/>
        </w:rPr>
        <w:t xml:space="preserve"> requires authorising officers by delegation to record contracts concluded under negotiated procedures. Furthermore, the Commission is required to annex a report on negotiated procedures to the summary of the annual activity reports referred to in Article</w:t>
      </w:r>
      <w:r>
        <w:rPr>
          <w:rFonts w:ascii="Calibri" w:hAnsi="Calibri" w:cs="Calibri"/>
          <w:noProof/>
          <w:lang w:eastAsia="en-GB"/>
        </w:rPr>
        <w:t> </w:t>
      </w:r>
      <w:r>
        <w:rPr>
          <w:noProof/>
          <w:lang w:eastAsia="en-GB"/>
        </w:rPr>
        <w:t xml:space="preserve">74(9) of the financial regulation. </w:t>
      </w:r>
    </w:p>
    <w:p w:rsidR="00311BB8" w:rsidRDefault="00D91061">
      <w:pPr>
        <w:pStyle w:val="AMPRAnnexesTITLE3"/>
        <w:rPr>
          <w:noProof/>
        </w:rPr>
      </w:pPr>
      <w:r>
        <w:rPr>
          <w:noProof/>
        </w:rPr>
        <w:t xml:space="preserve">Methodology </w:t>
      </w:r>
    </w:p>
    <w:p w:rsidR="00311BB8" w:rsidRDefault="00D91061">
      <w:pPr>
        <w:pStyle w:val="AMPRBodyText"/>
        <w:rPr>
          <w:noProof/>
          <w:lang w:eastAsia="en-GB"/>
        </w:rPr>
      </w:pPr>
      <w:r>
        <w:rPr>
          <w:noProof/>
          <w:lang w:eastAsia="en-GB"/>
        </w:rPr>
        <w:t>A distinction has been made between the 47 departments which normally do not provide external aid and the three departments (DG International Cooperation and Development, DG Neighbourhood and Enlargement Negotiations and the Service for Foreign Policy Instruments) which conclude procurement contracts in the area of external relations (using a different legal basis: Chapter</w:t>
      </w:r>
      <w:r>
        <w:rPr>
          <w:rFonts w:ascii="Calibri" w:hAnsi="Calibri" w:cs="Calibri"/>
          <w:noProof/>
          <w:lang w:eastAsia="en-GB"/>
        </w:rPr>
        <w:t> </w:t>
      </w:r>
      <w:r>
        <w:rPr>
          <w:noProof/>
          <w:lang w:eastAsia="en-GB"/>
        </w:rPr>
        <w:t>3 of Title</w:t>
      </w:r>
      <w:r>
        <w:rPr>
          <w:rFonts w:ascii="Calibri" w:hAnsi="Calibri" w:cs="Calibri"/>
          <w:noProof/>
          <w:lang w:eastAsia="en-GB"/>
        </w:rPr>
        <w:t> </w:t>
      </w:r>
      <w:r>
        <w:rPr>
          <w:noProof/>
          <w:lang w:eastAsia="en-GB"/>
        </w:rPr>
        <w:t xml:space="preserve">VII of the financial regulation) or award contracts on their own account, but outside the territory of the European Union. </w:t>
      </w:r>
    </w:p>
    <w:p w:rsidR="00311BB8" w:rsidRDefault="00D91061">
      <w:pPr>
        <w:pStyle w:val="AMPRBodyText"/>
        <w:rPr>
          <w:noProof/>
          <w:lang w:eastAsia="en-GB"/>
        </w:rPr>
      </w:pPr>
      <w:r>
        <w:rPr>
          <w:noProof/>
          <w:lang w:eastAsia="en-GB"/>
        </w:rPr>
        <w:t>These three departments have special characteristics as regards data collection from their EU delegations (decentralised services, etc.), the total number of contracts concluded and thresholds to be applied for the recording of negotiated procedures (EUR</w:t>
      </w:r>
      <w:r>
        <w:rPr>
          <w:rFonts w:ascii="Calibri" w:hAnsi="Calibri" w:cs="Calibri"/>
          <w:noProof/>
          <w:lang w:eastAsia="en-GB"/>
        </w:rPr>
        <w:t> </w:t>
      </w:r>
      <w:r>
        <w:rPr>
          <w:noProof/>
          <w:lang w:eastAsia="en-GB"/>
        </w:rPr>
        <w:t>20</w:t>
      </w:r>
      <w:r>
        <w:rPr>
          <w:rFonts w:ascii="Calibri" w:hAnsi="Calibri" w:cs="Calibri"/>
          <w:noProof/>
          <w:lang w:eastAsia="en-GB"/>
        </w:rPr>
        <w:t> </w:t>
      </w:r>
      <w:r>
        <w:rPr>
          <w:noProof/>
          <w:lang w:eastAsia="en-GB"/>
        </w:rPr>
        <w:t xml:space="preserve">000), as well as the option of using negotiated procedures in the framework of the Rapid Reaction Mechanism (in cases of extreme urgency). For these reasons, a separate approach has been used for procurement contracts awarded by these three departments. </w:t>
      </w:r>
    </w:p>
    <w:p w:rsidR="00311BB8" w:rsidRDefault="00D91061">
      <w:pPr>
        <w:pStyle w:val="AMPRAnnexesTITLE3"/>
        <w:rPr>
          <w:noProof/>
        </w:rPr>
      </w:pPr>
      <w:r>
        <w:rPr>
          <w:noProof/>
        </w:rPr>
        <w:t xml:space="preserve">Overall results of negotiated procedures recorded </w:t>
      </w:r>
    </w:p>
    <w:p w:rsidR="00311BB8" w:rsidRDefault="00D91061">
      <w:pPr>
        <w:pStyle w:val="AMPRAnnexesTITLE4"/>
        <w:rPr>
          <w:noProof/>
        </w:rPr>
      </w:pPr>
      <w:r>
        <w:rPr>
          <w:noProof/>
        </w:rPr>
        <w:t>The 47 departments, excluding ‘external relations’</w:t>
      </w:r>
    </w:p>
    <w:p w:rsidR="00311BB8" w:rsidRDefault="00D91061">
      <w:pPr>
        <w:pStyle w:val="AMPRBodyText"/>
        <w:rPr>
          <w:noProof/>
          <w:lang w:eastAsia="en-GB"/>
        </w:rPr>
      </w:pPr>
      <w:r>
        <w:rPr>
          <w:noProof/>
          <w:lang w:eastAsia="en-GB"/>
        </w:rPr>
        <w:t>On the basis of the data received, the following statistics were registered: 92 negotiated procedures with a total value of EUR</w:t>
      </w:r>
      <w:r>
        <w:rPr>
          <w:rFonts w:ascii="Calibri" w:hAnsi="Calibri" w:cs="Calibri"/>
          <w:noProof/>
          <w:lang w:eastAsia="en-GB"/>
        </w:rPr>
        <w:t> </w:t>
      </w:r>
      <w:r>
        <w:rPr>
          <w:noProof/>
          <w:lang w:eastAsia="en-GB"/>
        </w:rPr>
        <w:t>341</w:t>
      </w:r>
      <w:r>
        <w:rPr>
          <w:rFonts w:ascii="Calibri" w:hAnsi="Calibri" w:cs="Calibri"/>
          <w:noProof/>
          <w:lang w:eastAsia="en-GB"/>
        </w:rPr>
        <w:t> </w:t>
      </w:r>
      <w:r>
        <w:rPr>
          <w:noProof/>
          <w:lang w:eastAsia="en-GB"/>
        </w:rPr>
        <w:t>million were processed out of a total of 763 procurement procedures (negotiated, restricted or open) for contracts over EUR</w:t>
      </w:r>
      <w:r>
        <w:rPr>
          <w:rFonts w:ascii="Calibri" w:hAnsi="Calibri" w:cs="Calibri"/>
          <w:noProof/>
          <w:lang w:eastAsia="en-GB"/>
        </w:rPr>
        <w:t> </w:t>
      </w:r>
      <w:r>
        <w:rPr>
          <w:noProof/>
          <w:lang w:eastAsia="en-GB"/>
        </w:rPr>
        <w:t>60</w:t>
      </w:r>
      <w:r>
        <w:rPr>
          <w:rFonts w:ascii="Calibri" w:hAnsi="Calibri" w:cs="Calibri"/>
          <w:noProof/>
          <w:lang w:eastAsia="en-GB"/>
        </w:rPr>
        <w:t> </w:t>
      </w:r>
      <w:r>
        <w:rPr>
          <w:noProof/>
          <w:lang w:eastAsia="en-GB"/>
        </w:rPr>
        <w:t>000 with a total value of EUR</w:t>
      </w:r>
      <w:r>
        <w:rPr>
          <w:rFonts w:ascii="Calibri" w:hAnsi="Calibri" w:cs="Calibri"/>
          <w:noProof/>
          <w:lang w:eastAsia="en-GB"/>
        </w:rPr>
        <w:t> </w:t>
      </w:r>
      <w:r>
        <w:rPr>
          <w:noProof/>
          <w:lang w:eastAsia="en-GB"/>
        </w:rPr>
        <w:t xml:space="preserve">3.02 billion. </w:t>
      </w:r>
    </w:p>
    <w:p w:rsidR="00311BB8" w:rsidRDefault="00D91061">
      <w:pPr>
        <w:pStyle w:val="AMPRBodyText"/>
        <w:rPr>
          <w:noProof/>
        </w:rPr>
      </w:pPr>
      <w:r>
        <w:rPr>
          <w:noProof/>
        </w:rPr>
        <w:t xml:space="preserve">For the Commission, the average proportion of negotiated procedures in relation to all procedures amounts to </w:t>
      </w:r>
      <w:r>
        <w:rPr>
          <w:rStyle w:val="AMPRcharBoldOrange"/>
          <w:noProof/>
        </w:rPr>
        <w:t>12.1%</w:t>
      </w:r>
      <w:r>
        <w:rPr>
          <w:noProof/>
        </w:rPr>
        <w:t xml:space="preserve"> in number (10.8%</w:t>
      </w:r>
      <w:r>
        <w:rPr>
          <w:rStyle w:val="BOLDORANGEAnnexes"/>
          <w:noProof/>
        </w:rPr>
        <w:t xml:space="preserve"> </w:t>
      </w:r>
      <w:r>
        <w:rPr>
          <w:noProof/>
        </w:rPr>
        <w:t xml:space="preserve">in 2018), which represents </w:t>
      </w:r>
      <w:r>
        <w:rPr>
          <w:rStyle w:val="AMPRcharBoldOrange"/>
          <w:noProof/>
        </w:rPr>
        <w:t>11.3%</w:t>
      </w:r>
      <w:r>
        <w:rPr>
          <w:noProof/>
        </w:rPr>
        <w:t xml:space="preserve"> of all procedures in value (4.4% in 2018). The assessment of negotiated procedures compared with the previous year shows an increase in the order of </w:t>
      </w:r>
      <w:r>
        <w:rPr>
          <w:rStyle w:val="AMPRcharBoldOrange"/>
          <w:noProof/>
        </w:rPr>
        <w:t>1.3</w:t>
      </w:r>
      <w:r>
        <w:rPr>
          <w:noProof/>
        </w:rPr>
        <w:t xml:space="preserve"> percentage points in terms of relative number and a decrease of </w:t>
      </w:r>
      <w:r>
        <w:rPr>
          <w:rStyle w:val="AMPRcharBoldOrange"/>
          <w:noProof/>
        </w:rPr>
        <w:t>6.8</w:t>
      </w:r>
      <w:r>
        <w:rPr>
          <w:noProof/>
        </w:rPr>
        <w:t xml:space="preserve"> percentage points in terms of relative value. </w:t>
      </w:r>
    </w:p>
    <w:p w:rsidR="00311BB8" w:rsidRDefault="00D91061">
      <w:pPr>
        <w:pStyle w:val="AMPRBodyText"/>
        <w:rPr>
          <w:rFonts w:eastAsia="Times New Roman" w:cs="Arial"/>
          <w:noProof/>
          <w:lang w:eastAsia="en-GB"/>
        </w:rPr>
      </w:pPr>
      <w:r>
        <w:rPr>
          <w:rFonts w:eastAsia="Times New Roman" w:cs="Arial"/>
          <w:noProof/>
          <w:lang w:eastAsia="en-GB"/>
        </w:rPr>
        <w:t>An authorising department shall report to the institution if the proportion of negotiated procedures awarded in relation to the number of the contracts is ‘distinctly higher than the average recorded for the institution’, i.e. if it exceeds the average proportion by 50% or if the increase from one</w:t>
      </w:r>
      <w:r>
        <w:rPr>
          <w:rFonts w:ascii="Calibri" w:eastAsia="Times New Roman" w:hAnsi="Calibri" w:cs="Calibri"/>
          <w:noProof/>
          <w:lang w:eastAsia="en-GB"/>
        </w:rPr>
        <w:t xml:space="preserve"> </w:t>
      </w:r>
      <w:r>
        <w:rPr>
          <w:rFonts w:eastAsia="Times New Roman" w:cs="Arial"/>
          <w:noProof/>
          <w:lang w:eastAsia="en-GB"/>
        </w:rPr>
        <w:t xml:space="preserve">year to the next is over 10% in proportion. Thus, the reference threshold for this year is </w:t>
      </w:r>
      <w:r>
        <w:rPr>
          <w:rStyle w:val="AMPRcharBoldOrange"/>
          <w:noProof/>
        </w:rPr>
        <w:t>18.1%</w:t>
      </w:r>
      <w:r>
        <w:rPr>
          <w:noProof/>
        </w:rPr>
        <w:t xml:space="preserve"> </w:t>
      </w:r>
      <w:r>
        <w:rPr>
          <w:rFonts w:eastAsia="Times New Roman" w:cs="Arial"/>
          <w:noProof/>
          <w:lang w:eastAsia="en-GB"/>
        </w:rPr>
        <w:t xml:space="preserve">(16.2% in 2018). </w:t>
      </w:r>
    </w:p>
    <w:p w:rsidR="00311BB8" w:rsidRDefault="00D91061">
      <w:pPr>
        <w:pStyle w:val="AMPRBodyText"/>
        <w:rPr>
          <w:noProof/>
          <w:lang w:eastAsia="en-GB"/>
        </w:rPr>
      </w:pPr>
      <w:r>
        <w:rPr>
          <w:noProof/>
          <w:lang w:eastAsia="en-GB"/>
        </w:rPr>
        <w:t>Seven departments exceeded the reference threshold and seven increased their number of negotiated procedures by more than 10% in proportion with last year, with five among them exceeding the reference threshold</w:t>
      </w:r>
      <w:r>
        <w:rPr>
          <w:noProof/>
        </w:rPr>
        <w:t xml:space="preserve"> </w:t>
      </w:r>
      <w:r>
        <w:rPr>
          <w:noProof/>
          <w:lang w:eastAsia="en-GB"/>
        </w:rPr>
        <w:t>as well. It should be noted that, out of these nine departments, five concluded between one and four negotiated procedures and the low total number of procedures conducted (below or equal to seven) makes their average high; consequently, their respective results are to be considered  to not be significant. Two departments, although they did not exceed the reference threshold, increased their number of negotiated procedures by more than 10% in proportion with last year.</w:t>
      </w:r>
    </w:p>
    <w:p w:rsidR="00311BB8" w:rsidRDefault="00D91061">
      <w:pPr>
        <w:pStyle w:val="AMPRBodyText"/>
        <w:rPr>
          <w:noProof/>
          <w:lang w:eastAsia="en-GB"/>
        </w:rPr>
      </w:pPr>
      <w:r>
        <w:rPr>
          <w:noProof/>
          <w:lang w:eastAsia="en-GB"/>
        </w:rPr>
        <w:t xml:space="preserve">It should be noted that 21 departments did not use any negotiated procedure, including 8 that did not awarded any contracts worth over EUR 60 000 in 2019. </w:t>
      </w:r>
    </w:p>
    <w:p w:rsidR="00311BB8" w:rsidRDefault="00D91061">
      <w:pPr>
        <w:pStyle w:val="AMPRAnnexesTITLE4"/>
        <w:rPr>
          <w:noProof/>
        </w:rPr>
      </w:pPr>
      <w:r>
        <w:rPr>
          <w:noProof/>
        </w:rPr>
        <w:t xml:space="preserve">The three ‘external relations’ departments </w:t>
      </w:r>
    </w:p>
    <w:p w:rsidR="00311BB8" w:rsidRDefault="00D91061">
      <w:pPr>
        <w:pStyle w:val="AMPRBodyText"/>
        <w:rPr>
          <w:noProof/>
          <w:lang w:eastAsia="en-GB"/>
        </w:rPr>
      </w:pPr>
      <w:r>
        <w:rPr>
          <w:noProof/>
          <w:lang w:eastAsia="en-GB"/>
        </w:rPr>
        <w:t>On the basis of the data received, the following statistics were registered: 94 negotiated procedures for a total value of contracts of EUR</w:t>
      </w:r>
      <w:r>
        <w:rPr>
          <w:rFonts w:ascii="Arial" w:hAnsi="Arial"/>
          <w:noProof/>
          <w:lang w:eastAsia="en-GB"/>
        </w:rPr>
        <w:t> </w:t>
      </w:r>
      <w:r>
        <w:rPr>
          <w:noProof/>
          <w:lang w:eastAsia="en-GB"/>
        </w:rPr>
        <w:t>113</w:t>
      </w:r>
      <w:r>
        <w:rPr>
          <w:rFonts w:ascii="Calibri" w:hAnsi="Calibri" w:cs="Calibri"/>
          <w:noProof/>
          <w:lang w:eastAsia="en-GB"/>
        </w:rPr>
        <w:t> </w:t>
      </w:r>
      <w:r>
        <w:rPr>
          <w:noProof/>
          <w:lang w:eastAsia="en-GB"/>
        </w:rPr>
        <w:t>million were processed out of a total of 365 procedures for contracts over EUR</w:t>
      </w:r>
      <w:r>
        <w:rPr>
          <w:rFonts w:ascii="Arial" w:hAnsi="Arial"/>
          <w:noProof/>
          <w:lang w:eastAsia="en-GB"/>
        </w:rPr>
        <w:t> </w:t>
      </w:r>
      <w:r>
        <w:rPr>
          <w:noProof/>
          <w:lang w:eastAsia="en-GB"/>
        </w:rPr>
        <w:t>20</w:t>
      </w:r>
      <w:r>
        <w:rPr>
          <w:rFonts w:ascii="Calibri" w:hAnsi="Calibri" w:cs="Calibri"/>
          <w:noProof/>
          <w:lang w:eastAsia="en-GB"/>
        </w:rPr>
        <w:t> </w:t>
      </w:r>
      <w:r>
        <w:rPr>
          <w:noProof/>
          <w:lang w:eastAsia="en-GB"/>
        </w:rPr>
        <w:t>000 with a total value of about EUR</w:t>
      </w:r>
      <w:r>
        <w:rPr>
          <w:rFonts w:ascii="Arial" w:hAnsi="Arial"/>
          <w:noProof/>
          <w:lang w:eastAsia="en-GB"/>
        </w:rPr>
        <w:t> </w:t>
      </w:r>
      <w:r>
        <w:rPr>
          <w:noProof/>
          <w:lang w:eastAsia="en-GB"/>
        </w:rPr>
        <w:t xml:space="preserve">864 million. </w:t>
      </w:r>
    </w:p>
    <w:p w:rsidR="00311BB8" w:rsidRDefault="00D91061">
      <w:pPr>
        <w:pStyle w:val="AMPRBodyText"/>
        <w:rPr>
          <w:rFonts w:eastAsia="Times New Roman" w:cs="Arial"/>
          <w:noProof/>
          <w:lang w:eastAsia="en-GB"/>
        </w:rPr>
      </w:pPr>
      <w:r>
        <w:rPr>
          <w:rFonts w:eastAsia="Times New Roman" w:cs="Arial"/>
          <w:noProof/>
          <w:lang w:eastAsia="en-GB"/>
        </w:rPr>
        <w:t xml:space="preserve">For the three ‘external relations’ departments, the average proportion of negotiated procedures in relation to all procedures amounts to </w:t>
      </w:r>
      <w:r>
        <w:rPr>
          <w:rStyle w:val="AMPRcharBoldOrange"/>
          <w:noProof/>
        </w:rPr>
        <w:t>25.8%</w:t>
      </w:r>
      <w:r>
        <w:rPr>
          <w:noProof/>
        </w:rPr>
        <w:t xml:space="preserve"> </w:t>
      </w:r>
      <w:r>
        <w:rPr>
          <w:rFonts w:eastAsia="Times New Roman" w:cs="Arial"/>
          <w:noProof/>
          <w:lang w:eastAsia="en-GB"/>
        </w:rPr>
        <w:t xml:space="preserve">in number (35.6% in 2018), which represents </w:t>
      </w:r>
      <w:r>
        <w:rPr>
          <w:rStyle w:val="AMPRcharBoldOrange"/>
          <w:noProof/>
        </w:rPr>
        <w:t>13.1%</w:t>
      </w:r>
      <w:r>
        <w:rPr>
          <w:noProof/>
        </w:rPr>
        <w:t xml:space="preserve"> </w:t>
      </w:r>
      <w:r>
        <w:rPr>
          <w:rFonts w:eastAsia="Times New Roman" w:cs="Arial"/>
          <w:noProof/>
          <w:lang w:eastAsia="en-GB"/>
        </w:rPr>
        <w:t xml:space="preserve">of all procedures in value (11.7% in 2018). Compared with the previous year, these departments have registered a decrease of </w:t>
      </w:r>
      <w:r>
        <w:rPr>
          <w:rStyle w:val="AMPRcharBoldOrange"/>
          <w:noProof/>
        </w:rPr>
        <w:t>9.8</w:t>
      </w:r>
      <w:r>
        <w:rPr>
          <w:noProof/>
        </w:rPr>
        <w:t xml:space="preserve"> </w:t>
      </w:r>
      <w:r>
        <w:rPr>
          <w:rFonts w:eastAsia="Times New Roman" w:cs="Arial"/>
          <w:noProof/>
          <w:lang w:eastAsia="en-GB"/>
        </w:rPr>
        <w:t xml:space="preserve">percentage points in number of negotiated procedures in relation to all procedures and an increase of </w:t>
      </w:r>
      <w:r>
        <w:rPr>
          <w:rStyle w:val="AMPRcharBoldOrange"/>
          <w:noProof/>
        </w:rPr>
        <w:t>1.4</w:t>
      </w:r>
      <w:r>
        <w:rPr>
          <w:noProof/>
        </w:rPr>
        <w:t xml:space="preserve"> </w:t>
      </w:r>
      <w:r>
        <w:rPr>
          <w:rFonts w:eastAsia="Times New Roman" w:cs="Arial"/>
          <w:noProof/>
          <w:lang w:eastAsia="en-GB"/>
        </w:rPr>
        <w:t>percentage points in terms of relative value.</w:t>
      </w:r>
    </w:p>
    <w:p w:rsidR="00311BB8" w:rsidRDefault="00D91061">
      <w:pPr>
        <w:pStyle w:val="AMPRBodyText"/>
        <w:rPr>
          <w:rFonts w:cs="Arial"/>
          <w:noProof/>
          <w:lang w:eastAsia="en-GB"/>
        </w:rPr>
      </w:pPr>
      <w:r>
        <w:rPr>
          <w:rFonts w:cs="Arial"/>
          <w:noProof/>
          <w:lang w:eastAsia="en-GB"/>
        </w:rPr>
        <w:t xml:space="preserve">An authorising service shall report to the institution if the proportion of negotiated procedures awarded in relation to the number of the contracts is ‘distinctly higher than the average recorded for the institution’ i.e. if it exceeds the average proportion by 50%, or if the increase from one year to the next is over 10% in proportion. Thus, the reference threshold for this year is fixed at </w:t>
      </w:r>
      <w:r>
        <w:rPr>
          <w:rStyle w:val="AMPRcharBoldOrange"/>
          <w:noProof/>
        </w:rPr>
        <w:t>38.6%</w:t>
      </w:r>
      <w:r>
        <w:rPr>
          <w:rFonts w:cs="Arial"/>
          <w:noProof/>
          <w:lang w:eastAsia="en-GB"/>
        </w:rPr>
        <w:t xml:space="preserve"> (53.3% in 2018), which one of the three departments exceeds. </w:t>
      </w:r>
    </w:p>
    <w:p w:rsidR="00311BB8" w:rsidRDefault="00D91061">
      <w:pPr>
        <w:pStyle w:val="AMPRBodyText"/>
        <w:rPr>
          <w:noProof/>
          <w:lang w:eastAsia="en-GB"/>
        </w:rPr>
      </w:pPr>
      <w:r>
        <w:rPr>
          <w:noProof/>
          <w:lang w:eastAsia="en-GB"/>
        </w:rPr>
        <w:t xml:space="preserve">None of the three departments presented an increase of over 10% in the proportion of negotiated procedures compared to the last year. </w:t>
      </w:r>
    </w:p>
    <w:p w:rsidR="00311BB8" w:rsidRDefault="00D91061">
      <w:pPr>
        <w:pStyle w:val="AMPRAnnexesTITLE3"/>
        <w:rPr>
          <w:noProof/>
        </w:rPr>
      </w:pPr>
      <w:r>
        <w:rPr>
          <w:noProof/>
        </w:rPr>
        <w:t>Analysis of the justifications and corrective measures</w:t>
      </w:r>
    </w:p>
    <w:p w:rsidR="00311BB8" w:rsidRDefault="00D91061">
      <w:pPr>
        <w:pStyle w:val="AMPRBodyText"/>
        <w:rPr>
          <w:noProof/>
          <w:lang w:eastAsia="en-GB"/>
        </w:rPr>
      </w:pPr>
      <w:r>
        <w:rPr>
          <w:noProof/>
          <w:lang w:eastAsia="en-GB"/>
        </w:rPr>
        <w:t>The number of negotiated procedures in 2019 compared to 2018 increased slightly (from 86 to 92), despite the decrease in the number of procurement procedures (from 798 to 763). Overall, this is a positive result.</w:t>
      </w:r>
    </w:p>
    <w:p w:rsidR="00311BB8" w:rsidRDefault="00D91061">
      <w:pPr>
        <w:pStyle w:val="AMPRBodyText"/>
        <w:rPr>
          <w:noProof/>
          <w:lang w:eastAsia="en-GB"/>
        </w:rPr>
      </w:pPr>
      <w:r>
        <w:rPr>
          <w:noProof/>
          <w:lang w:eastAsia="en-GB"/>
        </w:rPr>
        <w:t xml:space="preserve">The following categories of justifications for the use of a negotiated procedure have been presented by the departments exceeding the thresholds. </w:t>
      </w:r>
    </w:p>
    <w:p w:rsidR="00311BB8" w:rsidRDefault="00D91061">
      <w:pPr>
        <w:pStyle w:val="AMPRListOrange-L1"/>
        <w:rPr>
          <w:noProof/>
          <w:lang w:eastAsia="en-GB"/>
        </w:rPr>
      </w:pPr>
      <w:r>
        <w:rPr>
          <w:rStyle w:val="AMPRcharBoldOrange"/>
          <w:noProof/>
        </w:rPr>
        <w:t>Similar services/works as provided for in the initial tender specifications.</w:t>
      </w:r>
      <w:r>
        <w:rPr>
          <w:noProof/>
        </w:rPr>
        <w:t xml:space="preserve"> </w:t>
      </w:r>
      <w:r>
        <w:rPr>
          <w:noProof/>
          <w:lang w:eastAsia="en-GB"/>
        </w:rPr>
        <w:t xml:space="preserve">One service in charge of large interinstitutional procurement procedures realises during the implementation of the contract that the needs initially foreseen do not match with the consumption trend during the execution of the contract. Therefore, the lead service must start a negotiated procedure on behalf of all institutions to increase the ceiling of the framework contract in question. One relevant example of such a justification was the obligations of the Commission under </w:t>
      </w:r>
      <w:r>
        <w:rPr>
          <w:noProof/>
        </w:rPr>
        <w:t>Regulation 377/2014 with an initial predefined bu</w:t>
      </w:r>
      <w:r>
        <w:rPr>
          <w:noProof/>
          <w:lang w:eastAsia="en-GB"/>
        </w:rPr>
        <w:t>dget.</w:t>
      </w:r>
    </w:p>
    <w:p w:rsidR="00311BB8" w:rsidRDefault="00D91061">
      <w:pPr>
        <w:pStyle w:val="AMPRListOrange-L1"/>
        <w:rPr>
          <w:noProof/>
        </w:rPr>
      </w:pPr>
      <w:r>
        <w:rPr>
          <w:rStyle w:val="AMPRcharBoldOrange"/>
          <w:noProof/>
        </w:rPr>
        <w:t>Objective situations of the economic activity sector,</w:t>
      </w:r>
      <w:r>
        <w:rPr>
          <w:noProof/>
        </w:rPr>
        <w:t xml:space="preserve"> </w:t>
      </w:r>
      <w:r>
        <w:rPr>
          <w:noProof/>
          <w:lang w:eastAsia="en-GB"/>
        </w:rPr>
        <w:t xml:space="preserve">where the number of operators may be very limited or there may be a monopoly (for reasons of specific technical expertise, exclusivity rights, highly specialised markets, where competition is limited to very few economic operators or is even completely absent, etc.). Monopolies may be </w:t>
      </w:r>
      <w:r>
        <w:rPr>
          <w:noProof/>
        </w:rPr>
        <w:t xml:space="preserve">related to technical compatibility requirements of previous purchases of scientific equipment, for example contracts for maintenance and upgrades that the Commission cannot give to any other organisation aside from the original equipment contractor, which holds the intellectual property rights. Another example is in the case of comparability of results, and when a laboratory is accredited with the International Organization for Standardization Standard 17025, calibration and maintenance of the equipment must be carried out by the original manufacturer. </w:t>
      </w:r>
      <w:r>
        <w:rPr>
          <w:noProof/>
          <w:lang w:eastAsia="en-GB"/>
        </w:rPr>
        <w:t>Situations of technical captivity may also arise especially in the information technology domain (due to absence of competition for technical reasons and/or because of the protection of exclusive rights related to the purchase of proprietary licences or the maintenance and continuity of existing applications, i.e. upgrades, etc.).</w:t>
      </w:r>
    </w:p>
    <w:p w:rsidR="00311BB8" w:rsidRDefault="00D91061">
      <w:pPr>
        <w:pStyle w:val="AMPRListOrange-L1"/>
        <w:rPr>
          <w:rFonts w:eastAsia="Times New Roman" w:cs="Arial"/>
          <w:noProof/>
          <w:lang w:eastAsia="en-GB"/>
        </w:rPr>
      </w:pPr>
      <w:r>
        <w:rPr>
          <w:rStyle w:val="AMPRcharBoldOrange"/>
          <w:noProof/>
        </w:rPr>
        <w:t>Unsuccessful open or restricted procedures,</w:t>
      </w:r>
      <w:r>
        <w:rPr>
          <w:noProof/>
        </w:rPr>
        <w:t xml:space="preserve"> leading to a negotiated procedure.</w:t>
      </w:r>
    </w:p>
    <w:p w:rsidR="00311BB8" w:rsidRDefault="00D91061">
      <w:pPr>
        <w:pStyle w:val="AMPRListOrange-L1"/>
        <w:rPr>
          <w:rFonts w:eastAsia="Times New Roman" w:cs="Arial"/>
          <w:noProof/>
          <w:lang w:eastAsia="en-GB"/>
        </w:rPr>
      </w:pPr>
      <w:r>
        <w:rPr>
          <w:rStyle w:val="AMPRcharBoldOrange"/>
          <w:noProof/>
        </w:rPr>
        <w:t>Additional services</w:t>
      </w:r>
      <w:r>
        <w:rPr>
          <w:b/>
          <w:noProof/>
          <w:color w:val="70AD47" w:themeColor="accent6"/>
        </w:rPr>
        <w:t xml:space="preserve"> </w:t>
      </w:r>
      <w:r>
        <w:rPr>
          <w:noProof/>
        </w:rPr>
        <w:t>not included in the initial contract, but which become necessary due to unforeseen circumstances.</w:t>
      </w:r>
    </w:p>
    <w:p w:rsidR="00311BB8" w:rsidRDefault="00D91061">
      <w:pPr>
        <w:pStyle w:val="AMPRBodyText"/>
        <w:rPr>
          <w:noProof/>
          <w:lang w:eastAsia="en-GB"/>
        </w:rPr>
      </w:pPr>
      <w:r>
        <w:rPr>
          <w:noProof/>
          <w:lang w:eastAsia="en-GB"/>
        </w:rPr>
        <w:t xml:space="preserve">The following regular available measures are proposed or implemented by DG Budget and other departments concerned in order to limit the use of negotiated procedures when other alternatives may be available: </w:t>
      </w:r>
    </w:p>
    <w:p w:rsidR="00311BB8" w:rsidRDefault="00D91061">
      <w:pPr>
        <w:pStyle w:val="AMPRListOrange-L1"/>
        <w:rPr>
          <w:noProof/>
          <w:lang w:eastAsia="en-GB"/>
        </w:rPr>
      </w:pPr>
      <w:r>
        <w:rPr>
          <w:rStyle w:val="AMPRcharBoldOrange"/>
          <w:noProof/>
        </w:rPr>
        <w:t>Improved programming</w:t>
      </w:r>
      <w:r>
        <w:rPr>
          <w:rStyle w:val="BOLDORANGEAnnexes"/>
          <w:noProof/>
        </w:rPr>
        <w:t xml:space="preserve"> </w:t>
      </w:r>
      <w:r>
        <w:rPr>
          <w:noProof/>
          <w:lang w:eastAsia="en-GB"/>
        </w:rPr>
        <w:t xml:space="preserve">of procurement procedures. </w:t>
      </w:r>
    </w:p>
    <w:p w:rsidR="00311BB8" w:rsidRDefault="00D91061">
      <w:pPr>
        <w:pStyle w:val="AMPRListOrange-L1"/>
        <w:rPr>
          <w:noProof/>
          <w:lang w:eastAsia="en-GB"/>
        </w:rPr>
      </w:pPr>
      <w:r>
        <w:rPr>
          <w:rStyle w:val="AMPRcharBoldOrange"/>
          <w:noProof/>
        </w:rPr>
        <w:t>Improvement of the system of evaluation of needs</w:t>
      </w:r>
      <w:r>
        <w:rPr>
          <w:noProof/>
          <w:lang w:eastAsia="en-GB"/>
        </w:rPr>
        <w:t xml:space="preserve"> — the Commission’s central services will continue their policy of active communication and consultation with the other Commission departments, institutions, agencies and other bodies along the following lines: </w:t>
      </w:r>
    </w:p>
    <w:p w:rsidR="00311BB8" w:rsidRDefault="00D91061">
      <w:pPr>
        <w:pStyle w:val="AMPRListOrange-L2"/>
        <w:rPr>
          <w:noProof/>
        </w:rPr>
      </w:pPr>
      <w:r>
        <w:rPr>
          <w:noProof/>
        </w:rPr>
        <w:t xml:space="preserve">permanent exchange of information via regular meetings with user services and agencies in appropriate forums; </w:t>
      </w:r>
    </w:p>
    <w:p w:rsidR="00311BB8" w:rsidRDefault="00D91061">
      <w:pPr>
        <w:pStyle w:val="AMPRListOrange-L2"/>
        <w:rPr>
          <w:noProof/>
        </w:rPr>
      </w:pPr>
      <w:r>
        <w:rPr>
          <w:noProof/>
        </w:rPr>
        <w:t xml:space="preserve">ad hoc detailed surveys prior to the initiation of (interinstitutional) procurement procedures for the evaluation of needs; </w:t>
      </w:r>
    </w:p>
    <w:p w:rsidR="00311BB8" w:rsidRDefault="00D91061">
      <w:pPr>
        <w:pStyle w:val="AMPRListOrange-L2"/>
        <w:rPr>
          <w:noProof/>
        </w:rPr>
      </w:pPr>
      <w:r>
        <w:rPr>
          <w:noProof/>
        </w:rPr>
        <w:t xml:space="preserve">better estimates of needs for interinstitutional framework contracts and better monitoring with semester consumption reports from user services or agencies. </w:t>
      </w:r>
    </w:p>
    <w:p w:rsidR="00311BB8" w:rsidRDefault="00D91061">
      <w:pPr>
        <w:pStyle w:val="AMPRListOrange-L1"/>
        <w:rPr>
          <w:noProof/>
          <w:lang w:eastAsia="en-GB"/>
        </w:rPr>
      </w:pPr>
      <w:r>
        <w:rPr>
          <w:rStyle w:val="AMPRcharBoldOrange"/>
          <w:noProof/>
        </w:rPr>
        <w:t>Training and improved interservice communication</w:t>
      </w:r>
      <w:r>
        <w:rPr>
          <w:noProof/>
          <w:lang w:eastAsia="en-GB"/>
        </w:rPr>
        <w:t xml:space="preserve"> — DG Budget’s Central Financial Service provides regular practical training sessions on procurement and community of practice sessions.</w:t>
      </w:r>
    </w:p>
    <w:p w:rsidR="00311BB8" w:rsidRDefault="00D91061">
      <w:pPr>
        <w:pStyle w:val="AMPRListOrange-L1"/>
        <w:rPr>
          <w:noProof/>
        </w:rPr>
      </w:pPr>
      <w:r>
        <w:rPr>
          <w:rFonts w:eastAsia="Times New Roman" w:cs="Arial"/>
          <w:noProof/>
          <w:lang w:eastAsia="en-GB"/>
        </w:rPr>
        <w:t xml:space="preserve">Regular update of </w:t>
      </w:r>
      <w:r>
        <w:rPr>
          <w:rStyle w:val="AMPRcharBoldOrange"/>
          <w:noProof/>
        </w:rPr>
        <w:t>standard corporate model documents and guidance documents</w:t>
      </w:r>
      <w:r>
        <w:rPr>
          <w:noProof/>
        </w:rPr>
        <w:t xml:space="preserve"> </w:t>
      </w:r>
      <w:r>
        <w:rPr>
          <w:rFonts w:eastAsia="Times New Roman" w:cs="Arial"/>
          <w:noProof/>
          <w:lang w:eastAsia="en-GB"/>
        </w:rPr>
        <w:t>on procurement.</w:t>
      </w:r>
    </w:p>
    <w:p w:rsidR="00311BB8" w:rsidRDefault="00D91061">
      <w:pPr>
        <w:pStyle w:val="AMPRListOrange-L1"/>
        <w:rPr>
          <w:noProof/>
        </w:rPr>
      </w:pPr>
      <w:r>
        <w:rPr>
          <w:noProof/>
          <w:lang w:eastAsia="en-GB"/>
        </w:rPr>
        <w:t>Building of an end-to-end corporate eProcurement solution.</w:t>
      </w:r>
    </w:p>
    <w:p w:rsidR="00311BB8" w:rsidRDefault="00311BB8">
      <w:pPr>
        <w:pStyle w:val="AMPRBodyText"/>
        <w:rPr>
          <w:noProof/>
          <w:lang w:eastAsia="en-GB"/>
        </w:rPr>
      </w:pPr>
    </w:p>
    <w:p w:rsidR="00311BB8" w:rsidRDefault="00311BB8">
      <w:pPr>
        <w:pStyle w:val="AMPRBodyText"/>
        <w:rPr>
          <w:noProof/>
          <w:lang w:eastAsia="en-GB"/>
        </w:rPr>
        <w:sectPr w:rsidR="00311BB8">
          <w:headerReference w:type="even" r:id="rId128"/>
          <w:headerReference w:type="default" r:id="rId129"/>
          <w:footerReference w:type="even" r:id="rId130"/>
          <w:footerReference w:type="default" r:id="rId131"/>
          <w:headerReference w:type="first" r:id="rId132"/>
          <w:footerReference w:type="first" r:id="rId133"/>
          <w:footnotePr>
            <w:numStart w:val="94"/>
          </w:footnotePr>
          <w:pgSz w:w="11906" w:h="16838" w:code="9"/>
          <w:pgMar w:top="1417" w:right="1417" w:bottom="1134" w:left="1417" w:header="567" w:footer="454" w:gutter="0"/>
          <w:cols w:space="720"/>
          <w:docGrid w:linePitch="360"/>
        </w:sectPr>
      </w:pPr>
    </w:p>
    <w:p w:rsidR="00311BB8" w:rsidRDefault="00311BB8">
      <w:pPr>
        <w:rPr>
          <w:noProof/>
        </w:rPr>
        <w:sectPr w:rsidR="00311BB8">
          <w:headerReference w:type="even" r:id="rId134"/>
          <w:headerReference w:type="default" r:id="rId135"/>
          <w:footerReference w:type="even" r:id="rId136"/>
          <w:footerReference w:type="default" r:id="rId137"/>
          <w:headerReference w:type="first" r:id="rId138"/>
          <w:footerReference w:type="first" r:id="rId139"/>
          <w:footnotePr>
            <w:numStart w:val="94"/>
          </w:footnotePr>
          <w:pgSz w:w="11906" w:h="16838"/>
          <w:pgMar w:top="1417" w:right="1417" w:bottom="1134" w:left="1417" w:header="567" w:footer="454" w:gutter="0"/>
          <w:cols w:space="708"/>
          <w:docGrid w:linePitch="360"/>
        </w:sectPr>
      </w:pPr>
      <w:bookmarkStart w:id="160" w:name="_Toc6304476"/>
      <w:bookmarkStart w:id="161" w:name="_Toc8386228"/>
      <w:bookmarkStart w:id="162" w:name="_Toc11679107"/>
    </w:p>
    <w:p w:rsidR="00311BB8" w:rsidRDefault="00D91061">
      <w:pPr>
        <w:pStyle w:val="AMPRAnnexesTITLE2"/>
        <w:rPr>
          <w:noProof/>
        </w:rPr>
      </w:pPr>
      <w:r>
        <w:rPr>
          <w:noProof/>
        </w:rPr>
        <w:t>Annex</w:t>
      </w:r>
      <w:r>
        <w:rPr>
          <w:rFonts w:ascii="Calibri" w:hAnsi="Calibri" w:cs="Calibri"/>
          <w:noProof/>
        </w:rPr>
        <w:t> </w:t>
      </w:r>
      <w:r>
        <w:rPr>
          <w:noProof/>
        </w:rPr>
        <w:t xml:space="preserve">11: </w:t>
      </w:r>
      <w:r>
        <w:rPr>
          <w:noProof/>
        </w:rPr>
        <w:br/>
        <w:t>EU Trust Funds</w:t>
      </w:r>
      <w:bookmarkEnd w:id="160"/>
      <w:bookmarkEnd w:id="161"/>
      <w:bookmarkEnd w:id="162"/>
    </w:p>
    <w:p w:rsidR="00311BB8" w:rsidRDefault="00D91061">
      <w:pPr>
        <w:pStyle w:val="AMPRBodyText"/>
        <w:rPr>
          <w:rFonts w:eastAsia="Times New Roman" w:cs="Arial"/>
          <w:noProof/>
          <w:lang w:eastAsia="en-GB"/>
        </w:rPr>
      </w:pPr>
      <w:r>
        <w:rPr>
          <w:noProof/>
        </w:rPr>
        <w:t xml:space="preserve">In accordance with </w:t>
      </w:r>
      <w:r>
        <w:rPr>
          <w:rStyle w:val="AMPRcharBoldOrange"/>
          <w:noProof/>
        </w:rPr>
        <w:t>Article</w:t>
      </w:r>
      <w:r>
        <w:rPr>
          <w:rStyle w:val="AMPRcharBoldOrange"/>
          <w:rFonts w:ascii="Calibri" w:hAnsi="Calibri" w:cs="Calibri"/>
          <w:noProof/>
        </w:rPr>
        <w:t> </w:t>
      </w:r>
      <w:r>
        <w:rPr>
          <w:rStyle w:val="AMPRcharBoldOrange"/>
          <w:noProof/>
        </w:rPr>
        <w:t>252 of the financial regulation</w:t>
      </w:r>
      <w:r>
        <w:rPr>
          <w:noProof/>
        </w:rPr>
        <w:t>, this</w:t>
      </w:r>
      <w:r>
        <w:rPr>
          <w:rFonts w:eastAsia="Times New Roman" w:cs="Arial"/>
          <w:noProof/>
          <w:lang w:eastAsia="en-GB"/>
        </w:rPr>
        <w:t xml:space="preserve"> annex contains </w:t>
      </w:r>
      <w:r>
        <w:rPr>
          <w:rStyle w:val="AMPRcharBoldOrange"/>
          <w:noProof/>
        </w:rPr>
        <w:t>a comprehensive and detailed report to the European Parliament and to the Council on the activities supported by European Union Trust Funds and on their implementation and performance, as well as on their accounts</w:t>
      </w:r>
      <w:r>
        <w:rPr>
          <w:rFonts w:eastAsia="Times New Roman" w:cs="Arial"/>
          <w:noProof/>
          <w:lang w:eastAsia="en-GB"/>
        </w:rPr>
        <w:t>.</w:t>
      </w:r>
    </w:p>
    <w:p w:rsidR="00311BB8" w:rsidRDefault="00D91061">
      <w:pPr>
        <w:pStyle w:val="AMPRBodyText"/>
        <w:rPr>
          <w:rFonts w:eastAsia="Times New Roman" w:cs="Arial"/>
          <w:noProof/>
          <w:lang w:eastAsia="en-GB"/>
        </w:rPr>
      </w:pPr>
      <w:r>
        <w:rPr>
          <w:noProof/>
          <w:lang w:eastAsia="en-GB"/>
        </w:rPr>
        <w:t xml:space="preserve">The financial regulation allowed the European Commission to create and administer EU Trust Funds in the field of external action: these are multi-donor trust funds for emergency, post-emergency or thematic actions. </w:t>
      </w:r>
      <w:r>
        <w:rPr>
          <w:rFonts w:eastAsia="Times New Roman" w:cs="Arial"/>
          <w:noProof/>
          <w:lang w:eastAsia="en-GB"/>
        </w:rPr>
        <w:t xml:space="preserve">A trust fund is both a legal arrangement and a distinct financial structure relying on a pool funding mechanism, in which several donors jointly finance an action on the basis of commonly agreed objectives and reporting formats. Trust funds have many advantages, such as flexibility, speed of decision-making and the option of pooling funding from different sources and donors, in addition to the following: </w:t>
      </w:r>
    </w:p>
    <w:p w:rsidR="00311BB8" w:rsidRDefault="00D91061">
      <w:pPr>
        <w:pStyle w:val="AMPRListOrange-L1"/>
        <w:rPr>
          <w:noProof/>
        </w:rPr>
      </w:pPr>
      <w:r>
        <w:rPr>
          <w:noProof/>
        </w:rPr>
        <w:t>EU Trust Funds enhance the international role of the EU and strengthen the visibility and efficiency of its external action and development assistance;</w:t>
      </w:r>
    </w:p>
    <w:p w:rsidR="00311BB8" w:rsidRDefault="00D91061">
      <w:pPr>
        <w:pStyle w:val="AMPRListOrange-L1"/>
        <w:rPr>
          <w:noProof/>
        </w:rPr>
      </w:pPr>
      <w:r>
        <w:rPr>
          <w:noProof/>
        </w:rPr>
        <w:t>a faster decision-making process in the selection of the measures to be implemented in comparison with traditional multiannual programmes devoted to development cooperation</w:t>
      </w:r>
      <w:r>
        <w:rPr>
          <w:rFonts w:ascii="Calibri" w:hAnsi="Calibri" w:cs="Calibri"/>
          <w:noProof/>
        </w:rPr>
        <w:t>;</w:t>
      </w:r>
      <w:r>
        <w:rPr>
          <w:noProof/>
        </w:rPr>
        <w:t xml:space="preserve"> this can prove crucial in emergency and post-emergency actions</w:t>
      </w:r>
      <w:r>
        <w:rPr>
          <w:rFonts w:ascii="Calibri" w:hAnsi="Calibri" w:cs="Calibri"/>
          <w:noProof/>
        </w:rPr>
        <w:t> –</w:t>
      </w:r>
      <w:r>
        <w:rPr>
          <w:noProof/>
        </w:rPr>
        <w:t xml:space="preserve"> the categories of measures (together with thematic actions) for which EU Trust Funds may be established; </w:t>
      </w:r>
    </w:p>
    <w:p w:rsidR="00311BB8" w:rsidRDefault="00D91061">
      <w:pPr>
        <w:pStyle w:val="AMPRListOrange-L1"/>
        <w:rPr>
          <w:noProof/>
        </w:rPr>
      </w:pPr>
      <w:r>
        <w:rPr>
          <w:noProof/>
        </w:rPr>
        <w:t xml:space="preserve">the ability to leverage additional resources to devote to external action, since the establishment of an EU Trust Fund requires at least one additional donor. </w:t>
      </w:r>
    </w:p>
    <w:p w:rsidR="00311BB8" w:rsidRDefault="00D91061">
      <w:pPr>
        <w:pStyle w:val="AMPRBodyText"/>
        <w:rPr>
          <w:noProof/>
        </w:rPr>
      </w:pPr>
      <w:r>
        <w:rPr>
          <w:noProof/>
        </w:rPr>
        <w:t xml:space="preserve">Donors to an EU Trust Fund may be individual Member States as well as other entities. The pooling of resources could also increase coordination between different EU donors in selected areas of intervention, for example if individual Member States decide to channel at least part of their national bilateral assistance through EU Trust Funds. </w:t>
      </w:r>
    </w:p>
    <w:p w:rsidR="00311BB8" w:rsidRDefault="00D91061">
      <w:pPr>
        <w:pStyle w:val="AMPRBodyText"/>
        <w:rPr>
          <w:noProof/>
        </w:rPr>
      </w:pPr>
      <w:r>
        <w:rPr>
          <w:noProof/>
        </w:rPr>
        <w:t xml:space="preserve">In order for an EU Trust Fund to be created, it must meet a number of conditions, including EU added value (i.e. its objectives can be better met at EU level than at national level), additionality (i.e. the trust fund should not duplicate already existing and similar instruments) and managerial advantages. </w:t>
      </w:r>
    </w:p>
    <w:p w:rsidR="00311BB8" w:rsidRDefault="00D91061">
      <w:pPr>
        <w:pStyle w:val="AMPRBodyText"/>
        <w:rPr>
          <w:noProof/>
        </w:rPr>
      </w:pPr>
      <w:r>
        <w:rPr>
          <w:noProof/>
        </w:rPr>
        <w:t>The constitutive act of the EU Trust Fund signed by the European Commission and the donors details some important features of the trust fund, including its specific objectives, the rules for the composition and the internal rules of its board, and the duration of the trust fund, which is always limited. EU Trust Funds have so far all been set up for an initial 60</w:t>
      </w:r>
      <w:r>
        <w:rPr>
          <w:rFonts w:ascii="Calibri" w:hAnsi="Calibri" w:cs="Calibri"/>
          <w:noProof/>
        </w:rPr>
        <w:t> </w:t>
      </w:r>
      <w:r>
        <w:rPr>
          <w:noProof/>
        </w:rPr>
        <w:t>months (5</w:t>
      </w:r>
      <w:r>
        <w:rPr>
          <w:rFonts w:ascii="Calibri" w:hAnsi="Calibri" w:cs="Calibri"/>
          <w:noProof/>
        </w:rPr>
        <w:t> </w:t>
      </w:r>
      <w:r>
        <w:rPr>
          <w:noProof/>
        </w:rPr>
        <w:t>years), apart from the EU Trust Fund for Colombia, which was set up (in December 2016) for 4</w:t>
      </w:r>
      <w:r>
        <w:rPr>
          <w:rFonts w:ascii="Calibri" w:hAnsi="Calibri" w:cs="Calibri"/>
          <w:noProof/>
        </w:rPr>
        <w:t> </w:t>
      </w:r>
      <w:r>
        <w:rPr>
          <w:noProof/>
        </w:rPr>
        <w:t>years. All current EU Trust Funds have a closure date by the end of 2020. However, existing projects will still continue until the end of 2023 or 2024.</w:t>
      </w:r>
    </w:p>
    <w:p w:rsidR="00311BB8" w:rsidRDefault="00D91061">
      <w:pPr>
        <w:pStyle w:val="AMPRBodyText"/>
        <w:rPr>
          <w:noProof/>
        </w:rPr>
      </w:pPr>
      <w:r>
        <w:rPr>
          <w:noProof/>
        </w:rPr>
        <w:t xml:space="preserve">Financial contributions to an EU Trust Fund are placed in a specific bank account. EU Trust Funds are not integrated into the EU budget, but their management needs to be in accordance with the financial regulation to the extent necessary to ensure proper use of public resources. The European Commission is empowered to adopt delegated acts laying down detailed rules on the management, governance and reporting of the EU Trust Funds. </w:t>
      </w:r>
    </w:p>
    <w:p w:rsidR="00311BB8" w:rsidRDefault="00D91061">
      <w:pPr>
        <w:pStyle w:val="AMPRBodyText"/>
        <w:rPr>
          <w:noProof/>
        </w:rPr>
      </w:pPr>
      <w:r>
        <w:rPr>
          <w:noProof/>
        </w:rPr>
        <w:t>EU Trust Funds are implemented directly by the European Commission, which is authorised to use up to 5% of the resources pooled in a trust fund to cover its management costs. In the case of emergency or post-emergency EU Trust Funds, budget implementation may also be indirect, with the option to entrust relevant tasks to other entities, such as non-EU countries and their designated bodies or international organisations and their agencies. In addition to the specific objectives of a given trust fund, implementation must comply with the principles of sound financial management, transparency, proportionality, non-discrimination and equal treatment.</w:t>
      </w:r>
    </w:p>
    <w:p w:rsidR="00311BB8" w:rsidRDefault="00D91061">
      <w:pPr>
        <w:pStyle w:val="AMPRBodyText"/>
        <w:rPr>
          <w:noProof/>
        </w:rPr>
      </w:pPr>
      <w:r>
        <w:rPr>
          <w:noProof/>
        </w:rPr>
        <w:t xml:space="preserve">Each EU Trust Fund has its own governing board, which decides on the use of the pooled resources. The board ensures the representation of the donors and is chaired by the European Commission, whose positive vote is required for the final decision on the use of the resources. Member States that do not contribute to the trust fund along with the European Parliament are invited to participate as observers. An EU Trust Fund acts collectively on behalf of the EU and all the contributors to its financing. </w:t>
      </w:r>
    </w:p>
    <w:p w:rsidR="00311BB8" w:rsidRDefault="00D91061">
      <w:pPr>
        <w:pStyle w:val="AMPRBodyText"/>
        <w:rPr>
          <w:noProof/>
          <w:lang w:eastAsia="en-GB"/>
        </w:rPr>
      </w:pPr>
      <w:r>
        <w:rPr>
          <w:noProof/>
          <w:lang w:eastAsia="en-GB"/>
        </w:rPr>
        <w:t xml:space="preserve">As far as control and audit mechanisms are concerned, the provisions of the financial regulation and its rules of application include a series of safeguards. For example, each year EU Trust Funds are subject to an independent external audit. In addition, the powers of the European Court of Auditors and of the Commission’s internal auditor over EU Trust Funds are the same as those they exercise over the other activities of the European Commission. </w:t>
      </w:r>
    </w:p>
    <w:p w:rsidR="00311BB8" w:rsidRDefault="00D91061">
      <w:pPr>
        <w:pStyle w:val="AMPRBodyText"/>
        <w:rPr>
          <w:noProof/>
          <w:lang w:eastAsia="en-GB"/>
        </w:rPr>
      </w:pPr>
      <w:r>
        <w:rPr>
          <w:noProof/>
          <w:lang w:eastAsia="en-GB"/>
        </w:rPr>
        <w:t xml:space="preserve">With regard to reporting obligations, the European Commission is to submit an annual report on each EU Trust Fund to the European Parliament and to the Council. The annual report must be exhaustive and include detailed information on the activities supported by the trust fund, their implementation and their performance, as well as their accounts. The Commission also reports on a monthly basis to the European Parliament and to the Council on the budgetary implementation of the EU Trust Funds. </w:t>
      </w:r>
    </w:p>
    <w:p w:rsidR="00311BB8" w:rsidRDefault="00D91061">
      <w:pPr>
        <w:pStyle w:val="AMPRBodyText"/>
        <w:rPr>
          <w:noProof/>
          <w:lang w:eastAsia="en-GB"/>
        </w:rPr>
      </w:pPr>
      <w:r>
        <w:rPr>
          <w:noProof/>
          <w:lang w:eastAsia="en-GB"/>
        </w:rPr>
        <w:t>The following EU Trust Funds have been established.</w:t>
      </w:r>
    </w:p>
    <w:p w:rsidR="00311BB8" w:rsidRDefault="00D91061">
      <w:pPr>
        <w:pStyle w:val="AMPRListOrange-L1"/>
        <w:rPr>
          <w:rFonts w:asciiTheme="minorHAnsi" w:hAnsiTheme="minorHAnsi"/>
          <w:noProof/>
        </w:rPr>
      </w:pPr>
      <w:r>
        <w:rPr>
          <w:rStyle w:val="AMPRcharBold"/>
          <w:noProof/>
        </w:rPr>
        <w:t>European Union Trust Fund for the Central African Republic.</w:t>
      </w:r>
      <w:r>
        <w:rPr>
          <w:rFonts w:asciiTheme="minorHAnsi" w:hAnsiTheme="minorHAnsi"/>
          <w:noProof/>
        </w:rPr>
        <w:t xml:space="preserve"> </w:t>
      </w:r>
      <w:r>
        <w:rPr>
          <w:noProof/>
        </w:rPr>
        <w:t>‘The Bêk</w:t>
      </w:r>
      <w:r>
        <w:rPr>
          <w:rFonts w:asciiTheme="minorHAnsi" w:hAnsiTheme="minorHAnsi"/>
          <w:noProof/>
        </w:rPr>
        <w:t>ou Trust Fund’;</w:t>
      </w:r>
      <w:r>
        <w:rPr>
          <w:rFonts w:asciiTheme="minorHAnsi" w:hAnsiTheme="minorHAnsi" w:cs="Calibri"/>
          <w:noProof/>
        </w:rPr>
        <w:t xml:space="preserve"> </w:t>
      </w:r>
      <w:r>
        <w:rPr>
          <w:rFonts w:asciiTheme="minorHAnsi" w:hAnsiTheme="minorHAnsi"/>
          <w:noProof/>
        </w:rPr>
        <w:t>established in 2014.</w:t>
      </w:r>
    </w:p>
    <w:p w:rsidR="00311BB8" w:rsidRDefault="00D91061">
      <w:pPr>
        <w:pStyle w:val="AMPRListOrange-L1"/>
        <w:rPr>
          <w:rFonts w:asciiTheme="minorHAnsi" w:hAnsiTheme="minorHAnsi"/>
          <w:noProof/>
        </w:rPr>
      </w:pPr>
      <w:r>
        <w:rPr>
          <w:rStyle w:val="AMPRcharBold"/>
          <w:noProof/>
        </w:rPr>
        <w:t>European Union Regional Trust Fund in Response to the Syrian Crisis.</w:t>
      </w:r>
      <w:r>
        <w:rPr>
          <w:rFonts w:asciiTheme="minorHAnsi" w:hAnsiTheme="minorHAnsi" w:cs="Calibri"/>
          <w:noProof/>
        </w:rPr>
        <w:t xml:space="preserve"> </w:t>
      </w:r>
      <w:r>
        <w:rPr>
          <w:rFonts w:asciiTheme="minorHAnsi" w:hAnsiTheme="minorHAnsi"/>
          <w:noProof/>
        </w:rPr>
        <w:t>Established in 2014.</w:t>
      </w:r>
    </w:p>
    <w:p w:rsidR="00311BB8" w:rsidRDefault="00D91061">
      <w:pPr>
        <w:pStyle w:val="AMPRListOrange-L1"/>
        <w:rPr>
          <w:rFonts w:asciiTheme="minorHAnsi" w:hAnsiTheme="minorHAnsi"/>
          <w:noProof/>
        </w:rPr>
      </w:pPr>
      <w:r>
        <w:rPr>
          <w:rStyle w:val="AMPRcharBold"/>
          <w:noProof/>
        </w:rPr>
        <w:t>European Union Emergency Trust Fund for Stability and Addressing Root Causes of Irregular Migration and Displaced Persons in Africa.</w:t>
      </w:r>
      <w:r>
        <w:rPr>
          <w:rFonts w:asciiTheme="minorHAnsi" w:hAnsiTheme="minorHAnsi"/>
          <w:noProof/>
        </w:rPr>
        <w:t xml:space="preserve"> </w:t>
      </w:r>
      <w:r>
        <w:rPr>
          <w:noProof/>
        </w:rPr>
        <w:t xml:space="preserve">‘The </w:t>
      </w:r>
      <w:r>
        <w:rPr>
          <w:rFonts w:asciiTheme="minorHAnsi" w:hAnsiTheme="minorHAnsi"/>
          <w:noProof/>
        </w:rPr>
        <w:t>Africa Trust Fund’;</w:t>
      </w:r>
      <w:r>
        <w:rPr>
          <w:rFonts w:asciiTheme="minorHAnsi" w:hAnsiTheme="minorHAnsi" w:cs="Calibri"/>
          <w:noProof/>
        </w:rPr>
        <w:t xml:space="preserve"> </w:t>
      </w:r>
      <w:r>
        <w:rPr>
          <w:rFonts w:asciiTheme="minorHAnsi" w:hAnsiTheme="minorHAnsi"/>
          <w:noProof/>
        </w:rPr>
        <w:t>established in 2015.</w:t>
      </w:r>
    </w:p>
    <w:p w:rsidR="00311BB8" w:rsidRDefault="00D91061">
      <w:pPr>
        <w:pStyle w:val="AMPRListOrange-L1"/>
        <w:rPr>
          <w:rFonts w:asciiTheme="minorHAnsi" w:hAnsiTheme="minorHAnsi"/>
          <w:noProof/>
        </w:rPr>
      </w:pPr>
      <w:r>
        <w:rPr>
          <w:rStyle w:val="AMPRcharBold"/>
          <w:noProof/>
        </w:rPr>
        <w:t>European Union Trust Fund for Colombia.</w:t>
      </w:r>
      <w:r>
        <w:rPr>
          <w:rFonts w:asciiTheme="minorHAnsi" w:hAnsiTheme="minorHAnsi"/>
          <w:noProof/>
        </w:rPr>
        <w:t xml:space="preserve"> </w:t>
      </w:r>
      <w:r>
        <w:rPr>
          <w:noProof/>
        </w:rPr>
        <w:t>‘The Co</w:t>
      </w:r>
      <w:r>
        <w:rPr>
          <w:rFonts w:asciiTheme="minorHAnsi" w:hAnsiTheme="minorHAnsi"/>
          <w:noProof/>
        </w:rPr>
        <w:t>lombia Trust Fund’;</w:t>
      </w:r>
      <w:r>
        <w:rPr>
          <w:rFonts w:asciiTheme="minorHAnsi" w:hAnsiTheme="minorHAnsi" w:cs="Calibri"/>
          <w:noProof/>
        </w:rPr>
        <w:t xml:space="preserve"> </w:t>
      </w:r>
      <w:r>
        <w:rPr>
          <w:rFonts w:asciiTheme="minorHAnsi" w:hAnsiTheme="minorHAnsi"/>
          <w:noProof/>
        </w:rPr>
        <w:t xml:space="preserve">established in 2016. </w:t>
      </w:r>
    </w:p>
    <w:p w:rsidR="00311BB8" w:rsidRDefault="00D91061">
      <w:pPr>
        <w:pStyle w:val="AMPRAnnexesTITLE3"/>
        <w:rPr>
          <w:noProof/>
        </w:rPr>
      </w:pPr>
      <w:r>
        <w:rPr>
          <w:noProof/>
        </w:rPr>
        <w:t xml:space="preserve">The Bêkou Trust Fund </w:t>
      </w:r>
    </w:p>
    <w:p w:rsidR="00311BB8" w:rsidRDefault="00D91061">
      <w:pPr>
        <w:pStyle w:val="AMPRBodyText"/>
        <w:rPr>
          <w:noProof/>
        </w:rPr>
      </w:pPr>
      <w:r>
        <w:rPr>
          <w:noProof/>
        </w:rPr>
        <w:t>The Bêkou Trust Fund (‘bêkou’ meaning ‘hope’ in Sango, the primary language spoken in the Central African Republic) was established on 15</w:t>
      </w:r>
      <w:r>
        <w:rPr>
          <w:rFonts w:ascii="Calibri" w:hAnsi="Calibri" w:cs="Calibri"/>
          <w:noProof/>
        </w:rPr>
        <w:t> </w:t>
      </w:r>
      <w:r>
        <w:rPr>
          <w:noProof/>
        </w:rPr>
        <w:t xml:space="preserve">July 2014 by the European Union (represented by the Commission’s DG International Cooperation and Development and DG European Civil Protection and Humanitarian Aid Operations and by the European External Action Service) and three of its Member States: Germany, France and the Netherlands. The fund was established with the objective of supporting all aspects of the country’s exit from crisis and its reconstruction efforts. Furthermore it was designed, taking into consideration the need to better link the reconstruction/development programmes with the humanitarian response (bringing together relief, rehabilitation and development), to rebuild the capacity of the country. </w:t>
      </w:r>
    </w:p>
    <w:p w:rsidR="00311BB8" w:rsidRDefault="00D91061">
      <w:pPr>
        <w:pStyle w:val="AMPRBodyText"/>
        <w:rPr>
          <w:noProof/>
        </w:rPr>
      </w:pPr>
      <w:r>
        <w:rPr>
          <w:noProof/>
        </w:rPr>
        <w:t>By 31</w:t>
      </w:r>
      <w:r>
        <w:rPr>
          <w:rFonts w:ascii="Calibri" w:hAnsi="Calibri" w:cs="Calibri"/>
          <w:noProof/>
        </w:rPr>
        <w:t> </w:t>
      </w:r>
      <w:r>
        <w:rPr>
          <w:noProof/>
        </w:rPr>
        <w:t>December 2019, France, Germany, Italy, the Netherlands and Switzerland had contributed to this EU Trust Fund. The total amount of pledges from external donors, the European Development Fund and the EU budget reached over EUR</w:t>
      </w:r>
      <w:r>
        <w:rPr>
          <w:rFonts w:ascii="Calibri" w:hAnsi="Calibri" w:cs="Calibri"/>
          <w:noProof/>
        </w:rPr>
        <w:t> </w:t>
      </w:r>
      <w:r>
        <w:rPr>
          <w:noProof/>
        </w:rPr>
        <w:t>295</w:t>
      </w:r>
      <w:r>
        <w:rPr>
          <w:rFonts w:ascii="Calibri" w:hAnsi="Calibri" w:cs="Calibri"/>
          <w:noProof/>
        </w:rPr>
        <w:t> </w:t>
      </w:r>
      <w:r>
        <w:rPr>
          <w:noProof/>
        </w:rPr>
        <w:t xml:space="preserve">million. </w:t>
      </w:r>
    </w:p>
    <w:p w:rsidR="00311BB8" w:rsidRDefault="00D91061">
      <w:pPr>
        <w:pStyle w:val="AMPRBodyText"/>
        <w:rPr>
          <w:noProof/>
        </w:rPr>
      </w:pPr>
      <w:r>
        <w:rPr>
          <w:noProof/>
        </w:rPr>
        <w:t>The priority sectors that the trust fund supports include basic services, notably in health, agricultural development, the restoration of national and local administrations, economic recovery and reconciliation within Central African society. By the end of 2019, the Bêkou Trust Fund had funded actions of a total value of EUR</w:t>
      </w:r>
      <w:r>
        <w:rPr>
          <w:rFonts w:ascii="Calibri" w:hAnsi="Calibri" w:cs="Calibri"/>
          <w:noProof/>
        </w:rPr>
        <w:t> </w:t>
      </w:r>
      <w:r>
        <w:rPr>
          <w:noProof/>
        </w:rPr>
        <w:t>253</w:t>
      </w:r>
      <w:r>
        <w:rPr>
          <w:rFonts w:ascii="Calibri" w:hAnsi="Calibri" w:cs="Calibri"/>
          <w:noProof/>
        </w:rPr>
        <w:t> </w:t>
      </w:r>
      <w:r>
        <w:rPr>
          <w:noProof/>
        </w:rPr>
        <w:t>million in commitments.</w:t>
      </w:r>
    </w:p>
    <w:p w:rsidR="00311BB8" w:rsidRDefault="00D91061">
      <w:pPr>
        <w:pStyle w:val="AMPRBodyText"/>
        <w:rPr>
          <w:noProof/>
        </w:rPr>
      </w:pPr>
      <w:r>
        <w:rPr>
          <w:noProof/>
        </w:rPr>
        <w:t>Furthermore, the Court of Auditors published a special report in which it assessed the justification for the establishment of the fund, its management and the achievement of its objectives so far. Despite a limited number of shortcomings, it concluded that the decision to set up the fund was appropriate under the given circumstances. It should be noted that this was the first EU Trust Fund ever set up. The Court recommended the Commission to develop further guidance on the choice of aid vehicle, to improve donor coordination, selection procedures and performance measurement and to optimise administrative costs.</w:t>
      </w:r>
    </w:p>
    <w:p w:rsidR="00311BB8" w:rsidRDefault="00D91061">
      <w:pPr>
        <w:pStyle w:val="AMPRAnnexesTITLE3"/>
        <w:rPr>
          <w:noProof/>
        </w:rPr>
      </w:pPr>
      <w:r>
        <w:rPr>
          <w:noProof/>
        </w:rPr>
        <w:t xml:space="preserve">The Syrian Crisis Trust Fund </w:t>
      </w:r>
    </w:p>
    <w:p w:rsidR="00311BB8" w:rsidRDefault="00D91061">
      <w:pPr>
        <w:pStyle w:val="AMPRBodyText"/>
        <w:rPr>
          <w:noProof/>
        </w:rPr>
      </w:pPr>
      <w:r>
        <w:rPr>
          <w:noProof/>
        </w:rPr>
        <w:t>The EU Regional Trust Fund in Response to the Syrian Crisis was established on 15</w:t>
      </w:r>
      <w:r>
        <w:rPr>
          <w:rFonts w:ascii="Calibri" w:hAnsi="Calibri" w:cs="Calibri"/>
          <w:noProof/>
        </w:rPr>
        <w:t> </w:t>
      </w:r>
      <w:r>
        <w:rPr>
          <w:noProof/>
        </w:rPr>
        <w:t>December 2014.</w:t>
      </w:r>
    </w:p>
    <w:p w:rsidR="00311BB8" w:rsidRDefault="00D91061">
      <w:pPr>
        <w:pStyle w:val="AMPRBodyText"/>
        <w:rPr>
          <w:noProof/>
        </w:rPr>
      </w:pPr>
      <w:r>
        <w:rPr>
          <w:noProof/>
        </w:rPr>
        <w:t xml:space="preserve">By way of a revised Commission establishment decision in December 2015, and subsequent adoption by the Trust Fund Board in March 2016, the scope of the trust fund has been expanded to also cover support to internally displaced persons in Iraq fleeing the crisis involving Iraq, Syria and Da’esh, to provide flexibility to also support affected countries with hosting non-Syrian refugees, and to provide support in the western Balkans to non-EU countries affected by the refugee crisis. </w:t>
      </w:r>
    </w:p>
    <w:p w:rsidR="00311BB8" w:rsidRDefault="00D91061">
      <w:pPr>
        <w:pStyle w:val="AMPRBodyText"/>
        <w:rPr>
          <w:noProof/>
        </w:rPr>
      </w:pPr>
      <w:r>
        <w:rPr>
          <w:noProof/>
        </w:rPr>
        <w:t>At the end of 2019, the following donors contributed to the trust fund: the EU budget, 22 Member States and one non-EU country, with the amount of the total contributions made available reaching EUR</w:t>
      </w:r>
      <w:r>
        <w:rPr>
          <w:rFonts w:ascii="Calibri" w:hAnsi="Calibri" w:cs="Calibri"/>
          <w:noProof/>
        </w:rPr>
        <w:t> </w:t>
      </w:r>
      <w:r>
        <w:rPr>
          <w:noProof/>
        </w:rPr>
        <w:t>1.9</w:t>
      </w:r>
      <w:r>
        <w:rPr>
          <w:rFonts w:ascii="Calibri" w:hAnsi="Calibri" w:cs="Calibri"/>
          <w:noProof/>
        </w:rPr>
        <w:t> </w:t>
      </w:r>
      <w:r>
        <w:rPr>
          <w:noProof/>
        </w:rPr>
        <w:t>billion. By the end of 2019 the contributions from the EU budget amounted to more than EUR</w:t>
      </w:r>
      <w:r>
        <w:rPr>
          <w:rFonts w:ascii="Calibri" w:hAnsi="Calibri" w:cs="Calibri"/>
          <w:noProof/>
        </w:rPr>
        <w:t> </w:t>
      </w:r>
      <w:r>
        <w:rPr>
          <w:noProof/>
        </w:rPr>
        <w:t>1.7</w:t>
      </w:r>
      <w:r>
        <w:rPr>
          <w:rFonts w:ascii="Calibri" w:hAnsi="Calibri" w:cs="Calibri"/>
          <w:noProof/>
        </w:rPr>
        <w:t> </w:t>
      </w:r>
      <w:r>
        <w:rPr>
          <w:noProof/>
        </w:rPr>
        <w:t>billion, while the contributions received from Member States and other donors amounted to EUR</w:t>
      </w:r>
      <w:r>
        <w:rPr>
          <w:rFonts w:ascii="Calibri" w:hAnsi="Calibri" w:cs="Calibri"/>
          <w:noProof/>
        </w:rPr>
        <w:t> </w:t>
      </w:r>
      <w:r>
        <w:rPr>
          <w:noProof/>
        </w:rPr>
        <w:t>190</w:t>
      </w:r>
      <w:r>
        <w:rPr>
          <w:rFonts w:ascii="Calibri" w:hAnsi="Calibri" w:cs="Calibri"/>
          <w:noProof/>
        </w:rPr>
        <w:t> </w:t>
      </w:r>
      <w:r>
        <w:rPr>
          <w:noProof/>
        </w:rPr>
        <w:t>million, including EUR</w:t>
      </w:r>
      <w:r>
        <w:rPr>
          <w:rFonts w:ascii="Calibri" w:hAnsi="Calibri" w:cs="Calibri"/>
          <w:noProof/>
        </w:rPr>
        <w:t> </w:t>
      </w:r>
      <w:r>
        <w:rPr>
          <w:noProof/>
        </w:rPr>
        <w:t>24.7</w:t>
      </w:r>
      <w:r>
        <w:rPr>
          <w:rFonts w:ascii="Calibri" w:hAnsi="Calibri" w:cs="Calibri"/>
          <w:noProof/>
        </w:rPr>
        <w:t> </w:t>
      </w:r>
      <w:r>
        <w:rPr>
          <w:noProof/>
        </w:rPr>
        <w:t>million from Turkey. Projects are mainly focusing on education, livelihoods and health, covering a total of EUR</w:t>
      </w:r>
      <w:r>
        <w:rPr>
          <w:rFonts w:ascii="Calibri" w:hAnsi="Calibri" w:cs="Calibri"/>
          <w:noProof/>
        </w:rPr>
        <w:t> </w:t>
      </w:r>
      <w:r>
        <w:rPr>
          <w:noProof/>
        </w:rPr>
        <w:t>1.9</w:t>
      </w:r>
      <w:r>
        <w:rPr>
          <w:rFonts w:ascii="Calibri" w:hAnsi="Calibri" w:cs="Calibri"/>
          <w:noProof/>
        </w:rPr>
        <w:t> </w:t>
      </w:r>
      <w:r>
        <w:rPr>
          <w:noProof/>
        </w:rPr>
        <w:t>billion, of which EUR</w:t>
      </w:r>
      <w:r>
        <w:rPr>
          <w:rFonts w:ascii="Calibri" w:hAnsi="Calibri" w:cs="Calibri"/>
          <w:noProof/>
        </w:rPr>
        <w:t> </w:t>
      </w:r>
      <w:r>
        <w:rPr>
          <w:noProof/>
        </w:rPr>
        <w:t>1.5</w:t>
      </w:r>
      <w:r>
        <w:rPr>
          <w:rFonts w:ascii="Calibri" w:hAnsi="Calibri" w:cs="Calibri"/>
          <w:noProof/>
        </w:rPr>
        <w:t> </w:t>
      </w:r>
      <w:r>
        <w:rPr>
          <w:noProof/>
        </w:rPr>
        <w:t>billion has been contracted to the trust fund’s implementing partners on the ground. The main benefiting region and countries are the Middle East (receiving 42% of total contracted amount) and Turkey (19%), Lebanon (18%) and Jordan (12%).</w:t>
      </w:r>
    </w:p>
    <w:p w:rsidR="00311BB8" w:rsidRDefault="00D91061">
      <w:pPr>
        <w:pStyle w:val="AMPRBodyText"/>
        <w:rPr>
          <w:noProof/>
        </w:rPr>
      </w:pPr>
      <w:r>
        <w:rPr>
          <w:noProof/>
        </w:rPr>
        <w:t xml:space="preserve">The trust fund has also been an important implementation channel for the Facility for Refugees in Turkey, with some 5% of the facility’s budget having been funnelled via the trust fund. </w:t>
      </w:r>
    </w:p>
    <w:p w:rsidR="00311BB8" w:rsidRDefault="00D91061">
      <w:pPr>
        <w:pStyle w:val="AMPRBodyText"/>
        <w:rPr>
          <w:noProof/>
        </w:rPr>
      </w:pPr>
      <w:r>
        <w:rPr>
          <w:noProof/>
        </w:rPr>
        <w:t xml:space="preserve">These programmes support the needs of refugees and host communities for basic education and child protection, training and higher education, better access to healthcare and improved water and waste-water infrastructure, along with supporting projects promoting resilience, economic opportunities and social inclusion. </w:t>
      </w:r>
    </w:p>
    <w:p w:rsidR="00311BB8" w:rsidRDefault="00D91061">
      <w:pPr>
        <w:pStyle w:val="AMPRAnnexesTITLE3"/>
        <w:rPr>
          <w:noProof/>
        </w:rPr>
      </w:pPr>
      <w:r>
        <w:rPr>
          <w:noProof/>
        </w:rPr>
        <w:t xml:space="preserve">The Africa Trust Fund </w:t>
      </w:r>
    </w:p>
    <w:p w:rsidR="00311BB8" w:rsidRDefault="00D91061">
      <w:pPr>
        <w:pStyle w:val="AMPRBodyText"/>
        <w:rPr>
          <w:noProof/>
        </w:rPr>
      </w:pPr>
      <w:r>
        <w:rPr>
          <w:noProof/>
        </w:rPr>
        <w:t>The EU Trust Fund for Africa was established on 12</w:t>
      </w:r>
      <w:r>
        <w:rPr>
          <w:rFonts w:ascii="Calibri" w:hAnsi="Calibri" w:cs="Calibri"/>
          <w:noProof/>
        </w:rPr>
        <w:t> </w:t>
      </w:r>
      <w:r>
        <w:rPr>
          <w:noProof/>
        </w:rPr>
        <w:t xml:space="preserve">November 2015. It provides a rapid, flexible and effective response to root causes of irregular migration and displaced persons in Africa as well as to the crisis in the regions of the Sahel and Lake Chad, the Horn of Africa and North Africa. It has since been extended to Côte d’Ivoire, Ghana and Guinea. </w:t>
      </w:r>
    </w:p>
    <w:p w:rsidR="00311BB8" w:rsidRDefault="00D91061">
      <w:pPr>
        <w:pStyle w:val="AMPRBodyText"/>
        <w:rPr>
          <w:noProof/>
        </w:rPr>
      </w:pPr>
      <w:r>
        <w:rPr>
          <w:noProof/>
        </w:rPr>
        <w:t xml:space="preserve">It aims to help foster stability and contribute to better migration management. In line with the EU’s development-led approach to forced displacement, it also helps address the root causes of destabilisation, forced displacement and irregular migration by promoting economic and equal opportunities, security and development. </w:t>
      </w:r>
    </w:p>
    <w:p w:rsidR="00311BB8" w:rsidRDefault="00D91061">
      <w:pPr>
        <w:pStyle w:val="AMPRBodyText"/>
        <w:rPr>
          <w:noProof/>
        </w:rPr>
      </w:pPr>
      <w:r>
        <w:rPr>
          <w:noProof/>
        </w:rPr>
        <w:t xml:space="preserve">The EU provides support to the three regions to face the growing challenges of demographic pressure, environmental stress, extreme poverty, internal tensions, institutional weaknesses, weak social and economic infrastructures and insufficient resilience to food crises, which have in some places led to open conflict, displacement, criminality, radicalisation and violent extremism, along with irregular migration, trafficking in human beings and the smuggling of migrants. </w:t>
      </w:r>
    </w:p>
    <w:p w:rsidR="00311BB8" w:rsidRDefault="00D91061">
      <w:pPr>
        <w:pStyle w:val="AMPRBodyText"/>
        <w:rPr>
          <w:noProof/>
        </w:rPr>
      </w:pPr>
      <w:r>
        <w:rPr>
          <w:noProof/>
        </w:rPr>
        <w:t>The EU Trust Fund for Africa benefits a comprehensive group of African countries crossed by the major migration routes. These countries are part of the following regional operational windows.</w:t>
      </w:r>
    </w:p>
    <w:p w:rsidR="00311BB8" w:rsidRDefault="00D91061">
      <w:pPr>
        <w:pStyle w:val="AMPRListOrange-L1"/>
        <w:rPr>
          <w:noProof/>
        </w:rPr>
      </w:pPr>
      <w:r>
        <w:rPr>
          <w:rStyle w:val="AMPRcharBold"/>
          <w:noProof/>
        </w:rPr>
        <w:t>Window A.</w:t>
      </w:r>
      <w:r>
        <w:rPr>
          <w:noProof/>
        </w:rPr>
        <w:t xml:space="preserve"> The Sahel and Lake Chad: Burkina Faso, Cameroon, Chad, Côte d’Ivoire, Ghana, Guinea, Mali, Mauritania, Niger, Nigeria, Senegal and The Gambia.</w:t>
      </w:r>
    </w:p>
    <w:p w:rsidR="00311BB8" w:rsidRDefault="00D91061">
      <w:pPr>
        <w:pStyle w:val="AMPRListOrange-L1"/>
        <w:rPr>
          <w:noProof/>
        </w:rPr>
      </w:pPr>
      <w:r>
        <w:rPr>
          <w:rStyle w:val="AMPRcharBold"/>
          <w:noProof/>
        </w:rPr>
        <w:t>Window B.</w:t>
      </w:r>
      <w:r>
        <w:rPr>
          <w:noProof/>
        </w:rPr>
        <w:t xml:space="preserve"> The Horn of Africa: Djibouti, Eritrea, Ethiopia, Kenya, Somalia, South Sudan, Sudan, Tanzania and Uganda.</w:t>
      </w:r>
    </w:p>
    <w:p w:rsidR="00311BB8" w:rsidRDefault="00D91061">
      <w:pPr>
        <w:pStyle w:val="AMPRListOrange-L1"/>
        <w:rPr>
          <w:noProof/>
        </w:rPr>
      </w:pPr>
      <w:r>
        <w:rPr>
          <w:rStyle w:val="AMPRcharBold"/>
          <w:noProof/>
        </w:rPr>
        <w:t>Window C.</w:t>
      </w:r>
      <w:r>
        <w:rPr>
          <w:noProof/>
        </w:rPr>
        <w:t xml:space="preserve"> North Africa: Algeria, Egypt, Libya, Morocco and Tunisia. </w:t>
      </w:r>
    </w:p>
    <w:p w:rsidR="00311BB8" w:rsidRDefault="00D91061">
      <w:pPr>
        <w:pStyle w:val="AMPRBodyText"/>
        <w:rPr>
          <w:noProof/>
        </w:rPr>
      </w:pPr>
      <w:r>
        <w:rPr>
          <w:noProof/>
        </w:rPr>
        <w:t xml:space="preserve">In addition to the countries mentioned above, neighbouring African countries may also benefit, on a case-by-case basis, from EU Trust Fund for Africa projects with a regional dimension, in order to address regional migration flows and related cross-border challenges. </w:t>
      </w:r>
    </w:p>
    <w:p w:rsidR="00311BB8" w:rsidRDefault="00D91061">
      <w:pPr>
        <w:pStyle w:val="AMPRBodyText"/>
        <w:rPr>
          <w:noProof/>
        </w:rPr>
      </w:pPr>
      <w:r>
        <w:rPr>
          <w:noProof/>
        </w:rPr>
        <w:t xml:space="preserve">Activities funded under the EU Trust Fund for Africa are being implemented through a range of operating partners, including EU Member States cooperation agencies, non-governmental organisations and international organisations. Several implementation modalities have been envisaged: delegated cooperation, calls for proposals, budget support, blending and direct awards in particular situations. The priorities of the EU Trust Fund for Africa have been identified through a dialogue with African partners and relevant local, national and regional stakeholders. </w:t>
      </w:r>
    </w:p>
    <w:p w:rsidR="00311BB8" w:rsidRDefault="00D91061">
      <w:pPr>
        <w:pStyle w:val="AMPRBodyText"/>
        <w:rPr>
          <w:noProof/>
        </w:rPr>
      </w:pPr>
      <w:r>
        <w:rPr>
          <w:noProof/>
        </w:rPr>
        <w:t>As of 31</w:t>
      </w:r>
      <w:r>
        <w:rPr>
          <w:rFonts w:ascii="Calibri" w:hAnsi="Calibri" w:cs="Calibri"/>
          <w:noProof/>
        </w:rPr>
        <w:t> </w:t>
      </w:r>
      <w:r>
        <w:rPr>
          <w:noProof/>
        </w:rPr>
        <w:t>December 2019, nearly EUR</w:t>
      </w:r>
      <w:r>
        <w:rPr>
          <w:rFonts w:ascii="Calibri" w:hAnsi="Calibri" w:cs="Calibri"/>
          <w:noProof/>
        </w:rPr>
        <w:t> </w:t>
      </w:r>
      <w:r>
        <w:rPr>
          <w:noProof/>
        </w:rPr>
        <w:t>4.7</w:t>
      </w:r>
      <w:r>
        <w:rPr>
          <w:rFonts w:ascii="Calibri" w:hAnsi="Calibri" w:cs="Calibri"/>
          <w:noProof/>
        </w:rPr>
        <w:t> </w:t>
      </w:r>
      <w:r>
        <w:rPr>
          <w:noProof/>
        </w:rPr>
        <w:t>billion has been made available for commitments, of which EUR</w:t>
      </w:r>
      <w:r>
        <w:rPr>
          <w:rFonts w:ascii="Calibri" w:hAnsi="Calibri" w:cs="Calibri"/>
          <w:noProof/>
        </w:rPr>
        <w:t> </w:t>
      </w:r>
      <w:r>
        <w:rPr>
          <w:noProof/>
        </w:rPr>
        <w:t>4.2</w:t>
      </w:r>
      <w:r>
        <w:rPr>
          <w:rFonts w:ascii="Calibri" w:hAnsi="Calibri" w:cs="Calibri"/>
          <w:noProof/>
        </w:rPr>
        <w:t> </w:t>
      </w:r>
      <w:r>
        <w:rPr>
          <w:noProof/>
        </w:rPr>
        <w:t>billion, or 90%, has been committed, with a split of nearly EUR</w:t>
      </w:r>
      <w:r>
        <w:rPr>
          <w:rFonts w:ascii="Calibri" w:hAnsi="Calibri" w:cs="Calibri"/>
          <w:noProof/>
        </w:rPr>
        <w:t> </w:t>
      </w:r>
      <w:r>
        <w:rPr>
          <w:noProof/>
        </w:rPr>
        <w:t>1.9</w:t>
      </w:r>
      <w:r>
        <w:rPr>
          <w:rFonts w:ascii="Calibri" w:hAnsi="Calibri" w:cs="Calibri"/>
          <w:noProof/>
        </w:rPr>
        <w:t> </w:t>
      </w:r>
      <w:r>
        <w:rPr>
          <w:noProof/>
        </w:rPr>
        <w:t>billion (40%) for the Sahel and Lake Chad window, nearly EUR</w:t>
      </w:r>
      <w:r>
        <w:rPr>
          <w:rFonts w:ascii="Calibri" w:hAnsi="Calibri" w:cs="Calibri"/>
          <w:noProof/>
        </w:rPr>
        <w:t> </w:t>
      </w:r>
      <w:r>
        <w:rPr>
          <w:noProof/>
        </w:rPr>
        <w:t>1.4</w:t>
      </w:r>
      <w:r>
        <w:rPr>
          <w:rFonts w:ascii="Calibri" w:hAnsi="Calibri" w:cs="Calibri"/>
          <w:noProof/>
        </w:rPr>
        <w:t> </w:t>
      </w:r>
      <w:r>
        <w:rPr>
          <w:noProof/>
        </w:rPr>
        <w:t>billion (30%) for the Horn of Africa and EUR</w:t>
      </w:r>
      <w:r>
        <w:rPr>
          <w:rFonts w:ascii="Calibri" w:hAnsi="Calibri" w:cs="Calibri"/>
          <w:noProof/>
        </w:rPr>
        <w:t> </w:t>
      </w:r>
      <w:r>
        <w:rPr>
          <w:noProof/>
        </w:rPr>
        <w:t>0.7</w:t>
      </w:r>
      <w:r>
        <w:rPr>
          <w:rFonts w:ascii="Calibri" w:hAnsi="Calibri" w:cs="Calibri"/>
          <w:noProof/>
        </w:rPr>
        <w:t> </w:t>
      </w:r>
      <w:r>
        <w:rPr>
          <w:noProof/>
        </w:rPr>
        <w:t>billion (15%) for North Africa, as well as EUR</w:t>
      </w:r>
      <w:r>
        <w:rPr>
          <w:rFonts w:ascii="Calibri" w:hAnsi="Calibri" w:cs="Calibri"/>
          <w:noProof/>
        </w:rPr>
        <w:t> </w:t>
      </w:r>
      <w:r>
        <w:rPr>
          <w:noProof/>
        </w:rPr>
        <w:t>0.2</w:t>
      </w:r>
      <w:r>
        <w:rPr>
          <w:rFonts w:ascii="Calibri" w:hAnsi="Calibri" w:cs="Calibri"/>
          <w:noProof/>
        </w:rPr>
        <w:t> </w:t>
      </w:r>
      <w:r>
        <w:rPr>
          <w:noProof/>
        </w:rPr>
        <w:t>billion (5%) for regional and other programmes. Contracts have been signed with implementing partners for a total amount of more than EUR</w:t>
      </w:r>
      <w:r>
        <w:rPr>
          <w:rFonts w:ascii="Calibri" w:hAnsi="Calibri" w:cs="Calibri"/>
          <w:noProof/>
        </w:rPr>
        <w:t> </w:t>
      </w:r>
      <w:r>
        <w:rPr>
          <w:noProof/>
        </w:rPr>
        <w:t>3.5</w:t>
      </w:r>
      <w:r>
        <w:rPr>
          <w:rFonts w:ascii="Calibri" w:hAnsi="Calibri" w:cs="Calibri"/>
          <w:noProof/>
        </w:rPr>
        <w:t> </w:t>
      </w:r>
      <w:r>
        <w:rPr>
          <w:noProof/>
        </w:rPr>
        <w:t>billion.</w:t>
      </w:r>
    </w:p>
    <w:p w:rsidR="00311BB8" w:rsidRDefault="00D91061">
      <w:pPr>
        <w:pStyle w:val="AMPRBodyText"/>
        <w:rPr>
          <w:noProof/>
        </w:rPr>
      </w:pPr>
      <w:r>
        <w:rPr>
          <w:noProof/>
        </w:rPr>
        <w:t>In total 28 EU Member States and two other donors (Norway and Switzerland) had, by the end of 2019, contributed EUR</w:t>
      </w:r>
      <w:r>
        <w:rPr>
          <w:rFonts w:ascii="Calibri" w:hAnsi="Calibri" w:cs="Calibri"/>
          <w:noProof/>
        </w:rPr>
        <w:t> </w:t>
      </w:r>
      <w:r>
        <w:rPr>
          <w:noProof/>
        </w:rPr>
        <w:t>569</w:t>
      </w:r>
      <w:r>
        <w:rPr>
          <w:rFonts w:ascii="Calibri" w:hAnsi="Calibri" w:cs="Calibri"/>
          <w:noProof/>
        </w:rPr>
        <w:t> </w:t>
      </w:r>
      <w:r>
        <w:rPr>
          <w:noProof/>
        </w:rPr>
        <w:t>million to this EU Trust Fund. Contributions through EU instruments and European Development Funds amount to EUR</w:t>
      </w:r>
      <w:r>
        <w:rPr>
          <w:rFonts w:ascii="Calibri" w:hAnsi="Calibri" w:cs="Calibri"/>
          <w:noProof/>
        </w:rPr>
        <w:t> </w:t>
      </w:r>
      <w:r>
        <w:rPr>
          <w:noProof/>
        </w:rPr>
        <w:t>4 104</w:t>
      </w:r>
      <w:r>
        <w:rPr>
          <w:rFonts w:ascii="Calibri" w:hAnsi="Calibri" w:cs="Calibri"/>
          <w:noProof/>
        </w:rPr>
        <w:t> </w:t>
      </w:r>
      <w:r>
        <w:rPr>
          <w:noProof/>
        </w:rPr>
        <w:t xml:space="preserve">million. </w:t>
      </w:r>
    </w:p>
    <w:p w:rsidR="00311BB8" w:rsidRDefault="00D91061">
      <w:pPr>
        <w:pStyle w:val="AMPRAnnexesTITLE3"/>
        <w:rPr>
          <w:noProof/>
        </w:rPr>
      </w:pPr>
      <w:r>
        <w:rPr>
          <w:noProof/>
        </w:rPr>
        <w:t xml:space="preserve">The Colombia Trust Fund </w:t>
      </w:r>
    </w:p>
    <w:p w:rsidR="00311BB8" w:rsidRDefault="00D91061">
      <w:pPr>
        <w:pStyle w:val="AMPRBodyText"/>
        <w:rPr>
          <w:noProof/>
        </w:rPr>
      </w:pPr>
      <w:r>
        <w:rPr>
          <w:noProof/>
        </w:rPr>
        <w:t>The signature of the constitutive agreement of the EU Trust Fund for Colombia took place on 12</w:t>
      </w:r>
      <w:r>
        <w:rPr>
          <w:rFonts w:ascii="Calibri" w:hAnsi="Calibri" w:cs="Calibri"/>
          <w:noProof/>
        </w:rPr>
        <w:t> </w:t>
      </w:r>
      <w:r>
        <w:rPr>
          <w:noProof/>
        </w:rPr>
        <w:t>December 2016. At the end of 2019 the EU Trust Fund had close to EUR</w:t>
      </w:r>
      <w:r>
        <w:rPr>
          <w:rFonts w:ascii="Calibri" w:hAnsi="Calibri" w:cs="Calibri"/>
          <w:noProof/>
        </w:rPr>
        <w:t> </w:t>
      </w:r>
      <w:r>
        <w:rPr>
          <w:noProof/>
        </w:rPr>
        <w:t>94</w:t>
      </w:r>
      <w:r>
        <w:rPr>
          <w:rFonts w:ascii="Calibri" w:hAnsi="Calibri" w:cs="Calibri"/>
          <w:noProof/>
        </w:rPr>
        <w:t> </w:t>
      </w:r>
      <w:r>
        <w:rPr>
          <w:noProof/>
        </w:rPr>
        <w:t>million from the EU budget at its disposal, plus a total of EUR</w:t>
      </w:r>
      <w:r>
        <w:rPr>
          <w:rFonts w:ascii="Calibri" w:hAnsi="Calibri" w:cs="Calibri"/>
          <w:noProof/>
        </w:rPr>
        <w:t> </w:t>
      </w:r>
      <w:r>
        <w:rPr>
          <w:noProof/>
        </w:rPr>
        <w:t>27</w:t>
      </w:r>
      <w:r>
        <w:rPr>
          <w:rFonts w:ascii="Calibri" w:hAnsi="Calibri" w:cs="Calibri"/>
          <w:noProof/>
        </w:rPr>
        <w:t> </w:t>
      </w:r>
      <w:r>
        <w:rPr>
          <w:noProof/>
        </w:rPr>
        <w:t xml:space="preserve">million in contributions from 21 EU Member States and Chile. </w:t>
      </w:r>
    </w:p>
    <w:p w:rsidR="00311BB8" w:rsidRDefault="00D91061">
      <w:pPr>
        <w:pStyle w:val="AMPRBodyText"/>
        <w:rPr>
          <w:noProof/>
        </w:rPr>
      </w:pPr>
      <w:r>
        <w:rPr>
          <w:noProof/>
        </w:rPr>
        <w:t>The Colombia Trust Fund has commitments amounting to a total of EUR</w:t>
      </w:r>
      <w:r>
        <w:rPr>
          <w:rFonts w:ascii="Calibri" w:hAnsi="Calibri" w:cs="Calibri"/>
          <w:noProof/>
        </w:rPr>
        <w:t> </w:t>
      </w:r>
      <w:r>
        <w:rPr>
          <w:noProof/>
        </w:rPr>
        <w:t>95</w:t>
      </w:r>
      <w:r>
        <w:rPr>
          <w:rFonts w:ascii="Calibri" w:hAnsi="Calibri" w:cs="Calibri"/>
          <w:noProof/>
        </w:rPr>
        <w:t> </w:t>
      </w:r>
      <w:r>
        <w:rPr>
          <w:noProof/>
        </w:rPr>
        <w:t>million, and EUR</w:t>
      </w:r>
      <w:r>
        <w:rPr>
          <w:rFonts w:ascii="Calibri" w:hAnsi="Calibri" w:cs="Calibri"/>
          <w:noProof/>
        </w:rPr>
        <w:t> </w:t>
      </w:r>
      <w:r>
        <w:rPr>
          <w:noProof/>
        </w:rPr>
        <w:t>77</w:t>
      </w:r>
      <w:r>
        <w:rPr>
          <w:rFonts w:ascii="Calibri" w:hAnsi="Calibri" w:cs="Calibri"/>
          <w:noProof/>
        </w:rPr>
        <w:t> </w:t>
      </w:r>
      <w:r>
        <w:rPr>
          <w:noProof/>
        </w:rPr>
        <w:t>million had been contracted by 31</w:t>
      </w:r>
      <w:r>
        <w:rPr>
          <w:rFonts w:ascii="Calibri" w:hAnsi="Calibri" w:cs="Calibri"/>
          <w:noProof/>
        </w:rPr>
        <w:t> </w:t>
      </w:r>
      <w:r>
        <w:rPr>
          <w:noProof/>
        </w:rPr>
        <w:t xml:space="preserve">December 2019. </w:t>
      </w:r>
    </w:p>
    <w:p w:rsidR="00311BB8" w:rsidRDefault="00D91061">
      <w:pPr>
        <w:pStyle w:val="AMPRBodyText"/>
        <w:rPr>
          <w:noProof/>
        </w:rPr>
      </w:pPr>
      <w:r>
        <w:rPr>
          <w:noProof/>
        </w:rPr>
        <w:t xml:space="preserve">The trust fund will help to support the implementation of the peace agreement in the early post-conflict recovery and stabilisation phases. The overall objective is to help Colombia to secure a stable and lasting peace, to rebuild its social and economic fabric and to bring renewed hope to its people. </w:t>
      </w:r>
    </w:p>
    <w:p w:rsidR="00311BB8" w:rsidRDefault="00D91061">
      <w:pPr>
        <w:pStyle w:val="AMPRBodyText"/>
        <w:rPr>
          <w:noProof/>
        </w:rPr>
      </w:pPr>
      <w:r>
        <w:rPr>
          <w:rStyle w:val="AMPRcharBoldOrange"/>
          <w:noProof/>
        </w:rPr>
        <w:t>The EU Trust Funds’ annual reports by their trust fund managers</w:t>
      </w:r>
      <w:r>
        <w:rPr>
          <w:noProof/>
        </w:rPr>
        <w:t xml:space="preserve"> (as authorising officers by subdelegation) provide more details on the activities of the EU Trust Funds. They can be found as annexes to the annual activity reports of the Commission’s DG International Cooperation and Development and DG Neighbourhood and Enlargement Negotiations. </w:t>
      </w:r>
    </w:p>
    <w:p w:rsidR="00311BB8" w:rsidRDefault="00D91061">
      <w:pPr>
        <w:pStyle w:val="AMPRBodyText"/>
        <w:rPr>
          <w:rStyle w:val="AMPRcharBoldOrange"/>
          <w:noProof/>
        </w:rPr>
      </w:pPr>
      <w:r>
        <w:rPr>
          <w:rStyle w:val="AMPRcharBoldOrange"/>
          <w:noProof/>
        </w:rPr>
        <w:t xml:space="preserve">DG International Cooperation and Development </w:t>
      </w:r>
    </w:p>
    <w:p w:rsidR="00311BB8" w:rsidRDefault="00D91061">
      <w:pPr>
        <w:pStyle w:val="AMPRListOrange-L1"/>
        <w:rPr>
          <w:noProof/>
        </w:rPr>
      </w:pPr>
      <w:r>
        <w:rPr>
          <w:rStyle w:val="AMPRcharBold"/>
          <w:noProof/>
        </w:rPr>
        <w:t>Bêkou Trust Fund.</w:t>
      </w:r>
      <w:r>
        <w:rPr>
          <w:noProof/>
        </w:rPr>
        <w:t xml:space="preserve"> The EU Trust Fund for the Central African Republic</w:t>
      </w:r>
    </w:p>
    <w:p w:rsidR="00311BB8" w:rsidRDefault="00D91061">
      <w:pPr>
        <w:pStyle w:val="AMPRListOrange-L1"/>
        <w:rPr>
          <w:noProof/>
        </w:rPr>
      </w:pPr>
      <w:r>
        <w:rPr>
          <w:rStyle w:val="AMPRcharBold"/>
          <w:noProof/>
        </w:rPr>
        <w:t>Africa Trust Fund.</w:t>
      </w:r>
      <w:r>
        <w:rPr>
          <w:noProof/>
        </w:rPr>
        <w:t xml:space="preserve"> Horn of Africa window</w:t>
      </w:r>
    </w:p>
    <w:p w:rsidR="00311BB8" w:rsidRDefault="00D91061">
      <w:pPr>
        <w:pStyle w:val="AMPRListOrange-L1"/>
        <w:rPr>
          <w:noProof/>
        </w:rPr>
      </w:pPr>
      <w:r>
        <w:rPr>
          <w:rStyle w:val="AMPRcharBold"/>
          <w:noProof/>
        </w:rPr>
        <w:t>Africa Trust Fund.</w:t>
      </w:r>
      <w:r>
        <w:rPr>
          <w:noProof/>
        </w:rPr>
        <w:t xml:space="preserve"> Sahel and Lake Chad window </w:t>
      </w:r>
    </w:p>
    <w:p w:rsidR="00311BB8" w:rsidRDefault="00D91061">
      <w:pPr>
        <w:pStyle w:val="AMPRListOrange-L1"/>
        <w:rPr>
          <w:noProof/>
        </w:rPr>
      </w:pPr>
      <w:r>
        <w:rPr>
          <w:rStyle w:val="AMPRcharBold"/>
          <w:noProof/>
        </w:rPr>
        <w:t>Africa Trust Fund.</w:t>
      </w:r>
      <w:r>
        <w:rPr>
          <w:noProof/>
        </w:rPr>
        <w:t xml:space="preserve"> North Africa window (</w:t>
      </w:r>
      <w:r>
        <w:rPr>
          <w:rStyle w:val="AMPRcharItalic"/>
          <w:noProof/>
        </w:rPr>
        <w:t>management cross-subdelegated to DG Neighbourhood and Enlargement Negotiations</w:t>
      </w:r>
      <w:r>
        <w:rPr>
          <w:noProof/>
        </w:rPr>
        <w:t xml:space="preserve">) </w:t>
      </w:r>
    </w:p>
    <w:p w:rsidR="00311BB8" w:rsidRDefault="00D91061">
      <w:pPr>
        <w:pStyle w:val="AMPRListOrange-L1"/>
        <w:rPr>
          <w:noProof/>
        </w:rPr>
      </w:pPr>
      <w:r>
        <w:rPr>
          <w:noProof/>
        </w:rPr>
        <w:t>Colombia Trust Fund</w:t>
      </w:r>
    </w:p>
    <w:p w:rsidR="00311BB8" w:rsidRDefault="00D91061">
      <w:pPr>
        <w:pStyle w:val="AMPRBodyText"/>
        <w:rPr>
          <w:rStyle w:val="AMPRcharBoldOrange"/>
          <w:noProof/>
        </w:rPr>
      </w:pPr>
      <w:r>
        <w:rPr>
          <w:rStyle w:val="AMPRcharBoldOrange"/>
          <w:noProof/>
        </w:rPr>
        <w:t xml:space="preserve">DG Neighbourhood and Enlargement Negotiations </w:t>
      </w:r>
    </w:p>
    <w:p w:rsidR="00311BB8" w:rsidRDefault="00D91061">
      <w:pPr>
        <w:pStyle w:val="AMPRListOrange-L1"/>
        <w:rPr>
          <w:noProof/>
        </w:rPr>
      </w:pPr>
      <w:r>
        <w:rPr>
          <w:noProof/>
        </w:rPr>
        <w:t xml:space="preserve">Syrian Crisis Trust Fund </w:t>
      </w:r>
    </w:p>
    <w:p w:rsidR="00311BB8" w:rsidRDefault="00311BB8">
      <w:pPr>
        <w:pStyle w:val="AMPRBodyText"/>
        <w:rPr>
          <w:rFonts w:eastAsiaTheme="minorEastAsia"/>
          <w:noProof/>
        </w:rPr>
        <w:sectPr w:rsidR="00311BB8">
          <w:headerReference w:type="even" r:id="rId140"/>
          <w:headerReference w:type="default" r:id="rId141"/>
          <w:footerReference w:type="even" r:id="rId142"/>
          <w:footerReference w:type="default" r:id="rId143"/>
          <w:headerReference w:type="first" r:id="rId144"/>
          <w:footerReference w:type="first" r:id="rId145"/>
          <w:footnotePr>
            <w:numStart w:val="94"/>
          </w:footnotePr>
          <w:pgSz w:w="11906" w:h="16838"/>
          <w:pgMar w:top="1417" w:right="1417" w:bottom="1134" w:left="1417" w:header="567" w:footer="454" w:gutter="0"/>
          <w:cols w:space="708"/>
          <w:docGrid w:linePitch="360"/>
        </w:sectPr>
      </w:pPr>
    </w:p>
    <w:p w:rsidR="00311BB8" w:rsidRDefault="00311BB8">
      <w:pPr>
        <w:pStyle w:val="PPObodyText"/>
        <w:spacing w:after="120"/>
        <w:rPr>
          <w:noProof/>
          <w:sz w:val="14"/>
        </w:rPr>
      </w:pPr>
      <w:bookmarkStart w:id="163" w:name="_Toc39583732"/>
    </w:p>
    <w:p w:rsidR="00311BB8" w:rsidRDefault="00311BB8">
      <w:pPr>
        <w:rPr>
          <w:rFonts w:ascii="EC Square Sans Cond Pro" w:eastAsia="Times New Roman" w:hAnsi="EC Square Sans Cond Pro" w:cs="EC Square Sans Cond Pro"/>
          <w:noProof/>
          <w:color w:val="000000"/>
          <w:sz w:val="14"/>
          <w:szCs w:val="18"/>
        </w:rPr>
      </w:pPr>
    </w:p>
    <w:p w:rsidR="00311BB8" w:rsidRDefault="00311BB8">
      <w:pPr>
        <w:rPr>
          <w:noProof/>
        </w:rPr>
        <w:sectPr w:rsidR="00311BB8">
          <w:headerReference w:type="even" r:id="rId146"/>
          <w:headerReference w:type="default" r:id="rId147"/>
          <w:footerReference w:type="even" r:id="rId148"/>
          <w:footerReference w:type="default" r:id="rId149"/>
          <w:headerReference w:type="first" r:id="rId150"/>
          <w:footerReference w:type="first" r:id="rId151"/>
          <w:footnotePr>
            <w:numStart w:val="94"/>
          </w:footnotePr>
          <w:pgSz w:w="11906" w:h="16838"/>
          <w:pgMar w:top="1417" w:right="1417" w:bottom="1134" w:left="1417" w:header="567" w:footer="454" w:gutter="0"/>
          <w:cols w:space="720"/>
          <w:docGrid w:linePitch="360"/>
        </w:sectPr>
      </w:pPr>
    </w:p>
    <w:p w:rsidR="00311BB8" w:rsidRDefault="00311BB8">
      <w:pPr>
        <w:rPr>
          <w:noProof/>
        </w:rPr>
      </w:pPr>
    </w:p>
    <w:p w:rsidR="00311BB8" w:rsidRDefault="00D91061">
      <w:pPr>
        <w:pStyle w:val="AMPRAnnexesTITLE2"/>
        <w:rPr>
          <w:noProof/>
        </w:rPr>
      </w:pPr>
      <w:r>
        <w:rPr>
          <w:noProof/>
        </w:rPr>
        <w:t xml:space="preserve">Key </w:t>
      </w:r>
      <w:bookmarkEnd w:id="163"/>
      <w:r>
        <w:rPr>
          <w:noProof/>
        </w:rPr>
        <w:t>terms</w:t>
      </w:r>
    </w:p>
    <w:tbl>
      <w:tblPr>
        <w:tblStyle w:val="AMPRTABLEA-Template"/>
        <w:tblW w:w="9072" w:type="dxa"/>
        <w:tblLayout w:type="fixed"/>
        <w:tblLook w:val="0020" w:firstRow="1" w:lastRow="0" w:firstColumn="0" w:lastColumn="0" w:noHBand="0" w:noVBand="0"/>
      </w:tblPr>
      <w:tblGrid>
        <w:gridCol w:w="4464"/>
        <w:gridCol w:w="4608"/>
      </w:tblGrid>
      <w:tr w:rsidR="00311BB8" w:rsidTr="00311BB8">
        <w:trPr>
          <w:cnfStyle w:val="100000000000" w:firstRow="1" w:lastRow="0" w:firstColumn="0" w:lastColumn="0" w:oddVBand="0" w:evenVBand="0" w:oddHBand="0" w:evenHBand="0" w:firstRowFirstColumn="0" w:firstRowLastColumn="0" w:lastRowFirstColumn="0" w:lastRowLastColumn="0"/>
          <w:tblHeader/>
        </w:trPr>
        <w:tc>
          <w:tcPr>
            <w:tcW w:w="4395" w:type="dxa"/>
          </w:tcPr>
          <w:p w:rsidR="00311BB8" w:rsidRDefault="00D91061">
            <w:pPr>
              <w:pStyle w:val="AMPRTABLEA-HEADERText-WHITE"/>
              <w:spacing w:before="144" w:after="144"/>
              <w:rPr>
                <w:noProof/>
              </w:rPr>
            </w:pPr>
            <w:r>
              <w:rPr>
                <w:noProof/>
              </w:rPr>
              <w:t>TERM</w:t>
            </w:r>
          </w:p>
        </w:tc>
        <w:tc>
          <w:tcPr>
            <w:tcW w:w="4536" w:type="dxa"/>
          </w:tcPr>
          <w:p w:rsidR="00311BB8" w:rsidRDefault="00D91061">
            <w:pPr>
              <w:pStyle w:val="AMPRTABLEA-HEADERText-WHITE"/>
              <w:spacing w:before="144" w:after="144"/>
              <w:rPr>
                <w:noProof/>
              </w:rPr>
            </w:pPr>
            <w:r>
              <w:rPr>
                <w:noProof/>
              </w:rPr>
              <w:t>DEFINITION</w:t>
            </w:r>
          </w:p>
        </w:tc>
      </w:tr>
      <w:tr w:rsidR="00311BB8" w:rsidTr="00311BB8">
        <w:tc>
          <w:tcPr>
            <w:tcW w:w="4395" w:type="dxa"/>
          </w:tcPr>
          <w:p w:rsidR="00311BB8" w:rsidRDefault="00D91061">
            <w:pPr>
              <w:pStyle w:val="AMPRTABLEA-TOTALLEFTalligned-BLACK"/>
              <w:rPr>
                <w:noProof/>
              </w:rPr>
            </w:pPr>
            <w:r>
              <w:rPr>
                <w:noProof/>
              </w:rPr>
              <w:t>Agency</w:t>
            </w:r>
          </w:p>
        </w:tc>
        <w:tc>
          <w:tcPr>
            <w:tcW w:w="4536" w:type="dxa"/>
          </w:tcPr>
          <w:p w:rsidR="00311BB8" w:rsidRDefault="00D91061">
            <w:pPr>
              <w:pStyle w:val="AMPRTABLEA-TextLEFTalligned-BLACK"/>
              <w:numPr>
                <w:ilvl w:val="0"/>
                <w:numId w:val="53"/>
              </w:numPr>
              <w:ind w:left="113" w:hanging="113"/>
              <w:rPr>
                <w:noProof/>
                <w:lang w:val="en-GB"/>
              </w:rPr>
            </w:pPr>
            <w:r>
              <w:rPr>
                <w:noProof/>
                <w:lang w:val="en-GB"/>
              </w:rPr>
              <w:t xml:space="preserve">An </w:t>
            </w:r>
            <w:r>
              <w:rPr>
                <w:rStyle w:val="AMPRcharBold"/>
                <w:noProof/>
              </w:rPr>
              <w:t>executive agency</w:t>
            </w:r>
            <w:r>
              <w:rPr>
                <w:rFonts w:ascii="EC Square Sans Cond Pro Medium" w:hAnsi="EC Square Sans Cond Pro Medium" w:cs="EC Square Sans Cond Pro Medium"/>
                <w:noProof/>
                <w:lang w:val="en-GB"/>
              </w:rPr>
              <w:t xml:space="preserve"> </w:t>
            </w:r>
            <w:r>
              <w:rPr>
                <w:noProof/>
                <w:lang w:val="en-GB"/>
              </w:rPr>
              <w:t>is a body governed by EU public law and which has its own legal personality, to which the Commission entrusts, under its own control and responsibility, certain tasks relating to the management of EU programmes.</w:t>
            </w:r>
          </w:p>
          <w:p w:rsidR="00311BB8" w:rsidRDefault="00D91061">
            <w:pPr>
              <w:pStyle w:val="AMPRTABLEA-TextLEFTalligned-BLACK"/>
              <w:numPr>
                <w:ilvl w:val="0"/>
                <w:numId w:val="53"/>
              </w:numPr>
              <w:ind w:left="113" w:hanging="113"/>
              <w:rPr>
                <w:noProof/>
                <w:lang w:val="en-GB"/>
              </w:rPr>
            </w:pPr>
            <w:r>
              <w:rPr>
                <w:noProof/>
                <w:lang w:val="en-GB"/>
              </w:rPr>
              <w:t xml:space="preserve">A </w:t>
            </w:r>
            <w:r>
              <w:rPr>
                <w:rStyle w:val="AMPRcharBold"/>
                <w:noProof/>
              </w:rPr>
              <w:t>decentralised agency</w:t>
            </w:r>
            <w:r>
              <w:rPr>
                <w:rFonts w:ascii="EC Square Sans Cond Pro Medium" w:hAnsi="EC Square Sans Cond Pro Medium" w:cs="EC Square Sans Cond Pro Medium"/>
                <w:noProof/>
                <w:lang w:val="en-GB"/>
              </w:rPr>
              <w:t xml:space="preserve"> </w:t>
            </w:r>
            <w:r>
              <w:rPr>
                <w:noProof/>
                <w:lang w:val="en-GB"/>
              </w:rPr>
              <w:t>is a body governed by EU public law and which has its own legal personality. A decentralised agency is subject to the external control of the Court of Auditors and to the annual discharge from the European Parliament.</w:t>
            </w:r>
          </w:p>
        </w:tc>
      </w:tr>
      <w:tr w:rsidR="00311BB8" w:rsidTr="00311BB8">
        <w:tc>
          <w:tcPr>
            <w:tcW w:w="4395" w:type="dxa"/>
          </w:tcPr>
          <w:p w:rsidR="00311BB8" w:rsidRDefault="00D91061">
            <w:pPr>
              <w:pStyle w:val="AMPRTABLEA-TOTALLEFTalligned-BLACK"/>
              <w:rPr>
                <w:noProof/>
                <w:lang w:val="en-GB"/>
              </w:rPr>
            </w:pPr>
            <w:r>
              <w:rPr>
                <w:noProof/>
                <w:lang w:val="en-GB"/>
              </w:rPr>
              <w:t>Annual management and performance report</w:t>
            </w:r>
          </w:p>
        </w:tc>
        <w:tc>
          <w:tcPr>
            <w:tcW w:w="4536" w:type="dxa"/>
          </w:tcPr>
          <w:p w:rsidR="00311BB8" w:rsidRDefault="00D91061">
            <w:pPr>
              <w:pStyle w:val="AMPRTABLEA-TextLEFTalligned-BLACK"/>
              <w:rPr>
                <w:noProof/>
                <w:lang w:val="en-GB"/>
              </w:rPr>
            </w:pPr>
            <w:r>
              <w:rPr>
                <w:noProof/>
                <w:lang w:val="en-GB"/>
              </w:rPr>
              <w:t>The annual report providing a comprehensive overview of the performance, management and protection of the EU budget. The Commission, by adopting this report, takes overall political responsibility for the management of the EU budget.</w:t>
            </w:r>
          </w:p>
        </w:tc>
      </w:tr>
      <w:tr w:rsidR="00311BB8" w:rsidTr="00311BB8">
        <w:tc>
          <w:tcPr>
            <w:tcW w:w="4395" w:type="dxa"/>
          </w:tcPr>
          <w:p w:rsidR="00311BB8" w:rsidRDefault="00D91061">
            <w:pPr>
              <w:pStyle w:val="AMPRTABLEA-TOTALLEFTalligned-BLACK"/>
              <w:rPr>
                <w:noProof/>
              </w:rPr>
            </w:pPr>
            <w:r>
              <w:rPr>
                <w:noProof/>
              </w:rPr>
              <w:t>Appropriations</w:t>
            </w:r>
          </w:p>
        </w:tc>
        <w:tc>
          <w:tcPr>
            <w:tcW w:w="4536" w:type="dxa"/>
          </w:tcPr>
          <w:p w:rsidR="00311BB8" w:rsidRDefault="00D91061">
            <w:pPr>
              <w:pStyle w:val="AMPRTABLEA-TextLEFTalligned-BLACK"/>
              <w:rPr>
                <w:noProof/>
                <w:lang w:val="en-GB"/>
              </w:rPr>
            </w:pPr>
            <w:r>
              <w:rPr>
                <w:noProof/>
                <w:lang w:val="en-GB"/>
              </w:rPr>
              <w:t>Amount of commitments/payments that can be committed/paid after receipt of contributions.</w:t>
            </w:r>
          </w:p>
        </w:tc>
      </w:tr>
      <w:tr w:rsidR="00311BB8" w:rsidTr="00311BB8">
        <w:tc>
          <w:tcPr>
            <w:tcW w:w="4395" w:type="dxa"/>
          </w:tcPr>
          <w:p w:rsidR="00311BB8" w:rsidRDefault="00D91061">
            <w:pPr>
              <w:pStyle w:val="AMPRTABLEA-TOTALLEFTalligned-BLACK"/>
              <w:rPr>
                <w:noProof/>
              </w:rPr>
            </w:pPr>
            <w:r>
              <w:rPr>
                <w:noProof/>
              </w:rPr>
              <w:t>Basic act</w:t>
            </w:r>
          </w:p>
        </w:tc>
        <w:tc>
          <w:tcPr>
            <w:tcW w:w="4536" w:type="dxa"/>
          </w:tcPr>
          <w:p w:rsidR="00311BB8" w:rsidRDefault="00D91061">
            <w:pPr>
              <w:pStyle w:val="AMPRTABLEA-TextLEFTalligned-BLACK"/>
              <w:rPr>
                <w:noProof/>
              </w:rPr>
            </w:pPr>
            <w:r>
              <w:rPr>
                <w:noProof/>
                <w:lang w:val="en-GB"/>
              </w:rPr>
              <w:t xml:space="preserve">An act of secondary law (regulation, directive or decision) laying down the objectives and conditions for budget implementation. </w:t>
            </w:r>
            <w:r>
              <w:rPr>
                <w:noProof/>
              </w:rPr>
              <w:t>It usually relates to the type of action (programmes).</w:t>
            </w:r>
          </w:p>
        </w:tc>
      </w:tr>
      <w:tr w:rsidR="00311BB8" w:rsidTr="00311BB8">
        <w:tc>
          <w:tcPr>
            <w:tcW w:w="4395" w:type="dxa"/>
          </w:tcPr>
          <w:p w:rsidR="00311BB8" w:rsidRDefault="00D91061">
            <w:pPr>
              <w:pStyle w:val="AMPRTABLEA-TOTALLEFTalligned-BLACK"/>
              <w:rPr>
                <w:noProof/>
              </w:rPr>
            </w:pPr>
            <w:r>
              <w:rPr>
                <w:noProof/>
              </w:rPr>
              <w:t>Budget execution</w:t>
            </w:r>
          </w:p>
        </w:tc>
        <w:tc>
          <w:tcPr>
            <w:tcW w:w="4536" w:type="dxa"/>
          </w:tcPr>
          <w:p w:rsidR="00311BB8" w:rsidRDefault="00D91061">
            <w:pPr>
              <w:pStyle w:val="AMPRTABLEA-TextLEFTalligned-BLACK"/>
              <w:rPr>
                <w:noProof/>
                <w:lang w:val="en-GB"/>
              </w:rPr>
            </w:pPr>
            <w:r>
              <w:rPr>
                <w:noProof/>
                <w:lang w:val="en-GB"/>
              </w:rPr>
              <w:t>Consumption of the budget through expenditure and revenue operations.</w:t>
            </w:r>
          </w:p>
        </w:tc>
      </w:tr>
      <w:tr w:rsidR="00311BB8" w:rsidTr="00311BB8">
        <w:tc>
          <w:tcPr>
            <w:tcW w:w="4395" w:type="dxa"/>
          </w:tcPr>
          <w:p w:rsidR="00311BB8" w:rsidRDefault="00D91061">
            <w:pPr>
              <w:pStyle w:val="AMPRTABLEA-TOTALLEFTalligned-BLACK"/>
              <w:rPr>
                <w:noProof/>
              </w:rPr>
            </w:pPr>
            <w:r>
              <w:rPr>
                <w:noProof/>
              </w:rPr>
              <w:t>Budgetary commitment</w:t>
            </w:r>
          </w:p>
        </w:tc>
        <w:tc>
          <w:tcPr>
            <w:tcW w:w="4536" w:type="dxa"/>
          </w:tcPr>
          <w:p w:rsidR="00311BB8" w:rsidRDefault="00D91061">
            <w:pPr>
              <w:pStyle w:val="AMPRTABLEA-TextLEFTalligned-BLACK"/>
              <w:rPr>
                <w:noProof/>
                <w:lang w:val="en-GB"/>
              </w:rPr>
            </w:pPr>
            <w:r>
              <w:rPr>
                <w:noProof/>
                <w:lang w:val="en-GB"/>
              </w:rPr>
              <w:t>The reserving of appropriations to cover subsequent specific payments.</w:t>
            </w:r>
          </w:p>
        </w:tc>
      </w:tr>
      <w:tr w:rsidR="00311BB8" w:rsidTr="00311BB8">
        <w:tc>
          <w:tcPr>
            <w:tcW w:w="4395" w:type="dxa"/>
          </w:tcPr>
          <w:p w:rsidR="00311BB8" w:rsidRDefault="00D91061">
            <w:pPr>
              <w:pStyle w:val="AMPRTABLEA-TOTALLEFTalligned-BLACK"/>
              <w:rPr>
                <w:noProof/>
              </w:rPr>
            </w:pPr>
            <w:r>
              <w:rPr>
                <w:noProof/>
              </w:rPr>
              <w:t>Direct management</w:t>
            </w:r>
          </w:p>
        </w:tc>
        <w:tc>
          <w:tcPr>
            <w:tcW w:w="4536" w:type="dxa"/>
          </w:tcPr>
          <w:p w:rsidR="00311BB8" w:rsidRDefault="00D91061">
            <w:pPr>
              <w:pStyle w:val="AMPRTABLEA-TextLEFTalligned-BLACK"/>
              <w:rPr>
                <w:noProof/>
                <w:lang w:val="en-GB"/>
              </w:rPr>
            </w:pPr>
            <w:r>
              <w:rPr>
                <w:noProof/>
                <w:lang w:val="en-GB"/>
              </w:rPr>
              <w:t>A form of implementation of the EU budget where the implementation is carried out by the Commission or one of its executive agencies.</w:t>
            </w:r>
          </w:p>
        </w:tc>
      </w:tr>
      <w:tr w:rsidR="00311BB8" w:rsidTr="00311BB8">
        <w:tc>
          <w:tcPr>
            <w:tcW w:w="4395" w:type="dxa"/>
          </w:tcPr>
          <w:p w:rsidR="00311BB8" w:rsidRDefault="00D91061">
            <w:pPr>
              <w:pStyle w:val="AMPRTABLEA-TOTALLEFTalligned-BLACK"/>
              <w:rPr>
                <w:noProof/>
              </w:rPr>
            </w:pPr>
            <w:r>
              <w:rPr>
                <w:noProof/>
              </w:rPr>
              <w:t>Discharge</w:t>
            </w:r>
          </w:p>
        </w:tc>
        <w:tc>
          <w:tcPr>
            <w:tcW w:w="4536" w:type="dxa"/>
          </w:tcPr>
          <w:p w:rsidR="00311BB8" w:rsidRDefault="00D91061">
            <w:pPr>
              <w:pStyle w:val="AMPRTABLEA-TextLEFTalligned-BLACK"/>
              <w:rPr>
                <w:noProof/>
                <w:lang w:val="en-GB"/>
              </w:rPr>
            </w:pPr>
            <w:r>
              <w:rPr>
                <w:noProof/>
                <w:lang w:val="en-GB"/>
              </w:rPr>
              <w:t>Decision by which the European Parliament closes an annual budget execution process, on the basis of a recommendation from the Council and a declaration of assurance from the Court of Auditors. It covers the accounts of all the EU’s revenue and expenditure, the resulting balance, and assets and liabilities, as shown in the balance sheet.</w:t>
            </w:r>
          </w:p>
        </w:tc>
      </w:tr>
      <w:tr w:rsidR="00311BB8" w:rsidTr="00311BB8">
        <w:tc>
          <w:tcPr>
            <w:tcW w:w="4395" w:type="dxa"/>
          </w:tcPr>
          <w:p w:rsidR="00311BB8" w:rsidRDefault="00D91061">
            <w:pPr>
              <w:pStyle w:val="AMPRTABLEA-TOTALLEFTalligned-BLACK"/>
              <w:rPr>
                <w:noProof/>
              </w:rPr>
            </w:pPr>
            <w:r>
              <w:rPr>
                <w:noProof/>
              </w:rPr>
              <w:t>Draft budget</w:t>
            </w:r>
          </w:p>
        </w:tc>
        <w:tc>
          <w:tcPr>
            <w:tcW w:w="4536" w:type="dxa"/>
          </w:tcPr>
          <w:p w:rsidR="00311BB8" w:rsidRDefault="00D91061">
            <w:pPr>
              <w:pStyle w:val="AMPRTABLEA-TextLEFTalligned-BLACK"/>
              <w:rPr>
                <w:noProof/>
                <w:lang w:val="en-GB"/>
              </w:rPr>
            </w:pPr>
            <w:r>
              <w:rPr>
                <w:noProof/>
                <w:lang w:val="en-GB"/>
              </w:rPr>
              <w:t xml:space="preserve">The proposal of the European Commission for an annual financial plan drawn up according to budgetary principles, which provides forecasts and authorises an estimate of future costs and revenue and expenditures, with detailed descriptions and justifications (the latter in ‘budgetary remarks’). Once adopted, the </w:t>
            </w:r>
            <w:r>
              <w:rPr>
                <w:rStyle w:val="AMPRcharBold"/>
                <w:noProof/>
              </w:rPr>
              <w:t>voted budget</w:t>
            </w:r>
            <w:r>
              <w:rPr>
                <w:rFonts w:ascii="EC Square Sans Cond Pro Medium" w:hAnsi="EC Square Sans Cond Pro Medium" w:cs="EC Square Sans Cond Pro Medium"/>
                <w:noProof/>
                <w:lang w:val="en-GB"/>
              </w:rPr>
              <w:t xml:space="preserve"> </w:t>
            </w:r>
            <w:r>
              <w:rPr>
                <w:noProof/>
                <w:lang w:val="en-GB"/>
              </w:rPr>
              <w:t>will be available in the following year for the intended purpose.</w:t>
            </w:r>
          </w:p>
        </w:tc>
      </w:tr>
      <w:tr w:rsidR="00311BB8" w:rsidTr="00311BB8">
        <w:tc>
          <w:tcPr>
            <w:tcW w:w="4395" w:type="dxa"/>
          </w:tcPr>
          <w:p w:rsidR="00311BB8" w:rsidRDefault="00D91061">
            <w:pPr>
              <w:pStyle w:val="AMPRTABLEA-TOTALLEFTalligned-BLACK"/>
              <w:rPr>
                <w:noProof/>
              </w:rPr>
            </w:pPr>
            <w:r>
              <w:rPr>
                <w:noProof/>
              </w:rPr>
              <w:t>Evaluation</w:t>
            </w:r>
          </w:p>
        </w:tc>
        <w:tc>
          <w:tcPr>
            <w:tcW w:w="4536" w:type="dxa"/>
          </w:tcPr>
          <w:p w:rsidR="00311BB8" w:rsidRDefault="00D91061">
            <w:pPr>
              <w:pStyle w:val="AMPRTABLEA-TextLEFTalligned-BLACK"/>
              <w:rPr>
                <w:noProof/>
                <w:lang w:val="en-GB"/>
              </w:rPr>
            </w:pPr>
            <w:r>
              <w:rPr>
                <w:noProof/>
                <w:lang w:val="en-GB"/>
              </w:rPr>
              <w:t>Tool to provide a reliable and objective assessment of how efficient and effective interventions financed from or guaranteed by the EU budget have been or are expected to be. Commission services assess the extent to which interventions have achieved their policy objectives, and how their performance could be improved in the future.</w:t>
            </w:r>
          </w:p>
        </w:tc>
      </w:tr>
      <w:tr w:rsidR="00311BB8" w:rsidTr="00311BB8">
        <w:tc>
          <w:tcPr>
            <w:tcW w:w="4395" w:type="dxa"/>
          </w:tcPr>
          <w:p w:rsidR="00311BB8" w:rsidRDefault="00D91061">
            <w:pPr>
              <w:pStyle w:val="AMPRTABLEA-TOTALLEFTalligned-BLACK"/>
              <w:rPr>
                <w:noProof/>
              </w:rPr>
            </w:pPr>
            <w:r>
              <w:rPr>
                <w:noProof/>
              </w:rPr>
              <w:t>Financial instrument</w:t>
            </w:r>
          </w:p>
        </w:tc>
        <w:tc>
          <w:tcPr>
            <w:tcW w:w="4536" w:type="dxa"/>
          </w:tcPr>
          <w:p w:rsidR="00311BB8" w:rsidRDefault="00D91061">
            <w:pPr>
              <w:pStyle w:val="AMPRTABLEA-TextLEFTalligned-BLACK"/>
              <w:rPr>
                <w:noProof/>
                <w:lang w:val="en-GB"/>
              </w:rPr>
            </w:pPr>
            <w:r>
              <w:rPr>
                <w:noProof/>
                <w:lang w:val="en-GB"/>
              </w:rPr>
              <w:t>Means of providing EU financial support from the budget to address one or more of the EU’s specific policy objectives through a risk-sharing mechanism. Such instruments may take the form of equity or quasi-equity investments, loans or guarantees or other risk-sharing instruments and may, where appropriate, be combined with other forms of financial support or with funds under shared implementation.</w:t>
            </w:r>
          </w:p>
        </w:tc>
      </w:tr>
      <w:tr w:rsidR="00311BB8" w:rsidTr="00311BB8">
        <w:tc>
          <w:tcPr>
            <w:tcW w:w="4395" w:type="dxa"/>
          </w:tcPr>
          <w:p w:rsidR="00311BB8" w:rsidRDefault="00D91061">
            <w:pPr>
              <w:pStyle w:val="AMPRTABLEA-TOTALLEFTalligned-BLACK"/>
              <w:rPr>
                <w:noProof/>
              </w:rPr>
            </w:pPr>
            <w:r>
              <w:rPr>
                <w:noProof/>
              </w:rPr>
              <w:t>Grant</w:t>
            </w:r>
          </w:p>
        </w:tc>
        <w:tc>
          <w:tcPr>
            <w:tcW w:w="4536" w:type="dxa"/>
          </w:tcPr>
          <w:p w:rsidR="00311BB8" w:rsidRDefault="00D91061">
            <w:pPr>
              <w:pStyle w:val="AMPRTABLEA-TextLEFTalligned-BLACK"/>
              <w:rPr>
                <w:noProof/>
                <w:lang w:val="en-GB"/>
              </w:rPr>
            </w:pPr>
            <w:r>
              <w:rPr>
                <w:noProof/>
                <w:lang w:val="en-GB"/>
              </w:rPr>
              <w:t>A direct financial contribution, by way of donation, from the budget to finance either an action intended to help achieve an objective of an EU policy or the functioning of a body that pursues an aim of general European interest or has an objective corresponding to part of an EU policy.</w:t>
            </w:r>
          </w:p>
        </w:tc>
      </w:tr>
      <w:tr w:rsidR="00311BB8" w:rsidTr="00311BB8">
        <w:tc>
          <w:tcPr>
            <w:tcW w:w="4395" w:type="dxa"/>
          </w:tcPr>
          <w:p w:rsidR="00311BB8" w:rsidRDefault="00D91061">
            <w:pPr>
              <w:pStyle w:val="AMPRTABLEA-TOTALLEFTalligned-BLACK"/>
              <w:rPr>
                <w:noProof/>
              </w:rPr>
            </w:pPr>
            <w:r>
              <w:rPr>
                <w:noProof/>
              </w:rPr>
              <w:t>Heading</w:t>
            </w:r>
          </w:p>
        </w:tc>
        <w:tc>
          <w:tcPr>
            <w:tcW w:w="4536" w:type="dxa"/>
          </w:tcPr>
          <w:p w:rsidR="00311BB8" w:rsidRDefault="00D91061">
            <w:pPr>
              <w:pStyle w:val="AMPRTABLEA-TextLEFTalligned-BLACK"/>
              <w:rPr>
                <w:noProof/>
                <w:lang w:val="en-GB"/>
              </w:rPr>
            </w:pPr>
            <w:r>
              <w:rPr>
                <w:noProof/>
                <w:lang w:val="en-GB"/>
              </w:rPr>
              <w:t>A group of EU activities covering a broad category of expenditure under the multiannual financial framework. The current multiannual financial framework (2014-2020) is composed of six headings, as follows.</w:t>
            </w:r>
          </w:p>
          <w:p w:rsidR="00311BB8" w:rsidRDefault="00D91061">
            <w:pPr>
              <w:pStyle w:val="AMPRTABLEA-TextLEFTalligned-BLACK"/>
              <w:numPr>
                <w:ilvl w:val="0"/>
                <w:numId w:val="53"/>
              </w:numPr>
              <w:autoSpaceDE w:val="0"/>
              <w:autoSpaceDN w:val="0"/>
              <w:adjustRightInd w:val="0"/>
              <w:spacing w:line="181" w:lineRule="atLeast"/>
              <w:ind w:left="113" w:hanging="113"/>
              <w:rPr>
                <w:rFonts w:ascii="EC Square Sans Cond Pro" w:hAnsi="EC Square Sans Cond Pro" w:cs="EC Square Sans Cond Pro"/>
                <w:noProof/>
                <w:lang w:val="en-GB"/>
              </w:rPr>
            </w:pPr>
            <w:r>
              <w:rPr>
                <w:rStyle w:val="AMPRcharBold"/>
                <w:noProof/>
              </w:rPr>
              <w:t>Heading 1.</w:t>
            </w:r>
            <w:r>
              <w:rPr>
                <w:rFonts w:ascii="EC Square Sans Cond Pro" w:hAnsi="EC Square Sans Cond Pro" w:cs="EC Square Sans Cond Pro"/>
                <w:noProof/>
                <w:lang w:val="en-GB"/>
              </w:rPr>
              <w:t xml:space="preserve"> ‘Smart and inclusive growth’, which has two subheadings: (a) </w:t>
            </w:r>
            <w:r>
              <w:rPr>
                <w:noProof/>
                <w:lang w:val="en-GB"/>
              </w:rPr>
              <w:t>Competitiveness</w:t>
            </w:r>
            <w:r>
              <w:rPr>
                <w:rFonts w:ascii="EC Square Sans Cond Pro" w:hAnsi="EC Square Sans Cond Pro" w:cs="EC Square Sans Cond Pro"/>
                <w:noProof/>
                <w:lang w:val="en-GB"/>
              </w:rPr>
              <w:t xml:space="preserve"> for growth and jobs and (b) Economic, social and territorial cohesion.</w:t>
            </w:r>
          </w:p>
          <w:p w:rsidR="00311BB8" w:rsidRDefault="00D91061">
            <w:pPr>
              <w:pStyle w:val="AMPRTABLEA-TextLEFTalligned-BLACK"/>
              <w:numPr>
                <w:ilvl w:val="0"/>
                <w:numId w:val="53"/>
              </w:numPr>
              <w:autoSpaceDE w:val="0"/>
              <w:autoSpaceDN w:val="0"/>
              <w:adjustRightInd w:val="0"/>
              <w:spacing w:line="181" w:lineRule="atLeast"/>
              <w:ind w:left="113" w:hanging="113"/>
              <w:rPr>
                <w:rFonts w:ascii="EC Square Sans Cond Pro" w:hAnsi="EC Square Sans Cond Pro" w:cs="EC Square Sans Cond Pro"/>
                <w:noProof/>
                <w:lang w:val="en-GB"/>
              </w:rPr>
            </w:pPr>
            <w:r>
              <w:rPr>
                <w:rStyle w:val="AMPRcharBold"/>
                <w:noProof/>
              </w:rPr>
              <w:t>Heading 2.</w:t>
            </w:r>
            <w:r>
              <w:rPr>
                <w:rFonts w:ascii="EC Square Sans Cond Pro" w:hAnsi="EC Square Sans Cond Pro" w:cs="EC Square Sans Cond Pro"/>
                <w:noProof/>
                <w:lang w:val="en-GB"/>
              </w:rPr>
              <w:t xml:space="preserve"> ‘Sustainable growth</w:t>
            </w:r>
            <w:r>
              <w:rPr>
                <w:rFonts w:ascii="Calibri" w:hAnsi="Calibri" w:cs="Calibri"/>
                <w:noProof/>
                <w:lang w:val="en-GB"/>
              </w:rPr>
              <w:t> –</w:t>
            </w:r>
            <w:r>
              <w:rPr>
                <w:rFonts w:ascii="EC Square Sans Cond Pro" w:hAnsi="EC Square Sans Cond Pro" w:cs="EC Square Sans Cond Pro"/>
                <w:noProof/>
                <w:lang w:val="en-GB"/>
              </w:rPr>
              <w:t xml:space="preserve"> Natural resources’, which includes agriculture, fisheries and the environment.</w:t>
            </w:r>
          </w:p>
          <w:p w:rsidR="00311BB8" w:rsidRDefault="00D91061">
            <w:pPr>
              <w:pStyle w:val="AMPRTABLEA-TextLEFTalligned-BLACK"/>
              <w:numPr>
                <w:ilvl w:val="0"/>
                <w:numId w:val="53"/>
              </w:numPr>
              <w:autoSpaceDE w:val="0"/>
              <w:autoSpaceDN w:val="0"/>
              <w:adjustRightInd w:val="0"/>
              <w:spacing w:line="181" w:lineRule="atLeast"/>
              <w:ind w:left="113" w:hanging="113"/>
              <w:rPr>
                <w:rFonts w:ascii="EC Square Sans Cond Pro" w:hAnsi="EC Square Sans Cond Pro" w:cs="EC Square Sans Cond Pro"/>
                <w:noProof/>
              </w:rPr>
            </w:pPr>
            <w:r>
              <w:rPr>
                <w:rStyle w:val="AMPRcharBold"/>
                <w:noProof/>
              </w:rPr>
              <w:t>Heading 3.</w:t>
            </w:r>
            <w:r>
              <w:rPr>
                <w:rFonts w:ascii="EC Square Sans Cond Pro" w:hAnsi="EC Square Sans Cond Pro" w:cs="EC Square Sans Cond Pro"/>
                <w:noProof/>
              </w:rPr>
              <w:t xml:space="preserve"> ‘Security and citizenship’.</w:t>
            </w:r>
          </w:p>
          <w:p w:rsidR="00311BB8" w:rsidRDefault="00D91061">
            <w:pPr>
              <w:pStyle w:val="AMPRTABLEA-TextLEFTalligned-BLACK"/>
              <w:numPr>
                <w:ilvl w:val="0"/>
                <w:numId w:val="53"/>
              </w:numPr>
              <w:autoSpaceDE w:val="0"/>
              <w:autoSpaceDN w:val="0"/>
              <w:adjustRightInd w:val="0"/>
              <w:spacing w:line="181" w:lineRule="atLeast"/>
              <w:ind w:left="113" w:hanging="113"/>
              <w:rPr>
                <w:rFonts w:ascii="EC Square Sans Cond Pro" w:hAnsi="EC Square Sans Cond Pro" w:cs="EC Square Sans Cond Pro"/>
                <w:noProof/>
              </w:rPr>
            </w:pPr>
            <w:r>
              <w:rPr>
                <w:rStyle w:val="AMPRcharBold"/>
                <w:noProof/>
              </w:rPr>
              <w:t>Heading 4.</w:t>
            </w:r>
            <w:r>
              <w:rPr>
                <w:rFonts w:ascii="EC Square Sans Cond Pro" w:hAnsi="EC Square Sans Cond Pro" w:cs="EC Square Sans Cond Pro"/>
                <w:noProof/>
              </w:rPr>
              <w:t xml:space="preserve"> ‘Global Europe’.</w:t>
            </w:r>
          </w:p>
          <w:p w:rsidR="00311BB8" w:rsidRDefault="00D91061">
            <w:pPr>
              <w:pStyle w:val="AMPRTABLEA-TextLEFTalligned-BLACK"/>
              <w:numPr>
                <w:ilvl w:val="0"/>
                <w:numId w:val="53"/>
              </w:numPr>
              <w:autoSpaceDE w:val="0"/>
              <w:autoSpaceDN w:val="0"/>
              <w:adjustRightInd w:val="0"/>
              <w:spacing w:line="181" w:lineRule="atLeast"/>
              <w:ind w:left="113" w:hanging="113"/>
              <w:rPr>
                <w:rFonts w:ascii="EC Square Sans Cond Pro" w:hAnsi="EC Square Sans Cond Pro" w:cs="EC Square Sans Cond Pro"/>
                <w:noProof/>
              </w:rPr>
            </w:pPr>
            <w:r>
              <w:rPr>
                <w:rStyle w:val="AMPRcharBold"/>
                <w:noProof/>
              </w:rPr>
              <w:t>Heading 5.</w:t>
            </w:r>
            <w:r>
              <w:rPr>
                <w:rFonts w:ascii="EC Square Sans Cond Pro" w:hAnsi="EC Square Sans Cond Pro" w:cs="EC Square Sans Cond Pro"/>
                <w:noProof/>
              </w:rPr>
              <w:t xml:space="preserve"> ‘Administration’.</w:t>
            </w:r>
          </w:p>
          <w:p w:rsidR="00311BB8" w:rsidRDefault="00D91061">
            <w:pPr>
              <w:pStyle w:val="AMPRTABLEA-TextLEFTalligned-BLACK"/>
              <w:numPr>
                <w:ilvl w:val="0"/>
                <w:numId w:val="53"/>
              </w:numPr>
              <w:autoSpaceDE w:val="0"/>
              <w:autoSpaceDN w:val="0"/>
              <w:adjustRightInd w:val="0"/>
              <w:spacing w:line="181" w:lineRule="atLeast"/>
              <w:ind w:left="113" w:hanging="113"/>
              <w:rPr>
                <w:rFonts w:ascii="EC Square Sans Cond Pro" w:hAnsi="EC Square Sans Cond Pro" w:cs="EC Square Sans Cond Pro"/>
                <w:noProof/>
                <w:lang w:val="en-GB"/>
              </w:rPr>
            </w:pPr>
            <w:r>
              <w:rPr>
                <w:rStyle w:val="AMPRcharBold"/>
                <w:noProof/>
              </w:rPr>
              <w:t>Special instruments.</w:t>
            </w:r>
            <w:r>
              <w:rPr>
                <w:rFonts w:ascii="EC Square Sans Cond Pro" w:hAnsi="EC Square Sans Cond Pro" w:cs="EC Square Sans Cond Pro"/>
                <w:noProof/>
                <w:lang w:val="en-GB"/>
              </w:rPr>
              <w:t xml:space="preserve"> These are for areas that fall outside the multiannual financial framework ceilings or its other headings.</w:t>
            </w:r>
          </w:p>
        </w:tc>
      </w:tr>
      <w:tr w:rsidR="00311BB8" w:rsidTr="00311BB8">
        <w:tc>
          <w:tcPr>
            <w:tcW w:w="4395" w:type="dxa"/>
          </w:tcPr>
          <w:p w:rsidR="00311BB8" w:rsidRDefault="00D91061">
            <w:pPr>
              <w:pStyle w:val="AMPRTABLEA-TOTALLEFTalligned-BLACK"/>
              <w:rPr>
                <w:noProof/>
              </w:rPr>
            </w:pPr>
            <w:r>
              <w:rPr>
                <w:noProof/>
              </w:rPr>
              <w:t>Implementation rate</w:t>
            </w:r>
          </w:p>
        </w:tc>
        <w:tc>
          <w:tcPr>
            <w:tcW w:w="4536" w:type="dxa"/>
          </w:tcPr>
          <w:p w:rsidR="00311BB8" w:rsidRDefault="00D91061">
            <w:pPr>
              <w:pStyle w:val="AMPRTABLEA-TextLEFTalligned-BLACK"/>
              <w:rPr>
                <w:noProof/>
                <w:lang w:val="en-GB"/>
              </w:rPr>
            </w:pPr>
            <w:r>
              <w:rPr>
                <w:noProof/>
                <w:lang w:val="en-GB"/>
              </w:rPr>
              <w:t>Share of available amounts committed or paid compared to the amount of the voted budget.</w:t>
            </w:r>
          </w:p>
        </w:tc>
      </w:tr>
      <w:tr w:rsidR="00311BB8" w:rsidTr="00311BB8">
        <w:tc>
          <w:tcPr>
            <w:tcW w:w="4395" w:type="dxa"/>
          </w:tcPr>
          <w:p w:rsidR="00311BB8" w:rsidRDefault="00D91061">
            <w:pPr>
              <w:pStyle w:val="AMPRTABLEA-TOTALLEFTalligned-BLACK"/>
              <w:rPr>
                <w:noProof/>
              </w:rPr>
            </w:pPr>
            <w:r>
              <w:rPr>
                <w:noProof/>
              </w:rPr>
              <w:t>Indirect management</w:t>
            </w:r>
          </w:p>
        </w:tc>
        <w:tc>
          <w:tcPr>
            <w:tcW w:w="4536" w:type="dxa"/>
          </w:tcPr>
          <w:p w:rsidR="00311BB8" w:rsidRDefault="00D91061">
            <w:pPr>
              <w:pStyle w:val="AMPRTABLEA-TextLEFTalligned-BLACK"/>
              <w:rPr>
                <w:noProof/>
                <w:lang w:val="en-GB"/>
              </w:rPr>
            </w:pPr>
            <w:r>
              <w:rPr>
                <w:noProof/>
                <w:lang w:val="en-GB"/>
              </w:rPr>
              <w:t>A form of implementation of the EU budget based on entrustment by the Commission of one or more third parties (e.g. non-EU countries, international organisations, European Investment Bank Group).</w:t>
            </w:r>
          </w:p>
        </w:tc>
      </w:tr>
      <w:tr w:rsidR="00311BB8" w:rsidTr="00311BB8">
        <w:tc>
          <w:tcPr>
            <w:tcW w:w="4395" w:type="dxa"/>
          </w:tcPr>
          <w:p w:rsidR="00311BB8" w:rsidRDefault="00D91061">
            <w:pPr>
              <w:pStyle w:val="AMPRTABLEA-TOTALLEFTalligned-BLACK"/>
              <w:rPr>
                <w:noProof/>
              </w:rPr>
            </w:pPr>
            <w:r>
              <w:rPr>
                <w:noProof/>
              </w:rPr>
              <w:t>Joint undertaking</w:t>
            </w:r>
          </w:p>
        </w:tc>
        <w:tc>
          <w:tcPr>
            <w:tcW w:w="4536" w:type="dxa"/>
          </w:tcPr>
          <w:p w:rsidR="00311BB8" w:rsidRDefault="00D91061">
            <w:pPr>
              <w:pStyle w:val="AMPRTABLEA-TextLEFTalligned-BLACK"/>
              <w:rPr>
                <w:noProof/>
                <w:lang w:val="en-GB"/>
              </w:rPr>
            </w:pPr>
            <w:r>
              <w:rPr>
                <w:noProof/>
                <w:lang w:val="en-GB"/>
              </w:rPr>
              <w:t>A legal EU body established under the Treaty on the Functioning of the European Union. The term can be used to describe any collaborative structure proposed for the ‘efficient execution of Union research, technological development and demonstration programmes’.</w:t>
            </w:r>
          </w:p>
        </w:tc>
      </w:tr>
      <w:tr w:rsidR="00311BB8" w:rsidTr="00311BB8">
        <w:tc>
          <w:tcPr>
            <w:tcW w:w="4395" w:type="dxa"/>
          </w:tcPr>
          <w:p w:rsidR="00311BB8" w:rsidRDefault="00D91061">
            <w:pPr>
              <w:pStyle w:val="AMPRTABLEA-TOTALLEFTalligned-BLACK"/>
              <w:rPr>
                <w:noProof/>
              </w:rPr>
            </w:pPr>
            <w:r>
              <w:rPr>
                <w:noProof/>
              </w:rPr>
              <w:t>Payment appropriations</w:t>
            </w:r>
          </w:p>
        </w:tc>
        <w:tc>
          <w:tcPr>
            <w:tcW w:w="4536" w:type="dxa"/>
          </w:tcPr>
          <w:p w:rsidR="00311BB8" w:rsidRDefault="00D91061">
            <w:pPr>
              <w:pStyle w:val="AMPRTABLEA-TextLEFTalligned-BLACK"/>
              <w:rPr>
                <w:noProof/>
                <w:lang w:val="en-GB"/>
              </w:rPr>
            </w:pPr>
            <w:r>
              <w:rPr>
                <w:noProof/>
                <w:lang w:val="en-GB"/>
              </w:rPr>
              <w:t>Amount of money covering expenditure due in the year, arising from legal commitments entered into in the current year and/or earlier years.</w:t>
            </w:r>
          </w:p>
        </w:tc>
      </w:tr>
      <w:tr w:rsidR="00311BB8" w:rsidTr="00311BB8">
        <w:tc>
          <w:tcPr>
            <w:tcW w:w="4395" w:type="dxa"/>
          </w:tcPr>
          <w:p w:rsidR="00311BB8" w:rsidRDefault="00D91061">
            <w:pPr>
              <w:pStyle w:val="AMPRTABLEA-TOTALLEFTalligned-BLACK"/>
              <w:rPr>
                <w:noProof/>
              </w:rPr>
            </w:pPr>
            <w:r>
              <w:rPr>
                <w:noProof/>
              </w:rPr>
              <w:t>Programme</w:t>
            </w:r>
          </w:p>
        </w:tc>
        <w:tc>
          <w:tcPr>
            <w:tcW w:w="4536" w:type="dxa"/>
          </w:tcPr>
          <w:p w:rsidR="00311BB8" w:rsidRDefault="00D91061">
            <w:pPr>
              <w:pStyle w:val="AMPRTABLEA-TextLEFTalligned-BLACK"/>
              <w:rPr>
                <w:noProof/>
                <w:lang w:val="en-GB"/>
              </w:rPr>
            </w:pPr>
            <w:r>
              <w:rPr>
                <w:noProof/>
                <w:lang w:val="en-GB"/>
              </w:rPr>
              <w:t>Set of related measures and activities for implementing EU policies. EU policies are implemented through a wide range of programmes and funds providing financial support to hundreds of thousands of beneficiaries – farmers, students, scientists, non-governmental organisations, businesses, towns, regions, etc.</w:t>
            </w:r>
          </w:p>
        </w:tc>
      </w:tr>
      <w:tr w:rsidR="00311BB8" w:rsidTr="00311BB8">
        <w:tc>
          <w:tcPr>
            <w:tcW w:w="4395" w:type="dxa"/>
          </w:tcPr>
          <w:p w:rsidR="00311BB8" w:rsidRDefault="00D91061">
            <w:pPr>
              <w:pStyle w:val="AMPRTABLEA-TOTALLEFTalligned-BLACK"/>
              <w:rPr>
                <w:noProof/>
              </w:rPr>
            </w:pPr>
            <w:r>
              <w:rPr>
                <w:noProof/>
              </w:rPr>
              <w:t>Shared management</w:t>
            </w:r>
          </w:p>
        </w:tc>
        <w:tc>
          <w:tcPr>
            <w:tcW w:w="4536" w:type="dxa"/>
          </w:tcPr>
          <w:p w:rsidR="00311BB8" w:rsidRDefault="00D91061">
            <w:pPr>
              <w:pStyle w:val="AMPRTABLEA-TextLEFTalligned-BLACK"/>
              <w:rPr>
                <w:noProof/>
                <w:lang w:val="en-GB"/>
              </w:rPr>
            </w:pPr>
            <w:r>
              <w:rPr>
                <w:noProof/>
                <w:lang w:val="en-GB"/>
              </w:rPr>
              <w:t>A form of implementation of an EU fund or programme where the task of management is delegated to EU Member States (as opposed to direct management). This applies to the vast majority of EU-funded projects.</w:t>
            </w:r>
          </w:p>
        </w:tc>
      </w:tr>
      <w:tr w:rsidR="00311BB8" w:rsidTr="00311BB8">
        <w:tc>
          <w:tcPr>
            <w:tcW w:w="4395" w:type="dxa"/>
          </w:tcPr>
          <w:p w:rsidR="00311BB8" w:rsidRDefault="00D91061">
            <w:pPr>
              <w:pStyle w:val="AMPRTABLEA-TOTALLEFTalligned-BLACK"/>
              <w:rPr>
                <w:noProof/>
              </w:rPr>
            </w:pPr>
            <w:r>
              <w:rPr>
                <w:noProof/>
              </w:rPr>
              <w:t>Special instruments</w:t>
            </w:r>
          </w:p>
        </w:tc>
        <w:tc>
          <w:tcPr>
            <w:tcW w:w="4536" w:type="dxa"/>
          </w:tcPr>
          <w:p w:rsidR="00311BB8" w:rsidRDefault="00D91061">
            <w:pPr>
              <w:pStyle w:val="AMPRTABLEA-TextLEFTalligned-BLACK"/>
              <w:rPr>
                <w:noProof/>
                <w:lang w:val="en-GB"/>
              </w:rPr>
            </w:pPr>
            <w:r>
              <w:rPr>
                <w:noProof/>
                <w:lang w:val="en-GB"/>
              </w:rPr>
              <w:t>A means of providing EU financial support from the budget to allow the EU to react to specified unforeseen circumstances or to allow the financing of clearly identified expenditure that cannot be financed within the limits of the ceilings available for one or more headings. The mobilisation of special instruments is subject to a decision by the budgetary authority, acting on a proposal for a transfer from the ‘reserve’ title to the item concerned.</w:t>
            </w:r>
          </w:p>
        </w:tc>
      </w:tr>
    </w:tbl>
    <w:p w:rsidR="00311BB8" w:rsidRDefault="00311BB8">
      <w:pPr>
        <w:pStyle w:val="AMPRBodyText"/>
        <w:rPr>
          <w:noProof/>
        </w:rPr>
        <w:sectPr w:rsidR="00311BB8">
          <w:headerReference w:type="even" r:id="rId152"/>
          <w:headerReference w:type="default" r:id="rId153"/>
          <w:footerReference w:type="even" r:id="rId154"/>
          <w:footerReference w:type="default" r:id="rId155"/>
          <w:headerReference w:type="first" r:id="rId156"/>
          <w:footerReference w:type="first" r:id="rId157"/>
          <w:footnotePr>
            <w:numStart w:val="94"/>
          </w:footnotePr>
          <w:type w:val="continuous"/>
          <w:pgSz w:w="11906" w:h="16838"/>
          <w:pgMar w:top="1417" w:right="1417" w:bottom="1134" w:left="1417" w:header="567" w:footer="454" w:gutter="0"/>
          <w:cols w:space="720"/>
          <w:docGrid w:linePitch="360"/>
        </w:sectPr>
      </w:pPr>
    </w:p>
    <w:p w:rsidR="00311BB8" w:rsidRDefault="00311BB8">
      <w:pPr>
        <w:rPr>
          <w:noProof/>
        </w:rPr>
      </w:pPr>
    </w:p>
    <w:p w:rsidR="00311BB8" w:rsidRDefault="00D91061">
      <w:pPr>
        <w:rPr>
          <w:noProof/>
        </w:rPr>
      </w:pPr>
      <w:r>
        <w:rPr>
          <w:noProof/>
        </w:rPr>
        <w:br w:type="page"/>
      </w:r>
    </w:p>
    <w:p w:rsidR="00311BB8" w:rsidRDefault="00D91061">
      <w:pPr>
        <w:rPr>
          <w:noProof/>
        </w:rPr>
      </w:pPr>
      <w:r>
        <w:rPr>
          <w:noProof/>
          <w:lang w:val="fr-BE" w:eastAsia="fr-BE"/>
        </w:rPr>
        <w:drawing>
          <wp:anchor distT="0" distB="0" distL="114300" distR="114300" simplePos="0" relativeHeight="251600896" behindDoc="1" locked="0" layoutInCell="1" allowOverlap="1">
            <wp:simplePos x="0" y="0"/>
            <wp:positionH relativeFrom="page">
              <wp:align>left</wp:align>
            </wp:positionH>
            <wp:positionV relativeFrom="page">
              <wp:align>top</wp:align>
            </wp:positionV>
            <wp:extent cx="7560000" cy="106920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27050202_AMPR_web_Page_3.jpg"/>
                    <pic:cNvPicPr/>
                  </pic:nvPicPr>
                  <pic:blipFill>
                    <a:blip r:embed="rId15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w:br w:type="page"/>
      </w:r>
    </w:p>
    <w:p w:rsidR="00311BB8" w:rsidRDefault="00311BB8">
      <w:pPr>
        <w:rPr>
          <w:noProof/>
        </w:rPr>
      </w:pPr>
    </w:p>
    <w:sectPr w:rsidR="00311BB8">
      <w:headerReference w:type="even" r:id="rId159"/>
      <w:headerReference w:type="default" r:id="rId160"/>
      <w:footerReference w:type="even" r:id="rId161"/>
      <w:footerReference w:type="default" r:id="rId162"/>
      <w:headerReference w:type="first" r:id="rId163"/>
      <w:footerReference w:type="first" r:id="rId164"/>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BB8" w:rsidRDefault="00D91061">
      <w:pPr>
        <w:spacing w:after="0" w:line="240" w:lineRule="auto"/>
      </w:pPr>
      <w:r>
        <w:separator/>
      </w:r>
    </w:p>
  </w:endnote>
  <w:endnote w:type="continuationSeparator" w:id="0">
    <w:p w:rsidR="00311BB8" w:rsidRDefault="00D91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algun Gothic Semilight">
    <w:panose1 w:val="020B0502040204020203"/>
    <w:charset w:val="81"/>
    <w:family w:val="swiss"/>
    <w:pitch w:val="variable"/>
    <w:sig w:usb0="B0000AAF" w:usb1="09DF7CFB" w:usb2="00000012" w:usb3="00000000" w:csb0="003E01BD"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EC Square Sans Pro Thin">
    <w:panose1 w:val="020B0506040000020004"/>
    <w:charset w:val="00"/>
    <w:family w:val="swiss"/>
    <w:pitch w:val="variable"/>
    <w:sig w:usb0="A00002BF" w:usb1="5000E0F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EC Square Sans Pro Light">
    <w:panose1 w:val="020B0506000000020004"/>
    <w:charset w:val="00"/>
    <w:family w:val="swiss"/>
    <w:pitch w:val="variable"/>
    <w:sig w:usb0="A00002BF" w:usb1="5000E0FB" w:usb2="00000000" w:usb3="00000000" w:csb0="0000019F" w:csb1="00000000"/>
  </w:font>
  <w:font w:name="EC Square Sans Cond Pro Medium">
    <w:altName w:val="Arial"/>
    <w:panose1 w:val="020B0606000000020004"/>
    <w:charset w:val="00"/>
    <w:family w:val="swiss"/>
    <w:pitch w:val="variable"/>
    <w:sig w:usb0="A00002BF" w:usb1="500000DB" w:usb2="00000000" w:usb3="00000000" w:csb0="0000019F" w:csb1="00000000"/>
  </w:font>
  <w:font w:name="EC Square Sans Pro Medium">
    <w:panose1 w:val="020B0500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B5C" w:rsidRPr="00F82B5C" w:rsidRDefault="00F82B5C" w:rsidP="00F82B5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Left"/>
    </w:pPr>
    <w:sdt>
      <w:sdtPr>
        <w:id w:val="-1692221006"/>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t>234</w:t>
        </w:r>
        <w:r w:rsidR="00D91061">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Right"/>
    </w:pPr>
    <w:sdt>
      <w:sdtPr>
        <w:id w:val="725260082"/>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t>226</w:t>
        </w:r>
        <w:r w:rsidR="00D91061">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AMPRFooter-Righ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AMPRFooter-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595539"/>
      <w:docPartObj>
        <w:docPartGallery w:val="Page Numbers (Bottom of Page)"/>
        <w:docPartUnique/>
      </w:docPartObj>
    </w:sdtPr>
    <w:sdtEndPr/>
    <w:sdtContent>
      <w:p w:rsidR="00311BB8" w:rsidRDefault="00F82B5C">
        <w:pPr>
          <w:pStyle w:val="AMPRFooter-Right"/>
        </w:pPr>
        <w:sdt>
          <w:sdtPr>
            <w:id w:val="1928843068"/>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5A480A">
              <w:t>241</w:t>
            </w:r>
            <w:r w:rsidR="00D91061">
              <w:fldChar w:fldCharType="end"/>
            </w:r>
          </w:sdtContent>
        </w:sdt>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Left"/>
    </w:pPr>
    <w:sdt>
      <w:sdtPr>
        <w:id w:val="-2143869641"/>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t>250</w:t>
        </w:r>
        <w:r w:rsidR="00D91061">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B5C" w:rsidRPr="00F82B5C" w:rsidRDefault="00F82B5C" w:rsidP="00F82B5C">
    <w:pPr>
      <w:pStyle w:val="FooterCoverPage"/>
      <w:rPr>
        <w:rFonts w:ascii="Arial" w:hAnsi="Arial" w:cs="Arial"/>
        <w:b/>
        <w:sz w:val="48"/>
      </w:rPr>
    </w:pPr>
    <w:r w:rsidRPr="00F82B5C">
      <w:rPr>
        <w:rFonts w:ascii="Arial" w:hAnsi="Arial" w:cs="Arial"/>
        <w:b/>
        <w:sz w:val="48"/>
      </w:rPr>
      <w:t>EN</w:t>
    </w:r>
    <w:r w:rsidRPr="00F82B5C">
      <w:rPr>
        <w:rFonts w:ascii="Arial" w:hAnsi="Arial" w:cs="Arial"/>
        <w:b/>
        <w:sz w:val="48"/>
      </w:rPr>
      <w:tab/>
    </w:r>
    <w:r w:rsidRPr="00F82B5C">
      <w:rPr>
        <w:rFonts w:ascii="Arial" w:hAnsi="Arial" w:cs="Arial"/>
        <w:b/>
        <w:sz w:val="48"/>
      </w:rPr>
      <w:tab/>
    </w:r>
    <w:r w:rsidRPr="00F82B5C">
      <w:tab/>
    </w:r>
    <w:r w:rsidRPr="00F82B5C">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8809267"/>
      <w:docPartObj>
        <w:docPartGallery w:val="Page Numbers (Bottom of Page)"/>
        <w:docPartUnique/>
      </w:docPartObj>
    </w:sdtPr>
    <w:sdtEndPr/>
    <w:sdtContent>
      <w:p w:rsidR="00311BB8" w:rsidRDefault="00F82B5C">
        <w:pPr>
          <w:pStyle w:val="AMPRFooter-Right"/>
        </w:pPr>
        <w:sdt>
          <w:sdtPr>
            <w:id w:val="708225125"/>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5A480A">
              <w:t>250</w:t>
            </w:r>
            <w:r w:rsidR="00D91061">
              <w:fldChar w:fldCharType="end"/>
            </w:r>
          </w:sdtContent>
        </w:sdt>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AMPRFooter-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844252"/>
      <w:docPartObj>
        <w:docPartGallery w:val="Page Numbers (Bottom of Page)"/>
        <w:docPartUnique/>
      </w:docPartObj>
    </w:sdtPr>
    <w:sdtEndPr/>
    <w:sdtContent>
      <w:p w:rsidR="00311BB8" w:rsidRDefault="00F82B5C">
        <w:pPr>
          <w:pStyle w:val="AMPRFooter-Right"/>
        </w:pPr>
        <w:sdt>
          <w:sdtPr>
            <w:id w:val="784233957"/>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t>251</w:t>
            </w:r>
            <w:r w:rsidR="00D91061">
              <w:fldChar w:fldCharType="end"/>
            </w:r>
          </w:sdtContent>
        </w:sdt>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9094980"/>
      <w:docPartObj>
        <w:docPartGallery w:val="Page Numbers (Bottom of Page)"/>
        <w:docPartUnique/>
      </w:docPartObj>
    </w:sdtPr>
    <w:sdtEndPr/>
    <w:sdtContent>
      <w:p w:rsidR="00311BB8" w:rsidRDefault="00F82B5C">
        <w:pPr>
          <w:pStyle w:val="AMPRFooter-Right"/>
        </w:pPr>
        <w:sdt>
          <w:sdtPr>
            <w:id w:val="814989567"/>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5A480A">
              <w:t>251</w:t>
            </w:r>
            <w:r w:rsidR="00D91061">
              <w:fldChar w:fldCharType="end"/>
            </w:r>
          </w:sdtContent>
        </w:sdt>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Left"/>
    </w:pPr>
    <w:sdt>
      <w:sdtPr>
        <w:id w:val="1626339184"/>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t>260</w:t>
        </w:r>
        <w:r w:rsidR="00D91061">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254028"/>
      <w:docPartObj>
        <w:docPartGallery w:val="Page Numbers (Bottom of Page)"/>
        <w:docPartUnique/>
      </w:docPartObj>
    </w:sdtPr>
    <w:sdtEndPr/>
    <w:sdtContent>
      <w:p w:rsidR="00311BB8" w:rsidRDefault="00F82B5C">
        <w:pPr>
          <w:pStyle w:val="AMPRFooter-Right"/>
        </w:pPr>
        <w:sdt>
          <w:sdtPr>
            <w:id w:val="1290631070"/>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5A480A">
              <w:t>259</w:t>
            </w:r>
            <w:r w:rsidR="00D91061">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B5C" w:rsidRPr="00F82B5C" w:rsidRDefault="00F82B5C" w:rsidP="00F82B5C">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Left"/>
    </w:pPr>
    <w:sdt>
      <w:sdtPr>
        <w:id w:val="-641888988"/>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t>260</w:t>
        </w:r>
        <w:r w:rsidR="00D91061">
          <w:fldChar w:fldCharType="end"/>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AMPRFooter-Righ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Left"/>
    </w:pPr>
    <w:sdt>
      <w:sdtPr>
        <w:id w:val="-285748085"/>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t>288</w:t>
        </w:r>
        <w:r w:rsidR="00D91061">
          <w:fldChar w:fldCharType="end"/>
        </w:r>
      </w:sdtContent>
    </w:sdt>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9534721"/>
      <w:docPartObj>
        <w:docPartGallery w:val="Page Numbers (Bottom of Page)"/>
        <w:docPartUnique/>
      </w:docPartObj>
    </w:sdtPr>
    <w:sdtEndPr/>
    <w:sdtContent>
      <w:p w:rsidR="00311BB8" w:rsidRDefault="00F82B5C">
        <w:pPr>
          <w:pStyle w:val="AMPRFooter-Right"/>
        </w:pPr>
        <w:sdt>
          <w:sdtPr>
            <w:id w:val="-1534876884"/>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5A480A">
              <w:t>272</w:t>
            </w:r>
            <w:r w:rsidR="00D91061">
              <w:fldChar w:fldCharType="end"/>
            </w:r>
          </w:sdtContent>
        </w:sdt>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Left"/>
    </w:pPr>
    <w:sdt>
      <w:sdtPr>
        <w:id w:val="1322009365"/>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t>288</w:t>
        </w:r>
        <w:r w:rsidR="00D91061">
          <w:fldChar w:fldCharType="end"/>
        </w:r>
      </w:sdtContent>
    </w:sdt>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241471"/>
      <w:docPartObj>
        <w:docPartGallery w:val="Page Numbers (Bottom of Page)"/>
        <w:docPartUnique/>
      </w:docPartObj>
    </w:sdtPr>
    <w:sdtEndPr/>
    <w:sdtContent>
      <w:p w:rsidR="00311BB8" w:rsidRDefault="00F82B5C">
        <w:pPr>
          <w:pStyle w:val="AMPRFooter-Right"/>
        </w:pPr>
        <w:sdt>
          <w:sdtPr>
            <w:id w:val="-1143037912"/>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5A480A">
              <w:t>287</w:t>
            </w:r>
            <w:r w:rsidR="00D91061">
              <w:fldChar w:fldCharType="end"/>
            </w:r>
          </w:sdtContent>
        </w:sdt>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Left"/>
    </w:pPr>
    <w:sdt>
      <w:sdtPr>
        <w:id w:val="-1629617106"/>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t>220</w:t>
        </w:r>
        <w:r w:rsidR="00D91061">
          <w:fldChar w:fldCharType="end"/>
        </w:r>
      </w:sdtContent>
    </w:sdt>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176550"/>
      <w:docPartObj>
        <w:docPartGallery w:val="Page Numbers (Bottom of Page)"/>
        <w:docPartUnique/>
      </w:docPartObj>
    </w:sdtPr>
    <w:sdtEndPr/>
    <w:sdtContent>
      <w:p w:rsidR="00311BB8" w:rsidRDefault="00F82B5C">
        <w:pPr>
          <w:pStyle w:val="AMPRFooter-Right"/>
        </w:pPr>
        <w:sdt>
          <w:sdtPr>
            <w:id w:val="-1695844257"/>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5A480A">
              <w:t>292</w:t>
            </w:r>
            <w:r w:rsidR="00D91061">
              <w:fldChar w:fldCharType="end"/>
            </w:r>
          </w:sdtContent>
        </w:sdt>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Left"/>
    </w:pPr>
    <w:sdt>
      <w:sdtPr>
        <w:id w:val="470478555"/>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t>298</w:t>
        </w:r>
        <w:r w:rsidR="00D91061">
          <w:fldChar w:fldCharType="end"/>
        </w:r>
      </w:sdtContent>
    </w:sdt>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775497"/>
      <w:docPartObj>
        <w:docPartGallery w:val="Page Numbers (Bottom of Page)"/>
        <w:docPartUnique/>
      </w:docPartObj>
    </w:sdtPr>
    <w:sdtEndPr/>
    <w:sdtContent>
      <w:p w:rsidR="00311BB8" w:rsidRDefault="00F82B5C">
        <w:pPr>
          <w:pStyle w:val="AMPRFooter-Right"/>
        </w:pPr>
        <w:sdt>
          <w:sdtPr>
            <w:id w:val="-356659021"/>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5A480A">
              <w:t>294</w:t>
            </w:r>
            <w:r w:rsidR="00D91061">
              <w:fldChar w:fldCharType="end"/>
            </w:r>
          </w:sdtContent>
        </w:sdt>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Left"/>
    </w:pPr>
    <w:sdt>
      <w:sdtPr>
        <w:id w:val="1327479194"/>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t>298</w:t>
        </w:r>
        <w:r w:rsidR="00D91061">
          <w:fldChar w:fldCharType="end"/>
        </w:r>
      </w:sdtContent>
    </w:sdt>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416933"/>
      <w:docPartObj>
        <w:docPartGallery w:val="Page Numbers (Bottom of Page)"/>
        <w:docPartUnique/>
      </w:docPartObj>
    </w:sdtPr>
    <w:sdtEndPr/>
    <w:sdtContent>
      <w:p w:rsidR="00311BB8" w:rsidRDefault="00F82B5C">
        <w:pPr>
          <w:pStyle w:val="AMPRFooter-Right"/>
        </w:pPr>
        <w:sdt>
          <w:sdtPr>
            <w:id w:val="2106995083"/>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5A480A">
              <w:t>297</w:t>
            </w:r>
            <w:r w:rsidR="00D91061">
              <w:fldChar w:fldCharType="end"/>
            </w:r>
          </w:sdtContent>
        </w:sdt>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Right"/>
    </w:pPr>
    <w:sdt>
      <w:sdtPr>
        <w:id w:val="-1531640522"/>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t>220</w:t>
        </w:r>
        <w:r w:rsidR="00D91061">
          <w:fldChar w:fldCharType="end"/>
        </w:r>
      </w:sdtContent>
    </w:sdt>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883281"/>
      <w:docPartObj>
        <w:docPartGallery w:val="Page Numbers (Bottom of Page)"/>
        <w:docPartUnique/>
      </w:docPartObj>
    </w:sdtPr>
    <w:sdtEndPr/>
    <w:sdtContent>
      <w:p w:rsidR="00311BB8" w:rsidRDefault="00F82B5C">
        <w:pPr>
          <w:pStyle w:val="AMPRFooter-Right"/>
        </w:pPr>
        <w:sdt>
          <w:sdtPr>
            <w:id w:val="-1250045998"/>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5A480A">
              <w:t>298</w:t>
            </w:r>
            <w:r w:rsidR="00D91061">
              <w:fldChar w:fldCharType="end"/>
            </w:r>
          </w:sdtContent>
        </w:sdt>
      </w:p>
    </w:sdtContent>
  </w:sdt>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Left"/>
    </w:pPr>
    <w:sdt>
      <w:sdtPr>
        <w:id w:val="1536074809"/>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t>300</w:t>
        </w:r>
        <w:r w:rsidR="00D91061">
          <w:fldChar w:fldCharType="end"/>
        </w:r>
      </w:sdtContent>
    </w:sdt>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789271"/>
      <w:docPartObj>
        <w:docPartGallery w:val="Page Numbers (Bottom of Page)"/>
        <w:docPartUnique/>
      </w:docPartObj>
    </w:sdtPr>
    <w:sdtEndPr/>
    <w:sdtContent>
      <w:p w:rsidR="00311BB8" w:rsidRDefault="00F82B5C">
        <w:pPr>
          <w:pStyle w:val="AMPRFooter-Right"/>
        </w:pPr>
        <w:sdt>
          <w:sdtPr>
            <w:id w:val="-1149277022"/>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5A480A">
              <w:t>300</w:t>
            </w:r>
            <w:r w:rsidR="00D91061">
              <w:fldChar w:fldCharType="end"/>
            </w:r>
          </w:sdtContent>
        </w:sdt>
      </w:p>
    </w:sdtContent>
  </w:sdt>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Left"/>
    </w:pPr>
    <w:sdt>
      <w:sdtPr>
        <w:id w:val="564686506"/>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t>304</w:t>
        </w:r>
        <w:r w:rsidR="00D91061">
          <w:fldChar w:fldCharType="end"/>
        </w:r>
      </w:sdtContent>
    </w:sdt>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9939567"/>
      <w:docPartObj>
        <w:docPartGallery w:val="Page Numbers (Bottom of Page)"/>
        <w:docPartUnique/>
      </w:docPartObj>
    </w:sdtPr>
    <w:sdtEndPr/>
    <w:sdtContent>
      <w:p w:rsidR="00311BB8" w:rsidRDefault="00F82B5C">
        <w:pPr>
          <w:pStyle w:val="AMPRFooter-Right"/>
        </w:pPr>
        <w:sdt>
          <w:sdtPr>
            <w:id w:val="205305442"/>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5A480A">
              <w:t>303</w:t>
            </w:r>
            <w:r w:rsidR="00D91061">
              <w:fldChar w:fldCharType="end"/>
            </w:r>
          </w:sdtContent>
        </w:sdt>
      </w:p>
    </w:sdtContent>
  </w:sdt>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sdt>
      <w:sdtPr>
        <w:id w:val="-1099090079"/>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rPr>
            <w:noProof/>
          </w:rPr>
          <w:t>83</w:t>
        </w:r>
        <w:r w:rsidR="00D91061">
          <w:fldChar w:fldCharType="end"/>
        </w:r>
      </w:sdtContent>
    </w:sdt>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2275498"/>
      <w:docPartObj>
        <w:docPartGallery w:val="Page Numbers (Bottom of Page)"/>
        <w:docPartUnique/>
      </w:docPartObj>
    </w:sdtPr>
    <w:sdtEndPr/>
    <w:sdtContent>
      <w:p w:rsidR="00311BB8" w:rsidRDefault="00F82B5C">
        <w:pPr>
          <w:pStyle w:val="AMPRFooter-Right"/>
        </w:pPr>
        <w:sdt>
          <w:sdtPr>
            <w:id w:val="-465206369"/>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5A480A">
              <w:t>304</w:t>
            </w:r>
            <w:r w:rsidR="00D91061">
              <w:fldChar w:fldCharType="end"/>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sdt>
      <w:sdtPr>
        <w:id w:val="2085180961"/>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rPr>
            <w:noProof/>
          </w:rPr>
          <w:t>83</w:t>
        </w:r>
        <w:r w:rsidR="00D91061">
          <w:fldChar w:fldCharType="end"/>
        </w:r>
      </w:sdtContent>
    </w:sdt>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Left"/>
    </w:pPr>
    <w:sdt>
      <w:sdtPr>
        <w:id w:val="-1676959086"/>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t>308</w:t>
        </w:r>
        <w:r w:rsidR="00D91061">
          <w:fldChar w:fldCharType="end"/>
        </w:r>
      </w:sdtContent>
    </w:sdt>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913691"/>
      <w:docPartObj>
        <w:docPartGallery w:val="Page Numbers (Bottom of Page)"/>
        <w:docPartUnique/>
      </w:docPartObj>
    </w:sdtPr>
    <w:sdtEndPr/>
    <w:sdtContent>
      <w:p w:rsidR="00311BB8" w:rsidRDefault="00F82B5C">
        <w:pPr>
          <w:pStyle w:val="AMPRFooter-Right"/>
        </w:pPr>
        <w:sdt>
          <w:sdtPr>
            <w:id w:val="-110286039"/>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5A480A">
              <w:t>308</w:t>
            </w:r>
            <w:r w:rsidR="00D91061">
              <w:fldChar w:fldCharType="end"/>
            </w:r>
          </w:sdtContent>
        </w:sdt>
      </w:p>
    </w:sdtContent>
  </w:sdt>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sdt>
      <w:sdtPr>
        <w:id w:val="1117728624"/>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rPr>
            <w:noProof/>
          </w:rPr>
          <w:t>83</w:t>
        </w:r>
        <w:r w:rsidR="00D91061">
          <w:fldChar w:fldCharType="end"/>
        </w:r>
      </w:sdtContent>
    </w:sdt>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Left"/>
    </w:pPr>
    <w:sdt>
      <w:sdtPr>
        <w:id w:val="-1426879738"/>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t>312</w:t>
        </w:r>
        <w:r w:rsidR="00D91061">
          <w:fldChar w:fldCharType="end"/>
        </w:r>
      </w:sdtContent>
    </w:sdt>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001877"/>
      <w:docPartObj>
        <w:docPartGallery w:val="Page Numbers (Bottom of Page)"/>
        <w:docPartUnique/>
      </w:docPartObj>
    </w:sdtPr>
    <w:sdtEndPr/>
    <w:sdtContent>
      <w:p w:rsidR="00311BB8" w:rsidRDefault="00F82B5C">
        <w:pPr>
          <w:pStyle w:val="AMPRFooter-Right"/>
        </w:pPr>
        <w:sdt>
          <w:sdtPr>
            <w:id w:val="468632987"/>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5A480A">
              <w:t>309</w:t>
            </w:r>
            <w:r w:rsidR="00D91061">
              <w:fldChar w:fldCharType="end"/>
            </w:r>
          </w:sdtContent>
        </w:sdt>
      </w:p>
    </w:sdtContent>
  </w:sdt>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sdt>
      <w:sdtPr>
        <w:id w:val="511339218"/>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rPr>
            <w:noProof/>
          </w:rPr>
          <w:t>83</w:t>
        </w:r>
        <w:r w:rsidR="00D91061">
          <w:fldChar w:fldCharType="end"/>
        </w:r>
      </w:sdtContent>
    </w:sdt>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Left"/>
    </w:pPr>
    <w:sdt>
      <w:sdtPr>
        <w:id w:val="94532552"/>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t>312</w:t>
        </w:r>
        <w:r w:rsidR="00D91061">
          <w:fldChar w:fldCharType="end"/>
        </w:r>
      </w:sdtContent>
    </w:sdt>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4144"/>
      <w:docPartObj>
        <w:docPartGallery w:val="Page Numbers (Bottom of Page)"/>
        <w:docPartUnique/>
      </w:docPartObj>
    </w:sdtPr>
    <w:sdtEndPr/>
    <w:sdtContent>
      <w:p w:rsidR="00311BB8" w:rsidRDefault="00F82B5C">
        <w:pPr>
          <w:pStyle w:val="AMPRFooter-Right"/>
        </w:pPr>
        <w:sdt>
          <w:sdtPr>
            <w:id w:val="1553274462"/>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5A480A">
              <w:t>312</w:t>
            </w:r>
            <w:r w:rsidR="00D91061">
              <w:fldChar w:fldCharType="end"/>
            </w:r>
          </w:sdtContent>
        </w:sdt>
      </w:p>
    </w:sdtContent>
  </w:sdt>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sdt>
      <w:sdtPr>
        <w:id w:val="-668943589"/>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rsidR="00D91061">
          <w:rPr>
            <w:noProof/>
          </w:rPr>
          <w:t>83</w:t>
        </w:r>
        <w:r w:rsidR="00D91061">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AMPRFooter-Left"/>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F82B5C">
    <w:pPr>
      <w:pStyle w:val="AMPRFooter-Right"/>
    </w:pPr>
    <w:sdt>
      <w:sdtPr>
        <w:id w:val="642552159"/>
        <w:docPartObj>
          <w:docPartGallery w:val="Page Numbers (Bottom of Page)"/>
          <w:docPartUnique/>
        </w:docPartObj>
      </w:sdtPr>
      <w:sdtEndPr/>
      <w:sdtContent>
        <w:r w:rsidR="00D91061">
          <w:fldChar w:fldCharType="begin"/>
        </w:r>
        <w:r w:rsidR="00D91061">
          <w:instrText xml:space="preserve"> PAGE   \* MERGEFORMAT </w:instrText>
        </w:r>
        <w:r w:rsidR="00D91061">
          <w:fldChar w:fldCharType="separate"/>
        </w:r>
        <w:r>
          <w:t>225</w:t>
        </w:r>
        <w:r w:rsidR="00D91061">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BB8" w:rsidRDefault="00D91061">
      <w:pPr>
        <w:spacing w:after="0" w:line="240" w:lineRule="auto"/>
      </w:pPr>
      <w:r>
        <w:separator/>
      </w:r>
    </w:p>
  </w:footnote>
  <w:footnote w:type="continuationSeparator" w:id="0">
    <w:p w:rsidR="00311BB8" w:rsidRDefault="00D91061">
      <w:pPr>
        <w:spacing w:after="0" w:line="240" w:lineRule="auto"/>
      </w:pPr>
      <w:r>
        <w:continuationSeparator/>
      </w:r>
    </w:p>
  </w:footnote>
  <w:footnote w:id="1">
    <w:p w:rsidR="00311BB8" w:rsidRDefault="00D91061">
      <w:pPr>
        <w:pStyle w:val="FootnoteText"/>
        <w:rPr>
          <w:rFonts w:asciiTheme="minorHAnsi" w:hAnsiTheme="minorHAnsi"/>
        </w:rPr>
      </w:pPr>
      <w:r>
        <w:rPr>
          <w:rStyle w:val="fnRef"/>
          <w:rFonts w:eastAsiaTheme="minorEastAsia"/>
        </w:rPr>
        <w:t>(</w:t>
      </w:r>
      <w:r>
        <w:rPr>
          <w:rStyle w:val="fnRefNo"/>
          <w:rFonts w:eastAsiaTheme="minorEastAsia"/>
        </w:rPr>
        <w:footnoteRef/>
      </w:r>
      <w:r>
        <w:rPr>
          <w:rStyle w:val="fnRef"/>
          <w:rFonts w:eastAsiaTheme="minorEastAsia"/>
        </w:rPr>
        <w:t>)</w:t>
      </w:r>
      <w:r>
        <w:rPr>
          <w:rStyle w:val="fnRef"/>
          <w:rFonts w:eastAsiaTheme="minorEastAsia"/>
        </w:rPr>
        <w:tab/>
      </w:r>
      <w:r>
        <w:rPr>
          <w:rFonts w:asciiTheme="minorHAnsi" w:hAnsiTheme="minorHAnsi"/>
        </w:rPr>
        <w:t>For more details, please consult the environmental statement of the Commission (</w:t>
      </w:r>
      <w:hyperlink r:id="rId1" w:history="1">
        <w:r>
          <w:rPr>
            <w:rStyle w:val="Hyperlink"/>
            <w:rFonts w:eastAsiaTheme="minorEastAsia"/>
          </w:rPr>
          <w:t>https://ec.europa.eu/environment/emas/pdf/other/ES2019_consolidated_volume_web_edition_optimised.pdf</w:t>
        </w:r>
      </w:hyperlink>
      <w:r>
        <w:rPr>
          <w:rFonts w:asciiTheme="minorHAnsi" w:hAnsiTheme="minorHAnsi"/>
        </w:rPr>
        <w:t>).</w:t>
      </w:r>
    </w:p>
  </w:footnote>
  <w:footnote w:id="2">
    <w:p w:rsidR="00311BB8" w:rsidRDefault="00D91061">
      <w:pPr>
        <w:pStyle w:val="footnote"/>
        <w:ind w:left="360"/>
      </w:pPr>
      <w:r>
        <w:t>(</w:t>
      </w:r>
      <w:r>
        <w:rPr>
          <w:vertAlign w:val="superscript"/>
        </w:rPr>
        <w:footnoteRef/>
      </w:r>
      <w:r>
        <w:t>)</w:t>
      </w:r>
      <w:r>
        <w:tab/>
        <w:t>NB: Such corrections are not sanctions and do not include the penalties and fines.</w:t>
      </w:r>
    </w:p>
  </w:footnote>
  <w:footnote w:id="3">
    <w:p w:rsidR="00311BB8" w:rsidRDefault="00D91061">
      <w:pPr>
        <w:pStyle w:val="footnote"/>
        <w:ind w:left="360"/>
      </w:pPr>
      <w:r>
        <w:t>(</w:t>
      </w:r>
      <w:r>
        <w:rPr>
          <w:vertAlign w:val="superscript"/>
        </w:rPr>
        <w:footnoteRef/>
      </w:r>
      <w:r>
        <w:t>)</w:t>
      </w:r>
      <w:r>
        <w:tab/>
        <w:t>Or equivalent, such as after the expenditure is accepted (i.e. registered in the Commission’s accounting system) or after the pre-financing is cleared.</w:t>
      </w:r>
    </w:p>
  </w:footnote>
  <w:footnote w:id="4">
    <w:p w:rsidR="00311BB8" w:rsidRDefault="00D91061">
      <w:pPr>
        <w:pStyle w:val="FootnoteText"/>
      </w:pPr>
      <w:r>
        <w:t>(</w:t>
      </w:r>
      <w:r>
        <w:rPr>
          <w:rStyle w:val="FootnoteReference"/>
          <w:vertAlign w:val="superscript"/>
        </w:rPr>
        <w:footnoteRef/>
      </w:r>
      <w:r>
        <w:t>)</w:t>
      </w:r>
      <w:r>
        <w:tab/>
        <w:t>See the guidelines for determining financial corrections to be made to expenditure financed by the Union for non-compliance with the applicable rules on public procurement, C(2019) 3452 final, 14.5.2019.</w:t>
      </w:r>
    </w:p>
  </w:footnote>
  <w:footnote w:id="5">
    <w:p w:rsidR="00311BB8" w:rsidRDefault="00D91061">
      <w:pPr>
        <w:pStyle w:val="footnote"/>
      </w:pPr>
      <w:r>
        <w:t>(</w:t>
      </w:r>
      <w:r>
        <w:rPr>
          <w:vertAlign w:val="superscript"/>
        </w:rPr>
        <w:footnoteRef/>
      </w:r>
      <w:r>
        <w:t>)</w:t>
      </w:r>
      <w:r>
        <w:tab/>
        <w:t>These departments use their envisaged corrections identified for the specific operational programmes and accounting year affected.</w:t>
      </w:r>
    </w:p>
  </w:footnote>
  <w:footnote w:id="6">
    <w:p w:rsidR="00311BB8" w:rsidRDefault="00D91061">
      <w:pPr>
        <w:pStyle w:val="FootnoteText"/>
      </w:pPr>
      <w:r>
        <w:t>(</w:t>
      </w:r>
      <w:r>
        <w:rPr>
          <w:rStyle w:val="FootnoteReference"/>
          <w:vertAlign w:val="superscript"/>
        </w:rPr>
        <w:footnoteRef/>
      </w:r>
      <w:r>
        <w:t xml:space="preserve">) </w:t>
      </w:r>
      <w:r>
        <w:tab/>
        <w:t>In the case of the common agricultural policy, the term ‘final amount at risk’ is used instead, to better reflect the fact that there is no set closure point for the European Agricultural Guarantee Fund measures.</w:t>
      </w:r>
    </w:p>
  </w:footnote>
  <w:footnote w:id="7">
    <w:p w:rsidR="00311BB8" w:rsidRDefault="00D91061">
      <w:pPr>
        <w:pStyle w:val="footnote"/>
      </w:pPr>
      <w:r>
        <w:t>(</w:t>
      </w:r>
      <w:r>
        <w:rPr>
          <w:vertAlign w:val="superscript"/>
        </w:rPr>
        <w:footnoteRef/>
      </w:r>
      <w:r>
        <w:t>)</w:t>
      </w:r>
      <w:r>
        <w:tab/>
        <w:t>European Court of Auditors, 2018 annual report, paragraph</w:t>
      </w:r>
      <w:r>
        <w:rPr>
          <w:rFonts w:ascii="Calibri" w:hAnsi="Calibri" w:cs="Calibri"/>
        </w:rPr>
        <w:t> </w:t>
      </w:r>
      <w:r>
        <w:t>1.35.</w:t>
      </w:r>
    </w:p>
  </w:footnote>
  <w:footnote w:id="8">
    <w:p w:rsidR="00311BB8" w:rsidRDefault="00D91061">
      <w:pPr>
        <w:pStyle w:val="footnote"/>
      </w:pPr>
      <w:r>
        <w:t>(</w:t>
      </w:r>
      <w:r>
        <w:rPr>
          <w:vertAlign w:val="superscript"/>
        </w:rPr>
        <w:footnoteRef/>
      </w:r>
      <w:r>
        <w:t>)</w:t>
      </w:r>
      <w:r>
        <w:tab/>
        <w:t>European Court of Auditors, 2017 annual report, paragraphs</w:t>
      </w:r>
      <w:r>
        <w:rPr>
          <w:rFonts w:ascii="Calibri" w:hAnsi="Calibri" w:cs="Calibri"/>
        </w:rPr>
        <w:t> </w:t>
      </w:r>
      <w:r>
        <w:t>1.32, 1.34 and 1.36.</w:t>
      </w:r>
    </w:p>
  </w:footnote>
  <w:footnote w:id="9">
    <w:p w:rsidR="00311BB8" w:rsidRDefault="00D91061">
      <w:pPr>
        <w:pStyle w:val="footnote"/>
      </w:pPr>
      <w:r>
        <w:t>(</w:t>
      </w:r>
      <w:r>
        <w:rPr>
          <w:vertAlign w:val="superscript"/>
        </w:rPr>
        <w:footnoteRef/>
      </w:r>
      <w:r>
        <w:t>)</w:t>
      </w:r>
      <w:r>
        <w:tab/>
        <w:t>European Court of Auditors, 2018 annual report, Annex</w:t>
      </w:r>
      <w:r>
        <w:rPr>
          <w:rFonts w:ascii="Calibri" w:hAnsi="Calibri" w:cs="Calibri"/>
        </w:rPr>
        <w:t> </w:t>
      </w:r>
      <w:r>
        <w:t>1.1 (on methodology), paragraph</w:t>
      </w:r>
      <w:r>
        <w:rPr>
          <w:rFonts w:ascii="Calibri" w:hAnsi="Calibri" w:cs="Calibri"/>
        </w:rPr>
        <w:t> </w:t>
      </w:r>
      <w:r>
        <w:t>13.</w:t>
      </w:r>
    </w:p>
  </w:footnote>
  <w:footnote w:id="10">
    <w:p w:rsidR="00311BB8" w:rsidRDefault="00D91061">
      <w:pPr>
        <w:pStyle w:val="footnote"/>
      </w:pPr>
      <w:r>
        <w:t>(</w:t>
      </w:r>
      <w:r>
        <w:rPr>
          <w:vertAlign w:val="superscript"/>
        </w:rPr>
        <w:footnoteRef/>
      </w:r>
      <w:r>
        <w:t>)</w:t>
      </w:r>
      <w:r>
        <w:tab/>
        <w:t>The only exceptions are: (a) 1% for revenue (by DG Budget; stricter in view of the very large amounts); and (b) the range of 2-5% for the Horizon 2020 programme (by the research-related departments; see details in Section</w:t>
      </w:r>
      <w:r>
        <w:rPr>
          <w:rFonts w:ascii="Calibri" w:hAnsi="Calibri" w:cs="Calibri"/>
        </w:rPr>
        <w:t> </w:t>
      </w:r>
      <w:r>
        <w:t>2.3.1 of the report).</w:t>
      </w:r>
    </w:p>
  </w:footnote>
  <w:footnote w:id="11">
    <w:p w:rsidR="00311BB8" w:rsidRDefault="00D91061">
      <w:pPr>
        <w:pStyle w:val="footnote"/>
      </w:pPr>
      <w:r>
        <w:t>(</w:t>
      </w:r>
      <w:r>
        <w:rPr>
          <w:vertAlign w:val="superscript"/>
        </w:rPr>
        <w:footnoteRef/>
      </w:r>
      <w:r>
        <w:t>)</w:t>
      </w:r>
      <w:r>
        <w:tab/>
        <w:t>European Court of Auditors, 2018 annual report, Annex</w:t>
      </w:r>
      <w:r>
        <w:rPr>
          <w:rFonts w:ascii="Calibri" w:hAnsi="Calibri" w:cs="Calibri"/>
        </w:rPr>
        <w:t> </w:t>
      </w:r>
      <w:r>
        <w:t>1.1 (on methodology), paragraph</w:t>
      </w:r>
      <w:r>
        <w:rPr>
          <w:rFonts w:ascii="Calibri" w:hAnsi="Calibri" w:cs="Calibri"/>
        </w:rPr>
        <w:t> </w:t>
      </w:r>
      <w:r>
        <w:t>21.</w:t>
      </w:r>
    </w:p>
  </w:footnote>
  <w:footnote w:id="12">
    <w:p w:rsidR="00311BB8" w:rsidRDefault="00D91061">
      <w:pPr>
        <w:pStyle w:val="FootnoteText"/>
      </w:pPr>
      <w:r>
        <w:rPr>
          <w:rStyle w:val="fnRef"/>
        </w:rPr>
        <w:t>(</w:t>
      </w:r>
      <w:r>
        <w:rPr>
          <w:rStyle w:val="fnRefNo"/>
        </w:rPr>
        <w:footnoteRef/>
      </w:r>
      <w:r>
        <w:rPr>
          <w:rStyle w:val="fnRef"/>
        </w:rPr>
        <w:t>)</w:t>
      </w:r>
      <w:r>
        <w:rPr>
          <w:rStyle w:val="fnRef"/>
        </w:rPr>
        <w:tab/>
      </w:r>
      <w:r>
        <w:t>For the spending related to the common agricultural policy, the term ‘final amount at risk’ is used, as the measures under the European Agricultural Guarantee Fund are not ‘closed’.</w:t>
      </w:r>
    </w:p>
  </w:footnote>
  <w:footnote w:id="13">
    <w:p w:rsidR="00311BB8" w:rsidRDefault="00D91061">
      <w:pPr>
        <w:pStyle w:val="FootnoteText"/>
      </w:pPr>
      <w:r>
        <w:t>(</w:t>
      </w:r>
      <w:r>
        <w:rPr>
          <w:rStyle w:val="FootnoteReference"/>
          <w:vertAlign w:val="superscript"/>
        </w:rPr>
        <w:footnoteRef/>
      </w:r>
      <w:r>
        <w:t>)</w:t>
      </w:r>
      <w:r>
        <w:tab/>
        <w:t>European Court of Auditors, 2018 annual report, Annex 1.1 (on methodology), paragraph 13.</w:t>
      </w:r>
    </w:p>
  </w:footnote>
  <w:footnote w:id="14">
    <w:p w:rsidR="00311BB8" w:rsidRDefault="00D91061">
      <w:pPr>
        <w:pStyle w:val="footnote"/>
        <w:ind w:left="360"/>
      </w:pPr>
      <w:r>
        <w:t>(</w:t>
      </w:r>
      <w:r>
        <w:rPr>
          <w:vertAlign w:val="superscript"/>
        </w:rPr>
        <w:footnoteRef/>
      </w:r>
      <w:r>
        <w:t>)</w:t>
      </w:r>
      <w:r>
        <w:tab/>
        <w:t>The area of agriculture comprises the European Agricultural Guarantee Fund market measures and European Agricultural Guarantee Fund direct aid payments (common agricultural policy pillar</w:t>
      </w:r>
      <w:r>
        <w:rPr>
          <w:rFonts w:ascii="Calibri" w:hAnsi="Calibri" w:cs="Calibri"/>
        </w:rPr>
        <w:t> </w:t>
      </w:r>
      <w:r>
        <w:t>1), and the European Agricultural Fund for Rural Development expenditure (common agricultural policy pillar</w:t>
      </w:r>
      <w:r>
        <w:rPr>
          <w:rFonts w:ascii="Calibri" w:hAnsi="Calibri" w:cs="Calibri"/>
        </w:rPr>
        <w:t> </w:t>
      </w:r>
      <w:r>
        <w:t>2). The agriculture expenditure (98%) still represents the bulk of the expenditure under this policy area.</w:t>
      </w:r>
    </w:p>
  </w:footnote>
  <w:footnote w:id="15">
    <w:p w:rsidR="00311BB8" w:rsidRDefault="00D91061">
      <w:pPr>
        <w:pStyle w:val="footnote"/>
        <w:ind w:left="360"/>
      </w:pPr>
      <w:r>
        <w:t>(</w:t>
      </w:r>
      <w:r>
        <w:rPr>
          <w:vertAlign w:val="superscript"/>
        </w:rPr>
        <w:footnoteRef/>
      </w:r>
      <w:r>
        <w:t>)</w:t>
      </w:r>
      <w:r>
        <w:tab/>
        <w:t>At the time of reporting, some of the corrective measures have already been implemented, while others will be in the next few year(s). Therefore, the residual error rate is based on the detected error rate but takes into account those corrections that have already been made up to the end of the reporting year. It is an ‘intermediate’ type of error rate between estimated risk at payment and estimated risk at closure, up to the time of reporting in the management cycle.</w:t>
      </w:r>
    </w:p>
  </w:footnote>
  <w:footnote w:id="16">
    <w:p w:rsidR="00311BB8" w:rsidRDefault="00D91061">
      <w:pPr>
        <w:pStyle w:val="footnote"/>
        <w:ind w:left="360"/>
      </w:pPr>
      <w:r>
        <w:t>(</w:t>
      </w:r>
      <w:r>
        <w:rPr>
          <w:vertAlign w:val="superscript"/>
        </w:rPr>
        <w:footnoteRef/>
      </w:r>
      <w:r>
        <w:t>)</w:t>
      </w:r>
      <w:r>
        <w:tab/>
        <w:t>European Court of Auditors, 2018 annual report, Annex</w:t>
      </w:r>
      <w:r>
        <w:rPr>
          <w:rFonts w:ascii="Calibri" w:hAnsi="Calibri" w:cs="Calibri"/>
        </w:rPr>
        <w:t> </w:t>
      </w:r>
      <w:r>
        <w:t>1.1 (on methodology), paragraph</w:t>
      </w:r>
      <w:r>
        <w:rPr>
          <w:rFonts w:ascii="Calibri" w:hAnsi="Calibri" w:cs="Calibri"/>
        </w:rPr>
        <w:t> </w:t>
      </w:r>
      <w:r>
        <w:t>21.</w:t>
      </w:r>
    </w:p>
  </w:footnote>
  <w:footnote w:id="17">
    <w:p w:rsidR="00311BB8" w:rsidRDefault="00D91061">
      <w:pPr>
        <w:pStyle w:val="footnote"/>
        <w:ind w:left="360"/>
      </w:pPr>
      <w:r>
        <w:t>(</w:t>
      </w:r>
      <w:r>
        <w:rPr>
          <w:vertAlign w:val="superscript"/>
        </w:rPr>
        <w:footnoteRef/>
      </w:r>
      <w:r>
        <w:t>)</w:t>
      </w:r>
      <w:r>
        <w:tab/>
        <w:t>‘The authorising officer shall be responsible in the Union institution concerned for implementing revenue and expenditure in accordance with the principle of sound financial management, including through ensuring reporting on performance, and for ensuring compliance with the requirements of legality and regularity and equal treatment of recipients.’ (Financial regulation, Article</w:t>
      </w:r>
      <w:r>
        <w:rPr>
          <w:rFonts w:ascii="Calibri" w:hAnsi="Calibri" w:cs="Calibri"/>
        </w:rPr>
        <w:t> </w:t>
      </w:r>
      <w:r>
        <w:t>74(1)).</w:t>
      </w:r>
    </w:p>
  </w:footnote>
  <w:footnote w:id="18">
    <w:p w:rsidR="00311BB8" w:rsidRDefault="00D91061">
      <w:pPr>
        <w:pStyle w:val="footnote"/>
        <w:ind w:left="360"/>
      </w:pPr>
      <w:r>
        <w:t>(</w:t>
      </w:r>
      <w:r>
        <w:rPr>
          <w:vertAlign w:val="superscript"/>
        </w:rPr>
        <w:footnoteRef/>
      </w:r>
      <w:r>
        <w:t>)</w:t>
      </w:r>
      <w:r>
        <w:tab/>
      </w:r>
      <w:hyperlink r:id="rId2" w:history="1">
        <w:r>
          <w:t>https://ec.europa.eu/info/publications/annual-activity-reports_en</w:t>
        </w:r>
      </w:hyperlink>
      <w:r>
        <w:t xml:space="preserve"> </w:t>
      </w:r>
    </w:p>
  </w:footnote>
  <w:footnote w:id="19">
    <w:p w:rsidR="00311BB8" w:rsidRDefault="00D91061">
      <w:pPr>
        <w:pStyle w:val="FootnoteText"/>
      </w:pPr>
      <w:r>
        <w:t>(</w:t>
      </w:r>
      <w:r>
        <w:rPr>
          <w:rStyle w:val="FootnoteReference"/>
          <w:szCs w:val="16"/>
          <w:vertAlign w:val="superscript"/>
        </w:rPr>
        <w:footnoteRef/>
      </w:r>
      <w:r>
        <w:t>)</w:t>
      </w:r>
      <w:r>
        <w:tab/>
        <w:t>Recurring from previous year(s), mainly because the root causes of the material level of error can be partially mitigated, but not fully eradicated, under the current programmes’ frameworks.</w:t>
      </w:r>
    </w:p>
  </w:footnote>
  <w:footnote w:id="20">
    <w:p w:rsidR="00311BB8" w:rsidRDefault="00D91061">
      <w:pPr>
        <w:pStyle w:val="footnote"/>
        <w:ind w:left="360"/>
      </w:pPr>
      <w:r>
        <w:t>(</w:t>
      </w:r>
      <w:r>
        <w:rPr>
          <w:vertAlign w:val="superscript"/>
        </w:rPr>
        <w:footnoteRef/>
      </w:r>
      <w:r>
        <w:t>)</w:t>
      </w:r>
      <w:r>
        <w:tab/>
        <w:t>Reservations are non-quantified when the financial impact is zero, when it is not possible to assess the financial impact accurately, or when the effect is only reputational.</w:t>
      </w:r>
    </w:p>
  </w:footnote>
  <w:footnote w:id="21">
    <w:p w:rsidR="00311BB8" w:rsidRDefault="00D91061">
      <w:pPr>
        <w:pStyle w:val="footnote"/>
        <w:ind w:left="360"/>
      </w:pPr>
      <w:r>
        <w:t>(</w:t>
      </w:r>
      <w:r>
        <w:rPr>
          <w:vertAlign w:val="superscript"/>
        </w:rPr>
        <w:footnoteRef/>
      </w:r>
      <w:r>
        <w:t>)</w:t>
      </w:r>
      <w:r>
        <w:tab/>
        <w:t>In addition to those previous reservations lifted, one potential new reservation was also avoided by applying the de minimis rule: for the Consumers, Health, Agriculture and Food Executive Agency’s legacy ‘health’ programme (financial impact of EUR 0.1</w:t>
      </w:r>
      <w:r>
        <w:rPr>
          <w:rFonts w:ascii="Calibri" w:hAnsi="Calibri" w:cs="Calibri"/>
        </w:rPr>
        <w:t> </w:t>
      </w:r>
      <w:r>
        <w:t>million).</w:t>
      </w:r>
    </w:p>
  </w:footnote>
  <w:footnote w:id="22">
    <w:p w:rsidR="00311BB8" w:rsidRDefault="00D91061">
      <w:pPr>
        <w:pStyle w:val="footnote"/>
        <w:ind w:left="360"/>
      </w:pPr>
      <w:r>
        <w:t>(</w:t>
      </w:r>
      <w:r>
        <w:rPr>
          <w:vertAlign w:val="superscript"/>
        </w:rPr>
        <w:footnoteRef/>
      </w:r>
      <w:r>
        <w:t>)</w:t>
      </w:r>
      <w:r>
        <w:tab/>
        <w:t>Announced in the 2018 annual management and performance report (p. 173).</w:t>
      </w:r>
    </w:p>
  </w:footnote>
  <w:footnote w:id="23">
    <w:p w:rsidR="00311BB8" w:rsidRDefault="00D91061">
      <w:pPr>
        <w:pStyle w:val="footnote"/>
        <w:ind w:left="360"/>
      </w:pPr>
      <w:r>
        <w:t>(</w:t>
      </w:r>
      <w:r>
        <w:rPr>
          <w:vertAlign w:val="superscript"/>
        </w:rPr>
        <w:footnoteRef/>
      </w:r>
      <w:r>
        <w:t>)</w:t>
      </w:r>
      <w:r>
        <w:tab/>
        <w:t>Without prejudice to maintaining a reservation for reputational reasons, if applicable.</w:t>
      </w:r>
    </w:p>
  </w:footnote>
  <w:footnote w:id="24">
    <w:p w:rsidR="00311BB8" w:rsidRDefault="00D91061">
      <w:pPr>
        <w:pStyle w:val="footnote"/>
        <w:ind w:left="360"/>
      </w:pPr>
      <w:r>
        <w:t>(</w:t>
      </w:r>
      <w:r>
        <w:rPr>
          <w:vertAlign w:val="superscript"/>
        </w:rPr>
        <w:footnoteRef/>
      </w:r>
      <w:r>
        <w:t>)</w:t>
      </w:r>
      <w:r>
        <w:tab/>
        <w:t>In addition to the previous reservations lifted, one potential new reservation was also avoided by applying the de minimis rule: for the Consumers, Health, Agriculture and Food Executive Agency’s legacy ‘health’ programme (financial impact of EUR</w:t>
      </w:r>
      <w:r>
        <w:rPr>
          <w:rFonts w:ascii="Calibri" w:hAnsi="Calibri" w:cs="Calibri"/>
        </w:rPr>
        <w:t> </w:t>
      </w:r>
      <w:r>
        <w:t>0.1</w:t>
      </w:r>
      <w:r>
        <w:rPr>
          <w:rFonts w:ascii="Calibri" w:hAnsi="Calibri" w:cs="Calibri"/>
        </w:rPr>
        <w:t> </w:t>
      </w:r>
      <w:r>
        <w:t>million).</w:t>
      </w:r>
    </w:p>
  </w:footnote>
  <w:footnote w:id="25">
    <w:p w:rsidR="00311BB8" w:rsidRDefault="00D91061">
      <w:pPr>
        <w:pStyle w:val="footnote"/>
      </w:pPr>
      <w:r>
        <w:t>(</w:t>
      </w:r>
      <w:r>
        <w:rPr>
          <w:rStyle w:val="fnRef"/>
          <w:vertAlign w:val="superscript"/>
        </w:rPr>
        <w:footnoteRef/>
      </w:r>
      <w:r>
        <w:t>)</w:t>
      </w:r>
      <w:r>
        <w:tab/>
        <w:t xml:space="preserve">European Court of Auditors, </w:t>
      </w:r>
      <w:r>
        <w:rPr>
          <w:i/>
        </w:rPr>
        <w:t>Protecting the EU budget from irregular spending: The Commission made increasing use of preventive measures and financial corrections in cohesion during the 2007-2013 period</w:t>
      </w:r>
      <w:r>
        <w:rPr>
          <w:rFonts w:ascii="Calibri" w:hAnsi="Calibri" w:cs="Calibri"/>
          <w:i/>
        </w:rPr>
        <w:t> </w:t>
      </w:r>
      <w:r>
        <w:rPr>
          <w:i/>
        </w:rPr>
        <w:t>– Special report No</w:t>
      </w:r>
      <w:r>
        <w:rPr>
          <w:rFonts w:ascii="Calibri" w:hAnsi="Calibri" w:cs="Calibri"/>
          <w:i/>
        </w:rPr>
        <w:t> </w:t>
      </w:r>
      <w:r>
        <w:rPr>
          <w:i/>
        </w:rPr>
        <w:t>4/2017</w:t>
      </w:r>
      <w:r>
        <w:t>.</w:t>
      </w:r>
    </w:p>
  </w:footnote>
  <w:footnote w:id="26">
    <w:p w:rsidR="00311BB8" w:rsidRDefault="00D91061">
      <w:pPr>
        <w:pStyle w:val="footnote"/>
      </w:pPr>
      <w:r>
        <w:t>(</w:t>
      </w:r>
      <w:r>
        <w:rPr>
          <w:vertAlign w:val="superscript"/>
        </w:rPr>
        <w:footnoteRef/>
      </w:r>
      <w:r>
        <w:t>)</w:t>
      </w:r>
      <w:r>
        <w:tab/>
        <w:t>These are not reported in the tables below but in a separate section in Annex</w:t>
      </w:r>
      <w:r>
        <w:rPr>
          <w:rFonts w:ascii="Calibri" w:hAnsi="Calibri" w:cs="Calibri"/>
        </w:rPr>
        <w:t> 5</w:t>
      </w:r>
      <w:r>
        <w:t>.</w:t>
      </w:r>
    </w:p>
  </w:footnote>
  <w:footnote w:id="27">
    <w:p w:rsidR="00311BB8" w:rsidRDefault="00D91061">
      <w:pPr>
        <w:pStyle w:val="footnote"/>
      </w:pPr>
      <w:r>
        <w:t>(</w:t>
      </w:r>
      <w:r>
        <w:rPr>
          <w:rStyle w:val="FootnoteReference"/>
          <w:vertAlign w:val="superscript"/>
        </w:rPr>
        <w:footnoteRef/>
      </w:r>
      <w:r>
        <w:t>)</w:t>
      </w:r>
      <w:r>
        <w:tab/>
        <w:t>For the common agricultural policy, the European Agricultural Guarantee Fund and the European Agricultural Fund for Rural Development, Member States may, under certain conditions, be granted the option to repay financial corrections in instalments, which is the main reason for the difference in confirmed and implemented financial corrections in 2019.</w:t>
      </w:r>
    </w:p>
  </w:footnote>
  <w:footnote w:id="28">
    <w:p w:rsidR="00311BB8" w:rsidRDefault="00D91061">
      <w:pPr>
        <w:pStyle w:val="footnote"/>
      </w:pPr>
      <w:r>
        <w:rPr>
          <w:rStyle w:val="fnRef"/>
          <w:szCs w:val="16"/>
        </w:rPr>
        <w:t>(</w:t>
      </w:r>
      <w:r>
        <w:rPr>
          <w:rStyle w:val="fnRefNo"/>
          <w:szCs w:val="16"/>
        </w:rPr>
        <w:footnoteRef/>
      </w:r>
      <w:r>
        <w:rPr>
          <w:rStyle w:val="fnRef"/>
          <w:szCs w:val="16"/>
        </w:rPr>
        <w:t>)</w:t>
      </w:r>
      <w:r>
        <w:rPr>
          <w:rStyle w:val="fnRef"/>
          <w:szCs w:val="16"/>
        </w:rPr>
        <w:tab/>
      </w:r>
      <w:r>
        <w:t>In cohesion-related funds this is not always a ‘net’ reimbursement to the EU budget, as Member States have the option to replace the ineligible expenditure with new eligible expenditure.</w:t>
      </w:r>
    </w:p>
  </w:footnote>
  <w:footnote w:id="29">
    <w:p w:rsidR="00311BB8" w:rsidRDefault="00D91061">
      <w:pPr>
        <w:pStyle w:val="footnote"/>
      </w:pPr>
      <w:r>
        <w:t>(</w:t>
      </w:r>
      <w:r>
        <w:rPr>
          <w:vertAlign w:val="superscript"/>
        </w:rPr>
        <w:footnoteRef/>
      </w:r>
      <w:r>
        <w:t>)</w:t>
      </w:r>
      <w:r>
        <w:tab/>
        <w:t xml:space="preserve">For the purposes of calculating its corrective capacity in the annual activity report, DG Agriculture and Rural Development only takes into account the executed amounts related to conformity clearance decisions adopted by the Commission and published in the </w:t>
      </w:r>
      <w:r>
        <w:rPr>
          <w:i/>
        </w:rPr>
        <w:t>Official Journal of the European Union</w:t>
      </w:r>
      <w:r>
        <w:t xml:space="preserve">, and deducts the corrections in respect of cross-compliance infringements. </w:t>
      </w:r>
    </w:p>
  </w:footnote>
  <w:footnote w:id="30">
    <w:p w:rsidR="00311BB8" w:rsidRDefault="00D91061">
      <w:pPr>
        <w:pStyle w:val="footnote"/>
      </w:pPr>
      <w:r>
        <w:t>(</w:t>
      </w:r>
      <w:r>
        <w:rPr>
          <w:vertAlign w:val="superscript"/>
        </w:rPr>
        <w:footnoteRef/>
      </w:r>
      <w:r>
        <w:t>)</w:t>
      </w:r>
      <w:r>
        <w:tab/>
        <w:t>‘Past cases’ refers to conformity clearance enquiries that had been opened before 1</w:t>
      </w:r>
      <w:r>
        <w:rPr>
          <w:rFonts w:ascii="Calibri" w:hAnsi="Calibri" w:cs="Calibri"/>
        </w:rPr>
        <w:t> </w:t>
      </w:r>
      <w:r>
        <w:t>January 2014 and had been pending for a considerable length of time and therefore covered several financial years, resulting in substantial financial corrections being decided during the period where DG Agriculture and Rural Development made an effort to close all such old cases.</w:t>
      </w:r>
    </w:p>
  </w:footnote>
  <w:footnote w:id="31">
    <w:p w:rsidR="00311BB8" w:rsidRDefault="00D91061">
      <w:pPr>
        <w:pStyle w:val="footnote"/>
      </w:pPr>
      <w:r>
        <w:t>(</w:t>
      </w:r>
      <w:r>
        <w:rPr>
          <w:vertAlign w:val="superscript"/>
        </w:rPr>
        <w:footnoteRef/>
      </w:r>
      <w:r>
        <w:t>)</w:t>
      </w:r>
      <w:r>
        <w:tab/>
        <w:t>As regards recoveries by Member States, DG Agriculture and Rural Development uses the amounts reported in the debtor’s ledgers.</w:t>
      </w:r>
    </w:p>
  </w:footnote>
  <w:footnote w:id="32">
    <w:p w:rsidR="00311BB8" w:rsidRDefault="00D91061">
      <w:pPr>
        <w:pStyle w:val="footnote"/>
      </w:pPr>
      <w:r>
        <w:t>(</w:t>
      </w:r>
      <w:r>
        <w:rPr>
          <w:vertAlign w:val="superscript"/>
        </w:rPr>
        <w:footnoteRef/>
      </w:r>
      <w:r>
        <w:t>)</w:t>
      </w:r>
      <w:r>
        <w:tab/>
        <w:t>This amount does not include financial corrections at source.</w:t>
      </w:r>
    </w:p>
  </w:footnote>
  <w:footnote w:id="33">
    <w:p w:rsidR="00311BB8" w:rsidRDefault="00D91061">
      <w:pPr>
        <w:pStyle w:val="footnote"/>
      </w:pPr>
      <w:r>
        <w:t>(</w:t>
      </w:r>
      <w:r>
        <w:rPr>
          <w:vertAlign w:val="superscript"/>
        </w:rPr>
        <w:footnoteRef/>
      </w:r>
      <w:r>
        <w:t>)</w:t>
      </w:r>
      <w:r>
        <w:tab/>
        <w:t>Article</w:t>
      </w:r>
      <w:r>
        <w:rPr>
          <w:rFonts w:ascii="Calibri" w:hAnsi="Calibri" w:cs="Calibri"/>
        </w:rPr>
        <w:t> </w:t>
      </w:r>
      <w:r>
        <w:t>21(3)(b) of the financial regulation.</w:t>
      </w:r>
    </w:p>
  </w:footnote>
  <w:footnote w:id="34">
    <w:p w:rsidR="00311BB8" w:rsidRDefault="00D91061">
      <w:pPr>
        <w:pStyle w:val="footnote"/>
      </w:pPr>
      <w:r>
        <w:t>(</w:t>
      </w:r>
      <w:r>
        <w:rPr>
          <w:vertAlign w:val="superscript"/>
        </w:rPr>
        <w:footnoteRef/>
      </w:r>
      <w:r>
        <w:t>)</w:t>
      </w:r>
      <w:r>
        <w:tab/>
        <w:t>Article 41 of Regulation (EU) No 1306/2013 of the European Parliament and of the Council of 17 December 2013 on the financing, management and monitoring of the common agricultural policy (OJ L 347, 20.12.2013, p. 549).</w:t>
      </w:r>
    </w:p>
  </w:footnote>
  <w:footnote w:id="35">
    <w:p w:rsidR="00311BB8" w:rsidRDefault="00D91061">
      <w:pPr>
        <w:pStyle w:val="footnote"/>
      </w:pPr>
      <w:r>
        <w:t>(</w:t>
      </w:r>
      <w:r>
        <w:rPr>
          <w:vertAlign w:val="superscript"/>
        </w:rPr>
        <w:footnoteRef/>
      </w:r>
      <w:r>
        <w:t>)</w:t>
      </w:r>
      <w:r>
        <w:tab/>
        <w:t>Regulation (EU) No</w:t>
      </w:r>
      <w:r>
        <w:rPr>
          <w:rFonts w:ascii="Calibri" w:hAnsi="Calibri" w:cs="Calibri"/>
        </w:rPr>
        <w:t> </w:t>
      </w:r>
      <w:r>
        <w:t>1303/2013 of the European Parliament and of the Council of 17</w:t>
      </w:r>
      <w:r>
        <w:rPr>
          <w:rFonts w:ascii="Calibri" w:hAnsi="Calibri" w:cs="Calibri"/>
        </w:rPr>
        <w:t> </w:t>
      </w:r>
      <w:r>
        <w:t>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(OJ L</w:t>
      </w:r>
      <w:r>
        <w:rPr>
          <w:rFonts w:ascii="Calibri" w:hAnsi="Calibri" w:cs="Calibri"/>
        </w:rPr>
        <w:t> </w:t>
      </w:r>
      <w:r>
        <w:t>347, 20.12.2013, p.</w:t>
      </w:r>
      <w:r>
        <w:rPr>
          <w:rFonts w:ascii="Calibri" w:hAnsi="Calibri" w:cs="Calibri"/>
        </w:rPr>
        <w:t> </w:t>
      </w:r>
      <w:r>
        <w:t>320).</w:t>
      </w:r>
    </w:p>
  </w:footnote>
  <w:footnote w:id="36">
    <w:p w:rsidR="00311BB8" w:rsidRDefault="00D91061">
      <w:pPr>
        <w:pStyle w:val="footnote"/>
      </w:pPr>
      <w:r>
        <w:t>(</w:t>
      </w:r>
      <w:r>
        <w:rPr>
          <w:vertAlign w:val="superscript"/>
        </w:rPr>
        <w:footnoteRef/>
      </w:r>
      <w:r>
        <w:t>)</w:t>
      </w:r>
      <w:r>
        <w:tab/>
        <w:t>Except for the 2000-2006 period.</w:t>
      </w:r>
    </w:p>
  </w:footnote>
  <w:footnote w:id="37">
    <w:p w:rsidR="00311BB8" w:rsidRDefault="00D91061">
      <w:pPr>
        <w:pStyle w:val="footnote"/>
      </w:pPr>
      <w:r>
        <w:t>(</w:t>
      </w:r>
      <w:r>
        <w:rPr>
          <w:vertAlign w:val="superscript"/>
        </w:rPr>
        <w:footnoteRef/>
      </w:r>
      <w:r>
        <w:t>)</w:t>
      </w:r>
      <w:r>
        <w:tab/>
        <w:t>Including financial corrections at source.</w:t>
      </w:r>
    </w:p>
  </w:footnote>
  <w:footnote w:id="38">
    <w:p w:rsidR="00311BB8" w:rsidRDefault="00D91061">
      <w:pPr>
        <w:pStyle w:val="footnote"/>
        <w:tabs>
          <w:tab w:val="left" w:pos="357"/>
        </w:tabs>
      </w:pPr>
      <w:r>
        <w:t>(</w:t>
      </w:r>
      <w:r>
        <w:rPr>
          <w:vertAlign w:val="superscript"/>
        </w:rPr>
        <w:footnoteRef/>
      </w:r>
      <w:r>
        <w:t>)</w:t>
      </w:r>
      <w:r>
        <w:tab/>
        <w:t>This information was sent in the assurance packages received in February 2020 for the 5th accounting year and is still under assessment by the Commission services (information as reported by the Member States, pending verification by the Commission).</w:t>
      </w:r>
    </w:p>
  </w:footnote>
  <w:footnote w:id="39">
    <w:p w:rsidR="00311BB8" w:rsidRDefault="00D91061">
      <w:pPr>
        <w:pStyle w:val="footnote"/>
      </w:pPr>
      <w:r>
        <w:t>(</w:t>
      </w:r>
      <w:r>
        <w:rPr>
          <w:vertAlign w:val="superscript"/>
        </w:rPr>
        <w:footnoteRef/>
      </w:r>
      <w:r>
        <w:t>)</w:t>
      </w:r>
      <w:r>
        <w:tab/>
        <w:t>I.e. the research budget is implemented by the Commission and executive agencies.</w:t>
      </w:r>
    </w:p>
  </w:footnote>
  <w:footnote w:id="40">
    <w:p w:rsidR="00311BB8" w:rsidRDefault="00D91061">
      <w:pPr>
        <w:pStyle w:val="footnote"/>
      </w:pPr>
      <w:r>
        <w:t>(</w:t>
      </w:r>
      <w:r>
        <w:rPr>
          <w:vertAlign w:val="superscript"/>
        </w:rPr>
        <w:footnoteRef/>
      </w:r>
      <w:r>
        <w:t>)</w:t>
      </w:r>
      <w:r>
        <w:tab/>
        <w:t>I.e. the implementation of the research budget is entrusted to joint undertakings.</w:t>
      </w:r>
    </w:p>
  </w:footnote>
  <w:footnote w:id="41">
    <w:p w:rsidR="00311BB8" w:rsidRDefault="00D91061">
      <w:pPr>
        <w:pStyle w:val="footnote"/>
      </w:pPr>
      <w:r>
        <w:t>(</w:t>
      </w:r>
      <w:r>
        <w:rPr>
          <w:vertAlign w:val="superscript"/>
        </w:rPr>
        <w:footnoteRef/>
      </w:r>
      <w:r>
        <w:t>)</w:t>
      </w:r>
      <w:r>
        <w:tab/>
        <w:t>I.e. the budget implementation is carried out by international organisations.</w:t>
      </w:r>
    </w:p>
  </w:footnote>
  <w:footnote w:id="42">
    <w:p w:rsidR="00311BB8" w:rsidRDefault="00D91061">
      <w:pPr>
        <w:pStyle w:val="footnote"/>
      </w:pPr>
      <w:r>
        <w:t>(</w:t>
      </w:r>
      <w:r>
        <w:rPr>
          <w:vertAlign w:val="superscript"/>
        </w:rPr>
        <w:footnoteRef/>
      </w:r>
      <w:r>
        <w:t>)</w:t>
      </w:r>
      <w:r>
        <w:tab/>
        <w:t>For the European Regional Development Fund</w:t>
      </w:r>
      <w:r>
        <w:rPr>
          <w:rFonts w:ascii="Calibri" w:hAnsi="Calibri" w:cs="Calibri"/>
        </w:rPr>
        <w:t> </w:t>
      </w:r>
      <w:r>
        <w:t>/ Cohesion Fund, flat-rate corrections should be seen as an estimation of the financial corrections (flat-rate and/or extrapolated) that are not directly linked to individual operations/projects. It also needs to be underlined that in some cases the amounts of corrections communicated by the Member States cover both individual and flat-rate/extrapolated corrections; for reporting purposes these amounts are included under the typology (individual or flat-rate) that is considered prevalent. These two limitations do not have an impact on the reliability of the global amounts reported.</w:t>
      </w:r>
    </w:p>
  </w:footnote>
  <w:footnote w:id="43">
    <w:p w:rsidR="00311BB8" w:rsidRDefault="00D91061">
      <w:pPr>
        <w:pStyle w:val="footnote"/>
      </w:pPr>
      <w:r>
        <w:t>(</w:t>
      </w:r>
      <w:r>
        <w:rPr>
          <w:vertAlign w:val="superscript"/>
        </w:rPr>
        <w:footnoteRef/>
      </w:r>
      <w:r>
        <w:t>)</w:t>
      </w:r>
      <w:r>
        <w:tab/>
        <w:t>As a result, the eligible expenditure declared to the Commission is capped at the amount established after the deduction of the flat-rate correction.</w:t>
      </w:r>
    </w:p>
  </w:footnote>
  <w:footnote w:id="44">
    <w:p w:rsidR="00311BB8" w:rsidRDefault="00D91061">
      <w:pPr>
        <w:pStyle w:val="footnote"/>
      </w:pPr>
      <w:r>
        <w:t>(</w:t>
      </w:r>
      <w:r>
        <w:rPr>
          <w:rStyle w:val="FootnoteReference"/>
          <w:vertAlign w:val="superscript"/>
        </w:rPr>
        <w:footnoteRef/>
      </w:r>
      <w:r>
        <w:t>)</w:t>
      </w:r>
      <w:r>
        <w:tab/>
        <w:t>Except for DG Defence Industry and Space; Inspire, Debate, Engage and Accelerate Action; and the UK Task Force.</w:t>
      </w:r>
    </w:p>
  </w:footnote>
  <w:footnote w:id="45">
    <w:p w:rsidR="00311BB8" w:rsidRDefault="00D91061">
      <w:pPr>
        <w:pStyle w:val="footnote"/>
      </w:pPr>
      <w:r>
        <w:t>(</w:t>
      </w:r>
      <w:r>
        <w:rPr>
          <w:rStyle w:val="FootnoteReference"/>
          <w:vertAlign w:val="superscript"/>
        </w:rPr>
        <w:footnoteRef/>
      </w:r>
      <w:r>
        <w:t>)</w:t>
      </w:r>
      <w:r>
        <w:tab/>
        <w:t>The Audit Progress Committee comprises nine members. A maximum of six are Members of the Commission, and at least three are external members with proven professional expertise in audit and related matters.</w:t>
      </w:r>
      <w:r w:rsidR="002877B9">
        <w:t xml:space="preserve"> </w:t>
      </w:r>
      <w:r w:rsidR="002877B9" w:rsidRPr="002877B9">
        <w:t>Half of the Commission membership of the Audit Progress Committee is renewed half way through the term. Contracts with external members are drawn up each year.</w:t>
      </w:r>
    </w:p>
  </w:footnote>
  <w:footnote w:id="46">
    <w:p w:rsidR="00311BB8" w:rsidRDefault="00D91061">
      <w:pPr>
        <w:pStyle w:val="footnote"/>
      </w:pPr>
      <w:r>
        <w:t>(</w:t>
      </w:r>
      <w:r>
        <w:rPr>
          <w:rStyle w:val="FootnoteReference"/>
          <w:vertAlign w:val="superscript"/>
        </w:rPr>
        <w:footnoteRef/>
      </w:r>
      <w:r>
        <w:t>)</w:t>
      </w:r>
      <w:r>
        <w:tab/>
        <w:t>Regulation (EU, Euratom) 2018/1046 of the European Parliament and of the Council of 18</w:t>
      </w:r>
      <w:r>
        <w:rPr>
          <w:rFonts w:ascii="Calibri" w:hAnsi="Calibri" w:cs="Calibri"/>
        </w:rPr>
        <w:t> </w:t>
      </w:r>
      <w:r>
        <w:t>July 2018 on the financial rules applicable to the general budget of the Union (OJ L</w:t>
      </w:r>
      <w:r>
        <w:rPr>
          <w:rFonts w:ascii="Calibri" w:hAnsi="Calibri" w:cs="Calibri"/>
        </w:rPr>
        <w:t> </w:t>
      </w:r>
      <w:r>
        <w:t>193, 30.7.2018, p. 1).</w:t>
      </w:r>
    </w:p>
  </w:footnote>
  <w:footnote w:id="47">
    <w:p w:rsidR="00311BB8" w:rsidRDefault="00D91061">
      <w:pPr>
        <w:pStyle w:val="footnote"/>
      </w:pPr>
      <w:r>
        <w:t>(</w:t>
      </w:r>
      <w:r>
        <w:rPr>
          <w:rStyle w:val="FootnoteReference"/>
          <w:vertAlign w:val="superscript"/>
        </w:rPr>
        <w:footnoteRef/>
      </w:r>
      <w:r>
        <w:t>)</w:t>
      </w:r>
      <w:r>
        <w:tab/>
        <w:t>Council Regulation (EC) No</w:t>
      </w:r>
      <w:r>
        <w:rPr>
          <w:rFonts w:ascii="Calibri" w:hAnsi="Calibri" w:cs="Calibri"/>
        </w:rPr>
        <w:t> </w:t>
      </w:r>
      <w:r>
        <w:t>1083/2006 of 11</w:t>
      </w:r>
      <w:r>
        <w:rPr>
          <w:rFonts w:ascii="Calibri" w:hAnsi="Calibri" w:cs="Calibri"/>
        </w:rPr>
        <w:t> </w:t>
      </w:r>
      <w:r>
        <w:t>July 2006 laying down general provisions on the European Regional Development Fund, the European Social Fund and the Cohesion Fund (OJ L</w:t>
      </w:r>
      <w:r>
        <w:rPr>
          <w:rFonts w:ascii="Calibri" w:hAnsi="Calibri" w:cs="Calibri"/>
        </w:rPr>
        <w:t> </w:t>
      </w:r>
      <w:r>
        <w:t>210, 31.7.2006, p. 25).</w:t>
      </w:r>
    </w:p>
  </w:footnote>
  <w:footnote w:id="48">
    <w:p w:rsidR="00311BB8" w:rsidRDefault="00D91061">
      <w:pPr>
        <w:pStyle w:val="footnote"/>
      </w:pPr>
      <w:r>
        <w:t>(</w:t>
      </w:r>
      <w:r>
        <w:rPr>
          <w:rStyle w:val="FootnoteReference"/>
          <w:vertAlign w:val="superscript"/>
        </w:rPr>
        <w:footnoteRef/>
      </w:r>
      <w:r>
        <w:t>)</w:t>
      </w:r>
      <w:r>
        <w:tab/>
        <w:t>Based on available data in the corporate accounting system as of the end of the financial year 2007.</w:t>
      </w:r>
    </w:p>
  </w:footnote>
  <w:footnote w:id="49">
    <w:p w:rsidR="00311BB8" w:rsidRDefault="00D91061">
      <w:pPr>
        <w:pStyle w:val="FootnoteText"/>
      </w:pPr>
      <w:r>
        <w:rPr>
          <w:rStyle w:val="fnRef"/>
        </w:rPr>
        <w:t>(</w:t>
      </w:r>
      <w:r>
        <w:rPr>
          <w:rStyle w:val="fnRefNo"/>
        </w:rPr>
        <w:footnoteRef/>
      </w:r>
      <w:r>
        <w:rPr>
          <w:rStyle w:val="fnRef"/>
        </w:rPr>
        <w:t>)</w:t>
      </w:r>
      <w:r>
        <w:rPr>
          <w:rStyle w:val="fnRef"/>
        </w:rPr>
        <w:tab/>
      </w:r>
      <w:r>
        <w:t>Payments of late interests are no longer conditional upon the presentation of a request for payment (with the exception of amounts below EUR</w:t>
      </w:r>
      <w:r>
        <w:rPr>
          <w:rFonts w:ascii="Calibri" w:hAnsi="Calibri" w:cs="Calibri"/>
        </w:rPr>
        <w:t> </w:t>
      </w:r>
      <w:r>
        <w:t>200).</w:t>
      </w:r>
    </w:p>
  </w:footnote>
  <w:footnote w:id="50">
    <w:p w:rsidR="00311BB8" w:rsidRDefault="00D91061">
      <w:pPr>
        <w:pStyle w:val="FootnoteText"/>
      </w:pPr>
      <w:r>
        <w:rPr>
          <w:rStyle w:val="fnRef"/>
          <w:szCs w:val="18"/>
        </w:rPr>
        <w:t>(</w:t>
      </w:r>
      <w:r>
        <w:rPr>
          <w:rStyle w:val="fnRefNo"/>
          <w:sz w:val="18"/>
          <w:szCs w:val="18"/>
        </w:rPr>
        <w:footnoteRef/>
      </w:r>
      <w:r>
        <w:rPr>
          <w:rStyle w:val="fnRef"/>
          <w:szCs w:val="18"/>
        </w:rPr>
        <w:t>)</w:t>
      </w:r>
      <w:r>
        <w:rPr>
          <w:rStyle w:val="fnRef"/>
          <w:szCs w:val="18"/>
        </w:rPr>
        <w:tab/>
      </w:r>
      <w:r>
        <w:t>Regulation (EU, Euratom) 2018/1046 of the European Parliament and of the Council of 18</w:t>
      </w:r>
      <w:r>
        <w:rPr>
          <w:rFonts w:ascii="Calibri" w:hAnsi="Calibri" w:cs="Calibri"/>
        </w:rPr>
        <w:t> </w:t>
      </w:r>
      <w:r>
        <w:t>July 2018 on the financial rules applicable to the general budget of the Union (OJ L</w:t>
      </w:r>
      <w:r>
        <w:rPr>
          <w:rFonts w:ascii="Calibri" w:hAnsi="Calibri" w:cs="Calibri"/>
        </w:rPr>
        <w:t> </w:t>
      </w:r>
      <w:r>
        <w:t>193, 30.7.2018, p.</w:t>
      </w:r>
      <w:r>
        <w:rPr>
          <w:rFonts w:ascii="Calibri" w:hAnsi="Calibri" w:cs="Calibri"/>
        </w:rPr>
        <w:t> </w:t>
      </w:r>
      <w:r>
        <w:t>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B5C" w:rsidRPr="00F82B5C" w:rsidRDefault="00F82B5C" w:rsidP="00F82B5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t>Annual Management and Performance Report for the EU Budget – Financial year 2019</w:t>
    </w:r>
    <w:r>
      <w:rPr>
        <w:lang w:val="fr-BE" w:eastAsia="fr-BE"/>
      </w:rPr>
      <mc:AlternateContent>
        <mc:Choice Requires="wps">
          <w:drawing>
            <wp:anchor distT="0" distB="0" distL="114300" distR="114300" simplePos="0" relativeHeight="251735552" behindDoc="0" locked="0" layoutInCell="1" allowOverlap="1">
              <wp:simplePos x="0" y="0"/>
              <wp:positionH relativeFrom="page">
                <wp:posOffset>-3810</wp:posOffset>
              </wp:positionH>
              <wp:positionV relativeFrom="page">
                <wp:posOffset>0</wp:posOffset>
              </wp:positionV>
              <wp:extent cx="7621200" cy="212400"/>
              <wp:effectExtent l="0" t="0" r="0" b="0"/>
              <wp:wrapNone/>
              <wp:docPr id="7305" name="Rectangle 730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EF1B1" id="Rectangle 7305" o:spid="_x0000_s1026" style="position:absolute;margin-left:-.3pt;margin-top:0;width:600.1pt;height:16.7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L0+Z0l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386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306" name="Rectangle 730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A400C" id="Rectangle 7306" o:spid="_x0000_s1026" style="position:absolute;margin-left:-3.7pt;margin-top:-116.05pt;width:8.85pt;height:37.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BL/ettgAgAAtgQAAA4AAAAAAAAAAAAAAAAALgIAAGRycy9l&#10;Mm9Eb2MueG1sUEsBAi0AFAAGAAgAAAAhAJ8KZHjhAAAACwEAAA8AAAAAAAAAAAAAAAAAugQAAGRy&#10;cy9kb3ducmV2LnhtbFBLBQYAAAAABAAEAPMAAADIBQAAAAA=&#10;" fillcolor="#3fb296" stroked="f" strokeweight="2p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t>Annex 3: Risk at payment/closure reported in the 2019 annual activity reports</w:t>
    </w:r>
    <w:r>
      <w:rPr>
        <w:lang w:eastAsia="en-GB"/>
      </w:rPr>
      <w:t xml:space="preserve"> </w:t>
    </w:r>
    <w:r>
      <w:rPr>
        <w:lang w:val="fr-BE" w:eastAsia="fr-BE"/>
      </w:rPr>
      <mc:AlternateContent>
        <mc:Choice Requires="wps">
          <w:drawing>
            <wp:anchor distT="0" distB="0" distL="114300" distR="114300" simplePos="0" relativeHeight="251729408" behindDoc="0" locked="0" layoutInCell="1" allowOverlap="1">
              <wp:simplePos x="0" y="0"/>
              <wp:positionH relativeFrom="page">
                <wp:posOffset>-3810</wp:posOffset>
              </wp:positionH>
              <wp:positionV relativeFrom="page">
                <wp:posOffset>0</wp:posOffset>
              </wp:positionV>
              <wp:extent cx="7621200" cy="212400"/>
              <wp:effectExtent l="0" t="0" r="0" b="0"/>
              <wp:wrapNone/>
              <wp:docPr id="7171" name="Rectangle 717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E594A" id="Rectangle 7171" o:spid="_x0000_s1026" style="position:absolute;margin-left:-.3pt;margin-top:0;width:600.1pt;height:16.7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324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175" name="Rectangle 717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EAC88" id="Rectangle 7175" o:spid="_x0000_s1026" style="position:absolute;margin-left:-3.7pt;margin-top:-116.05pt;width:8.85pt;height:37.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Xpaqz18CAAC2BAAADgAAAAAAAAAAAAAAAAAuAgAAZHJzL2Uy&#10;b0RvYy54bWxQSwECLQAUAAYACAAAACEAnwpkeOEAAAALAQAADwAAAAAAAAAAAAAAAAC5BAAAZHJz&#10;L2Rvd25yZXYueG1sUEsFBgAAAAAEAAQA8wAAAMcFAAAAAA==&#10;" fillcolor="#3fb296" stroked="f" strokeweight="2p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623936" behindDoc="0" locked="0" layoutInCell="1" allowOverlap="1">
              <wp:simplePos x="0" y="0"/>
              <wp:positionH relativeFrom="page">
                <wp:posOffset>6772275</wp:posOffset>
              </wp:positionH>
              <wp:positionV relativeFrom="page">
                <wp:align>top</wp:align>
              </wp:positionV>
              <wp:extent cx="7621200" cy="212400"/>
              <wp:effectExtent l="8573" t="0" r="7937" b="7938"/>
              <wp:wrapNone/>
              <wp:docPr id="7213" name="Rectangle 7213"/>
              <wp:cNvGraphicFramePr/>
              <a:graphic xmlns:a="http://schemas.openxmlformats.org/drawingml/2006/main">
                <a:graphicData uri="http://schemas.microsoft.com/office/word/2010/wordprocessingShape">
                  <wps:wsp>
                    <wps:cNvSpPr/>
                    <wps:spPr>
                      <a:xfrm rot="5400000">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C7BD4" id="Rectangle 7213" o:spid="_x0000_s1026" style="position:absolute;margin-left:533.25pt;margin-top:0;width:600.1pt;height:16.7pt;rotation:90;z-index:25162393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6177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 name="Rectangle 3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2DA96" id="Rectangle 32" o:spid="_x0000_s1026" style="position:absolute;margin-left:-3.7pt;margin-top:-116.05pt;width:8.85pt;height:37.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1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Mf5ivW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622912" behindDoc="0" locked="0" layoutInCell="1" allowOverlap="1">
              <wp:simplePos x="0" y="0"/>
              <wp:positionH relativeFrom="page">
                <wp:posOffset>6772275</wp:posOffset>
              </wp:positionH>
              <wp:positionV relativeFrom="page">
                <wp:align>top</wp:align>
              </wp:positionV>
              <wp:extent cx="7621200" cy="212400"/>
              <wp:effectExtent l="8573" t="0" r="7937" b="7938"/>
              <wp:wrapNone/>
              <wp:docPr id="26" name="Rectangle 26"/>
              <wp:cNvGraphicFramePr/>
              <a:graphic xmlns:a="http://schemas.openxmlformats.org/drawingml/2006/main">
                <a:graphicData uri="http://schemas.microsoft.com/office/word/2010/wordprocessingShape">
                  <wps:wsp>
                    <wps:cNvSpPr/>
                    <wps:spPr>
                      <a:xfrm rot="5400000">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10079" id="Rectangle 26" o:spid="_x0000_s1026" style="position:absolute;margin-left:533.25pt;margin-top:0;width:600.1pt;height:16.7pt;rotation:90;z-index:25162291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6259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7" name="Rectangle 2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1CBEE" id="Rectangle 27" o:spid="_x0000_s1026" style="position:absolute;margin-left:-3.7pt;margin-top:-116.05pt;width:8.85pt;height:37.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OGc3qRdAgAAsgQAAA4AAAAAAAAAAAAAAAAALgIAAGRycy9lMm9E&#10;b2MueG1sUEsBAi0AFAAGAAgAAAAhAJ8KZHjhAAAACwEAAA8AAAAAAAAAAAAAAAAAtwQAAGRycy9k&#10;b3ducmV2LnhtbFBLBQYAAAAABAAEAPMAAADFBQAAAAA=&#10;" fillcolor="#3fb296" stroked="f" strokeweight="2p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628032" behindDoc="0" locked="0" layoutInCell="1" allowOverlap="1">
              <wp:simplePos x="0" y="0"/>
              <wp:positionH relativeFrom="page">
                <wp:posOffset>-3810</wp:posOffset>
              </wp:positionH>
              <wp:positionV relativeFrom="page">
                <wp:posOffset>0</wp:posOffset>
              </wp:positionV>
              <wp:extent cx="7621200" cy="212400"/>
              <wp:effectExtent l="0" t="0" r="0" b="0"/>
              <wp:wrapNone/>
              <wp:docPr id="8" name="Rectangle 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8C5B9" id="Rectangle 8" o:spid="_x0000_s1026" style="position:absolute;margin-left:-.3pt;margin-top:0;width:600.1pt;height:16.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6300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 name="Rectangle 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C1095" id="Rectangle 9" o:spid="_x0000_s1026" style="position:absolute;margin-left:-3.7pt;margin-top:-116.05pt;width:8.85pt;height:37.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" fillcolor="#3fb296" stroked="f" strokeweight="2pt"/>
          </w:pict>
        </mc:Fallback>
      </mc:AlternateContent>
    </w:r>
    <w:r>
      <w:t xml:space="preserve"> Annex 4: Reservations reported in the 2019 annual activity reports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rPr>
        <w:lang w:val="fr-BE" w:eastAsia="fr-BE"/>
      </w:rPr>
      <mc:AlternateContent>
        <mc:Choice Requires="wps">
          <w:drawing>
            <wp:anchor distT="0" distB="0" distL="114300" distR="114300" simplePos="0" relativeHeight="251595264" behindDoc="0" locked="0" layoutInCell="1" allowOverlap="1">
              <wp:simplePos x="0" y="0"/>
              <wp:positionH relativeFrom="page">
                <wp:posOffset>-3810</wp:posOffset>
              </wp:positionH>
              <wp:positionV relativeFrom="page">
                <wp:posOffset>0</wp:posOffset>
              </wp:positionV>
              <wp:extent cx="7621200" cy="212400"/>
              <wp:effectExtent l="0" t="0" r="0" b="0"/>
              <wp:wrapNone/>
              <wp:docPr id="7316" name="Rectangle 731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40102" id="Rectangle 7316" o:spid="_x0000_s1026" style="position:absolute;margin-left:-.3pt;margin-top:0;width:600.1pt;height:16.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Fskrtd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5973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317" name="Rectangle 731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31DC9" id="Rectangle 7317" o:spid="_x0000_s1026" style="position:absolute;margin-left:-3.7pt;margin-top:-116.05pt;width:8.85pt;height:37.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AJvXh9gAgAAtgQAAA4AAAAAAAAAAAAAAAAALgIAAGRycy9l&#10;Mm9Eb2MueG1sUEsBAi0AFAAGAAgAAAAhAJ8KZHjhAAAACwEAAA8AAAAAAAAAAAAAAAAAugQAAGRy&#10;cy9kb3ducmV2LnhtbFBLBQYAAAAABAAEAPMAAADIBQAAAAA=&#10;" fillcolor="#3fb296" stroked="f" strokeweight="2pt"/>
          </w:pict>
        </mc:Fallback>
      </mc:AlternateContent>
    </w:r>
    <w:r>
      <w:t>Annual Management and Performance Report for the EU Budget – Financial year 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B5C" w:rsidRPr="00F82B5C" w:rsidRDefault="00F82B5C" w:rsidP="00F82B5C">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740672" behindDoc="0" locked="0" layoutInCell="1" allowOverlap="1">
              <wp:simplePos x="0" y="0"/>
              <wp:positionH relativeFrom="page">
                <wp:posOffset>-3810</wp:posOffset>
              </wp:positionH>
              <wp:positionV relativeFrom="page">
                <wp:posOffset>0</wp:posOffset>
              </wp:positionV>
              <wp:extent cx="7621200" cy="212400"/>
              <wp:effectExtent l="0" t="0" r="0" b="0"/>
              <wp:wrapNone/>
              <wp:docPr id="7311" name="Rectangle 731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EBF1B" id="Rectangle 7311" o:spid="_x0000_s1026" style="position:absolute;margin-left:-.3pt;margin-top:0;width:600.1pt;height:16.7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427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312" name="Rectangle 731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07F84" id="Rectangle 7312" o:spid="_x0000_s1026" style="position:absolute;margin-left:-3.7pt;margin-top:-116.05pt;width:8.85pt;height:37.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E/dDXVgAgAAtgQAAA4AAAAAAAAAAAAAAAAALgIAAGRycy9l&#10;Mm9Eb2MueG1sUEsBAi0AFAAGAAgAAAAhAJ8KZHjhAAAACwEAAA8AAAAAAAAAAAAAAAAAugQAAGRy&#10;cy9kb3ducmV2LnhtbFBLBQYAAAAABAAEAPMAAADIBQAAAAA=&#10;" fillcolor="#3fb296" stroked="f" strokeweight="2pt"/>
          </w:pict>
        </mc:Fallback>
      </mc:AlternateContent>
    </w:r>
    <w:r>
      <w:t xml:space="preserve"> Annex 4: Reservations reported in the 2019 annual activity reports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rPr>
        <w:lang w:val="fr-BE" w:eastAsia="fr-BE"/>
      </w:rPr>
      <mc:AlternateContent>
        <mc:Choice Requires="wps">
          <w:drawing>
            <wp:anchor distT="0" distB="0" distL="114300" distR="114300" simplePos="0" relativeHeight="2515072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170" name="Rectangle 717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14253" id="Rectangle 7170" o:spid="_x0000_s1026" style="position:absolute;margin-left:-3.7pt;margin-top:-116.05pt;width:8.85pt;height:37.1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EyT5pV8CAAC2BAAADgAAAAAAAAAAAAAAAAAuAgAAZHJzL2Uy&#10;b0RvYy54bWxQSwECLQAUAAYACAAAACEAnwpkeOEAAAALAQAADwAAAAAAAAAAAAAAAAC5BAAAZHJz&#10;L2Rvd25yZXYueG1sUEsFBgAAAAAEAAQA8wAAAMcFAAAAAA==&#10;" fillcolor="#3fb296" stroked="f" strokeweight="2p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576832" behindDoc="0" locked="0" layoutInCell="1" allowOverlap="1">
              <wp:simplePos x="0" y="0"/>
              <wp:positionH relativeFrom="page">
                <wp:posOffset>-3810</wp:posOffset>
              </wp:positionH>
              <wp:positionV relativeFrom="page">
                <wp:posOffset>0</wp:posOffset>
              </wp:positionV>
              <wp:extent cx="7621200" cy="212400"/>
              <wp:effectExtent l="0" t="0" r="0" b="0"/>
              <wp:wrapNone/>
              <wp:docPr id="52" name="Rectangle 5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3D8E3" id="Rectangle 52" o:spid="_x0000_s1026" style="position:absolute;margin-left:-.3pt;margin-top:0;width:600.1pt;height:16.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5819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5" name="Rectangle 5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E3EC9" id="Rectangle 55" o:spid="_x0000_s1026" style="position:absolute;margin-left:-3.7pt;margin-top:-116.05pt;width:8.85pt;height:37.1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CvPD6xXgIAALIEAAAOAAAAAAAAAAAAAAAAAC4CAABkcnMvZTJv&#10;RG9jLnhtbFBLAQItABQABgAIAAAAIQCfCmR44QAAAAsBAAAPAAAAAAAAAAAAAAAAALgEAABkcnMv&#10;ZG93bnJldi54bWxQSwUGAAAAAAQABADzAAAAxgUAAAAA&#10;" fillcolor="#3fb296" stroked="f" strokeweight="2pt"/>
          </w:pict>
        </mc:Fallback>
      </mc:AlternateContent>
    </w:r>
    <w:r>
      <w:t>Annex 5: The multiannual control cycle protecting the EU budget</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746816" behindDoc="0" locked="0" layoutInCell="1" allowOverlap="1">
              <wp:simplePos x="0" y="0"/>
              <wp:positionH relativeFrom="page">
                <wp:posOffset>-3810</wp:posOffset>
              </wp:positionH>
              <wp:positionV relativeFrom="page">
                <wp:posOffset>0</wp:posOffset>
              </wp:positionV>
              <wp:extent cx="7621200" cy="212400"/>
              <wp:effectExtent l="0" t="0" r="0" b="0"/>
              <wp:wrapNone/>
              <wp:docPr id="7321" name="Rectangle 732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B72FA" id="Rectangle 7321" o:spid="_x0000_s1026" style="position:absolute;margin-left:-.3pt;margin-top:0;width:600.1pt;height:16.7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509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322" name="Rectangle 732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0AA69" id="Rectangle 7322" o:spid="_x0000_s1026" style="position:absolute;margin-left:-3.7pt;margin-top:-116.05pt;width:8.85pt;height:37.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AUFIMRgAgAAtgQAAA4AAAAAAAAAAAAAAAAALgIAAGRycy9l&#10;Mm9Eb2MueG1sUEsBAi0AFAAGAAgAAAAhAJ8KZHjhAAAACwEAAA8AAAAAAAAAAAAAAAAAugQAAGRy&#10;cy9kb3ducmV2LnhtbFBLBQYAAAAABAAEAPMAAADIBQAAAAA=&#10;" fillcolor="#3fb296" stroked="f" strokeweight="2pt"/>
          </w:pict>
        </mc:Fallback>
      </mc:AlternateContent>
    </w:r>
    <w:r>
      <w:t>Annex 5: The multiannual control cycle protecting the EU budget</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rPr>
        <w:lang w:val="fr-BE" w:eastAsia="fr-BE"/>
      </w:rPr>
      <mc:AlternateContent>
        <mc:Choice Requires="wps">
          <w:drawing>
            <wp:anchor distT="0" distB="0" distL="114300" distR="114300" simplePos="0" relativeHeight="251765248" behindDoc="0" locked="0" layoutInCell="1" allowOverlap="1">
              <wp:simplePos x="0" y="0"/>
              <wp:positionH relativeFrom="page">
                <wp:posOffset>-3810</wp:posOffset>
              </wp:positionH>
              <wp:positionV relativeFrom="page">
                <wp:posOffset>0</wp:posOffset>
              </wp:positionV>
              <wp:extent cx="7621200" cy="212400"/>
              <wp:effectExtent l="0" t="0" r="0" b="0"/>
              <wp:wrapNone/>
              <wp:docPr id="7358" name="Rectangle 735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25E39" id="Rectangle 7358" o:spid="_x0000_s1026" style="position:absolute;margin-left:-.3pt;margin-top:0;width:600.1pt;height:16.7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IZXO59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672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359" name="Rectangle 735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C3F4B" id="Rectangle 7359" o:spid="_x0000_s1026" style="position:absolute;margin-left:-3.7pt;margin-top:-116.05pt;width:8.85pt;height:37.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FpHiW1gAgAAtgQAAA4AAAAAAAAAAAAAAAAALgIAAGRycy9l&#10;Mm9Eb2MueG1sUEsBAi0AFAAGAAgAAAAhAJ8KZHjhAAAACwEAAA8AAAAAAAAAAAAAAAAAugQAAGRy&#10;cy9kb3ducmV2LnhtbFBLBQYAAAAABAAEAPMAAADIBQAAAAA=&#10;" fillcolor="#3fb296" stroked="f" strokeweight="2pt"/>
          </w:pict>
        </mc:Fallback>
      </mc:AlternateContent>
    </w:r>
    <w:r>
      <w:t>Annual Management and Performance Report for the EU Budget – Financial year 2019</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761152" behindDoc="0" locked="0" layoutInCell="1" allowOverlap="1">
              <wp:simplePos x="0" y="0"/>
              <wp:positionH relativeFrom="page">
                <wp:posOffset>-3810</wp:posOffset>
              </wp:positionH>
              <wp:positionV relativeFrom="page">
                <wp:posOffset>0</wp:posOffset>
              </wp:positionV>
              <wp:extent cx="7621200" cy="212400"/>
              <wp:effectExtent l="0" t="0" r="0" b="0"/>
              <wp:wrapNone/>
              <wp:docPr id="7353" name="Rectangle 735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9B7FC" id="Rectangle 7353" o:spid="_x0000_s1026" style="position:absolute;margin-left:-.3pt;margin-top:0;width:600.1pt;height:16.7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BoA8U1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632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354" name="Rectangle 735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E1E40" id="Rectangle 7354" o:spid="_x0000_s1026" style="position:absolute;margin-left:-3.7pt;margin-top:-116.05pt;width:8.85pt;height:37.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F/ao+hgAgAAtgQAAA4AAAAAAAAAAAAAAAAALgIAAGRycy9l&#10;Mm9Eb2MueG1sUEsBAi0AFAAGAAgAAAAhAJ8KZHjhAAAACwEAAA8AAAAAAAAAAAAAAAAAugQAAGRy&#10;cy9kb3ducmV2LnhtbFBLBQYAAAAABAAEAPMAAADIBQAAAAA=&#10;" fillcolor="#3fb296" stroked="f" strokeweight="2pt"/>
          </w:pict>
        </mc:Fallback>
      </mc:AlternateContent>
    </w:r>
    <w:r>
      <w:t>Annex 5: The multiannual control cycle protecting the EU budget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B5C" w:rsidRPr="00F82B5C" w:rsidRDefault="00F82B5C" w:rsidP="00F82B5C">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jc w:val="right"/>
    </w:pPr>
    <w:r>
      <w:rPr>
        <w:lang w:val="fr-BE" w:eastAsia="fr-BE"/>
      </w:rPr>
      <mc:AlternateContent>
        <mc:Choice Requires="wps">
          <w:drawing>
            <wp:anchor distT="0" distB="0" distL="114300" distR="114300" simplePos="0" relativeHeight="251564544" behindDoc="0" locked="0" layoutInCell="1" allowOverlap="1">
              <wp:simplePos x="0" y="0"/>
              <wp:positionH relativeFrom="insideMargin">
                <wp:align>right</wp:align>
              </wp:positionH>
              <wp:positionV relativeFrom="page">
                <wp:align>top</wp:align>
              </wp:positionV>
              <wp:extent cx="7621200" cy="212400"/>
              <wp:effectExtent l="8573" t="0" r="7937" b="7938"/>
              <wp:wrapNone/>
              <wp:docPr id="226" name="Rectangle 226"/>
              <wp:cNvGraphicFramePr/>
              <a:graphic xmlns:a="http://schemas.openxmlformats.org/drawingml/2006/main">
                <a:graphicData uri="http://schemas.microsoft.com/office/word/2010/wordprocessingShape">
                  <wps:wsp>
                    <wps:cNvSpPr/>
                    <wps:spPr>
                      <a:xfrm rot="5400000">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34417" id="Rectangle 226" o:spid="_x0000_s1026" style="position:absolute;margin-left:548.9pt;margin-top:0;width:600.1pt;height:16.7pt;rotation:90;z-index:251564544;visibility:visible;mso-wrap-style:square;mso-width-percent:0;mso-height-percent:0;mso-wrap-distance-left:9pt;mso-wrap-distance-top:0;mso-wrap-distance-right:9pt;mso-wrap-distance-bottom:0;mso-position-horizontal:right;mso-position-horizontal-relative:outer-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" fillcolor="#4472c4 [3208]" stroked="f" strokeweight="2pt">
              <w10:wrap anchorx="margin" anchory="page"/>
            </v:rect>
          </w:pict>
        </mc:Fallback>
      </mc:AlternateContent>
    </w:r>
    <w:r>
      <w:rPr>
        <w:lang w:val="fr-BE" w:eastAsia="fr-BE"/>
      </w:rPr>
      <mc:AlternateContent>
        <mc:Choice Requires="wps">
          <w:drawing>
            <wp:anchor distT="0" distB="0" distL="114300" distR="114300" simplePos="0" relativeHeight="2515676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2" name="Rectangle 4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E2C18" id="Rectangle 42" o:spid="_x0000_s1026" style="position:absolute;margin-left:-3.7pt;margin-top:-116.05pt;width:8.85pt;height:37.1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Az8ihhXgIAALIEAAAOAAAAAAAAAAAAAAAAAC4CAABkcnMvZTJv&#10;RG9jLnhtbFBLAQItABQABgAIAAAAIQCfCmR44QAAAAsBAAAPAAAAAAAAAAAAAAAAALgEAABkcnMv&#10;ZG93bnJldi54bWxQSwUGAAAAAAQABADzAAAAxgUAAAAA&#10;" fillcolor="#3fb296" stroked="f" strokeweight="2p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499008" behindDoc="0" locked="0" layoutInCell="1" allowOverlap="1">
              <wp:simplePos x="0" y="0"/>
              <wp:positionH relativeFrom="margin">
                <wp:posOffset>6052185</wp:posOffset>
              </wp:positionH>
              <wp:positionV relativeFrom="page">
                <wp:align>top</wp:align>
              </wp:positionV>
              <wp:extent cx="7621200" cy="212400"/>
              <wp:effectExtent l="8573" t="0" r="7937" b="7938"/>
              <wp:wrapNone/>
              <wp:docPr id="7216" name="Rectangle 7216"/>
              <wp:cNvGraphicFramePr/>
              <a:graphic xmlns:a="http://schemas.openxmlformats.org/drawingml/2006/main">
                <a:graphicData uri="http://schemas.microsoft.com/office/word/2010/wordprocessingShape">
                  <wps:wsp>
                    <wps:cNvSpPr/>
                    <wps:spPr>
                      <a:xfrm rot="5400000">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7D5BC" id="Rectangle 7216" o:spid="_x0000_s1026" style="position:absolute;margin-left:476.55pt;margin-top:0;width:600.1pt;height:16.7pt;rotation:90;z-index:251499008;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" fillcolor="#4472c4 [3208]" stroked="f" strokeweight="2pt">
              <w10:wrap anchorx="margin" anchory="page"/>
            </v:rect>
          </w:pict>
        </mc:Fallback>
      </mc:AlternateContent>
    </w:r>
    <w:r>
      <w:rPr>
        <w:lang w:val="fr-BE" w:eastAsia="fr-BE"/>
      </w:rPr>
      <mc:AlternateContent>
        <mc:Choice Requires="wps">
          <w:drawing>
            <wp:anchor distT="0" distB="0" distL="114300" distR="114300" simplePos="0" relativeHeight="2515020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177" name="Rectangle 717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2BD9E" id="Rectangle 7177" o:spid="_x0000_s1026" style="position:absolute;margin-left:-3.7pt;margin-top:-116.05pt;width:8.85pt;height:37.1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jN109F8CAAC2BAAADgAAAAAAAAAAAAAAAAAuAgAAZHJzL2Uy&#10;b0RvYy54bWxQSwECLQAUAAYACAAAACEAnwpkeOEAAAALAQAADwAAAAAAAAAAAAAAAAC5BAAAZHJz&#10;L2Rvd25yZXYueG1sUEsFBgAAAAAEAAQA8wAAAMcFAAAAAA==&#10;" fillcolor="#3fb296" stroked="f" strokeweight="2p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rPr>
        <w:lang w:val="fr-BE" w:eastAsia="fr-BE"/>
      </w:rPr>
      <mc:AlternateContent>
        <mc:Choice Requires="wps">
          <w:drawing>
            <wp:anchor distT="0" distB="0" distL="114300" distR="114300" simplePos="0" relativeHeight="251569664" behindDoc="0" locked="0" layoutInCell="1" allowOverlap="1">
              <wp:simplePos x="0" y="0"/>
              <wp:positionH relativeFrom="page">
                <wp:posOffset>-3810</wp:posOffset>
              </wp:positionH>
              <wp:positionV relativeFrom="page">
                <wp:posOffset>0</wp:posOffset>
              </wp:positionV>
              <wp:extent cx="7621200" cy="212400"/>
              <wp:effectExtent l="0" t="0" r="0" b="0"/>
              <wp:wrapNone/>
              <wp:docPr id="7259" name="Rectangle 725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6332B" id="Rectangle 7259" o:spid="_x0000_s1026" style="position:absolute;margin-left:-.3pt;margin-top:0;width:600.1pt;height:16.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5717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260" name="Rectangle 726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70F17" id="Rectangle 7260" o:spid="_x0000_s1026" style="position:absolute;margin-left:-3.7pt;margin-top:-116.05pt;width:8.85pt;height:37.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vBSK6l8CAAC2BAAADgAAAAAAAAAAAAAAAAAuAgAAZHJzL2Uy&#10;b0RvYy54bWxQSwECLQAUAAYACAAAACEAnwpkeOEAAAALAQAADwAAAAAAAAAAAAAAAAC5BAAAZHJz&#10;L2Rvd25yZXYueG1sUEsFBgAAAAAEAAQA8wAAAMcFAAAAAA==&#10;" fillcolor="#3fb296" stroked="f" strokeweight="2pt"/>
          </w:pict>
        </mc:Fallback>
      </mc:AlternateContent>
    </w:r>
    <w:r>
      <w:t>Annual Management and Performance Report for the EU Budget – Financial year 2019</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559424" behindDoc="0" locked="0" layoutInCell="1" allowOverlap="1">
              <wp:simplePos x="0" y="0"/>
              <wp:positionH relativeFrom="page">
                <wp:posOffset>-3810</wp:posOffset>
              </wp:positionH>
              <wp:positionV relativeFrom="page">
                <wp:posOffset>0</wp:posOffset>
              </wp:positionV>
              <wp:extent cx="7621200" cy="212400"/>
              <wp:effectExtent l="0" t="0" r="0" b="0"/>
              <wp:wrapNone/>
              <wp:docPr id="7261" name="Rectangle 726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F9E70" id="Rectangle 7261" o:spid="_x0000_s1026" style="position:absolute;margin-left:-.3pt;margin-top:0;width:600.1pt;height:16.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5614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262" name="Rectangle 726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0B4B1" id="Rectangle 7262" o:spid="_x0000_s1026" style="position:absolute;margin-left:-3.7pt;margin-top:-116.05pt;width:8.85pt;height:37.1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G5fVNFgAgAAtgQAAA4AAAAAAAAAAAAAAAAALgIAAGRycy9l&#10;Mm9Eb2MueG1sUEsBAi0AFAAGAAgAAAAhAJ8KZHjhAAAACwEAAA8AAAAAAAAAAAAAAAAAugQAAGRy&#10;cy9kb3ducmV2LnhtbFBLBQYAAAAABAAEAPMAAADIBQAAAAA=&#10;" fillcolor="#3fb296" stroked="f" strokeweight="2pt"/>
          </w:pict>
        </mc:Fallback>
      </mc:AlternateContent>
    </w:r>
    <w:r>
      <w:t>Annex 5: The multiannual control cycle protecting the EU budget</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rPr>
        <w:lang w:val="fr-BE" w:eastAsia="fr-BE"/>
      </w:rPr>
      <mc:AlternateContent>
        <mc:Choice Requires="wps">
          <w:drawing>
            <wp:anchor distT="0" distB="0" distL="114300" distR="114300" simplePos="0" relativeHeight="251808256" behindDoc="0" locked="0" layoutInCell="1" allowOverlap="1">
              <wp:simplePos x="0" y="0"/>
              <wp:positionH relativeFrom="page">
                <wp:posOffset>-3810</wp:posOffset>
              </wp:positionH>
              <wp:positionV relativeFrom="page">
                <wp:posOffset>0</wp:posOffset>
              </wp:positionV>
              <wp:extent cx="7621200" cy="212400"/>
              <wp:effectExtent l="0" t="0" r="0" b="0"/>
              <wp:wrapNone/>
              <wp:docPr id="7" name="Rectangle 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C8F2D" id="Rectangle 7" o:spid="_x0000_s1026" style="position:absolute;margin-left:-.3pt;margin-top:0;width:600.1pt;height:16.7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8103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 name="Rectangle 2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515AF" id="Rectangle 20" o:spid="_x0000_s1026" style="position:absolute;margin-left:-3.7pt;margin-top:-116.05pt;width:8.85pt;height:37.1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GoQTCJdAgAAsgQAAA4AAAAAAAAAAAAAAAAALgIAAGRycy9lMm9E&#10;b2MueG1sUEsBAi0AFAAGAAgAAAAhAJ8KZHjhAAAACwEAAA8AAAAAAAAAAAAAAAAAtwQAAGRycy9k&#10;b3ducmV2LnhtbFBLBQYAAAAABAAEAPMAAADFBQAAAAA=&#10;" fillcolor="#3fb296" stroked="f" strokeweight="2pt"/>
          </w:pict>
        </mc:Fallback>
      </mc:AlternateContent>
    </w:r>
    <w:r>
      <w:t>Annual Management and Performance Report for the EU Budget – Financial year 2019</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803136" behindDoc="0" locked="0" layoutInCell="1" allowOverlap="1">
              <wp:simplePos x="0" y="0"/>
              <wp:positionH relativeFrom="page">
                <wp:posOffset>-3810</wp:posOffset>
              </wp:positionH>
              <wp:positionV relativeFrom="page">
                <wp:posOffset>0</wp:posOffset>
              </wp:positionV>
              <wp:extent cx="7621200" cy="212400"/>
              <wp:effectExtent l="0" t="0" r="0" b="0"/>
              <wp:wrapNone/>
              <wp:docPr id="1" name="Rectangle 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441C6" id="Rectangle 1" o:spid="_x0000_s1026" style="position:absolute;margin-left:-.3pt;margin-top:0;width:600.1pt;height:16.7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8062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 name="Rectangle 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16D62" id="Rectangle 6" o:spid="_x0000_s1026" style="position:absolute;margin-left:-3.7pt;margin-top:-116.05pt;width:8.85pt;height:37.1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NhT7dpdAgAAsAQAAA4AAAAAAAAAAAAAAAAALgIAAGRycy9lMm9E&#10;b2MueG1sUEsBAi0AFAAGAAgAAAAhAJ8KZHjhAAAACwEAAA8AAAAAAAAAAAAAAAAAtwQAAGRycy9k&#10;b3ducmV2LnhtbFBLBQYAAAAABAAEAPMAAADFBQAAAAA=&#10;" fillcolor="#3fb296" stroked="f" strokeweight="2pt"/>
          </w:pict>
        </mc:Fallback>
      </mc:AlternateContent>
    </w:r>
    <w:r>
      <w:t>Annex 5: The multiannual control cycle protecting the EU budget</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t>Annual Management and Performance Report for the EU Budget – Financial year 2019</w:t>
    </w:r>
    <w:r>
      <w:rPr>
        <w:lang w:val="fr-BE" w:eastAsia="fr-BE"/>
      </w:rPr>
      <mc:AlternateContent>
        <mc:Choice Requires="wps">
          <w:drawing>
            <wp:anchor distT="0" distB="0" distL="114300" distR="114300" simplePos="0" relativeHeight="251698176" behindDoc="0" locked="0" layoutInCell="1" allowOverlap="1">
              <wp:simplePos x="0" y="0"/>
              <wp:positionH relativeFrom="page">
                <wp:posOffset>-3810</wp:posOffset>
              </wp:positionH>
              <wp:positionV relativeFrom="page">
                <wp:posOffset>0</wp:posOffset>
              </wp:positionV>
              <wp:extent cx="7621200" cy="212400"/>
              <wp:effectExtent l="0" t="0" r="0" b="0"/>
              <wp:wrapNone/>
              <wp:docPr id="24" name="Rectangle 2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0EDEB" id="Rectangle 24" o:spid="_x0000_s1026" style="position:absolute;margin-left:-.3pt;margin-top:0;width:600.1pt;height:16.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186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 name="Rectangle 2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1E35C" id="Rectangle 25" o:spid="_x0000_s1026" style="position:absolute;margin-left:-3.7pt;margin-top:-116.05pt;width:8.85pt;height:3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Iv00stdAgAAsgQAAA4AAAAAAAAAAAAAAAAALgIAAGRycy9lMm9E&#10;b2MueG1sUEsBAi0AFAAGAAgAAAAhAJ8KZHjhAAAACwEAAA8AAAAAAAAAAAAAAAAAtwQAAGRycy9k&#10;b3ducmV2LnhtbFBLBQYAAAAABAAEAPMAAADFBQAAAAA=&#10;" fillcolor="#3fb296" stroked="f" strokeweight="2pt"/>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510272" behindDoc="0" locked="0" layoutInCell="1" allowOverlap="1">
              <wp:simplePos x="0" y="0"/>
              <wp:positionH relativeFrom="page">
                <wp:posOffset>-3810</wp:posOffset>
              </wp:positionH>
              <wp:positionV relativeFrom="page">
                <wp:posOffset>0</wp:posOffset>
              </wp:positionV>
              <wp:extent cx="7621200" cy="212400"/>
              <wp:effectExtent l="0" t="0" r="0" b="0"/>
              <wp:wrapNone/>
              <wp:docPr id="7233" name="Rectangle 723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7B118" id="Rectangle 7233" o:spid="_x0000_s1026" style="position:absolute;margin-left:-.3pt;margin-top:0;width:600.1pt;height:16.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GCH9uJ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5850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234" name="Rectangle 723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CE873" id="Rectangle 7234" o:spid="_x0000_s1026" style="position:absolute;margin-left:-3.7pt;margin-top:-116.05pt;width:8.85pt;height:37.1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IftMZVgAgAAtgQAAA4AAAAAAAAAAAAAAAAALgIAAGRycy9l&#10;Mm9Eb2MueG1sUEsBAi0AFAAGAAgAAAAhAJ8KZHjhAAAACwEAAA8AAAAAAAAAAAAAAAAAugQAAGRy&#10;cy9kb3ducmV2LnhtbFBLBQYAAAAABAAEAPMAAADIBQAAAAA=&#10;" fillcolor="#3fb296" stroked="f" strokeweight="2pt"/>
          </w:pict>
        </mc:Fallback>
      </mc:AlternateContent>
    </w:r>
    <w:r>
      <w:t>Annex</w:t>
    </w:r>
    <w:r>
      <w:rPr>
        <w:rFonts w:ascii="Calibri" w:hAnsi="Calibri" w:cs="Calibri"/>
      </w:rPr>
      <w:t> </w:t>
    </w:r>
    <w:r>
      <w:t>7: Summary of the work and conclusions of the Audit Progress Committee</w:t>
    </w:r>
    <w:r>
      <w:rPr>
        <w:lang w:eastAsia="en-GB"/>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rPr>
        <w:lang w:val="fr-BE" w:eastAsia="fr-BE"/>
      </w:rPr>
      <mc:AlternateContent>
        <mc:Choice Requires="wps">
          <w:drawing>
            <wp:anchor distT="0" distB="0" distL="114300" distR="114300" simplePos="0" relativeHeight="251798016" behindDoc="0" locked="0" layoutInCell="1" allowOverlap="1">
              <wp:simplePos x="0" y="0"/>
              <wp:positionH relativeFrom="page">
                <wp:posOffset>-3810</wp:posOffset>
              </wp:positionH>
              <wp:positionV relativeFrom="page">
                <wp:posOffset>0</wp:posOffset>
              </wp:positionV>
              <wp:extent cx="7621200" cy="212400"/>
              <wp:effectExtent l="0" t="0" r="0" b="0"/>
              <wp:wrapNone/>
              <wp:docPr id="7338" name="Rectangle 733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9C732" id="Rectangle 7338" o:spid="_x0000_s1026" style="position:absolute;margin-left:-.3pt;margin-top:0;width:600.1pt;height:16.7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8000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339" name="Rectangle 733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E9D2A" id="Rectangle 7339" o:spid="_x0000_s1026" style="position:absolute;margin-left:-3.7pt;margin-top:-116.05pt;width:8.85pt;height:37.1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I/xo9RgAgAAtgQAAA4AAAAAAAAAAAAAAAAALgIAAGRycy9l&#10;Mm9Eb2MueG1sUEsBAi0AFAAGAAgAAAAhAJ8KZHjhAAAACwEAAA8AAAAAAAAAAAAAAAAAugQAAGRy&#10;cy9kb3ducmV2LnhtbFBLBQYAAAAABAAEAPMAAADIBQAAAAA=&#10;" fillcolor="#3fb296" stroked="f" strokeweight="2pt"/>
          </w:pict>
        </mc:Fallback>
      </mc:AlternateContent>
    </w:r>
    <w:r>
      <w:t>Annual Management and Performance Report for the EU Budget – Financial year 2019</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793920" behindDoc="0" locked="0" layoutInCell="1" allowOverlap="1">
              <wp:simplePos x="0" y="0"/>
              <wp:positionH relativeFrom="page">
                <wp:posOffset>-3810</wp:posOffset>
              </wp:positionH>
              <wp:positionV relativeFrom="page">
                <wp:posOffset>0</wp:posOffset>
              </wp:positionV>
              <wp:extent cx="7621200" cy="212400"/>
              <wp:effectExtent l="0" t="0" r="0" b="0"/>
              <wp:wrapNone/>
              <wp:docPr id="7333" name="Rectangle 733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45928" id="Rectangle 7333" o:spid="_x0000_s1026" style="position:absolute;margin-left:-.3pt;margin-top:0;width:600.1pt;height:16.7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BMMfkB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959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334" name="Rectangle 733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171BE" id="Rectangle 7334" o:spid="_x0000_s1026" style="position:absolute;margin-left:-3.7pt;margin-top:-116.05pt;width:8.85pt;height:37.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IpsiVFgAgAAtgQAAA4AAAAAAAAAAAAAAAAALgIAAGRycy9l&#10;Mm9Eb2MueG1sUEsBAi0AFAAGAAgAAAAhAJ8KZHjhAAAACwEAAA8AAAAAAAAAAAAAAAAAugQAAGRy&#10;cy9kb3ducmV2LnhtbFBLBQYAAAAABAAEAPMAAADIBQAAAAA=&#10;" fillcolor="#3fb296" stroked="f" strokeweight="2pt"/>
          </w:pict>
        </mc:Fallback>
      </mc:AlternateContent>
    </w:r>
    <w:r>
      <w:t>Annex</w:t>
    </w:r>
    <w:r>
      <w:rPr>
        <w:rFonts w:ascii="Calibri" w:hAnsi="Calibri" w:cs="Calibri"/>
      </w:rPr>
      <w:t> </w:t>
    </w:r>
    <w:r>
      <w:t>7: Summary of the work and conclusions of the Audit Progress Committee</w:t>
    </w:r>
    <w:r>
      <w:rPr>
        <w:lang w:eastAsia="en-GB"/>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rPr>
        <w:lang w:val="fr-BE" w:eastAsia="fr-BE"/>
      </w:rPr>
      <mc:AlternateContent>
        <mc:Choice Requires="wps">
          <w:drawing>
            <wp:anchor distT="0" distB="0" distL="114300" distR="114300" simplePos="0" relativeHeight="251601408" behindDoc="0" locked="0" layoutInCell="1" allowOverlap="1">
              <wp:simplePos x="0" y="0"/>
              <wp:positionH relativeFrom="page">
                <wp:posOffset>-3810</wp:posOffset>
              </wp:positionH>
              <wp:positionV relativeFrom="page">
                <wp:posOffset>0</wp:posOffset>
              </wp:positionV>
              <wp:extent cx="7621200" cy="212400"/>
              <wp:effectExtent l="0" t="0" r="0" b="0"/>
              <wp:wrapNone/>
              <wp:docPr id="7248" name="Rectangle 724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FE12E" id="Rectangle 7248" o:spid="_x0000_s1026" style="position:absolute;margin-left:-.3pt;margin-top:0;width:600.1pt;height:16.7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6055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249" name="Rectangle 724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28AAA" id="Rectangle 7249" o:spid="_x0000_s1026" style="position:absolute;margin-left:-3.7pt;margin-top:-116.05pt;width:8.85pt;height:37.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K5z+nBgAgAAtgQAAA4AAAAAAAAAAAAAAAAALgIAAGRycy9l&#10;Mm9Eb2MueG1sUEsBAi0AFAAGAAgAAAAhAJ8KZHjhAAAACwEAAA8AAAAAAAAAAAAAAAAAugQAAGRy&#10;cy9kb3ducmV2LnhtbFBLBQYAAAAABAAEAPMAAADIBQAAAAA=&#10;" fillcolor="#3fb296" stroked="f" strokeweight="2pt"/>
          </w:pict>
        </mc:Fallback>
      </mc:AlternateContent>
    </w:r>
    <w:r>
      <w:t>Annual Management and Performance Report for the EU Budget – Financial year 2019</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589120" behindDoc="0" locked="0" layoutInCell="1" allowOverlap="1">
              <wp:simplePos x="0" y="0"/>
              <wp:positionH relativeFrom="page">
                <wp:posOffset>-3810</wp:posOffset>
              </wp:positionH>
              <wp:positionV relativeFrom="page">
                <wp:posOffset>0</wp:posOffset>
              </wp:positionV>
              <wp:extent cx="7621200" cy="212400"/>
              <wp:effectExtent l="0" t="0" r="0" b="0"/>
              <wp:wrapNone/>
              <wp:docPr id="7243" name="Rectangle 724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8EE0F" id="Rectangle 7243" o:spid="_x0000_s1026" style="position:absolute;margin-left:-.3pt;margin-top:0;width:600.1pt;height:16.7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EqKgwB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5932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244" name="Rectangle 724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90B85" id="Rectangle 7244" o:spid="_x0000_s1026" style="position:absolute;margin-left:-3.7pt;margin-top:-116.05pt;width:8.85pt;height:37.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q+7Q9V8CAAC2BAAADgAAAAAAAAAAAAAAAAAuAgAAZHJzL2Uy&#10;b0RvYy54bWxQSwECLQAUAAYACAAAACEAnwpkeOEAAAALAQAADwAAAAAAAAAAAAAAAAC5BAAAZHJz&#10;L2Rvd25yZXYueG1sUEsFBgAAAAAEAAQA8wAAAMcFAAAAAA==&#10;" fillcolor="#3fb296" stroked="f" strokeweight="2pt"/>
          </w:pict>
        </mc:Fallback>
      </mc:AlternateContent>
    </w:r>
    <w:r>
      <w:t>Annex 8: Compliance with payment time limits</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t>Annex 2: Mainstreaming and tracking of cross-cutting priorities</w:t>
    </w:r>
    <w:r>
      <w:rPr>
        <w:lang w:val="fr-BE" w:eastAsia="fr-BE"/>
      </w:rPr>
      <mc:AlternateContent>
        <mc:Choice Requires="wps">
          <w:drawing>
            <wp:anchor distT="0" distB="0" distL="114300" distR="114300" simplePos="0" relativeHeight="251657216" behindDoc="0" locked="0" layoutInCell="1" allowOverlap="1">
              <wp:simplePos x="0" y="0"/>
              <wp:positionH relativeFrom="page">
                <wp:posOffset>-3810</wp:posOffset>
              </wp:positionH>
              <wp:positionV relativeFrom="page">
                <wp:posOffset>0</wp:posOffset>
              </wp:positionV>
              <wp:extent cx="7621200" cy="212400"/>
              <wp:effectExtent l="0" t="0" r="0" b="0"/>
              <wp:wrapNone/>
              <wp:docPr id="22" name="Rectangle 2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D5DD" id="Rectangle 22" o:spid="_x0000_s1026" style="position:absolute;margin-left:-.3pt;margin-top:0;width:600.1pt;height:1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6776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3" name="Rectangle 2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A79E0" id="Rectangle 23" o:spid="_x0000_s1026" style="position:absolute;margin-left:-3.7pt;margin-top:-116.05pt;width:8.85pt;height:3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DVMxnpdAgAAsgQAAA4AAAAAAAAAAAAAAAAALgIAAGRycy9lMm9E&#10;b2MueG1sUEsBAi0AFAAGAAgAAAAhAJ8KZHjhAAAACwEAAA8AAAAAAAAAAAAAAAAAtwQAAGRycy9k&#10;b3ducmV2LnhtbFBLBQYAAAAABAAEAPMAAADFBQAAAAA=&#10;" fillcolor="#3fb296" stroked="f" strokeweight="2pt"/>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610624" behindDoc="0" locked="0" layoutInCell="1" allowOverlap="1">
              <wp:simplePos x="0" y="0"/>
              <wp:positionH relativeFrom="page">
                <wp:posOffset>-3810</wp:posOffset>
              </wp:positionH>
              <wp:positionV relativeFrom="page">
                <wp:posOffset>0</wp:posOffset>
              </wp:positionV>
              <wp:extent cx="7621200" cy="212400"/>
              <wp:effectExtent l="0" t="0" r="0" b="0"/>
              <wp:wrapNone/>
              <wp:docPr id="7263" name="Rectangle 726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14B1E" id="Rectangle 7263" o:spid="_x0000_s1026" style="position:absolute;margin-left:-.3pt;margin-top:0;width:600.1pt;height:16.7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E2OBgR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6362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264" name="Rectangle 726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3EF86" id="Rectangle 7264" o:spid="_x0000_s1026" style="position:absolute;margin-left:-3.7pt;margin-top:-116.05pt;width:8.85pt;height:37.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BiDNp1gAgAAtgQAAA4AAAAAAAAAAAAAAAAALgIAAGRycy9l&#10;Mm9Eb2MueG1sUEsBAi0AFAAGAAgAAAAhAJ8KZHjhAAAACwEAAA8AAAAAAAAAAAAAAAAAugQAAGRy&#10;cy9kb3ducmV2LnhtbFBLBQYAAAAABAAEAPMAAADIBQAAAAA=&#10;" fillcolor="#3fb296" stroked="f" strokeweight="2pt"/>
          </w:pict>
        </mc:Fallback>
      </mc:AlternateContent>
    </w:r>
    <w:r>
      <w:t>Annex 9: Summary of waivers of recoveries</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rPr>
        <w:lang w:val="fr-BE" w:eastAsia="fr-BE"/>
      </w:rPr>
      <mc:AlternateContent>
        <mc:Choice Requires="wps">
          <w:drawing>
            <wp:anchor distT="0" distB="0" distL="114300" distR="114300" simplePos="0" relativeHeight="251757056" behindDoc="0" locked="0" layoutInCell="1" allowOverlap="1">
              <wp:simplePos x="0" y="0"/>
              <wp:positionH relativeFrom="page">
                <wp:posOffset>-3810</wp:posOffset>
              </wp:positionH>
              <wp:positionV relativeFrom="page">
                <wp:posOffset>0</wp:posOffset>
              </wp:positionV>
              <wp:extent cx="7621200" cy="212400"/>
              <wp:effectExtent l="0" t="0" r="0" b="0"/>
              <wp:wrapNone/>
              <wp:docPr id="7348" name="Rectangle 734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0324A" id="Rectangle 7348" o:spid="_x0000_s1026" style="position:absolute;margin-left:-.3pt;margin-top:0;width:600.1pt;height:16.7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KVWwXB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591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349" name="Rectangle 734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3A47A" id="Rectangle 7349" o:spid="_x0000_s1026" style="position:absolute;margin-left:-3.7pt;margin-top:-116.05pt;width:8.85pt;height:37.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KPyQrRgAgAAtgQAAA4AAAAAAAAAAAAAAAAALgIAAGRycy9l&#10;Mm9Eb2MueG1sUEsBAi0AFAAGAAgAAAAhAJ8KZHjhAAAACwEAAA8AAAAAAAAAAAAAAAAAugQAAGRy&#10;cy9kb3ducmV2LnhtbFBLBQYAAAAABAAEAPMAAADIBQAAAAA=&#10;" fillcolor="#3fb296" stroked="f" strokeweight="2pt"/>
          </w:pict>
        </mc:Fallback>
      </mc:AlternateContent>
    </w:r>
    <w:r>
      <w:t>Annual Management and Performance Report for the EU Budget – Financial year 2019</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752960" behindDoc="0" locked="0" layoutInCell="1" allowOverlap="1">
              <wp:simplePos x="0" y="0"/>
              <wp:positionH relativeFrom="page">
                <wp:posOffset>-3810</wp:posOffset>
              </wp:positionH>
              <wp:positionV relativeFrom="page">
                <wp:posOffset>0</wp:posOffset>
              </wp:positionV>
              <wp:extent cx="7621200" cy="212400"/>
              <wp:effectExtent l="0" t="0" r="0" b="0"/>
              <wp:wrapNone/>
              <wp:docPr id="7343" name="Rectangle 734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A9C06" id="Rectangle 7343" o:spid="_x0000_s1026" style="position:absolute;margin-left:-.3pt;margin-top:0;width:600.1pt;height:16.7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DkBC6J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550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344" name="Rectangle 734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0E69E" id="Rectangle 7344" o:spid="_x0000_s1026" style="position:absolute;margin-left:-3.7pt;margin-top:-116.05pt;width:8.85pt;height:37.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KZvaDFgAgAAtgQAAA4AAAAAAAAAAAAAAAAALgIAAGRycy9l&#10;Mm9Eb2MueG1sUEsBAi0AFAAGAAgAAAAhAJ8KZHjhAAAACwEAAA8AAAAAAAAAAAAAAAAAugQAAGRy&#10;cy9kb3ducmV2LnhtbFBLBQYAAAAABAAEAPMAAADIBQAAAAA=&#10;" fillcolor="#3fb296" stroked="f" strokeweight="2pt"/>
          </w:pict>
        </mc:Fallback>
      </mc:AlternateContent>
    </w:r>
    <w:r>
      <w:t>Annex 9: Summary of waivers of recoveries</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rPr>
        <w:lang w:val="fr-BE" w:eastAsia="fr-BE"/>
      </w:rPr>
      <mc:AlternateContent>
        <mc:Choice Requires="wps">
          <w:drawing>
            <wp:anchor distT="0" distB="0" distL="114300" distR="114300" simplePos="0" relativeHeight="251492864" behindDoc="0" locked="0" layoutInCell="1" allowOverlap="1">
              <wp:simplePos x="0" y="0"/>
              <wp:positionH relativeFrom="page">
                <wp:posOffset>-3810</wp:posOffset>
              </wp:positionH>
              <wp:positionV relativeFrom="page">
                <wp:posOffset>0</wp:posOffset>
              </wp:positionV>
              <wp:extent cx="7621200" cy="212400"/>
              <wp:effectExtent l="0" t="0" r="0" b="0"/>
              <wp:wrapNone/>
              <wp:docPr id="33" name="Rectangle 3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235D5" id="Rectangle 33" o:spid="_x0000_s1026" style="position:absolute;margin-left:-.3pt;margin-top:0;width:600.1pt;height:16.7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4938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4" name="Rectangle 3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0374" id="Rectangle 34" o:spid="_x0000_s1026" style="position:absolute;margin-left:-3.7pt;margin-top:-116.05pt;width:8.85pt;height:37.1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CpgtCqXgIAALIEAAAOAAAAAAAAAAAAAAAAAC4CAABkcnMvZTJv&#10;RG9jLnhtbFBLAQItABQABgAIAAAAIQCfCmR44QAAAAsBAAAPAAAAAAAAAAAAAAAAALgEAABkcnMv&#10;ZG93bnJldi54bWxQSwUGAAAAAAQABADzAAAAxgUAAAAA&#10;" fillcolor="#3fb296" stroked="f" strokeweight="2pt"/>
          </w:pict>
        </mc:Fallback>
      </mc:AlternateContent>
    </w:r>
    <w:r>
      <w:t>Annual Management and Performance Report for the EU Budget – Financial year 2019</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698688" behindDoc="0" locked="0" layoutInCell="1" allowOverlap="1">
              <wp:simplePos x="0" y="0"/>
              <wp:positionH relativeFrom="page">
                <wp:posOffset>-3810</wp:posOffset>
              </wp:positionH>
              <wp:positionV relativeFrom="page">
                <wp:posOffset>0</wp:posOffset>
              </wp:positionV>
              <wp:extent cx="7621200" cy="212400"/>
              <wp:effectExtent l="0" t="0" r="0" b="0"/>
              <wp:wrapNone/>
              <wp:docPr id="7268" name="Rectangle 726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673E8" id="Rectangle 7268" o:spid="_x0000_s1026" style="position:absolute;margin-left:-.3pt;margin-top:0;width:600.1pt;height:16.7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6997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269" name="Rectangle 726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9A788" id="Rectangle 7269" o:spid="_x0000_s1026" style="position:absolute;margin-left:-3.7pt;margin-top:-116.05pt;width:8.85pt;height:3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B0eHBhgAgAAtgQAAA4AAAAAAAAAAAAAAAAALgIAAGRycy9l&#10;Mm9Eb2MueG1sUEsBAi0AFAAGAAgAAAAhAJ8KZHjhAAAACwEAAA8AAAAAAAAAAAAAAAAAugQAAGRy&#10;cy9kb3ducmV2LnhtbFBLBQYAAAAABAAEAPMAAADIBQAAAAA=&#10;" fillcolor="#3fb296" stroked="f" strokeweight="2pt"/>
          </w:pict>
        </mc:Fallback>
      </mc:AlternateContent>
    </w:r>
    <w:r>
      <w:t>Annex 10: Report on negotiated procedures</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rPr>
        <w:lang w:val="fr-BE" w:eastAsia="fr-BE"/>
      </w:rPr>
      <mc:AlternateContent>
        <mc:Choice Requires="wps">
          <w:drawing>
            <wp:anchor distT="0" distB="0" distL="114300" distR="114300" simplePos="0" relativeHeight="251494912" behindDoc="0" locked="0" layoutInCell="1" allowOverlap="1">
              <wp:simplePos x="0" y="0"/>
              <wp:positionH relativeFrom="page">
                <wp:posOffset>-3810</wp:posOffset>
              </wp:positionH>
              <wp:positionV relativeFrom="page">
                <wp:posOffset>0</wp:posOffset>
              </wp:positionV>
              <wp:extent cx="7621200" cy="212400"/>
              <wp:effectExtent l="0" t="0" r="0" b="0"/>
              <wp:wrapNone/>
              <wp:docPr id="41" name="Rectangle 4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E9A8C" id="Rectangle 41" o:spid="_x0000_s1026" style="position:absolute;margin-left:-.3pt;margin-top:0;width:600.1pt;height:16.7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4959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7" name="Rectangle 4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BBC9E" id="Rectangle 47" o:spid="_x0000_s1026" style="position:absolute;margin-left:-3.7pt;margin-top:-116.05pt;width:8.85pt;height:37.1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DSFraIXgIAALIEAAAOAAAAAAAAAAAAAAAAAC4CAABkcnMvZTJv&#10;RG9jLnhtbFBLAQItABQABgAIAAAAIQCfCmR44QAAAAsBAAAPAAAAAAAAAAAAAAAAALgEAABkcnMv&#10;ZG93bnJldi54bWxQSwUGAAAAAAQABADzAAAAxgUAAAAA&#10;" fillcolor="#3fb296" stroked="f" strokeweight="2pt"/>
          </w:pict>
        </mc:Fallback>
      </mc:AlternateContent>
    </w:r>
    <w:r>
      <w:t>ANNEXES</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703808" behindDoc="0" locked="0" layoutInCell="1" allowOverlap="1">
              <wp:simplePos x="0" y="0"/>
              <wp:positionH relativeFrom="page">
                <wp:posOffset>-3810</wp:posOffset>
              </wp:positionH>
              <wp:positionV relativeFrom="page">
                <wp:posOffset>0</wp:posOffset>
              </wp:positionV>
              <wp:extent cx="7621200" cy="212400"/>
              <wp:effectExtent l="0" t="0" r="0" b="0"/>
              <wp:wrapNone/>
              <wp:docPr id="7273" name="Rectangle 727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31B09" id="Rectangle 7273" o:spid="_x0000_s1026" style="position:absolute;margin-left:-.3pt;margin-top:0;width:600.1pt;height:16.7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G6P/Ot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079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274" name="Rectangle 727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C2FD3" id="Rectangle 7274" o:spid="_x0000_s1026" style="position:absolute;margin-left:-3.7pt;margin-top:-116.05pt;width:8.85pt;height:37.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OE2/URgAgAAtgQAAA4AAAAAAAAAAAAAAAAALgIAAGRycy9l&#10;Mm9Eb2MueG1sUEsBAi0AFAAGAAgAAAAhAJ8KZHjhAAAACwEAAA8AAAAAAAAAAAAAAAAAugQAAGRy&#10;cy9kb3ducmV2LnhtbFBLBQYAAAAABAAEAPMAAADIBQAAAAA=&#10;" fillcolor="#3fb296" stroked="f" strokeweight="2pt"/>
          </w:pict>
        </mc:Fallback>
      </mc:AlternateContent>
    </w:r>
    <w:r>
      <w:t>Annex 11: EU Trust Funds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rPr>
        <w:lang w:val="fr-BE" w:eastAsia="fr-BE"/>
      </w:rPr>
      <mc:AlternateContent>
        <mc:Choice Requires="wps">
          <w:drawing>
            <wp:anchor distT="0" distB="0" distL="114300" distR="114300" simplePos="0" relativeHeight="251812352" behindDoc="0" locked="0" layoutInCell="1" allowOverlap="1">
              <wp:simplePos x="0" y="0"/>
              <wp:positionH relativeFrom="page">
                <wp:posOffset>-3810</wp:posOffset>
              </wp:positionH>
              <wp:positionV relativeFrom="page">
                <wp:posOffset>0</wp:posOffset>
              </wp:positionV>
              <wp:extent cx="7621200" cy="212400"/>
              <wp:effectExtent l="0" t="0" r="0" b="0"/>
              <wp:wrapNone/>
              <wp:docPr id="21" name="Rectangle 2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E3BB2" id="Rectangle 21" o:spid="_x0000_s1026" style="position:absolute;margin-left:-.3pt;margin-top:0;width:600.1pt;height:16.7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8144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8" name="Rectangle 2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7B503" id="Rectangle 28" o:spid="_x0000_s1026" style="position:absolute;margin-left:-3.7pt;margin-top:-116.05pt;width:8.85pt;height:37.1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IO3DEVdAgAAsgQAAA4AAAAAAAAAAAAAAAAALgIAAGRycy9lMm9E&#10;b2MueG1sUEsBAi0AFAAGAAgAAAAhAJ8KZHjhAAAACwEAAA8AAAAAAAAAAAAAAAAAtwQAAGRycy9k&#10;b3ducmV2LnhtbFBLBQYAAAAABAAEAPMAAADFBQAAAAA=&#10;" fillcolor="#3fb296" stroked="f" strokeweight="2pt"/>
          </w:pict>
        </mc:Fallback>
      </mc:AlternateContent>
    </w:r>
    <w:r>
      <w:t>ANNEXES</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rPr>
        <w:lang w:val="fr-BE" w:eastAsia="fr-BE"/>
      </w:rPr>
      <mc:AlternateContent>
        <mc:Choice Requires="wps">
          <w:drawing>
            <wp:anchor distT="0" distB="0" distL="114300" distR="114300" simplePos="0" relativeHeight="251773440" behindDoc="0" locked="0" layoutInCell="1" allowOverlap="1">
              <wp:simplePos x="0" y="0"/>
              <wp:positionH relativeFrom="page">
                <wp:posOffset>-3810</wp:posOffset>
              </wp:positionH>
              <wp:positionV relativeFrom="page">
                <wp:posOffset>0</wp:posOffset>
              </wp:positionV>
              <wp:extent cx="7621200" cy="212400"/>
              <wp:effectExtent l="0" t="0" r="0" b="0"/>
              <wp:wrapNone/>
              <wp:docPr id="7368" name="Rectangle 736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AD323" id="Rectangle 7368" o:spid="_x0000_s1026" style="position:absolute;margin-left:-.3pt;margin-top:0;width:600.1pt;height:16.7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KJSRHR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754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369" name="Rectangle 736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D053A" id="Rectangle 7369" o:spid="_x0000_s1026" style="position:absolute;margin-left:-3.7pt;margin-top:-116.05pt;width:8.85pt;height:37.1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BCfpNxgAgAAtgQAAA4AAAAAAAAAAAAAAAAALgIAAGRycy9l&#10;Mm9Eb2MueG1sUEsBAi0AFAAGAAgAAAAhAJ8KZHjhAAAACwEAAA8AAAAAAAAAAAAAAAAAugQAAGRy&#10;cy9kb3ducmV2LnhtbFBLBQYAAAAABAAEAPMAAADIBQAAAAA=&#10;" fillcolor="#3fb296" stroked="f" strokeweight="2pt"/>
          </w:pict>
        </mc:Fallback>
      </mc:AlternateContent>
    </w:r>
    <w:r>
      <w:t>Annual Management and Performance Report for the EU Budget – Financial year 2019</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769344" behindDoc="0" locked="0" layoutInCell="1" allowOverlap="1">
              <wp:simplePos x="0" y="0"/>
              <wp:positionH relativeFrom="page">
                <wp:posOffset>-3810</wp:posOffset>
              </wp:positionH>
              <wp:positionV relativeFrom="page">
                <wp:posOffset>0</wp:posOffset>
              </wp:positionV>
              <wp:extent cx="7621200" cy="212400"/>
              <wp:effectExtent l="0" t="0" r="0" b="0"/>
              <wp:wrapNone/>
              <wp:docPr id="7363" name="Rectangle 736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10D6A" id="Rectangle 7363" o:spid="_x0000_s1026" style="position:absolute;margin-left:-.3pt;margin-top:0;width:600.1pt;height:16.7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D4FjqZ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713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364" name="Rectangle 736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D9E44" id="Rectangle 7364" o:spid="_x0000_s1026" style="position:absolute;margin-left:-3.7pt;margin-top:-116.05pt;width:8.85pt;height:37.1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BUCjllgAgAAtgQAAA4AAAAAAAAAAAAAAAAALgIAAGRycy9l&#10;Mm9Eb2MueG1sUEsBAi0AFAAGAAgAAAAhAJ8KZHjhAAAACwEAAA8AAAAAAAAAAAAAAAAAugQAAGRy&#10;cy9kb3ducmV2LnhtbFBLBQYAAAAABAAEAPMAAADIBQAAAAA=&#10;" fillcolor="#3fb296" stroked="f" strokeweight="2pt"/>
          </w:pict>
        </mc:Fallback>
      </mc:AlternateContent>
    </w:r>
    <w:r>
      <w:t>Annex 11: EU Trust Funds</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rPr>
        <w:lang w:val="fr-BE" w:eastAsia="fr-BE"/>
      </w:rPr>
      <mc:AlternateContent>
        <mc:Choice Requires="wps">
          <w:drawing>
            <wp:anchor distT="0" distB="0" distL="114300" distR="114300" simplePos="0" relativeHeight="251815424" behindDoc="0" locked="0" layoutInCell="1" allowOverlap="1">
              <wp:simplePos x="0" y="0"/>
              <wp:positionH relativeFrom="page">
                <wp:posOffset>-3810</wp:posOffset>
              </wp:positionH>
              <wp:positionV relativeFrom="page">
                <wp:posOffset>0</wp:posOffset>
              </wp:positionV>
              <wp:extent cx="7621200" cy="212400"/>
              <wp:effectExtent l="0" t="0" r="0" b="0"/>
              <wp:wrapNone/>
              <wp:docPr id="30" name="Rectangle 3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8997C" id="Rectangle 30" o:spid="_x0000_s1026" style="position:absolute;margin-left:-.3pt;margin-top:0;width:600.1pt;height:16.7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8164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1" name="Rectangle 3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F26E9" id="Rectangle 31" o:spid="_x0000_s1026" style="position:absolute;margin-left:-3.7pt;margin-top:-116.05pt;width:8.85pt;height:37.1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BIZk5DXgIAALIEAAAOAAAAAAAAAAAAAAAAAC4CAABkcnMvZTJv&#10;RG9jLnhtbFBLAQItABQABgAIAAAAIQCfCmR44QAAAAsBAAAPAAAAAAAAAAAAAAAAALgEAABkcnMv&#10;ZG93bnJldi54bWxQSwUGAAAAAAQABADzAAAAxgUAAAAA&#10;" fillcolor="#3fb296" stroked="f" strokeweight="2pt"/>
          </w:pict>
        </mc:Fallback>
      </mc:AlternateContent>
    </w:r>
    <w:r>
      <w:t>ANNEXES</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rPr>
        <w:lang w:val="fr-BE" w:eastAsia="fr-BE"/>
      </w:rPr>
      <mc:AlternateContent>
        <mc:Choice Requires="wps">
          <w:drawing>
            <wp:anchor distT="0" distB="0" distL="114300" distR="114300" simplePos="0" relativeHeight="251717120" behindDoc="0" locked="0" layoutInCell="1" allowOverlap="1">
              <wp:simplePos x="0" y="0"/>
              <wp:positionH relativeFrom="page">
                <wp:posOffset>-3810</wp:posOffset>
              </wp:positionH>
              <wp:positionV relativeFrom="page">
                <wp:posOffset>0</wp:posOffset>
              </wp:positionV>
              <wp:extent cx="7621200" cy="212400"/>
              <wp:effectExtent l="0" t="0" r="0" b="0"/>
              <wp:wrapNone/>
              <wp:docPr id="7288" name="Rectangle 728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29FAA" id="Rectangle 7288" o:spid="_x0000_s1026" style="position:absolute;margin-left:-.3pt;margin-top:0;width:600.1pt;height:16.7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201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289" name="Rectangle 728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78E0E" id="Rectangle 7289" o:spid="_x0000_s1026" style="position:absolute;margin-left:-3.7pt;margin-top:-116.05pt;width:8.85pt;height:37.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EUY3tlgAgAAtgQAAA4AAAAAAAAAAAAAAAAALgIAAGRycy9l&#10;Mm9Eb2MueG1sUEsBAi0AFAAGAAgAAAAhAJ8KZHjhAAAACwEAAA8AAAAAAAAAAAAAAAAAugQAAGRy&#10;cy9kb3ducmV2LnhtbFBLBQYAAAAABAAEAPMAAADIBQAAAAA=&#10;" fillcolor="#3fb296" stroked="f" strokeweight="2pt"/>
          </w:pict>
        </mc:Fallback>
      </mc:AlternateContent>
    </w:r>
    <w:r>
      <w:t>Annual Management and Performance Report for the EU Budget – Financial year 2019</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723264" behindDoc="0" locked="0" layoutInCell="1" allowOverlap="1">
              <wp:simplePos x="0" y="0"/>
              <wp:positionH relativeFrom="page">
                <wp:posOffset>-3810</wp:posOffset>
              </wp:positionH>
              <wp:positionV relativeFrom="page">
                <wp:posOffset>0</wp:posOffset>
              </wp:positionV>
              <wp:extent cx="7621200" cy="212400"/>
              <wp:effectExtent l="0" t="0" r="0" b="0"/>
              <wp:wrapNone/>
              <wp:docPr id="7293" name="Rectangle 729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FCEE1" id="Rectangle 7293" o:spid="_x0000_s1026" style="position:absolute;margin-left:-.3pt;margin-top:0;width:600.1pt;height:16.7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HuTZ/R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263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294" name="Rectangle 729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CDEFB" id="Rectangle 7294" o:spid="_x0000_s1026" style="position:absolute;margin-left:-3.7pt;margin-top:-116.05pt;width:8.85pt;height:37.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LkwP4VgAgAAtgQAAA4AAAAAAAAAAAAAAAAALgIAAGRycy9l&#10;Mm9Eb2MueG1sUEsBAi0AFAAGAAgAAAAhAJ8KZHjhAAAACwEAAA8AAAAAAAAAAAAAAAAAugQAAGRy&#10;cy9kb3ducmV2LnhtbFBLBQYAAAAABAAEAPMAAADIBQAAAAA=&#10;" fillcolor="#3fb296" stroked="f" strokeweight="2pt"/>
          </w:pict>
        </mc:Fallback>
      </mc:AlternateContent>
    </w:r>
    <w:r>
      <w:t>Glossary</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710976" behindDoc="0" locked="0" layoutInCell="1" allowOverlap="1">
              <wp:simplePos x="0" y="0"/>
              <wp:positionH relativeFrom="page">
                <wp:posOffset>-3810</wp:posOffset>
              </wp:positionH>
              <wp:positionV relativeFrom="page">
                <wp:posOffset>0</wp:posOffset>
              </wp:positionV>
              <wp:extent cx="7621200" cy="212400"/>
              <wp:effectExtent l="0" t="0" r="0" b="0"/>
              <wp:wrapNone/>
              <wp:docPr id="7283" name="Rectangle 728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C768D" id="Rectangle 7283" o:spid="_x0000_s1026" style="position:absolute;margin-left:-.3pt;margin-top:0;width:600.1pt;height:16.7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FiSnRt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140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284" name="Rectangle 728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46FD3" id="Rectangle 7284" o:spid="_x0000_s1026" style="position:absolute;margin-left:-3.7pt;margin-top:-116.05pt;width:8.85pt;height:37.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ECF9FxgAgAAtgQAAA4AAAAAAAAAAAAAAAAALgIAAGRycy9l&#10;Mm9Eb2MueG1sUEsBAi0AFAAGAAgAAAAhAJ8KZHjhAAAACwEAAA8AAAAAAAAAAAAAAAAAugQAAGRy&#10;cy9kb3ducmV2LnhtbFBLBQYAAAAABAAEAPMAAADIBQAAAAA=&#10;" fillcolor="#3fb296" stroked="f" strokeweight="2pt"/>
          </w:pict>
        </mc:Fallback>
      </mc:AlternateContent>
    </w:r>
    <w:r>
      <w:t>Key terms</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Left"/>
    </w:pPr>
    <w:r>
      <w:rPr>
        <w:lang w:val="fr-BE" w:eastAsia="fr-BE"/>
      </w:rPr>
      <mc:AlternateContent>
        <mc:Choice Requires="wps">
          <w:drawing>
            <wp:anchor distT="0" distB="0" distL="114300" distR="114300" simplePos="0" relativeHeight="251787776" behindDoc="0" locked="0" layoutInCell="1" allowOverlap="1">
              <wp:simplePos x="0" y="0"/>
              <wp:positionH relativeFrom="page">
                <wp:posOffset>-3810</wp:posOffset>
              </wp:positionH>
              <wp:positionV relativeFrom="page">
                <wp:posOffset>0</wp:posOffset>
              </wp:positionV>
              <wp:extent cx="7621200" cy="212400"/>
              <wp:effectExtent l="0" t="0" r="0" b="0"/>
              <wp:wrapNone/>
              <wp:docPr id="7378" name="Rectangle 737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A6CEC" id="Rectangle 7378" o:spid="_x0000_s1026" style="position:absolute;margin-left:-.3pt;margin-top:0;width:600.1pt;height:16.7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IFTvpt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918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379" name="Rectangle 737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EC5D0" id="Rectangle 7379" o:spid="_x0000_s1026" style="position:absolute;margin-left:-3.7pt;margin-top:-116.05pt;width:8.85pt;height:37.1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OkqbwVgAgAAtgQAAA4AAAAAAAAAAAAAAAAALgIAAGRycy9l&#10;Mm9Eb2MueG1sUEsBAi0AFAAGAAgAAAAhAJ8KZHjhAAAACwEAAA8AAAAAAAAAAAAAAAAAugQAAGRy&#10;cy9kb3ducmV2LnhtbFBLBQYAAAAABAAEAPMAAADIBQAAAAA=&#10;" fillcolor="#3fb296" stroked="f" strokeweight="2pt"/>
          </w:pict>
        </mc:Fallback>
      </mc:AlternateContent>
    </w:r>
    <w:r>
      <w:t>Annual Management and Performance Report for the EU Budget – Financial year 2019</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779584" behindDoc="0" locked="0" layoutInCell="1" allowOverlap="1">
              <wp:simplePos x="0" y="0"/>
              <wp:positionH relativeFrom="page">
                <wp:posOffset>-3810</wp:posOffset>
              </wp:positionH>
              <wp:positionV relativeFrom="page">
                <wp:posOffset>0</wp:posOffset>
              </wp:positionV>
              <wp:extent cx="7621200" cy="212400"/>
              <wp:effectExtent l="0" t="0" r="0" b="0"/>
              <wp:wrapNone/>
              <wp:docPr id="7373" name="Rectangle 737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C9C41" id="Rectangle 7373" o:spid="_x0000_s1026" style="position:absolute;margin-left:-.3pt;margin-top:0;width:600.1pt;height:16.7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7836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374" name="Rectangle 737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BE8A5" id="Rectangle 7374" o:spid="_x0000_s1026" style="position:absolute;margin-left:-3.7pt;margin-top:-116.05pt;width:8.85pt;height:37.1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Oy3RYBgAgAAtgQAAA4AAAAAAAAAAAAAAAAALgIAAGRycy9l&#10;Mm9Eb2MueG1sUEsBAi0AFAAGAAgAAAAhAJ8KZHjhAAAACwEAAA8AAAAAAAAAAAAAAAAAugQAAGRy&#10;cy9kb3ducmV2LnhtbFBLBQYAAAAABAAEAPMAAADIBQAAAAA=&#10;" fillcolor="#3fb296" stroked="f" strokeweight="2pt"/>
          </w:pict>
        </mc:Fallback>
      </mc:AlternateContent>
    </w:r>
    <w:r>
      <w:t>Key terms</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rPr>
        <w:lang w:val="fr-BE" w:eastAsia="fr-BE"/>
      </w:rPr>
      <mc:AlternateContent>
        <mc:Choice Requires="wps">
          <w:drawing>
            <wp:anchor distT="0" distB="0" distL="114300" distR="114300" simplePos="0" relativeHeight="251819520" behindDoc="0" locked="0" layoutInCell="1" allowOverlap="1">
              <wp:simplePos x="0" y="0"/>
              <wp:positionH relativeFrom="page">
                <wp:posOffset>-3810</wp:posOffset>
              </wp:positionH>
              <wp:positionV relativeFrom="page">
                <wp:posOffset>0</wp:posOffset>
              </wp:positionV>
              <wp:extent cx="7621200" cy="212400"/>
              <wp:effectExtent l="0" t="0" r="0" b="0"/>
              <wp:wrapNone/>
              <wp:docPr id="224" name="Rectangle 22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D28C0" id="Rectangle 224" o:spid="_x0000_s1026" style="position:absolute;margin-left:-.3pt;margin-top:0;width:600.1pt;height:16.7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8225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5" name="Rectangle 22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3CD05" id="Rectangle 225" o:spid="_x0000_s1026" style="position:absolute;margin-left:-3.7pt;margin-top:-116.05pt;width:8.85pt;height:37.1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A9B8v5XgIAALQEAAAOAAAAAAAAAAAAAAAAAC4CAABkcnMvZTJv&#10;RG9jLnhtbFBLAQItABQABgAIAAAAIQCfCmR44QAAAAsBAAAPAAAAAAAAAAAAAAAAALgEAABkcnMv&#10;ZG93bnJldi54bWxQSwUGAAAAAAQABADzAAAAxgUAAAAA&#10;" fillcolor="#3fb296" stroked="f" strokeweight="2pt"/>
          </w:pict>
        </mc:Fallback>
      </mc:AlternateContent>
    </w:r>
    <w:r>
      <w:t>Key terms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D91061">
    <w:pPr>
      <w:pStyle w:val="AMPRHeader-Right"/>
    </w:pPr>
    <w:r>
      <w:t>Annex 3: Risk at payment/closure reported in the 2019 annual activity reports</w:t>
    </w:r>
    <w:r>
      <w:rPr>
        <w:lang w:eastAsia="en-GB"/>
      </w:rPr>
      <w:t xml:space="preserve"> </w:t>
    </w:r>
    <w:r>
      <w:rPr>
        <w:lang w:val="fr-BE" w:eastAsia="fr-BE"/>
      </w:rPr>
      <mc:AlternateContent>
        <mc:Choice Requires="wps">
          <w:drawing>
            <wp:anchor distT="0" distB="0" distL="114300" distR="114300" simplePos="0" relativeHeight="251616256" behindDoc="0" locked="0" layoutInCell="1" allowOverlap="1">
              <wp:simplePos x="0" y="0"/>
              <wp:positionH relativeFrom="page">
                <wp:posOffset>-3810</wp:posOffset>
              </wp:positionH>
              <wp:positionV relativeFrom="page">
                <wp:posOffset>0</wp:posOffset>
              </wp:positionV>
              <wp:extent cx="7621200" cy="212400"/>
              <wp:effectExtent l="0" t="0" r="0" b="0"/>
              <wp:wrapNone/>
              <wp:docPr id="13" name="Rectangle 1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D2C7A" id="Rectangle 13" o:spid="_x0000_s1026" style="position:absolute;margin-left:-.3pt;margin-top:0;width:600.1pt;height:16.7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" fillcolor="#4472c4 [3208]" stroked="f" strokeweight="2pt">
              <w10:wrap anchorx="page" anchory="page"/>
            </v:rect>
          </w:pict>
        </mc:Fallback>
      </mc:AlternateContent>
    </w:r>
    <w:r>
      <w:rPr>
        <w:lang w:val="fr-BE" w:eastAsia="fr-BE"/>
      </w:rPr>
      <mc:AlternateContent>
        <mc:Choice Requires="wps">
          <w:drawing>
            <wp:anchor distT="0" distB="0" distL="114300" distR="114300" simplePos="0" relativeHeight="2516367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6" name="Rectangle 1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82AA7" id="Rectangle 16" o:spid="_x0000_s1026" style="position:absolute;margin-left:-3.7pt;margin-top:-116.05pt;width:8.85pt;height:37.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DtbtRoXgIAALIEAAAOAAAAAAAAAAAAAAAAAC4CAABkcnMvZTJv&#10;RG9jLnhtbFBLAQItABQABgAIAAAAIQCfCmR44QAAAAsBAAAPAAAAAAAAAAAAAAAAALgEAABkcnMv&#10;ZG93bnJldi54bWxQSwUGAAAAAAQABADzAAAAxgUAAAAA&#10;" fillcolor="#3fb296" stroked="f" strokeweight="2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BB8" w:rsidRDefault="00311B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4612230"/>
    <w:multiLevelType w:val="multilevel"/>
    <w:tmpl w:val="5ECE5D4A"/>
    <w:styleLink w:val="AMPRLISTBlue"/>
    <w:lvl w:ilvl="0">
      <w:start w:val="1"/>
      <w:numFmt w:val="bullet"/>
      <w:pStyle w:val="AMPRListBlue-L1"/>
      <w:lvlText w:val=""/>
      <w:lvlJc w:val="left"/>
      <w:pPr>
        <w:ind w:left="717" w:hanging="360"/>
      </w:pPr>
      <w:rPr>
        <w:rFonts w:ascii="Symbol" w:hAnsi="Symbol" w:cs="Times New Roman" w:hint="default"/>
        <w:color w:val="4472C4" w:themeColor="accent5"/>
      </w:rPr>
    </w:lvl>
    <w:lvl w:ilvl="1">
      <w:start w:val="1"/>
      <w:numFmt w:val="bullet"/>
      <w:pStyle w:val="AMPRListBlue-L2"/>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3" w15:restartNumberingAfterBreak="0">
    <w:nsid w:val="0581652A"/>
    <w:multiLevelType w:val="multilevel"/>
    <w:tmpl w:val="0809001F"/>
    <w:styleLink w:val="Style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08AE24A6"/>
    <w:multiLevelType w:val="multilevel"/>
    <w:tmpl w:val="9AA422D2"/>
    <w:styleLink w:val="PPO2SpecificObjectivesBulletsLIST"/>
    <w:lvl w:ilvl="0">
      <w:start w:val="1"/>
      <w:numFmt w:val="bullet"/>
      <w:pStyle w:val="PPO2SpecificobjectivesBOX-BulletSpringGreen"/>
      <w:lvlText w:val=""/>
      <w:lvlJc w:val="left"/>
      <w:pPr>
        <w:ind w:left="340" w:hanging="227"/>
      </w:pPr>
      <w:rPr>
        <w:rFonts w:ascii="Symbol" w:hAnsi="Symbol" w:cs="Times New Roman" w:hint="default"/>
        <w:color w:val="9ACA3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5" w15:restartNumberingAfterBreak="0">
    <w:nsid w:val="0CAD0DC7"/>
    <w:multiLevelType w:val="hybridMultilevel"/>
    <w:tmpl w:val="9ED49A1A"/>
    <w:styleLink w:val="Style1"/>
    <w:lvl w:ilvl="0" w:tplc="824ABCD2">
      <w:start w:val="1"/>
      <w:numFmt w:val="decimal"/>
      <w:pStyle w:val="AARHintboxtitle"/>
      <w:lvlText w:val="%1."/>
      <w:lvlJc w:val="left"/>
      <w:pPr>
        <w:ind w:left="720" w:hanging="360"/>
      </w:pPr>
    </w:lvl>
    <w:lvl w:ilvl="1" w:tplc="80027478">
      <w:numFmt w:val="bullet"/>
      <w:lvlText w:val="-"/>
      <w:lvlJc w:val="left"/>
      <w:pPr>
        <w:ind w:left="1440" w:hanging="360"/>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BB1D06"/>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12A2BEC"/>
    <w:multiLevelType w:val="hybridMultilevel"/>
    <w:tmpl w:val="A13601F8"/>
    <w:lvl w:ilvl="0" w:tplc="F228B2E2">
      <w:start w:val="1"/>
      <w:numFmt w:val="bullet"/>
      <w:pStyle w:val="Box2BulletsBlueReport"/>
      <w:lvlText w:val=""/>
      <w:lvlJc w:val="left"/>
      <w:pPr>
        <w:ind w:left="720" w:hanging="360"/>
      </w:pPr>
      <w:rPr>
        <w:rFonts w:ascii="Symbol" w:hAnsi="Symbol" w:hint="default"/>
        <w:color w:val="A5A5A5"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510309"/>
    <w:multiLevelType w:val="hybridMultilevel"/>
    <w:tmpl w:val="A718B89A"/>
    <w:lvl w:ilvl="0" w:tplc="9F62DE8E">
      <w:start w:val="1"/>
      <w:numFmt w:val="bullet"/>
      <w:pStyle w:val="bulletsblue"/>
      <w:lvlText w:val=""/>
      <w:lvlJc w:val="left"/>
      <w:pPr>
        <w:ind w:left="720" w:hanging="360"/>
      </w:pPr>
      <w:rPr>
        <w:rFonts w:ascii="Symbol" w:hAnsi="Symbol" w:hint="default"/>
        <w:color w:val="E48C32"/>
      </w:rPr>
    </w:lvl>
    <w:lvl w:ilvl="1" w:tplc="86609C52">
      <w:start w:val="1"/>
      <w:numFmt w:val="bullet"/>
      <w:lvlText w:val="○"/>
      <w:lvlJc w:val="left"/>
      <w:pPr>
        <w:ind w:left="1440" w:hanging="360"/>
      </w:pPr>
      <w:rPr>
        <w:rFonts w:ascii="Courier New" w:hAnsi="Courier New" w:hint="default"/>
        <w:color w:val="E48C32"/>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65C7CE9"/>
    <w:multiLevelType w:val="multilevel"/>
    <w:tmpl w:val="191E1D4E"/>
    <w:styleLink w:val="PPO4SpecificObjectivesBulletsLIST"/>
    <w:lvl w:ilvl="0">
      <w:start w:val="1"/>
      <w:numFmt w:val="bullet"/>
      <w:pStyle w:val="PPO4SpecificobjectivesBOX-BulletLightBrown"/>
      <w:lvlText w:val=""/>
      <w:lvlJc w:val="left"/>
      <w:pPr>
        <w:ind w:left="340" w:hanging="227"/>
      </w:pPr>
      <w:rPr>
        <w:rFonts w:ascii="Symbol" w:hAnsi="Symbol" w:cs="Times New Roman" w:hint="default"/>
        <w:color w:val="F68A42"/>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10" w15:restartNumberingAfterBreak="0">
    <w:nsid w:val="16602544"/>
    <w:multiLevelType w:val="multilevel"/>
    <w:tmpl w:val="3586C530"/>
    <w:styleLink w:val="PPO1BSpecificObjectivesBulletsLIST"/>
    <w:lvl w:ilvl="0">
      <w:start w:val="1"/>
      <w:numFmt w:val="bullet"/>
      <w:pStyle w:val="PPO1BSpecificobjectivesBOX-BulletTurquoise"/>
      <w:lvlText w:val=""/>
      <w:lvlJc w:val="left"/>
      <w:pPr>
        <w:ind w:left="340" w:hanging="227"/>
      </w:pPr>
      <w:rPr>
        <w:rFonts w:ascii="Symbol" w:hAnsi="Symbol" w:cs="Times New Roman" w:hint="default"/>
        <w:color w:val="18BAA8"/>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11" w15:restartNumberingAfterBreak="0">
    <w:nsid w:val="1E1370D4"/>
    <w:multiLevelType w:val="multilevel"/>
    <w:tmpl w:val="F796E0CC"/>
    <w:lvl w:ilvl="0">
      <w:start w:val="1"/>
      <w:numFmt w:val="lowerLetter"/>
      <w:pStyle w:val="AMPRAnnexesList-Columnspecifications-L1"/>
      <w:lvlText w:val="(%1)"/>
      <w:lvlJc w:val="left"/>
      <w:pPr>
        <w:ind w:left="357" w:hanging="357"/>
      </w:pPr>
      <w:rPr>
        <w:rFonts w:hint="default"/>
      </w:rPr>
    </w:lvl>
    <w:lvl w:ilvl="1">
      <w:start w:val="1"/>
      <w:numFmt w:val="bullet"/>
      <w:pStyle w:val="AMPRAnnexesList-Columnspecifications-L2"/>
      <w:lvlText w:val=""/>
      <w:lvlJc w:val="left"/>
      <w:pPr>
        <w:ind w:left="714" w:hanging="357"/>
      </w:pPr>
      <w:rPr>
        <w:rFonts w:ascii="Symbol" w:hAnsi="Symbol" w:cs="Symbol" w:hint="default"/>
        <w:color w:val="F26A47"/>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2" w15:restartNumberingAfterBreak="0">
    <w:nsid w:val="1EE87120"/>
    <w:multiLevelType w:val="multilevel"/>
    <w:tmpl w:val="F4A887E6"/>
    <w:styleLink w:val="AMPRANNEXESLISTColumnSpecifications"/>
    <w:lvl w:ilvl="0">
      <w:start w:val="1"/>
      <w:numFmt w:val="lowerLetter"/>
      <w:lvlText w:val="(%1)"/>
      <w:lvlJc w:val="left"/>
      <w:pPr>
        <w:ind w:left="357" w:hanging="357"/>
      </w:pPr>
      <w:rPr>
        <w:rFonts w:hint="default"/>
      </w:rPr>
    </w:lvl>
    <w:lvl w:ilvl="1">
      <w:start w:val="1"/>
      <w:numFmt w:val="bullet"/>
      <w:lvlText w:val=""/>
      <w:lvlJc w:val="left"/>
      <w:pPr>
        <w:ind w:left="714" w:hanging="357"/>
      </w:pPr>
      <w:rPr>
        <w:rFonts w:ascii="Symbol" w:hAnsi="Symbol" w:cs="Symbol" w:hint="default"/>
        <w:color w:val="F26A47"/>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3" w15:restartNumberingAfterBreak="0">
    <w:nsid w:val="1F5E1D64"/>
    <w:multiLevelType w:val="multilevel"/>
    <w:tmpl w:val="F7E6CECC"/>
    <w:lvl w:ilvl="0">
      <w:start w:val="1"/>
      <w:numFmt w:val="decimal"/>
      <w:lvlText w:val="%1."/>
      <w:lvlJc w:val="left"/>
      <w:pPr>
        <w:tabs>
          <w:tab w:val="num" w:pos="360"/>
        </w:tabs>
        <w:ind w:left="0" w:firstLine="0"/>
      </w:pPr>
      <w:rPr>
        <w:rFonts w:hint="default"/>
      </w:rPr>
    </w:lvl>
    <w:lvl w:ilvl="1">
      <w:start w:val="9"/>
      <w:numFmt w:val="decimal"/>
      <w:pStyle w:val="Para2"/>
      <w:lvlText w:val="%1.%2."/>
      <w:lvlJc w:val="left"/>
      <w:pPr>
        <w:tabs>
          <w:tab w:val="num" w:pos="720"/>
        </w:tabs>
        <w:ind w:left="0" w:firstLine="0"/>
      </w:pPr>
      <w:rPr>
        <w:rFonts w:hint="default"/>
      </w:rPr>
    </w:lvl>
    <w:lvl w:ilvl="2">
      <w:start w:val="1"/>
      <w:numFmt w:val="decimal"/>
      <w:pStyle w:val="Para3"/>
      <w:lvlText w:val="%1.%2.%3."/>
      <w:lvlJc w:val="left"/>
      <w:pPr>
        <w:tabs>
          <w:tab w:val="num" w:pos="720"/>
        </w:tabs>
        <w:ind w:left="0" w:firstLine="0"/>
      </w:pPr>
      <w:rPr>
        <w:rFonts w:hint="default"/>
      </w:rPr>
    </w:lvl>
    <w:lvl w:ilvl="3">
      <w:start w:val="1"/>
      <w:numFmt w:val="lowerLetter"/>
      <w:pStyle w:val="Para4"/>
      <w:lvlText w:val="(%4)"/>
      <w:lvlJc w:val="left"/>
      <w:pPr>
        <w:tabs>
          <w:tab w:val="num" w:pos="454"/>
        </w:tabs>
        <w:ind w:left="454" w:hanging="454"/>
      </w:pPr>
      <w:rPr>
        <w:rFonts w:hint="default"/>
      </w:rPr>
    </w:lvl>
    <w:lvl w:ilvl="4">
      <w:start w:val="1"/>
      <w:numFmt w:val="lowerRoman"/>
      <w:pStyle w:val="Para5"/>
      <w:lvlText w:val="(%5)"/>
      <w:lvlJc w:val="left"/>
      <w:pPr>
        <w:tabs>
          <w:tab w:val="num" w:pos="1174"/>
        </w:tabs>
        <w:ind w:left="851" w:hanging="39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14" w15:restartNumberingAfterBreak="0">
    <w:nsid w:val="1FCA407E"/>
    <w:multiLevelType w:val="multilevel"/>
    <w:tmpl w:val="86D2A4D6"/>
    <w:styleLink w:val="AMPRLISTOrange"/>
    <w:lvl w:ilvl="0">
      <w:start w:val="1"/>
      <w:numFmt w:val="bullet"/>
      <w:pStyle w:val="AMPRListOrange-L1"/>
      <w:lvlText w:val=""/>
      <w:lvlJc w:val="left"/>
      <w:pPr>
        <w:ind w:left="714" w:hanging="357"/>
      </w:pPr>
      <w:rPr>
        <w:rFonts w:ascii="Symbol" w:hAnsi="Symbol" w:cs="Times New Roman" w:hint="default"/>
        <w:color w:val="F26A47"/>
      </w:rPr>
    </w:lvl>
    <w:lvl w:ilvl="1">
      <w:start w:val="1"/>
      <w:numFmt w:val="bullet"/>
      <w:pStyle w:val="AMPRListOrange-L2"/>
      <w:lvlText w:val="—"/>
      <w:lvlJc w:val="left"/>
      <w:pPr>
        <w:tabs>
          <w:tab w:val="num" w:pos="1077"/>
        </w:tabs>
        <w:ind w:left="1434" w:hanging="357"/>
      </w:pPr>
      <w:rPr>
        <w:rFonts w:ascii="EC Square Sans Pro" w:hAnsi="EC Square Sans Pro" w:cs="Courier New" w:hint="default"/>
        <w:color w:val="F26A47"/>
      </w:rPr>
    </w:lvl>
    <w:lvl w:ilvl="2">
      <w:start w:val="1"/>
      <w:numFmt w:val="bullet"/>
      <w:lvlText w:val=""/>
      <w:lvlJc w:val="left"/>
      <w:pPr>
        <w:ind w:left="2154" w:hanging="357"/>
      </w:pPr>
      <w:rPr>
        <w:rFonts w:ascii="Wingdings" w:hAnsi="Wingdings" w:cs="Times New Roman" w:hint="default"/>
        <w:color w:val="F26A47"/>
      </w:rPr>
    </w:lvl>
    <w:lvl w:ilvl="3">
      <w:start w:val="1"/>
      <w:numFmt w:val="bullet"/>
      <w:lvlText w:val=""/>
      <w:lvlJc w:val="left"/>
      <w:pPr>
        <w:ind w:left="2874" w:hanging="357"/>
      </w:pPr>
      <w:rPr>
        <w:rFonts w:ascii="Symbol" w:hAnsi="Symbol" w:cs="Times New Roman" w:hint="default"/>
        <w:color w:val="F26A47"/>
      </w:rPr>
    </w:lvl>
    <w:lvl w:ilvl="4">
      <w:start w:val="1"/>
      <w:numFmt w:val="bullet"/>
      <w:lvlText w:val="o"/>
      <w:lvlJc w:val="left"/>
      <w:pPr>
        <w:ind w:left="3594" w:hanging="357"/>
      </w:pPr>
      <w:rPr>
        <w:rFonts w:ascii="Courier New" w:hAnsi="Courier New" w:cs="Courier New" w:hint="default"/>
        <w:color w:val="F26A47"/>
      </w:rPr>
    </w:lvl>
    <w:lvl w:ilvl="5">
      <w:start w:val="1"/>
      <w:numFmt w:val="bullet"/>
      <w:lvlText w:val=""/>
      <w:lvlJc w:val="left"/>
      <w:pPr>
        <w:ind w:left="4314" w:hanging="357"/>
      </w:pPr>
      <w:rPr>
        <w:rFonts w:ascii="Wingdings" w:hAnsi="Wingdings" w:cs="Times New Roman" w:hint="default"/>
        <w:color w:val="F26A47"/>
      </w:rPr>
    </w:lvl>
    <w:lvl w:ilvl="6">
      <w:start w:val="1"/>
      <w:numFmt w:val="bullet"/>
      <w:lvlText w:val=""/>
      <w:lvlJc w:val="left"/>
      <w:pPr>
        <w:ind w:left="5034" w:hanging="357"/>
      </w:pPr>
      <w:rPr>
        <w:rFonts w:ascii="Symbol" w:hAnsi="Symbol" w:cs="Symbol" w:hint="default"/>
        <w:color w:val="F26A47"/>
      </w:rPr>
    </w:lvl>
    <w:lvl w:ilvl="7">
      <w:start w:val="1"/>
      <w:numFmt w:val="bullet"/>
      <w:lvlText w:val="o"/>
      <w:lvlJc w:val="left"/>
      <w:pPr>
        <w:ind w:left="5754" w:hanging="357"/>
      </w:pPr>
      <w:rPr>
        <w:rFonts w:ascii="Courier New" w:hAnsi="Courier New" w:cs="Courier New" w:hint="default"/>
        <w:color w:val="F26A47"/>
      </w:rPr>
    </w:lvl>
    <w:lvl w:ilvl="8">
      <w:start w:val="1"/>
      <w:numFmt w:val="bullet"/>
      <w:lvlText w:val=""/>
      <w:lvlJc w:val="left"/>
      <w:pPr>
        <w:ind w:left="6474" w:hanging="357"/>
      </w:pPr>
      <w:rPr>
        <w:rFonts w:ascii="Wingdings" w:hAnsi="Wingdings" w:cs="Wingdings" w:hint="default"/>
        <w:color w:val="F26A47"/>
      </w:rPr>
    </w:lvl>
  </w:abstractNum>
  <w:abstractNum w:abstractNumId="15" w15:restartNumberingAfterBreak="0">
    <w:nsid w:val="23923E8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397091A"/>
    <w:multiLevelType w:val="multilevel"/>
    <w:tmpl w:val="E8A246D2"/>
    <w:styleLink w:val="AMPRLIST-SEC2-Headings"/>
    <w:lvl w:ilvl="0">
      <w:start w:val="1"/>
      <w:numFmt w:val="decimal"/>
      <w:pStyle w:val="AMPRSec2TITLE2-numbered"/>
      <w:lvlText w:val="2.%1."/>
      <w:lvlJc w:val="left"/>
      <w:pPr>
        <w:ind w:left="1276" w:hanging="1276"/>
      </w:pPr>
      <w:rPr>
        <w:rFonts w:hint="default"/>
      </w:rPr>
    </w:lvl>
    <w:lvl w:ilvl="1">
      <w:start w:val="1"/>
      <w:numFmt w:val="decimal"/>
      <w:pStyle w:val="AMPRSec2TITLE3-numbered"/>
      <w:lvlText w:val="2.%1.%2."/>
      <w:lvlJc w:val="left"/>
      <w:pPr>
        <w:ind w:left="1276" w:hanging="1276"/>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3E11927"/>
    <w:multiLevelType w:val="multilevel"/>
    <w:tmpl w:val="AEC40D6E"/>
    <w:styleLink w:val="PPO1ASpecificObjectivesBulletsLIST"/>
    <w:lvl w:ilvl="0">
      <w:start w:val="1"/>
      <w:numFmt w:val="bullet"/>
      <w:pStyle w:val="PPO1ASpecificobjectivesBOX-BulletLightBlue"/>
      <w:lvlText w:val=""/>
      <w:lvlJc w:val="left"/>
      <w:pPr>
        <w:ind w:left="340" w:hanging="227"/>
      </w:pPr>
      <w:rPr>
        <w:rFonts w:ascii="Symbol" w:hAnsi="Symbol" w:cs="Times New Roman" w:hint="default"/>
        <w:color w:val="00ADD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18" w15:restartNumberingAfterBreak="0">
    <w:nsid w:val="24603CF3"/>
    <w:multiLevelType w:val="hybridMultilevel"/>
    <w:tmpl w:val="881AD5D2"/>
    <w:lvl w:ilvl="0" w:tplc="A484DD54">
      <w:numFmt w:val="bullet"/>
      <w:lvlText w:val="•"/>
      <w:lvlJc w:val="left"/>
      <w:pPr>
        <w:ind w:left="720" w:hanging="360"/>
      </w:pPr>
      <w:rPr>
        <w:rFonts w:ascii="EC Square Sans Pro" w:eastAsia="EC Square Sans Pro" w:hAnsi="EC Square Sans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80631B"/>
    <w:multiLevelType w:val="multilevel"/>
    <w:tmpl w:val="6F14F578"/>
    <w:styleLink w:val="PPOLISTBlackNumbersinbrackets"/>
    <w:lvl w:ilvl="0">
      <w:start w:val="1"/>
      <w:numFmt w:val="decimal"/>
      <w:pStyle w:val="PPOBlackNumberinBracketsLIST-L1"/>
      <w:lvlText w:val="(%1)"/>
      <w:lvlJc w:val="left"/>
      <w:pPr>
        <w:tabs>
          <w:tab w:val="num" w:pos="720"/>
        </w:tabs>
        <w:ind w:left="1077" w:hanging="357"/>
      </w:pPr>
      <w:rPr>
        <w:rFonts w:hint="default"/>
      </w:rPr>
    </w:lvl>
    <w:lvl w:ilvl="1">
      <w:start w:val="1"/>
      <w:numFmt w:val="lowerLetter"/>
      <w:lvlText w:val="%2)"/>
      <w:lvlJc w:val="left"/>
      <w:pPr>
        <w:tabs>
          <w:tab w:val="num" w:pos="1083"/>
        </w:tabs>
        <w:ind w:left="1440" w:hanging="357"/>
      </w:pPr>
      <w:rPr>
        <w:rFonts w:hint="default"/>
      </w:rPr>
    </w:lvl>
    <w:lvl w:ilvl="2">
      <w:start w:val="1"/>
      <w:numFmt w:val="lowerRoman"/>
      <w:lvlText w:val="%3)"/>
      <w:lvlJc w:val="left"/>
      <w:pPr>
        <w:tabs>
          <w:tab w:val="num" w:pos="1446"/>
        </w:tabs>
        <w:ind w:left="1803" w:hanging="357"/>
      </w:pPr>
      <w:rPr>
        <w:rFonts w:hint="default"/>
      </w:rPr>
    </w:lvl>
    <w:lvl w:ilvl="3">
      <w:start w:val="1"/>
      <w:numFmt w:val="decimal"/>
      <w:lvlText w:val="(%4)"/>
      <w:lvlJc w:val="left"/>
      <w:pPr>
        <w:tabs>
          <w:tab w:val="num" w:pos="1809"/>
        </w:tabs>
        <w:ind w:left="2166" w:hanging="357"/>
      </w:pPr>
      <w:rPr>
        <w:rFonts w:hint="default"/>
      </w:rPr>
    </w:lvl>
    <w:lvl w:ilvl="4">
      <w:start w:val="1"/>
      <w:numFmt w:val="lowerLetter"/>
      <w:lvlText w:val="(%5)"/>
      <w:lvlJc w:val="left"/>
      <w:pPr>
        <w:tabs>
          <w:tab w:val="num" w:pos="2172"/>
        </w:tabs>
        <w:ind w:left="2529" w:hanging="357"/>
      </w:pPr>
      <w:rPr>
        <w:rFonts w:hint="default"/>
      </w:rPr>
    </w:lvl>
    <w:lvl w:ilvl="5">
      <w:start w:val="1"/>
      <w:numFmt w:val="lowerRoman"/>
      <w:lvlText w:val="(%6)"/>
      <w:lvlJc w:val="left"/>
      <w:pPr>
        <w:tabs>
          <w:tab w:val="num" w:pos="2535"/>
        </w:tabs>
        <w:ind w:left="2892" w:hanging="357"/>
      </w:pPr>
      <w:rPr>
        <w:rFonts w:hint="default"/>
      </w:rPr>
    </w:lvl>
    <w:lvl w:ilvl="6">
      <w:start w:val="1"/>
      <w:numFmt w:val="decimal"/>
      <w:lvlText w:val="%7."/>
      <w:lvlJc w:val="left"/>
      <w:pPr>
        <w:tabs>
          <w:tab w:val="num" w:pos="2898"/>
        </w:tabs>
        <w:ind w:left="3255" w:hanging="357"/>
      </w:pPr>
      <w:rPr>
        <w:rFonts w:hint="default"/>
      </w:rPr>
    </w:lvl>
    <w:lvl w:ilvl="7">
      <w:start w:val="1"/>
      <w:numFmt w:val="lowerLetter"/>
      <w:lvlText w:val="%8."/>
      <w:lvlJc w:val="left"/>
      <w:pPr>
        <w:tabs>
          <w:tab w:val="num" w:pos="3261"/>
        </w:tabs>
        <w:ind w:left="3618" w:hanging="357"/>
      </w:pPr>
      <w:rPr>
        <w:rFonts w:hint="default"/>
      </w:rPr>
    </w:lvl>
    <w:lvl w:ilvl="8">
      <w:start w:val="1"/>
      <w:numFmt w:val="lowerRoman"/>
      <w:lvlText w:val="%9."/>
      <w:lvlJc w:val="left"/>
      <w:pPr>
        <w:tabs>
          <w:tab w:val="num" w:pos="3624"/>
        </w:tabs>
        <w:ind w:left="3981" w:hanging="357"/>
      </w:pPr>
      <w:rPr>
        <w:rFonts w:hint="default"/>
      </w:rPr>
    </w:lvl>
  </w:abstractNum>
  <w:abstractNum w:abstractNumId="20"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1"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D973EAA"/>
    <w:multiLevelType w:val="hybridMultilevel"/>
    <w:tmpl w:val="85A0B4DC"/>
    <w:lvl w:ilvl="0" w:tplc="6FEC0D58">
      <w:start w:val="1"/>
      <w:numFmt w:val="bullet"/>
      <w:lvlText w:val=""/>
      <w:lvlJc w:val="left"/>
      <w:pPr>
        <w:ind w:left="720" w:hanging="360"/>
      </w:pPr>
      <w:rPr>
        <w:rFonts w:ascii="Symbol" w:hAnsi="Symbol" w:hint="default"/>
        <w:color w:val="E48C3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855663"/>
    <w:multiLevelType w:val="hybridMultilevel"/>
    <w:tmpl w:val="86E0AE50"/>
    <w:lvl w:ilvl="0" w:tplc="080C0001">
      <w:start w:val="1"/>
      <w:numFmt w:val="bullet"/>
      <w:pStyle w:val="AMPRtableBOXA-bgWHITElnORANGE-BLUE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304450D8"/>
    <w:multiLevelType w:val="multilevel"/>
    <w:tmpl w:val="346EE1F8"/>
    <w:styleLink w:val="PPO3SpecificObjectivesBulletsLIST"/>
    <w:lvl w:ilvl="0">
      <w:start w:val="1"/>
      <w:numFmt w:val="bullet"/>
      <w:pStyle w:val="PPO3SpecificobjectivesBOX-BulletPurple"/>
      <w:lvlText w:val=""/>
      <w:lvlJc w:val="left"/>
      <w:pPr>
        <w:ind w:left="340" w:hanging="227"/>
      </w:pPr>
      <w:rPr>
        <w:rFonts w:ascii="Symbol" w:hAnsi="Symbol" w:cs="Times New Roman" w:hint="default"/>
        <w:color w:val="585E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25" w15:restartNumberingAfterBreak="0">
    <w:nsid w:val="32A5277F"/>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339803C9"/>
    <w:multiLevelType w:val="multilevel"/>
    <w:tmpl w:val="B96E5C80"/>
    <w:styleLink w:val="PPOLISTBlackBULLETS"/>
    <w:lvl w:ilvl="0">
      <w:start w:val="1"/>
      <w:numFmt w:val="bullet"/>
      <w:lvlText w:val=""/>
      <w:lvlJc w:val="left"/>
      <w:pPr>
        <w:ind w:left="499" w:hanging="357"/>
      </w:pPr>
      <w:rPr>
        <w:rFonts w:ascii="Symbol" w:hAnsi="Symbol" w:cs="Times New Roman" w:hint="default"/>
      </w:rPr>
    </w:lvl>
    <w:lvl w:ilvl="1">
      <w:start w:val="1"/>
      <w:numFmt w:val="bullet"/>
      <w:lvlText w:val="o"/>
      <w:lvlJc w:val="left"/>
      <w:pPr>
        <w:ind w:left="1077" w:hanging="357"/>
      </w:pPr>
      <w:rPr>
        <w:rFonts w:ascii="Courier New" w:hAnsi="Courier New" w:cs="Courier New" w:hint="default"/>
      </w:rPr>
    </w:lvl>
    <w:lvl w:ilvl="2">
      <w:start w:val="1"/>
      <w:numFmt w:val="bullet"/>
      <w:lvlText w:val=""/>
      <w:lvlJc w:val="left"/>
      <w:pPr>
        <w:ind w:left="1656" w:hanging="358"/>
      </w:pPr>
      <w:rPr>
        <w:rFonts w:ascii="Wingdings" w:hAnsi="Wingdings" w:cs="Times New Roman" w:hint="default"/>
      </w:rPr>
    </w:lvl>
    <w:lvl w:ilvl="3">
      <w:start w:val="1"/>
      <w:numFmt w:val="bullet"/>
      <w:lvlText w:val=""/>
      <w:lvlJc w:val="left"/>
      <w:pPr>
        <w:ind w:left="2234" w:hanging="357"/>
      </w:pPr>
      <w:rPr>
        <w:rFonts w:ascii="Symbol" w:hAnsi="Symbol" w:cs="Times New Roman" w:hint="default"/>
      </w:rPr>
    </w:lvl>
    <w:lvl w:ilvl="4">
      <w:start w:val="1"/>
      <w:numFmt w:val="bullet"/>
      <w:lvlText w:val="o"/>
      <w:lvlJc w:val="left"/>
      <w:pPr>
        <w:ind w:left="2812" w:hanging="357"/>
      </w:pPr>
      <w:rPr>
        <w:rFonts w:ascii="Courier New" w:hAnsi="Courier New" w:cs="Courier New" w:hint="default"/>
      </w:rPr>
    </w:lvl>
    <w:lvl w:ilvl="5">
      <w:start w:val="1"/>
      <w:numFmt w:val="bullet"/>
      <w:lvlText w:val=""/>
      <w:lvlJc w:val="left"/>
      <w:pPr>
        <w:ind w:left="3391" w:hanging="358"/>
      </w:pPr>
      <w:rPr>
        <w:rFonts w:ascii="Wingdings" w:hAnsi="Wingdings" w:cs="Times New Roman" w:hint="default"/>
      </w:rPr>
    </w:lvl>
    <w:lvl w:ilvl="6">
      <w:start w:val="1"/>
      <w:numFmt w:val="bullet"/>
      <w:lvlText w:val=""/>
      <w:lvlJc w:val="left"/>
      <w:pPr>
        <w:ind w:left="5182" w:hanging="360"/>
      </w:pPr>
      <w:rPr>
        <w:rFonts w:ascii="Symbol" w:hAnsi="Symbol" w:cs="Times New Roman"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Times New Roman" w:hint="default"/>
      </w:rPr>
    </w:lvl>
  </w:abstractNum>
  <w:abstractNum w:abstractNumId="27" w15:restartNumberingAfterBreak="0">
    <w:nsid w:val="33B86435"/>
    <w:multiLevelType w:val="multilevel"/>
    <w:tmpl w:val="E714809C"/>
    <w:styleLink w:val="AMPRLISTa"/>
    <w:lvl w:ilvl="0">
      <w:start w:val="1"/>
      <w:numFmt w:val="lowerLetter"/>
      <w:pStyle w:val="AMPRLista-L1"/>
      <w:lvlText w:val="(%1)"/>
      <w:lvlJc w:val="left"/>
      <w:pPr>
        <w:ind w:left="714" w:hanging="357"/>
      </w:pPr>
      <w:rPr>
        <w:rFonts w:hint="default"/>
      </w:rPr>
    </w:lvl>
    <w:lvl w:ilvl="1">
      <w:start w:val="1"/>
      <w:numFmt w:val="bullet"/>
      <w:lvlText w:val=""/>
      <w:lvlJc w:val="left"/>
      <w:pPr>
        <w:ind w:left="1071" w:hanging="357"/>
      </w:pPr>
      <w:rPr>
        <w:rFonts w:ascii="Symbol" w:hAnsi="Symbol" w:cs="Symbol" w:hint="default"/>
        <w:color w:val="4472C4" w:themeColor="accent5"/>
      </w:rPr>
    </w:lvl>
    <w:lvl w:ilvl="2">
      <w:start w:val="1"/>
      <w:numFmt w:val="bullet"/>
      <w:lvlText w:val="o"/>
      <w:lvlJc w:val="left"/>
      <w:pPr>
        <w:ind w:left="1428" w:hanging="357"/>
      </w:pPr>
      <w:rPr>
        <w:rFonts w:ascii="Courier New" w:hAnsi="Courier New" w:cs="Courier New" w:hint="default"/>
        <w:color w:val="4472C4" w:themeColor="accent5"/>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righ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right"/>
      <w:pPr>
        <w:ind w:left="3570" w:hanging="357"/>
      </w:pPr>
      <w:rPr>
        <w:rFonts w:hint="default"/>
      </w:rPr>
    </w:lvl>
  </w:abstractNum>
  <w:abstractNum w:abstractNumId="28"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9"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59A0316"/>
    <w:multiLevelType w:val="hybridMultilevel"/>
    <w:tmpl w:val="BD5CE308"/>
    <w:lvl w:ilvl="0" w:tplc="FFFFFFFF">
      <w:start w:val="1"/>
      <w:numFmt w:val="bullet"/>
      <w:pStyle w:val="ADPPuce1"/>
      <w:lvlText w:val=""/>
      <w:lvlJc w:val="left"/>
      <w:pPr>
        <w:tabs>
          <w:tab w:val="num" w:pos="1080"/>
        </w:tabs>
        <w:ind w:left="1060" w:hanging="340"/>
      </w:pPr>
      <w:rPr>
        <w:rFonts w:ascii="Symbol" w:hAnsi="Symbol" w:hint="default"/>
        <w:color w:val="000080"/>
      </w:rPr>
    </w:lvl>
    <w:lvl w:ilvl="1" w:tplc="FFFFFFFF">
      <w:numFmt w:val="bullet"/>
      <w:lvlText w:val="-"/>
      <w:lvlJc w:val="left"/>
      <w:pPr>
        <w:tabs>
          <w:tab w:val="num" w:pos="1083"/>
        </w:tabs>
        <w:ind w:left="1083" w:hanging="360"/>
      </w:pPr>
      <w:rPr>
        <w:rFonts w:ascii="Times New Roman" w:eastAsia="Times New Roman" w:hAnsi="Times New Roman" w:cs="Times New Roman" w:hint="default"/>
      </w:rPr>
    </w:lvl>
    <w:lvl w:ilvl="2" w:tplc="FFFFFFFF" w:tentative="1">
      <w:start w:val="1"/>
      <w:numFmt w:val="bullet"/>
      <w:lvlText w:val=""/>
      <w:lvlJc w:val="left"/>
      <w:pPr>
        <w:tabs>
          <w:tab w:val="num" w:pos="1803"/>
        </w:tabs>
        <w:ind w:left="1803" w:hanging="360"/>
      </w:pPr>
      <w:rPr>
        <w:rFonts w:ascii="Wingdings" w:hAnsi="Wingdings" w:hint="default"/>
      </w:rPr>
    </w:lvl>
    <w:lvl w:ilvl="3" w:tplc="FFFFFFFF" w:tentative="1">
      <w:start w:val="1"/>
      <w:numFmt w:val="bullet"/>
      <w:lvlText w:val=""/>
      <w:lvlJc w:val="left"/>
      <w:pPr>
        <w:tabs>
          <w:tab w:val="num" w:pos="2523"/>
        </w:tabs>
        <w:ind w:left="2523" w:hanging="360"/>
      </w:pPr>
      <w:rPr>
        <w:rFonts w:ascii="Symbol" w:hAnsi="Symbol" w:hint="default"/>
      </w:rPr>
    </w:lvl>
    <w:lvl w:ilvl="4" w:tplc="FFFFFFFF" w:tentative="1">
      <w:start w:val="1"/>
      <w:numFmt w:val="bullet"/>
      <w:lvlText w:val="o"/>
      <w:lvlJc w:val="left"/>
      <w:pPr>
        <w:tabs>
          <w:tab w:val="num" w:pos="3243"/>
        </w:tabs>
        <w:ind w:left="3243" w:hanging="360"/>
      </w:pPr>
      <w:rPr>
        <w:rFonts w:ascii="Courier New" w:hAnsi="Courier New" w:hint="default"/>
      </w:rPr>
    </w:lvl>
    <w:lvl w:ilvl="5" w:tplc="FFFFFFFF" w:tentative="1">
      <w:start w:val="1"/>
      <w:numFmt w:val="bullet"/>
      <w:lvlText w:val=""/>
      <w:lvlJc w:val="left"/>
      <w:pPr>
        <w:tabs>
          <w:tab w:val="num" w:pos="3963"/>
        </w:tabs>
        <w:ind w:left="3963" w:hanging="360"/>
      </w:pPr>
      <w:rPr>
        <w:rFonts w:ascii="Wingdings" w:hAnsi="Wingdings" w:hint="default"/>
      </w:rPr>
    </w:lvl>
    <w:lvl w:ilvl="6" w:tplc="FFFFFFFF" w:tentative="1">
      <w:start w:val="1"/>
      <w:numFmt w:val="bullet"/>
      <w:lvlText w:val=""/>
      <w:lvlJc w:val="left"/>
      <w:pPr>
        <w:tabs>
          <w:tab w:val="num" w:pos="4683"/>
        </w:tabs>
        <w:ind w:left="4683" w:hanging="360"/>
      </w:pPr>
      <w:rPr>
        <w:rFonts w:ascii="Symbol" w:hAnsi="Symbol" w:hint="default"/>
      </w:rPr>
    </w:lvl>
    <w:lvl w:ilvl="7" w:tplc="FFFFFFFF" w:tentative="1">
      <w:start w:val="1"/>
      <w:numFmt w:val="bullet"/>
      <w:lvlText w:val="o"/>
      <w:lvlJc w:val="left"/>
      <w:pPr>
        <w:tabs>
          <w:tab w:val="num" w:pos="5403"/>
        </w:tabs>
        <w:ind w:left="5403" w:hanging="360"/>
      </w:pPr>
      <w:rPr>
        <w:rFonts w:ascii="Courier New" w:hAnsi="Courier New" w:hint="default"/>
      </w:rPr>
    </w:lvl>
    <w:lvl w:ilvl="8" w:tplc="FFFFFFFF" w:tentative="1">
      <w:start w:val="1"/>
      <w:numFmt w:val="bullet"/>
      <w:lvlText w:val=""/>
      <w:lvlJc w:val="left"/>
      <w:pPr>
        <w:tabs>
          <w:tab w:val="num" w:pos="6123"/>
        </w:tabs>
        <w:ind w:left="6123" w:hanging="360"/>
      </w:pPr>
      <w:rPr>
        <w:rFonts w:ascii="Wingdings" w:hAnsi="Wingdings" w:hint="default"/>
      </w:rPr>
    </w:lvl>
  </w:abstractNum>
  <w:abstractNum w:abstractNumId="31" w15:restartNumberingAfterBreak="0">
    <w:nsid w:val="375D2D73"/>
    <w:multiLevelType w:val="multilevel"/>
    <w:tmpl w:val="FBAC837C"/>
    <w:styleLink w:val="AMPRLIST-Annexes-Headings"/>
    <w:lvl w:ilvl="0">
      <w:start w:val="1"/>
      <w:numFmt w:val="decimal"/>
      <w:pStyle w:val="AMPRAnnexesTITLE3-Numbered"/>
      <w:lvlText w:val="%1."/>
      <w:lvlJc w:val="left"/>
      <w:pPr>
        <w:ind w:left="663" w:hanging="663"/>
      </w:pPr>
      <w:rPr>
        <w:rFonts w:hint="default"/>
      </w:rPr>
    </w:lvl>
    <w:lvl w:ilvl="1">
      <w:start w:val="1"/>
      <w:numFmt w:val="decimal"/>
      <w:pStyle w:val="AMPRAnnexesTITLE4-Numbered"/>
      <w:lvlText w:val="%1.%2."/>
      <w:lvlJc w:val="left"/>
      <w:pPr>
        <w:tabs>
          <w:tab w:val="num" w:pos="1400"/>
        </w:tabs>
        <w:ind w:left="1400" w:hanging="737"/>
      </w:pPr>
      <w:rPr>
        <w:rFonts w:hint="default"/>
        <w:color w:val="F68A42"/>
      </w:rPr>
    </w:lvl>
    <w:lvl w:ilvl="2">
      <w:start w:val="1"/>
      <w:numFmt w:val="lowerRoman"/>
      <w:lvlText w:val="%3."/>
      <w:lvlJc w:val="right"/>
      <w:pPr>
        <w:ind w:left="1989" w:hanging="663"/>
      </w:pPr>
      <w:rPr>
        <w:rFonts w:hint="default"/>
      </w:rPr>
    </w:lvl>
    <w:lvl w:ilvl="3">
      <w:start w:val="1"/>
      <w:numFmt w:val="decimal"/>
      <w:lvlText w:val="%4."/>
      <w:lvlJc w:val="left"/>
      <w:pPr>
        <w:ind w:left="2652" w:hanging="663"/>
      </w:pPr>
      <w:rPr>
        <w:rFonts w:hint="default"/>
      </w:rPr>
    </w:lvl>
    <w:lvl w:ilvl="4">
      <w:start w:val="1"/>
      <w:numFmt w:val="lowerLetter"/>
      <w:lvlText w:val="%5."/>
      <w:lvlJc w:val="left"/>
      <w:pPr>
        <w:ind w:left="3315" w:hanging="663"/>
      </w:pPr>
      <w:rPr>
        <w:rFonts w:hint="default"/>
      </w:rPr>
    </w:lvl>
    <w:lvl w:ilvl="5">
      <w:start w:val="1"/>
      <w:numFmt w:val="lowerRoman"/>
      <w:lvlText w:val="%6."/>
      <w:lvlJc w:val="right"/>
      <w:pPr>
        <w:ind w:left="3978" w:hanging="663"/>
      </w:pPr>
      <w:rPr>
        <w:rFonts w:hint="default"/>
      </w:rPr>
    </w:lvl>
    <w:lvl w:ilvl="6">
      <w:start w:val="1"/>
      <w:numFmt w:val="decimal"/>
      <w:lvlText w:val="%7."/>
      <w:lvlJc w:val="left"/>
      <w:pPr>
        <w:ind w:left="4641" w:hanging="663"/>
      </w:pPr>
      <w:rPr>
        <w:rFonts w:hint="default"/>
      </w:rPr>
    </w:lvl>
    <w:lvl w:ilvl="7">
      <w:start w:val="1"/>
      <w:numFmt w:val="lowerLetter"/>
      <w:lvlText w:val="%8."/>
      <w:lvlJc w:val="left"/>
      <w:pPr>
        <w:ind w:left="5304" w:hanging="663"/>
      </w:pPr>
      <w:rPr>
        <w:rFonts w:hint="default"/>
      </w:rPr>
    </w:lvl>
    <w:lvl w:ilvl="8">
      <w:start w:val="1"/>
      <w:numFmt w:val="lowerRoman"/>
      <w:lvlText w:val="%9."/>
      <w:lvlJc w:val="right"/>
      <w:pPr>
        <w:ind w:left="5967" w:hanging="663"/>
      </w:pPr>
      <w:rPr>
        <w:rFonts w:hint="default"/>
      </w:rPr>
    </w:lvl>
  </w:abstractNum>
  <w:abstractNum w:abstractNumId="32" w15:restartNumberingAfterBreak="0">
    <w:nsid w:val="3B752CBA"/>
    <w:multiLevelType w:val="multilevel"/>
    <w:tmpl w:val="6F14F578"/>
    <w:numStyleLink w:val="PPOLISTBlackNumbersinbrackets"/>
  </w:abstractNum>
  <w:abstractNum w:abstractNumId="33" w15:restartNumberingAfterBreak="0">
    <w:nsid w:val="3DB92A87"/>
    <w:multiLevelType w:val="multilevel"/>
    <w:tmpl w:val="D2D8303A"/>
    <w:styleLink w:val="Bullets"/>
    <w:lvl w:ilvl="0">
      <w:start w:val="1"/>
      <w:numFmt w:val="bullet"/>
      <w:lvlText w:val=""/>
      <w:lvlJc w:val="left"/>
      <w:pPr>
        <w:tabs>
          <w:tab w:val="num" w:pos="680"/>
        </w:tabs>
        <w:ind w:left="680" w:hanging="340"/>
      </w:pPr>
      <w:rPr>
        <w:rFonts w:ascii="Wingdings" w:hAnsi="Wingdings" w:hint="default"/>
        <w:color w:val="002395"/>
        <w:sz w:val="24"/>
      </w:rPr>
    </w:lvl>
    <w:lvl w:ilvl="1">
      <w:start w:val="1"/>
      <w:numFmt w:val="bullet"/>
      <w:lvlText w:val="-"/>
      <w:lvlJc w:val="left"/>
      <w:pPr>
        <w:tabs>
          <w:tab w:val="num" w:pos="1021"/>
        </w:tabs>
        <w:ind w:left="1021" w:hanging="341"/>
      </w:pPr>
      <w:rPr>
        <w:rFonts w:ascii="Arial" w:hAnsi="Arial" w:hint="default"/>
        <w:color w:val="auto"/>
        <w:sz w:val="24"/>
      </w:rPr>
    </w:lvl>
    <w:lvl w:ilvl="2">
      <w:start w:val="1"/>
      <w:numFmt w:val="bullet"/>
      <w:lvlText w:val="◦"/>
      <w:lvlJc w:val="left"/>
      <w:pPr>
        <w:tabs>
          <w:tab w:val="num" w:pos="1361"/>
        </w:tabs>
        <w:ind w:left="1361" w:hanging="340"/>
      </w:pPr>
      <w:rPr>
        <w:rFonts w:ascii="Arial" w:hAnsi="Arial" w:hint="default"/>
        <w:color w:val="1F497D"/>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34" w15:restartNumberingAfterBreak="0">
    <w:nsid w:val="45E76756"/>
    <w:multiLevelType w:val="multilevel"/>
    <w:tmpl w:val="F8C65FCC"/>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6" w15:restartNumberingAfterBreak="0">
    <w:nsid w:val="463D4341"/>
    <w:multiLevelType w:val="hybridMultilevel"/>
    <w:tmpl w:val="D67499BA"/>
    <w:lvl w:ilvl="0" w:tplc="2B68B41A">
      <w:start w:val="1"/>
      <w:numFmt w:val="lowerLetter"/>
      <w:pStyle w:val="BulletsletteringAnnexes"/>
      <w:lvlText w:val="(%1)"/>
      <w:lvlJc w:val="left"/>
      <w:pPr>
        <w:ind w:left="1575" w:hanging="405"/>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37" w15:restartNumberingAfterBreak="0">
    <w:nsid w:val="4C2A2EEC"/>
    <w:multiLevelType w:val="multilevel"/>
    <w:tmpl w:val="A92810AE"/>
    <w:styleLink w:val="PPOSISpecificObjectivesBulletsLIST"/>
    <w:lvl w:ilvl="0">
      <w:start w:val="1"/>
      <w:numFmt w:val="bullet"/>
      <w:pStyle w:val="PPOSISpecificobjectivesBOX-BulletElectricBlue"/>
      <w:lvlText w:val=""/>
      <w:lvlJc w:val="left"/>
      <w:pPr>
        <w:ind w:left="340" w:hanging="227"/>
      </w:pPr>
      <w:rPr>
        <w:rFonts w:ascii="Symbol" w:hAnsi="Symbol" w:cs="Times New Roman" w:hint="default"/>
        <w:color w:val="4BACC6"/>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38" w15:restartNumberingAfterBreak="0">
    <w:nsid w:val="50E10522"/>
    <w:multiLevelType w:val="hybridMultilevel"/>
    <w:tmpl w:val="1C1A629E"/>
    <w:lvl w:ilvl="0" w:tplc="FAAE958C">
      <w:start w:val="1"/>
      <w:numFmt w:val="decimal"/>
      <w:pStyle w:val="TOCHeading1"/>
      <w:lvlText w:val="SECTION %1 - "/>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 w15:restartNumberingAfterBreak="0">
    <w:nsid w:val="53896B11"/>
    <w:multiLevelType w:val="hybridMultilevel"/>
    <w:tmpl w:val="93B2A0DC"/>
    <w:lvl w:ilvl="0" w:tplc="ADAC3530">
      <w:start w:val="1"/>
      <w:numFmt w:val="decimal"/>
      <w:pStyle w:val="Title3Annexes"/>
      <w:lvlText w:val="%1."/>
      <w:lvlJc w:val="left"/>
      <w:pPr>
        <w:ind w:left="1004" w:hanging="360"/>
      </w:pPr>
      <w:rPr>
        <w:rFonts w:ascii="EC Square Sans Pro" w:hAnsi="EC Square Sans Pro" w:hint="default"/>
        <w:b/>
        <w:bCs w:val="0"/>
        <w:i w:val="0"/>
        <w:iCs w:val="0"/>
        <w:caps w:val="0"/>
        <w:smallCaps w:val="0"/>
        <w:strike w:val="0"/>
        <w:dstrike w:val="0"/>
        <w:outline w:val="0"/>
        <w:shadow w:val="0"/>
        <w:emboss w:val="0"/>
        <w:imprint w:val="0"/>
        <w:noProof w:val="0"/>
        <w:vanish w:val="0"/>
        <w:color w:val="4472C4" w:themeColor="accent5"/>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148A372">
      <w:start w:val="1"/>
      <w:numFmt w:val="lowerLetter"/>
      <w:pStyle w:val="Title4annexes"/>
      <w:lvlText w:val="%2."/>
      <w:lvlJc w:val="left"/>
      <w:pPr>
        <w:ind w:left="172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4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41" w15:restartNumberingAfterBreak="0">
    <w:nsid w:val="59A3189A"/>
    <w:multiLevelType w:val="hybridMultilevel"/>
    <w:tmpl w:val="23BC6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DE4E89"/>
    <w:multiLevelType w:val="hybridMultilevel"/>
    <w:tmpl w:val="61B6F0EA"/>
    <w:lvl w:ilvl="0" w:tplc="F5E05770">
      <w:start w:val="1"/>
      <w:numFmt w:val="bullet"/>
      <w:pStyle w:val="Bulletsannexes"/>
      <w:lvlText w:val=""/>
      <w:lvlJc w:val="left"/>
      <w:pPr>
        <w:ind w:left="720" w:hanging="360"/>
      </w:pPr>
      <w:rPr>
        <w:rFonts w:ascii="Symbol" w:hAnsi="Symbol" w:hint="default"/>
        <w:color w:val="E48C3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5DE3067D"/>
    <w:multiLevelType w:val="hybridMultilevel"/>
    <w:tmpl w:val="09B4C1FC"/>
    <w:lvl w:ilvl="0" w:tplc="E172701C">
      <w:start w:val="1"/>
      <w:numFmt w:val="upperLetter"/>
      <w:lvlText w:val="%1."/>
      <w:lvlJc w:val="left"/>
      <w:pPr>
        <w:ind w:left="720" w:hanging="360"/>
      </w:pPr>
      <w:rPr>
        <w:rFonts w:ascii="EC Square Sans Pro" w:hAnsi="EC Square Sans Pro" w:hint="default"/>
        <w:color w:val="A5A5A5" w:themeColor="accent3"/>
        <w:sz w:val="22"/>
      </w:rPr>
    </w:lvl>
    <w:lvl w:ilvl="1" w:tplc="B3DA4B16">
      <w:start w:val="1"/>
      <w:numFmt w:val="lowerLetter"/>
      <w:pStyle w:val="Title4Executivesummary"/>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5" w15:restartNumberingAfterBreak="0">
    <w:nsid w:val="60544356"/>
    <w:multiLevelType w:val="hybridMultilevel"/>
    <w:tmpl w:val="EFEA8546"/>
    <w:name w:val="Bullet 02"/>
    <w:lvl w:ilvl="0" w:tplc="09D21778">
      <w:start w:val="1"/>
      <w:numFmt w:val="bullet"/>
      <w:lvlRestart w:val="0"/>
      <w:pStyle w:val="Titreobjetprliminaire"/>
      <w:lvlText w:val=""/>
      <w:lvlJc w:val="left"/>
      <w:pPr>
        <w:tabs>
          <w:tab w:val="num" w:pos="850"/>
        </w:tabs>
        <w:ind w:left="850" w:hanging="8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7" w15:restartNumberingAfterBreak="0">
    <w:nsid w:val="62EA78CB"/>
    <w:multiLevelType w:val="multilevel"/>
    <w:tmpl w:val="FBAC837C"/>
    <w:numStyleLink w:val="AMPRLIST-Annexes-Headings"/>
  </w:abstractNum>
  <w:abstractNum w:abstractNumId="48" w15:restartNumberingAfterBreak="0">
    <w:nsid w:val="65997927"/>
    <w:multiLevelType w:val="multilevel"/>
    <w:tmpl w:val="54D288BE"/>
    <w:styleLink w:val="AMPRLIST-SEC1-Headings"/>
    <w:lvl w:ilvl="0">
      <w:start w:val="1"/>
      <w:numFmt w:val="decimal"/>
      <w:pStyle w:val="AMPRSec1TITLE2-numbered"/>
      <w:lvlText w:val="1.%1."/>
      <w:lvlJc w:val="left"/>
      <w:pPr>
        <w:ind w:left="1276" w:hanging="1276"/>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68781487"/>
    <w:multiLevelType w:val="hybridMultilevel"/>
    <w:tmpl w:val="0ED46040"/>
    <w:lvl w:ilvl="0" w:tplc="080C0001">
      <w:start w:val="1"/>
      <w:numFmt w:val="bullet"/>
      <w:lvlText w:val=""/>
      <w:lvlJc w:val="left"/>
      <w:pPr>
        <w:ind w:left="765" w:hanging="360"/>
      </w:pPr>
      <w:rPr>
        <w:rFonts w:ascii="Symbol" w:hAnsi="Symbol"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50" w15:restartNumberingAfterBreak="0">
    <w:nsid w:val="6DA92D6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70E37927"/>
    <w:multiLevelType w:val="hybridMultilevel"/>
    <w:tmpl w:val="5A68D248"/>
    <w:lvl w:ilvl="0" w:tplc="9D8C783C">
      <w:start w:val="1"/>
      <w:numFmt w:val="decimal"/>
      <w:pStyle w:val="Title3Report-Numbered"/>
      <w:lvlText w:val="%1."/>
      <w:lvlJc w:val="left"/>
      <w:pPr>
        <w:ind w:left="501" w:hanging="360"/>
      </w:pPr>
      <w:rPr>
        <w:rFonts w:ascii="EC Square Sans Pro" w:hAnsi="EC Square Sans Pro" w:hint="default"/>
        <w:b/>
        <w:bCs w:val="0"/>
        <w:i w:val="0"/>
        <w:iCs w:val="0"/>
        <w:caps w:val="0"/>
        <w:smallCaps w:val="0"/>
        <w:strike w:val="0"/>
        <w:dstrike w:val="0"/>
        <w:outline w:val="0"/>
        <w:shadow w:val="0"/>
        <w:emboss w:val="0"/>
        <w:imprint w:val="0"/>
        <w:noProof w:val="0"/>
        <w:vanish w:val="0"/>
        <w:color w:val="5B9BD5" w:themeColor="accen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CCC3DE">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76394AF3"/>
    <w:multiLevelType w:val="hybridMultilevel"/>
    <w:tmpl w:val="27A098AC"/>
    <w:lvl w:ilvl="0" w:tplc="9B9C2FF6">
      <w:start w:val="1"/>
      <w:numFmt w:val="bullet"/>
      <w:pStyle w:val="BulletsOrange"/>
      <w:lvlText w:val=""/>
      <w:lvlJc w:val="left"/>
      <w:pPr>
        <w:ind w:left="720" w:hanging="360"/>
      </w:pPr>
      <w:rPr>
        <w:rFonts w:ascii="Symbol" w:hAnsi="Symbol" w:hint="default"/>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811ADC"/>
    <w:multiLevelType w:val="hybridMultilevel"/>
    <w:tmpl w:val="3028F1F8"/>
    <w:lvl w:ilvl="0" w:tplc="CD305E2A">
      <w:start w:val="1"/>
      <w:numFmt w:val="bullet"/>
      <w:pStyle w:val="Bulletsgreen"/>
      <w:lvlText w:val=""/>
      <w:lvlJc w:val="left"/>
      <w:pPr>
        <w:ind w:left="720" w:hanging="360"/>
      </w:pPr>
      <w:rPr>
        <w:rFonts w:ascii="Symbol" w:hAnsi="Symbol" w:hint="default"/>
        <w:color w:val="A5A5A5" w:themeColor="accent3"/>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15:restartNumberingAfterBreak="0">
    <w:nsid w:val="7A8627F7"/>
    <w:multiLevelType w:val="hybridMultilevel"/>
    <w:tmpl w:val="8210149E"/>
    <w:lvl w:ilvl="0" w:tplc="A4828464">
      <w:start w:val="1"/>
      <w:numFmt w:val="decimal"/>
      <w:pStyle w:val="TITLE3Executivesummary"/>
      <w:lvlText w:val="%1."/>
      <w:lvlJc w:val="left"/>
      <w:pPr>
        <w:ind w:left="720" w:hanging="360"/>
      </w:pPr>
      <w:rPr>
        <w:rFonts w:ascii="EC Square Sans Pro" w:hAnsi="EC Square Sans Pro" w:hint="default"/>
        <w:b/>
        <w:i w:val="0"/>
        <w:color w:val="A5A5A5" w:themeColor="accent3"/>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0"/>
  </w:num>
  <w:num w:numId="3">
    <w:abstractNumId w:val="49"/>
  </w:num>
  <w:num w:numId="4">
    <w:abstractNumId w:val="52"/>
  </w:num>
  <w:num w:numId="5">
    <w:abstractNumId w:val="42"/>
  </w:num>
  <w:num w:numId="6">
    <w:abstractNumId w:val="53"/>
  </w:num>
  <w:num w:numId="7">
    <w:abstractNumId w:val="36"/>
  </w:num>
  <w:num w:numId="8">
    <w:abstractNumId w:val="7"/>
  </w:num>
  <w:num w:numId="9">
    <w:abstractNumId w:val="8"/>
  </w:num>
  <w:num w:numId="10">
    <w:abstractNumId w:val="54"/>
  </w:num>
  <w:num w:numId="11">
    <w:abstractNumId w:val="51"/>
  </w:num>
  <w:num w:numId="12">
    <w:abstractNumId w:val="39"/>
  </w:num>
  <w:num w:numId="13">
    <w:abstractNumId w:val="43"/>
  </w:num>
  <w:num w:numId="14">
    <w:abstractNumId w:val="33"/>
  </w:num>
  <w:num w:numId="15">
    <w:abstractNumId w:val="5"/>
  </w:num>
  <w:num w:numId="16">
    <w:abstractNumId w:val="34"/>
  </w:num>
  <w:num w:numId="17">
    <w:abstractNumId w:val="45"/>
  </w:num>
  <w:num w:numId="18">
    <w:abstractNumId w:val="20"/>
  </w:num>
  <w:num w:numId="19">
    <w:abstractNumId w:val="28"/>
  </w:num>
  <w:num w:numId="20">
    <w:abstractNumId w:val="46"/>
  </w:num>
  <w:num w:numId="21">
    <w:abstractNumId w:val="44"/>
  </w:num>
  <w:num w:numId="22">
    <w:abstractNumId w:val="35"/>
  </w:num>
  <w:num w:numId="23">
    <w:abstractNumId w:val="40"/>
  </w:num>
  <w:num w:numId="24">
    <w:abstractNumId w:val="29"/>
  </w:num>
  <w:num w:numId="25">
    <w:abstractNumId w:val="38"/>
  </w:num>
  <w:num w:numId="26">
    <w:abstractNumId w:val="30"/>
  </w:num>
  <w:num w:numId="27">
    <w:abstractNumId w:val="3"/>
  </w:num>
  <w:num w:numId="28">
    <w:abstractNumId w:val="13"/>
  </w:num>
  <w:num w:numId="29">
    <w:abstractNumId w:val="21"/>
  </w:num>
  <w:num w:numId="30">
    <w:abstractNumId w:val="14"/>
  </w:num>
  <w:num w:numId="31">
    <w:abstractNumId w:val="48"/>
  </w:num>
  <w:num w:numId="32">
    <w:abstractNumId w:val="16"/>
  </w:num>
  <w:num w:numId="33">
    <w:abstractNumId w:val="27"/>
  </w:num>
  <w:num w:numId="34">
    <w:abstractNumId w:val="2"/>
  </w:num>
  <w:num w:numId="35">
    <w:abstractNumId w:val="23"/>
  </w:num>
  <w:num w:numId="36">
    <w:abstractNumId w:val="26"/>
  </w:num>
  <w:num w:numId="37">
    <w:abstractNumId w:val="15"/>
  </w:num>
  <w:num w:numId="38">
    <w:abstractNumId w:val="6"/>
  </w:num>
  <w:num w:numId="39">
    <w:abstractNumId w:val="25"/>
  </w:num>
  <w:num w:numId="40">
    <w:abstractNumId w:val="19"/>
  </w:num>
  <w:num w:numId="41">
    <w:abstractNumId w:val="32"/>
  </w:num>
  <w:num w:numId="42">
    <w:abstractNumId w:val="17"/>
  </w:num>
  <w:num w:numId="43">
    <w:abstractNumId w:val="10"/>
  </w:num>
  <w:num w:numId="44">
    <w:abstractNumId w:val="4"/>
  </w:num>
  <w:num w:numId="45">
    <w:abstractNumId w:val="24"/>
  </w:num>
  <w:num w:numId="46">
    <w:abstractNumId w:val="9"/>
  </w:num>
  <w:num w:numId="47">
    <w:abstractNumId w:val="37"/>
  </w:num>
  <w:num w:numId="48">
    <w:abstractNumId w:val="50"/>
  </w:num>
  <w:num w:numId="49">
    <w:abstractNumId w:val="12"/>
  </w:num>
  <w:num w:numId="50">
    <w:abstractNumId w:val="11"/>
  </w:num>
  <w:num w:numId="51">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num>
  <w:num w:numId="53">
    <w:abstractNumId w:val="18"/>
  </w:num>
  <w:num w:numId="54">
    <w:abstractNumId w:val="31"/>
  </w:num>
  <w:num w:numId="55">
    <w:abstractNumId w:val="47"/>
  </w:num>
  <w:num w:numId="56">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to the "/>
    <w:docVar w:name="LW_ANNEX_NBR_FIRST" w:val="2"/>
    <w:docVar w:name="LW_ANNEX_NBR_LAST" w:val="11"/>
    <w:docVar w:name="LW_ANNEX_UNIQUE" w:val="0"/>
    <w:docVar w:name="LW_CORRIGENDUM" w:val="&lt;UNUSED&gt;"/>
    <w:docVar w:name="LW_COVERPAGE_EXISTS" w:val="True"/>
    <w:docVar w:name="LW_COVERPAGE_GUID" w:val="ADDF0B23-AA23-427C-A6C2-295B6660F7CB"/>
    <w:docVar w:name="LW_COVERPAGE_TYPE" w:val="1"/>
    <w:docVar w:name="LW_CROSSREFERENCE" w:val="&lt;UNUSED&gt;"/>
    <w:docVar w:name="LW_DocType" w:val="NORMAL"/>
    <w:docVar w:name="LW_EMISSION" w:val="24.6.2020"/>
    <w:docVar w:name="LW_EMISSION_ISODATE" w:val="2020-06-24"/>
    <w:docVar w:name="LW_EMISSION_LOCATION" w:val="BRX"/>
    <w:docVar w:name="LW_EMISSION_PREFIX" w:val="Brussels, "/>
    <w:docVar w:name="LW_EMISSION_SUFFIX" w:val=" "/>
    <w:docVar w:name="LW_ID_DOCTYPE_NONLW" w:val="CP-039"/>
    <w:docVar w:name="LW_LANGUE" w:val="EN"/>
    <w:docVar w:name="LW_LEVEL_OF_SENSITIVITY" w:val="Standard treatment"/>
    <w:docVar w:name="LW_NOM.INST" w:val="EUROPEAN COMMISSION"/>
    <w:docVar w:name="LW_NOM.INST_JOINTDOC" w:val="&lt;EMPTY&gt;"/>
    <w:docVar w:name="LW_OBJETACTEPRINCIPAL.CP" w:val="2019 Annual Management and Performance Report for the EU Budget_x000d__x000d__x000d__x000d__x000d__x000d__x000b_"/>
    <w:docVar w:name="LW_PART_NBR" w:val="&lt;UNUSED&gt;"/>
    <w:docVar w:name="LW_PART_NBR_TOTAL" w:val="&lt;UNUSED&gt;"/>
    <w:docVar w:name="LW_REF.INST.NEW" w:val="COM"/>
    <w:docVar w:name="LW_REF.INST.NEW_ADOPTED" w:val="&lt;EMPTY&gt;"/>
    <w:docVar w:name="LW_REF.INST.NEW_TEXT" w:val="(2020) 265 final"/>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NEXES_x000b_"/>
    <w:docVar w:name="LW_TYPEACTEPRINCIPAL.CP" w:val="REPORT FROM THE COMMISSION_x000b_TO THE EUROPEAN PARLIAMENT, THE COUNCIL AND THE COURT OF AUDITORS_x000b_"/>
  </w:docVars>
  <w:rsids>
    <w:rsidRoot w:val="00311BB8"/>
    <w:rsid w:val="000853B0"/>
    <w:rsid w:val="001F33FA"/>
    <w:rsid w:val="00202577"/>
    <w:rsid w:val="002877B9"/>
    <w:rsid w:val="002B6063"/>
    <w:rsid w:val="00311BB8"/>
    <w:rsid w:val="00423EB7"/>
    <w:rsid w:val="00471862"/>
    <w:rsid w:val="004C49A2"/>
    <w:rsid w:val="004F29F3"/>
    <w:rsid w:val="0056035C"/>
    <w:rsid w:val="005A480A"/>
    <w:rsid w:val="00632393"/>
    <w:rsid w:val="009A133A"/>
    <w:rsid w:val="00B527DC"/>
    <w:rsid w:val="00D91061"/>
    <w:rsid w:val="00DB70E2"/>
    <w:rsid w:val="00F23AF1"/>
    <w:rsid w:val="00F82B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7BC70535-3033-4FB4-A5EF-8E8401E3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nhideWhenUsed="1"/>
    <w:lsdException w:name="Table Columns 2" w:semiHidden="1" w:uiPriority="99" w:unhideWhenUsed="1"/>
    <w:lsdException w:name="Table Columns 3" w:semiHidden="1"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AMPR Heading 1,AMPR H1 a,AMPR H1b"/>
    <w:basedOn w:val="Normal"/>
    <w:next w:val="Normal"/>
    <w:link w:val="Heading1Char"/>
    <w:qFormat/>
    <w:pPr>
      <w:keepNext/>
      <w:keepLines/>
      <w:widowControl w:val="0"/>
      <w:numPr>
        <w:numId w:val="48"/>
      </w:numPr>
      <w:spacing w:before="480" w:after="0" w:line="240" w:lineRule="auto"/>
      <w:outlineLvl w:val="0"/>
    </w:pPr>
    <w:rPr>
      <w:rFonts w:ascii="EC Square Sans Pro" w:eastAsia="Times New Roman" w:hAnsi="EC Square Sans Pro" w:cs="Times New Roman"/>
      <w:b/>
      <w:bCs/>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48"/>
      </w:numPr>
      <w:spacing w:before="120" w:after="120" w:line="240" w:lineRule="auto"/>
      <w:jc w:val="both"/>
      <w:outlineLvl w:val="1"/>
    </w:pPr>
    <w:rPr>
      <w:rFonts w:ascii="EC Square Sans Pro" w:eastAsia="Times New Roman" w:hAnsi="EC Square Sans Pro" w:cs="Times New Roman"/>
      <w:b/>
      <w:bCs/>
      <w:sz w:val="24"/>
      <w:szCs w:val="26"/>
    </w:rPr>
  </w:style>
  <w:style w:type="paragraph" w:styleId="Heading3">
    <w:name w:val="heading 3"/>
    <w:basedOn w:val="Normal"/>
    <w:next w:val="Normal"/>
    <w:link w:val="Heading3Char"/>
    <w:semiHidden/>
    <w:unhideWhenUsed/>
    <w:qFormat/>
    <w:pPr>
      <w:keepNext/>
      <w:keepLines/>
      <w:numPr>
        <w:ilvl w:val="2"/>
        <w:numId w:val="48"/>
      </w:numPr>
      <w:spacing w:before="40" w:after="0" w:line="240" w:lineRule="auto"/>
      <w:outlineLvl w:val="2"/>
    </w:pPr>
    <w:rPr>
      <w:rFonts w:ascii="EC Square Sans Pro" w:eastAsia="Times New Roman" w:hAnsi="EC Square Sans Pro" w:cs="Times New Roman"/>
      <w:color w:val="1F4D78" w:themeColor="accent1" w:themeShade="7F"/>
      <w:sz w:val="24"/>
      <w:szCs w:val="24"/>
    </w:rPr>
  </w:style>
  <w:style w:type="paragraph" w:styleId="Heading4">
    <w:name w:val="heading 4"/>
    <w:basedOn w:val="Normal"/>
    <w:next w:val="Normal"/>
    <w:link w:val="Heading4Char"/>
    <w:semiHidden/>
    <w:unhideWhenUsed/>
    <w:qFormat/>
    <w:pPr>
      <w:keepNext/>
      <w:numPr>
        <w:ilvl w:val="3"/>
        <w:numId w:val="48"/>
      </w:numPr>
      <w:spacing w:before="120" w:after="120" w:line="240" w:lineRule="auto"/>
      <w:jc w:val="both"/>
      <w:outlineLvl w:val="3"/>
    </w:pPr>
    <w:rPr>
      <w:rFonts w:ascii="EC Square Sans Pro" w:eastAsia="Times New Roman" w:hAnsi="EC Square Sans Pro" w:cs="Times New Roman"/>
      <w:bCs/>
      <w:iCs/>
      <w:sz w:val="24"/>
    </w:rPr>
  </w:style>
  <w:style w:type="paragraph" w:styleId="Heading5">
    <w:name w:val="heading 5"/>
    <w:basedOn w:val="Normal"/>
    <w:next w:val="Normal"/>
    <w:link w:val="Heading5Char"/>
    <w:semiHidden/>
    <w:unhideWhenUsed/>
    <w:qFormat/>
    <w:pPr>
      <w:keepNext/>
      <w:keepLines/>
      <w:numPr>
        <w:ilvl w:val="4"/>
        <w:numId w:val="48"/>
      </w:numPr>
      <w:spacing w:before="200" w:after="0" w:line="240" w:lineRule="auto"/>
      <w:outlineLvl w:val="4"/>
    </w:pPr>
    <w:rPr>
      <w:rFonts w:ascii="EC Square Sans Pro" w:eastAsia="Times New Roman" w:hAnsi="EC Square Sans Pro" w:cs="Times New Roman"/>
      <w:color w:val="1F4D78" w:themeColor="accent1" w:themeShade="7F"/>
      <w:sz w:val="20"/>
    </w:rPr>
  </w:style>
  <w:style w:type="paragraph" w:styleId="Heading6">
    <w:name w:val="heading 6"/>
    <w:basedOn w:val="Normal"/>
    <w:next w:val="Normal"/>
    <w:link w:val="Heading6Char"/>
    <w:semiHidden/>
    <w:unhideWhenUsed/>
    <w:qFormat/>
    <w:pPr>
      <w:keepNext/>
      <w:keepLines/>
      <w:numPr>
        <w:ilvl w:val="5"/>
        <w:numId w:val="48"/>
      </w:numPr>
      <w:spacing w:before="200" w:after="0" w:line="240" w:lineRule="auto"/>
      <w:outlineLvl w:val="5"/>
    </w:pPr>
    <w:rPr>
      <w:rFonts w:ascii="EC Square Sans Pro" w:eastAsia="Times New Roman" w:hAnsi="EC Square Sans Pro" w:cs="Times New Roman"/>
      <w:i/>
      <w:iCs/>
      <w:color w:val="1F4D78" w:themeColor="accent1" w:themeShade="7F"/>
      <w:sz w:val="20"/>
    </w:rPr>
  </w:style>
  <w:style w:type="paragraph" w:styleId="Heading7">
    <w:name w:val="heading 7"/>
    <w:basedOn w:val="Normal"/>
    <w:next w:val="Normal"/>
    <w:link w:val="Heading7Char"/>
    <w:semiHidden/>
    <w:unhideWhenUsed/>
    <w:qFormat/>
    <w:pPr>
      <w:keepNext/>
      <w:keepLines/>
      <w:numPr>
        <w:ilvl w:val="6"/>
        <w:numId w:val="48"/>
      </w:numPr>
      <w:spacing w:before="200" w:after="0" w:line="240" w:lineRule="auto"/>
      <w:outlineLvl w:val="6"/>
    </w:pPr>
    <w:rPr>
      <w:rFonts w:ascii="EC Square Sans Pro" w:eastAsia="Times New Roman" w:hAnsi="EC Square Sans Pro" w:cs="Times New Roman"/>
      <w:i/>
      <w:iCs/>
      <w:color w:val="404040" w:themeColor="text1" w:themeTint="BF"/>
      <w:sz w:val="20"/>
    </w:rPr>
  </w:style>
  <w:style w:type="paragraph" w:styleId="Heading8">
    <w:name w:val="heading 8"/>
    <w:basedOn w:val="Normal"/>
    <w:next w:val="Normal"/>
    <w:link w:val="Heading8Char"/>
    <w:semiHidden/>
    <w:unhideWhenUsed/>
    <w:qFormat/>
    <w:pPr>
      <w:keepNext/>
      <w:keepLines/>
      <w:numPr>
        <w:ilvl w:val="7"/>
        <w:numId w:val="48"/>
      </w:numPr>
      <w:spacing w:before="200" w:after="0" w:line="240" w:lineRule="auto"/>
      <w:outlineLvl w:val="7"/>
    </w:pPr>
    <w:rPr>
      <w:rFonts w:ascii="EC Square Sans Pro" w:eastAsia="Times New Roman" w:hAnsi="EC Square Sans Pro" w:cs="Times New Roman"/>
      <w:color w:val="404040" w:themeColor="text1" w:themeTint="BF"/>
      <w:sz w:val="20"/>
      <w:szCs w:val="20"/>
    </w:rPr>
  </w:style>
  <w:style w:type="paragraph" w:styleId="Heading9">
    <w:name w:val="heading 9"/>
    <w:basedOn w:val="Normal"/>
    <w:next w:val="Normal"/>
    <w:link w:val="Heading9Char"/>
    <w:semiHidden/>
    <w:unhideWhenUsed/>
    <w:qFormat/>
    <w:pPr>
      <w:keepNext/>
      <w:keepLines/>
      <w:numPr>
        <w:ilvl w:val="8"/>
        <w:numId w:val="48"/>
      </w:numPr>
      <w:spacing w:before="200" w:after="0" w:line="240" w:lineRule="auto"/>
      <w:outlineLvl w:val="8"/>
    </w:pPr>
    <w:rPr>
      <w:rFonts w:ascii="EC Square Sans Pro" w:eastAsia="Times New Roman" w:hAnsi="EC Square Sans Pro" w:cs="Times New Roman"/>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aliases w:val="AMPR Heading 1 Char,AMPR H1 a Char,AMPR H1b Char"/>
    <w:basedOn w:val="DefaultParagraphFont"/>
    <w:link w:val="Heading1"/>
    <w:rPr>
      <w:rFonts w:ascii="EC Square Sans Pro" w:eastAsia="Times New Roman" w:hAnsi="EC Square Sans Pro" w:cs="Times New Roman"/>
      <w:b/>
      <w:bCs/>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imes New Roman" w:hAnsi="EC Square Sans Pro" w:cs="Times New Roman"/>
      <w:b/>
      <w:bCs/>
      <w:sz w:val="24"/>
      <w:szCs w:val="26"/>
    </w:rPr>
  </w:style>
  <w:style w:type="character" w:customStyle="1" w:styleId="Heading3Char">
    <w:name w:val="Heading 3 Char"/>
    <w:basedOn w:val="DefaultParagraphFont"/>
    <w:link w:val="Heading3"/>
    <w:semiHidden/>
    <w:rPr>
      <w:rFonts w:ascii="EC Square Sans Pro" w:eastAsia="Times New Roman" w:hAnsi="EC Square Sans Pro" w:cs="Times New Roman"/>
      <w:color w:val="1F4D78" w:themeColor="accent1" w:themeShade="7F"/>
      <w:sz w:val="24"/>
      <w:szCs w:val="24"/>
    </w:rPr>
  </w:style>
  <w:style w:type="character" w:customStyle="1" w:styleId="Heading4Char">
    <w:name w:val="Heading 4 Char"/>
    <w:basedOn w:val="DefaultParagraphFont"/>
    <w:link w:val="Heading4"/>
    <w:semiHidden/>
    <w:rPr>
      <w:rFonts w:ascii="EC Square Sans Pro" w:eastAsia="Times New Roman" w:hAnsi="EC Square Sans Pro" w:cs="Times New Roman"/>
      <w:bCs/>
      <w:iCs/>
      <w:sz w:val="24"/>
    </w:rPr>
  </w:style>
  <w:style w:type="character" w:customStyle="1" w:styleId="Heading5Char">
    <w:name w:val="Heading 5 Char"/>
    <w:basedOn w:val="DefaultParagraphFont"/>
    <w:link w:val="Heading5"/>
    <w:semiHidden/>
    <w:rPr>
      <w:rFonts w:ascii="EC Square Sans Pro" w:eastAsia="Times New Roman" w:hAnsi="EC Square Sans Pro" w:cs="Times New Roman"/>
      <w:color w:val="1F4D78" w:themeColor="accent1" w:themeShade="7F"/>
      <w:sz w:val="20"/>
    </w:rPr>
  </w:style>
  <w:style w:type="character" w:customStyle="1" w:styleId="Heading6Char">
    <w:name w:val="Heading 6 Char"/>
    <w:basedOn w:val="DefaultParagraphFont"/>
    <w:link w:val="Heading6"/>
    <w:semiHidden/>
    <w:rPr>
      <w:rFonts w:ascii="EC Square Sans Pro" w:eastAsia="Times New Roman" w:hAnsi="EC Square Sans Pro" w:cs="Times New Roman"/>
      <w:i/>
      <w:iCs/>
      <w:color w:val="1F4D78" w:themeColor="accent1" w:themeShade="7F"/>
      <w:sz w:val="20"/>
    </w:rPr>
  </w:style>
  <w:style w:type="character" w:customStyle="1" w:styleId="Heading7Char">
    <w:name w:val="Heading 7 Char"/>
    <w:basedOn w:val="DefaultParagraphFont"/>
    <w:link w:val="Heading7"/>
    <w:semiHidden/>
    <w:rPr>
      <w:rFonts w:ascii="EC Square Sans Pro" w:eastAsia="Times New Roman" w:hAnsi="EC Square Sans Pro" w:cs="Times New Roman"/>
      <w:i/>
      <w:iCs/>
      <w:color w:val="404040" w:themeColor="text1" w:themeTint="BF"/>
      <w:sz w:val="20"/>
    </w:rPr>
  </w:style>
  <w:style w:type="character" w:customStyle="1" w:styleId="Heading8Char">
    <w:name w:val="Heading 8 Char"/>
    <w:basedOn w:val="DefaultParagraphFont"/>
    <w:link w:val="Heading8"/>
    <w:semiHidden/>
    <w:rPr>
      <w:rFonts w:ascii="EC Square Sans Pro" w:eastAsia="Times New Roman" w:hAnsi="EC Square Sans Pro" w:cs="Times New Roman"/>
      <w:color w:val="404040" w:themeColor="text1" w:themeTint="BF"/>
      <w:sz w:val="20"/>
      <w:szCs w:val="20"/>
    </w:rPr>
  </w:style>
  <w:style w:type="character" w:customStyle="1" w:styleId="Heading9Char">
    <w:name w:val="Heading 9 Char"/>
    <w:basedOn w:val="DefaultParagraphFont"/>
    <w:link w:val="Heading9"/>
    <w:semiHidden/>
    <w:rPr>
      <w:rFonts w:ascii="EC Square Sans Pro" w:eastAsia="Times New Roman" w:hAnsi="EC Square Sans Pro" w:cs="Times New Roman"/>
      <w:i/>
      <w:iCs/>
      <w:color w:val="404040" w:themeColor="text1" w:themeTint="BF"/>
      <w:sz w:val="20"/>
      <w:szCs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34"/>
    <w:qFormat/>
    <w:pPr>
      <w:spacing w:after="0" w:line="240" w:lineRule="auto"/>
      <w:ind w:left="720"/>
      <w:contextualSpacing/>
    </w:pPr>
    <w:rPr>
      <w:rFonts w:ascii="EC Square Sans Pro" w:hAnsi="EC Square Sans Pro" w:cs="Times New Roman"/>
      <w:sz w:val="20"/>
    </w:rPr>
  </w:style>
  <w:style w:type="paragraph" w:customStyle="1" w:styleId="Subhead3">
    <w:name w:val="Subhead 3"/>
    <w:basedOn w:val="Subhead2"/>
    <w:semiHidden/>
    <w:pPr>
      <w:spacing w:before="240"/>
      <w:ind w:left="340"/>
    </w:pPr>
    <w:rPr>
      <w:color w:val="FFC000" w:themeColor="accent4"/>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sz w:val="16"/>
      <w:szCs w:val="20"/>
    </w:rPr>
  </w:style>
  <w:style w:type="paragraph" w:styleId="BalloonText">
    <w:name w:val="Balloon Text"/>
    <w:basedOn w:val="Normal"/>
    <w:link w:val="BalloonTextChar"/>
    <w:semiHidden/>
    <w:unhideWhenUsed/>
    <w:pPr>
      <w:spacing w:after="0" w:line="240" w:lineRule="auto"/>
    </w:pPr>
    <w:rPr>
      <w:rFonts w:ascii="EC Square Sans Pro" w:hAnsi="EC Square Sans Pro" w:cs="Segoe UI"/>
      <w:sz w:val="18"/>
      <w:szCs w:val="18"/>
    </w:rPr>
  </w:style>
  <w:style w:type="character" w:customStyle="1" w:styleId="BalloonTextChar">
    <w:name w:val="Balloon Text Char"/>
    <w:basedOn w:val="DefaultParagraphFont"/>
    <w:link w:val="BalloonText"/>
    <w:semiHidden/>
    <w:rPr>
      <w:rFonts w:ascii="EC Square Sans Pro" w:hAnsi="EC Square Sans Pro" w:cs="Segoe UI"/>
      <w:sz w:val="18"/>
      <w:szCs w:val="18"/>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Normal"/>
    <w:next w:val="Normal"/>
    <w:link w:val="CommentSubjectChar"/>
    <w:semiHidden/>
    <w:unhideWhenUsed/>
    <w:pPr>
      <w:spacing w:after="200" w:line="240" w:lineRule="auto"/>
    </w:pPr>
    <w:rPr>
      <w:rFonts w:ascii="EC Square Sans Pro" w:hAnsi="EC Square Sans Pro" w:cs="Times New Roman"/>
      <w:b/>
      <w:bCs/>
      <w:sz w:val="20"/>
      <w:szCs w:val="20"/>
    </w:rPr>
  </w:style>
  <w:style w:type="character" w:customStyle="1" w:styleId="CommentSubjectChar">
    <w:name w:val="Comment Subject Char"/>
    <w:basedOn w:val="CommentTextChar"/>
    <w:link w:val="CommentSubject"/>
    <w:semiHidden/>
    <w:rPr>
      <w:rFonts w:ascii="EC Square Sans Pro" w:hAnsi="EC Square Sans Pro" w:cs="Times New Roman"/>
      <w:b/>
      <w:bCs/>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semiHidden/>
    <w:pPr>
      <w:numPr>
        <w:numId w:val="4"/>
      </w:numPr>
      <w:spacing w:before="120" w:after="120"/>
    </w:pPr>
  </w:style>
  <w:style w:type="character" w:styleId="Hyperlink">
    <w:name w:val="Hyperlink"/>
    <w:basedOn w:val="DefaultParagraphFont"/>
    <w:uiPriority w:val="99"/>
    <w:rPr>
      <w:rFonts w:ascii="EC Square Sans Pro" w:hAnsi="EC Square Sans Pro"/>
      <w:strike w:val="0"/>
      <w:dstrike w:val="0"/>
      <w:noProof w:val="0"/>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cs="Times New Roman"/>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cs="Times New Roman"/>
      <w:sz w:val="20"/>
      <w:szCs w:val="20"/>
    </w:rPr>
  </w:style>
  <w:style w:type="character" w:styleId="EndnoteReference">
    <w:name w:val="endnote reference"/>
    <w:basedOn w:val="DefaultParagraphFont"/>
    <w:uiPriority w:val="99"/>
    <w:semiHidden/>
    <w:unhideWhenUsed/>
    <w:rPr>
      <w:rFonts w:ascii="EC Square Sans Pro" w:hAnsi="EC Square Sans Pro"/>
      <w:noProof w:val="0"/>
      <w:vertAlign w:val="superscript"/>
      <w:lang w:val="en-GB"/>
    </w:rPr>
  </w:style>
  <w:style w:type="paragraph" w:styleId="ListBullet">
    <w:name w:val="List Bullet"/>
    <w:basedOn w:val="Normal"/>
    <w:semiHidden/>
    <w:unhideWhenUsed/>
    <w:pPr>
      <w:tabs>
        <w:tab w:val="num" w:pos="360"/>
      </w:tabs>
      <w:spacing w:before="120" w:after="120" w:line="240" w:lineRule="auto"/>
      <w:ind w:left="360" w:hanging="360"/>
      <w:contextualSpacing/>
      <w:jc w:val="both"/>
    </w:pPr>
    <w:rPr>
      <w:rFonts w:ascii="EC Square Sans Pro" w:hAnsi="EC Square Sans Pro" w:cs="Times New Roman"/>
      <w:sz w:val="24"/>
    </w:rPr>
  </w:style>
  <w:style w:type="paragraph" w:styleId="ListBullet2">
    <w:name w:val="List Bullet 2"/>
    <w:basedOn w:val="Normal"/>
    <w:semiHidden/>
    <w:unhideWhenUsed/>
    <w:pPr>
      <w:tabs>
        <w:tab w:val="num" w:pos="643"/>
      </w:tabs>
      <w:spacing w:before="120" w:after="120" w:line="240" w:lineRule="auto"/>
      <w:ind w:left="643" w:hanging="360"/>
      <w:contextualSpacing/>
      <w:jc w:val="both"/>
    </w:pPr>
    <w:rPr>
      <w:rFonts w:ascii="EC Square Sans Pro" w:hAnsi="EC Square Sans Pro" w:cs="Times New Roman"/>
      <w:sz w:val="24"/>
    </w:rPr>
  </w:style>
  <w:style w:type="paragraph" w:styleId="ListBullet3">
    <w:name w:val="List Bullet 3"/>
    <w:basedOn w:val="Normal"/>
    <w:semiHidden/>
    <w:unhideWhenUsed/>
    <w:pPr>
      <w:tabs>
        <w:tab w:val="num" w:pos="926"/>
      </w:tabs>
      <w:spacing w:before="120" w:after="120" w:line="240" w:lineRule="auto"/>
      <w:ind w:left="926" w:hanging="360"/>
      <w:contextualSpacing/>
      <w:jc w:val="both"/>
    </w:pPr>
    <w:rPr>
      <w:rFonts w:ascii="EC Square Sans Pro" w:hAnsi="EC Square Sans Pro" w:cs="Times New Roman"/>
      <w:sz w:val="24"/>
    </w:rPr>
  </w:style>
  <w:style w:type="paragraph" w:styleId="ListBullet4">
    <w:name w:val="List Bullet 4"/>
    <w:basedOn w:val="Normal"/>
    <w:semiHidden/>
    <w:unhideWhenUsed/>
    <w:pPr>
      <w:tabs>
        <w:tab w:val="num" w:pos="1209"/>
      </w:tabs>
      <w:spacing w:before="120" w:after="120" w:line="240" w:lineRule="auto"/>
      <w:ind w:left="1209" w:hanging="360"/>
      <w:contextualSpacing/>
      <w:jc w:val="both"/>
    </w:pPr>
    <w:rPr>
      <w:rFonts w:ascii="EC Square Sans Pro" w:hAnsi="EC Square Sans Pro" w:cs="Times New Roman"/>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semiHidden/>
    <w:unhideWhenUsed/>
    <w:pPr>
      <w:spacing w:before="120" w:after="0" w:line="240" w:lineRule="auto"/>
      <w:jc w:val="both"/>
    </w:pPr>
    <w:rPr>
      <w:rFonts w:ascii="EC Square Sans Pro" w:hAnsi="EC Square Sans Pro" w:cs="Times New Roman"/>
      <w:sz w:val="24"/>
    </w:rPr>
  </w:style>
  <w:style w:type="paragraph" w:styleId="ListNumber">
    <w:name w:val="List Number"/>
    <w:basedOn w:val="Normal"/>
    <w:semiHidden/>
    <w:unhideWhenUsed/>
    <w:pPr>
      <w:tabs>
        <w:tab w:val="num" w:pos="360"/>
      </w:tabs>
      <w:spacing w:before="120" w:after="120" w:line="240" w:lineRule="auto"/>
      <w:ind w:left="360" w:hanging="360"/>
      <w:contextualSpacing/>
      <w:jc w:val="both"/>
    </w:pPr>
    <w:rPr>
      <w:rFonts w:ascii="EC Square Sans Pro" w:hAnsi="EC Square Sans Pro" w:cs="Times New Roman"/>
      <w:sz w:val="24"/>
    </w:rPr>
  </w:style>
  <w:style w:type="paragraph" w:styleId="ListNumber2">
    <w:name w:val="List Number 2"/>
    <w:basedOn w:val="Normal"/>
    <w:semiHidden/>
    <w:unhideWhenUsed/>
    <w:pPr>
      <w:tabs>
        <w:tab w:val="num" w:pos="643"/>
      </w:tabs>
      <w:spacing w:before="120" w:after="120" w:line="240" w:lineRule="auto"/>
      <w:ind w:left="643" w:hanging="360"/>
      <w:contextualSpacing/>
      <w:jc w:val="both"/>
    </w:pPr>
    <w:rPr>
      <w:rFonts w:ascii="EC Square Sans Pro" w:hAnsi="EC Square Sans Pro" w:cs="Times New Roman"/>
      <w:sz w:val="24"/>
    </w:rPr>
  </w:style>
  <w:style w:type="paragraph" w:styleId="ListNumber3">
    <w:name w:val="List Number 3"/>
    <w:basedOn w:val="Normal"/>
    <w:semiHidden/>
    <w:unhideWhenUsed/>
    <w:pPr>
      <w:tabs>
        <w:tab w:val="num" w:pos="926"/>
      </w:tabs>
      <w:spacing w:before="120" w:after="120" w:line="240" w:lineRule="auto"/>
      <w:ind w:left="926" w:hanging="360"/>
      <w:contextualSpacing/>
      <w:jc w:val="both"/>
    </w:pPr>
    <w:rPr>
      <w:rFonts w:ascii="EC Square Sans Pro" w:hAnsi="EC Square Sans Pro" w:cs="Times New Roman"/>
      <w:sz w:val="24"/>
    </w:rPr>
  </w:style>
  <w:style w:type="paragraph" w:styleId="ListNumber4">
    <w:name w:val="List Number 4"/>
    <w:basedOn w:val="Normal"/>
    <w:semiHidden/>
    <w:unhideWhenUsed/>
    <w:pPr>
      <w:tabs>
        <w:tab w:val="num" w:pos="1209"/>
      </w:tabs>
      <w:spacing w:before="120" w:after="120" w:line="240" w:lineRule="auto"/>
      <w:ind w:left="1209" w:hanging="360"/>
      <w:contextualSpacing/>
      <w:jc w:val="both"/>
    </w:pPr>
    <w:rPr>
      <w:rFonts w:ascii="EC Square Sans Pro" w:hAnsi="EC Square Sans Pro" w:cs="Times New Roman"/>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0" w:line="240" w:lineRule="auto"/>
      <w:jc w:val="both"/>
    </w:pPr>
    <w:rPr>
      <w:rFonts w:ascii="EC Square Sans Pro" w:hAnsi="EC Square Sans Pro" w:cs="Times New Roman"/>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before="120" w:after="0" w:line="240" w:lineRule="auto"/>
      <w:jc w:val="both"/>
    </w:pPr>
    <w:rPr>
      <w:rFonts w:ascii="EC Square Sans Pro" w:hAnsi="EC Square Sans Pro" w:cs="Times New Roman"/>
      <w:b/>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color w:val="ED7D31" w:themeColor="accent2"/>
      <w:sz w:val="20"/>
      <w:lang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color w:val="EE6A44"/>
      <w:sz w:val="52"/>
    </w:rPr>
  </w:style>
  <w:style w:type="paragraph" w:customStyle="1" w:styleId="Title2Report">
    <w:name w:val="Title 2 / Report"/>
    <w:basedOn w:val="Normal"/>
    <w:link w:val="Title2ReportChar"/>
    <w:qFormat/>
    <w:pPr>
      <w:keepNext/>
      <w:keepLines/>
      <w:pBdr>
        <w:top w:val="single" w:sz="12" w:space="1" w:color="ED7D31" w:themeColor="accent2"/>
        <w:bottom w:val="single" w:sz="12" w:space="1" w:color="ED7D31" w:themeColor="accent2"/>
      </w:pBdr>
      <w:spacing w:before="480" w:after="240" w:line="276" w:lineRule="auto"/>
      <w:outlineLvl w:val="1"/>
    </w:pPr>
    <w:rPr>
      <w:rFonts w:ascii="EC Square Sans Pro" w:eastAsia="EC Square Sans Pro" w:hAnsi="EC Square Sans Pro" w:cs="Times New Roman"/>
      <w:b/>
      <w:color w:val="4472C4" w:themeColor="accent5"/>
      <w:sz w:val="28"/>
      <w:szCs w:val="21"/>
      <w:lang w:eastAsia="zh-CN"/>
    </w:rPr>
  </w:style>
  <w:style w:type="character" w:customStyle="1" w:styleId="Title2ReportChar">
    <w:name w:val="Title 2 / Report Char"/>
    <w:basedOn w:val="DefaultParagraphFont"/>
    <w:link w:val="Title2Report"/>
    <w:rPr>
      <w:rFonts w:ascii="EC Square Sans Pro" w:eastAsia="EC Square Sans Pro" w:hAnsi="EC Square Sans Pro" w:cs="Times New Roman"/>
      <w:b/>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Pr>
      <w:rFonts w:ascii="EC Square Sans Pro" w:hAnsi="EC Square Sans Pro"/>
      <w:noProof w:val="0"/>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sz w:val="20"/>
    </w:rPr>
  </w:style>
  <w:style w:type="paragraph" w:styleId="BlockText">
    <w:name w:val="Block Text"/>
    <w:basedOn w:val="Normal"/>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imes New Roman" w:hAnsi="EC Square Sans Pro" w:cs="Times New Roman"/>
      <w:i/>
      <w:iCs/>
      <w:color w:val="5B9BD5" w:themeColor="accent1"/>
      <w:sz w:val="20"/>
    </w:rPr>
  </w:style>
  <w:style w:type="paragraph" w:styleId="BodyText2">
    <w:name w:val="Body Text 2"/>
    <w:basedOn w:val="Normal"/>
    <w:link w:val="BodyText2Char"/>
    <w:semiHidden/>
    <w:unhideWhenUsed/>
    <w:pPr>
      <w:spacing w:after="120" w:line="480" w:lineRule="auto"/>
    </w:pPr>
    <w:rPr>
      <w:rFonts w:ascii="EC Square Sans Pro" w:hAnsi="EC Square Sans Pro" w:cs="Times New Roman"/>
      <w:sz w:val="20"/>
    </w:rPr>
  </w:style>
  <w:style w:type="character" w:customStyle="1" w:styleId="BodyText2Char">
    <w:name w:val="Body Text 2 Char"/>
    <w:basedOn w:val="DefaultParagraphFont"/>
    <w:link w:val="BodyText2"/>
    <w:semiHidden/>
    <w:rPr>
      <w:rFonts w:ascii="EC Square Sans Pro" w:hAnsi="EC Square Sans Pro" w:cs="Times New Roman"/>
      <w:sz w:val="20"/>
    </w:rPr>
  </w:style>
  <w:style w:type="paragraph" w:styleId="BodyText3">
    <w:name w:val="Body Text 3"/>
    <w:basedOn w:val="Normal"/>
    <w:link w:val="BodyText3Char"/>
    <w:semiHidden/>
    <w:unhideWhenUsed/>
    <w:pPr>
      <w:spacing w:after="120" w:line="240" w:lineRule="auto"/>
    </w:pPr>
    <w:rPr>
      <w:rFonts w:ascii="EC Square Sans Pro" w:hAnsi="EC Square Sans Pro" w:cs="Times New Roman"/>
      <w:sz w:val="16"/>
      <w:szCs w:val="16"/>
    </w:rPr>
  </w:style>
  <w:style w:type="character" w:customStyle="1" w:styleId="BodyText3Char">
    <w:name w:val="Body Text 3 Char"/>
    <w:basedOn w:val="DefaultParagraphFont"/>
    <w:link w:val="BodyText3"/>
    <w:semiHidden/>
    <w:rPr>
      <w:rFonts w:ascii="EC Square Sans Pro" w:hAnsi="EC Square Sans Pro" w:cs="Times New Roman"/>
      <w:sz w:val="16"/>
      <w:szCs w:val="16"/>
    </w:rPr>
  </w:style>
  <w:style w:type="paragraph" w:styleId="BodyTextFirstIndent">
    <w:name w:val="Body Text First Indent"/>
    <w:basedOn w:val="BodyText"/>
    <w:link w:val="BodyTextFirstIndentChar"/>
    <w:semiHidden/>
    <w:unhideWhenUsed/>
    <w:pPr>
      <w:ind w:firstLine="360"/>
    </w:pPr>
  </w:style>
  <w:style w:type="character" w:customStyle="1" w:styleId="BodyTextFirstIndentChar">
    <w:name w:val="Body Text First Indent Char"/>
    <w:basedOn w:val="BodyTextChar"/>
    <w:link w:val="BodyTextFirstIndent"/>
    <w:semiHidden/>
    <w:rPr>
      <w:rFonts w:ascii="EC Square Sans Pro" w:hAnsi="EC Square Sans Pro" w:cs="Times New Roman"/>
      <w:color w:val="000000" w:themeColor="text1"/>
      <w:sz w:val="20"/>
    </w:rPr>
  </w:style>
  <w:style w:type="paragraph" w:styleId="BodyTextIndent">
    <w:name w:val="Body Text Indent"/>
    <w:basedOn w:val="Normal"/>
    <w:link w:val="BodyTextIndentChar"/>
    <w:semiHidden/>
    <w:unhideWhenUsed/>
    <w:pPr>
      <w:spacing w:after="120" w:line="240" w:lineRule="auto"/>
      <w:ind w:left="283"/>
    </w:pPr>
    <w:rPr>
      <w:rFonts w:ascii="EC Square Sans Pro" w:hAnsi="EC Square Sans Pro" w:cs="Times New Roman"/>
      <w:sz w:val="20"/>
    </w:rPr>
  </w:style>
  <w:style w:type="character" w:customStyle="1" w:styleId="BodyTextIndentChar">
    <w:name w:val="Body Text Indent Char"/>
    <w:basedOn w:val="DefaultParagraphFont"/>
    <w:link w:val="BodyTextIndent"/>
    <w:semiHidden/>
    <w:rPr>
      <w:rFonts w:ascii="EC Square Sans Pro" w:hAnsi="EC Square Sans Pro" w:cs="Times New Roman"/>
      <w:sz w:val="20"/>
    </w:rPr>
  </w:style>
  <w:style w:type="paragraph" w:styleId="BodyTextFirstIndent2">
    <w:name w:val="Body Text First Indent 2"/>
    <w:basedOn w:val="BodyTextIndent"/>
    <w:link w:val="BodyTextFirstIndent2Char"/>
    <w:semiHidden/>
    <w:unhideWhenUsed/>
    <w:pPr>
      <w:spacing w:after="0"/>
      <w:ind w:left="360" w:firstLine="360"/>
    </w:pPr>
  </w:style>
  <w:style w:type="character" w:customStyle="1" w:styleId="BodyTextFirstIndent2Char">
    <w:name w:val="Body Text First Indent 2 Char"/>
    <w:basedOn w:val="BodyTextIndentChar"/>
    <w:link w:val="BodyTextFirstIndent2"/>
    <w:semiHidden/>
    <w:rPr>
      <w:rFonts w:ascii="EC Square Sans Pro" w:hAnsi="EC Square Sans Pro" w:cs="Times New Roman"/>
      <w:sz w:val="20"/>
    </w:rPr>
  </w:style>
  <w:style w:type="paragraph" w:styleId="BodyTextIndent2">
    <w:name w:val="Body Text Indent 2"/>
    <w:basedOn w:val="Normal"/>
    <w:link w:val="BodyTextIndent2Char"/>
    <w:semiHidden/>
    <w:unhideWhenUsed/>
    <w:pPr>
      <w:spacing w:after="120" w:line="480" w:lineRule="auto"/>
      <w:ind w:left="283"/>
    </w:pPr>
    <w:rPr>
      <w:rFonts w:ascii="EC Square Sans Pro" w:hAnsi="EC Square Sans Pro" w:cs="Times New Roman"/>
      <w:sz w:val="20"/>
    </w:rPr>
  </w:style>
  <w:style w:type="character" w:customStyle="1" w:styleId="BodyTextIndent2Char">
    <w:name w:val="Body Text Indent 2 Char"/>
    <w:basedOn w:val="DefaultParagraphFont"/>
    <w:link w:val="BodyTextIndent2"/>
    <w:semiHidden/>
    <w:rPr>
      <w:rFonts w:ascii="EC Square Sans Pro" w:hAnsi="EC Square Sans Pro" w:cs="Times New Roman"/>
      <w:sz w:val="20"/>
    </w:rPr>
  </w:style>
  <w:style w:type="paragraph" w:styleId="BodyTextIndent3">
    <w:name w:val="Body Text Indent 3"/>
    <w:basedOn w:val="Normal"/>
    <w:link w:val="BodyTextIndent3Char"/>
    <w:semiHidden/>
    <w:unhideWhenUsed/>
    <w:pPr>
      <w:spacing w:after="120" w:line="240" w:lineRule="auto"/>
      <w:ind w:left="283"/>
    </w:pPr>
    <w:rPr>
      <w:rFonts w:ascii="EC Square Sans Pro" w:hAnsi="EC Square Sans Pro" w:cs="Times New Roman"/>
      <w:sz w:val="16"/>
      <w:szCs w:val="16"/>
    </w:rPr>
  </w:style>
  <w:style w:type="character" w:customStyle="1" w:styleId="BodyTextIndent3Char">
    <w:name w:val="Body Text Indent 3 Char"/>
    <w:basedOn w:val="DefaultParagraphFont"/>
    <w:link w:val="BodyTextIndent3"/>
    <w:semiHidden/>
    <w:rPr>
      <w:rFonts w:ascii="EC Square Sans Pro" w:hAnsi="EC Square Sans Pro" w:cs="Times New Roman"/>
      <w:sz w:val="16"/>
      <w:szCs w:val="16"/>
    </w:rPr>
  </w:style>
  <w:style w:type="paragraph" w:styleId="Closing">
    <w:name w:val="Closing"/>
    <w:basedOn w:val="Normal"/>
    <w:link w:val="ClosingChar"/>
    <w:semiHidden/>
    <w:unhideWhenUsed/>
    <w:pPr>
      <w:spacing w:after="0" w:line="240" w:lineRule="auto"/>
      <w:ind w:left="4252"/>
    </w:pPr>
    <w:rPr>
      <w:rFonts w:ascii="EC Square Sans Pro" w:hAnsi="EC Square Sans Pro" w:cs="Times New Roman"/>
      <w:sz w:val="20"/>
    </w:rPr>
  </w:style>
  <w:style w:type="character" w:customStyle="1" w:styleId="ClosingChar">
    <w:name w:val="Closing Char"/>
    <w:basedOn w:val="DefaultParagraphFont"/>
    <w:link w:val="Closing"/>
    <w:semiHidden/>
    <w:rPr>
      <w:rFonts w:ascii="EC Square Sans Pro" w:hAnsi="EC Square Sans Pro" w:cs="Times New Roman"/>
      <w:sz w:val="20"/>
    </w:rPr>
  </w:style>
  <w:style w:type="paragraph" w:styleId="Date">
    <w:name w:val="Date"/>
    <w:basedOn w:val="Normal"/>
    <w:next w:val="Normal"/>
    <w:link w:val="DateChar"/>
    <w:semiHidden/>
    <w:unhideWhenUsed/>
    <w:pPr>
      <w:spacing w:after="0" w:line="240" w:lineRule="auto"/>
    </w:pPr>
    <w:rPr>
      <w:rFonts w:ascii="EC Square Sans Pro" w:hAnsi="EC Square Sans Pro" w:cs="Times New Roman"/>
      <w:sz w:val="20"/>
    </w:rPr>
  </w:style>
  <w:style w:type="character" w:customStyle="1" w:styleId="DateChar">
    <w:name w:val="Date Char"/>
    <w:basedOn w:val="DefaultParagraphFont"/>
    <w:link w:val="Date"/>
    <w:semiHidden/>
    <w:rPr>
      <w:rFonts w:ascii="EC Square Sans Pro" w:hAnsi="EC Square Sans Pro" w:cs="Times New Roman"/>
      <w:sz w:val="20"/>
    </w:rPr>
  </w:style>
  <w:style w:type="paragraph" w:styleId="DocumentMap">
    <w:name w:val="Document Map"/>
    <w:basedOn w:val="Normal"/>
    <w:link w:val="DocumentMapChar"/>
    <w:semiHidden/>
    <w:unhideWhenUsed/>
    <w:pPr>
      <w:spacing w:after="0" w:line="240" w:lineRule="auto"/>
    </w:pPr>
    <w:rPr>
      <w:rFonts w:ascii="EC Square Sans Pro" w:hAnsi="EC Square Sans Pro" w:cs="Tahoma"/>
      <w:sz w:val="16"/>
      <w:szCs w:val="16"/>
    </w:rPr>
  </w:style>
  <w:style w:type="character" w:customStyle="1" w:styleId="DocumentMapChar">
    <w:name w:val="Document Map Char"/>
    <w:basedOn w:val="DefaultParagraphFont"/>
    <w:link w:val="DocumentMap"/>
    <w:semiHidden/>
    <w:rPr>
      <w:rFonts w:ascii="EC Square Sans Pro" w:hAnsi="EC Square Sans Pro" w:cs="Tahoma"/>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sz w:val="20"/>
    </w:rPr>
  </w:style>
  <w:style w:type="paragraph" w:styleId="EnvelopeAddress">
    <w:name w:val="envelope address"/>
    <w:basedOn w:val="Normal"/>
    <w:semiHidden/>
    <w:unhideWhenUsed/>
    <w:pPr>
      <w:framePr w:w="7920" w:h="1980" w:hRule="exact" w:hSpace="180" w:wrap="auto" w:hAnchor="page" w:xAlign="center" w:yAlign="bottom"/>
      <w:spacing w:after="0" w:line="240" w:lineRule="auto"/>
      <w:ind w:left="2880"/>
    </w:pPr>
    <w:rPr>
      <w:rFonts w:ascii="EC Square Sans Pro" w:eastAsia="Times New Roman" w:hAnsi="EC Square Sans Pro" w:cs="Times New Roman"/>
      <w:sz w:val="24"/>
      <w:szCs w:val="24"/>
    </w:rPr>
  </w:style>
  <w:style w:type="paragraph" w:styleId="EnvelopeReturn">
    <w:name w:val="envelope return"/>
    <w:basedOn w:val="Normal"/>
    <w:semiHidden/>
    <w:unhideWhenUsed/>
    <w:pPr>
      <w:spacing w:after="0" w:line="240" w:lineRule="auto"/>
    </w:pPr>
    <w:rPr>
      <w:rFonts w:ascii="EC Square Sans Pro" w:eastAsia="Times New Roman" w:hAnsi="EC Square Sans Pro" w:cs="Times New Roman"/>
      <w:sz w:val="20"/>
      <w:szCs w:val="20"/>
    </w:rPr>
  </w:style>
  <w:style w:type="character" w:styleId="HTMLAcronym">
    <w:name w:val="HTML Acronym"/>
    <w:basedOn w:val="DefaultParagraphFont"/>
    <w:uiPriority w:val="99"/>
    <w:semiHidden/>
    <w:unhideWhenUsed/>
    <w:rPr>
      <w:rFonts w:ascii="EC Square Sans Pro" w:hAnsi="EC Square Sans Pro"/>
      <w:noProof w:val="0"/>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sz w:val="20"/>
    </w:rPr>
  </w:style>
  <w:style w:type="character" w:styleId="HTMLCite">
    <w:name w:val="HTML Cite"/>
    <w:basedOn w:val="DefaultParagraphFont"/>
    <w:uiPriority w:val="99"/>
    <w:semiHidden/>
    <w:unhideWhenUsed/>
    <w:rPr>
      <w:rFonts w:ascii="EC Square Sans Pro" w:hAnsi="EC Square Sans Pro"/>
      <w:i/>
      <w:iCs/>
      <w:noProof w:val="0"/>
      <w:lang w:val="en-GB"/>
    </w:rPr>
  </w:style>
  <w:style w:type="character" w:styleId="HTMLCode">
    <w:name w:val="HTML Code"/>
    <w:basedOn w:val="DefaultParagraphFont"/>
    <w:uiPriority w:val="99"/>
    <w:semiHidden/>
    <w:unhideWhenUsed/>
    <w:rPr>
      <w:rFonts w:ascii="EC Square Sans Pro" w:hAnsi="EC Square Sans Pro" w:cs="Consolas"/>
      <w:noProof w:val="0"/>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val="0"/>
      <w:lang w:val="en-GB"/>
    </w:rPr>
  </w:style>
  <w:style w:type="character" w:styleId="HTMLKeyboard">
    <w:name w:val="HTML Keyboard"/>
    <w:basedOn w:val="DefaultParagraphFont"/>
    <w:uiPriority w:val="99"/>
    <w:semiHidden/>
    <w:unhideWhenUsed/>
    <w:rPr>
      <w:rFonts w:ascii="EC Square Sans Pro" w:hAnsi="EC Square Sans Pro" w:cs="Consolas"/>
      <w:noProof w:val="0"/>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sz w:val="20"/>
      <w:szCs w:val="20"/>
    </w:rPr>
  </w:style>
  <w:style w:type="character" w:styleId="HTMLSample">
    <w:name w:val="HTML Sample"/>
    <w:basedOn w:val="DefaultParagraphFont"/>
    <w:uiPriority w:val="99"/>
    <w:semiHidden/>
    <w:unhideWhenUsed/>
    <w:rPr>
      <w:rFonts w:ascii="EC Square Sans Pro" w:hAnsi="EC Square Sans Pro" w:cs="Consolas"/>
      <w:noProof w:val="0"/>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val="0"/>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val="0"/>
      <w:lang w:val="en-GB"/>
    </w:rPr>
  </w:style>
  <w:style w:type="paragraph" w:styleId="Index1">
    <w:name w:val="index 1"/>
    <w:basedOn w:val="Normal"/>
    <w:next w:val="Normal"/>
    <w:autoRedefine/>
    <w:semiHidden/>
    <w:unhideWhenUsed/>
    <w:pPr>
      <w:spacing w:after="0" w:line="240" w:lineRule="auto"/>
      <w:ind w:left="200" w:hanging="200"/>
    </w:pPr>
    <w:rPr>
      <w:rFonts w:ascii="EC Square Sans Pro" w:hAnsi="EC Square Sans Pro" w:cs="Times New Roman"/>
      <w:sz w:val="20"/>
    </w:rPr>
  </w:style>
  <w:style w:type="paragraph" w:styleId="Index2">
    <w:name w:val="index 2"/>
    <w:basedOn w:val="Normal"/>
    <w:next w:val="Normal"/>
    <w:autoRedefine/>
    <w:semiHidden/>
    <w:unhideWhenUsed/>
    <w:pPr>
      <w:spacing w:after="0" w:line="240" w:lineRule="auto"/>
      <w:ind w:left="400" w:hanging="200"/>
    </w:pPr>
    <w:rPr>
      <w:rFonts w:ascii="EC Square Sans Pro" w:hAnsi="EC Square Sans Pro" w:cs="Times New Roman"/>
      <w:sz w:val="20"/>
    </w:rPr>
  </w:style>
  <w:style w:type="paragraph" w:styleId="Index3">
    <w:name w:val="index 3"/>
    <w:basedOn w:val="Normal"/>
    <w:next w:val="Normal"/>
    <w:autoRedefine/>
    <w:semiHidden/>
    <w:unhideWhenUsed/>
    <w:pPr>
      <w:spacing w:after="0" w:line="240" w:lineRule="auto"/>
      <w:ind w:left="600" w:hanging="200"/>
    </w:pPr>
    <w:rPr>
      <w:rFonts w:ascii="EC Square Sans Pro" w:hAnsi="EC Square Sans Pro" w:cs="Times New Roman"/>
      <w:sz w:val="20"/>
    </w:rPr>
  </w:style>
  <w:style w:type="paragraph" w:styleId="Index4">
    <w:name w:val="index 4"/>
    <w:basedOn w:val="Normal"/>
    <w:next w:val="Normal"/>
    <w:autoRedefine/>
    <w:semiHidden/>
    <w:unhideWhenUsed/>
    <w:pPr>
      <w:spacing w:after="0" w:line="240" w:lineRule="auto"/>
      <w:ind w:left="800" w:hanging="200"/>
    </w:pPr>
    <w:rPr>
      <w:rFonts w:ascii="EC Square Sans Pro" w:hAnsi="EC Square Sans Pro" w:cs="Times New Roman"/>
      <w:sz w:val="20"/>
    </w:rPr>
  </w:style>
  <w:style w:type="paragraph" w:styleId="Index5">
    <w:name w:val="index 5"/>
    <w:basedOn w:val="Normal"/>
    <w:next w:val="Normal"/>
    <w:autoRedefine/>
    <w:semiHidden/>
    <w:unhideWhenUsed/>
    <w:pPr>
      <w:spacing w:after="0" w:line="240" w:lineRule="auto"/>
      <w:ind w:left="1000" w:hanging="200"/>
    </w:pPr>
    <w:rPr>
      <w:rFonts w:ascii="EC Square Sans Pro" w:hAnsi="EC Square Sans Pro" w:cs="Times New Roman"/>
      <w:sz w:val="20"/>
    </w:rPr>
  </w:style>
  <w:style w:type="paragraph" w:styleId="Index6">
    <w:name w:val="index 6"/>
    <w:basedOn w:val="Normal"/>
    <w:next w:val="Normal"/>
    <w:autoRedefine/>
    <w:semiHidden/>
    <w:unhideWhenUsed/>
    <w:pPr>
      <w:spacing w:after="0" w:line="240" w:lineRule="auto"/>
      <w:ind w:left="1200" w:hanging="200"/>
    </w:pPr>
    <w:rPr>
      <w:rFonts w:ascii="EC Square Sans Pro" w:hAnsi="EC Square Sans Pro" w:cs="Times New Roman"/>
      <w:sz w:val="20"/>
    </w:rPr>
  </w:style>
  <w:style w:type="paragraph" w:styleId="Index7">
    <w:name w:val="index 7"/>
    <w:basedOn w:val="Normal"/>
    <w:next w:val="Normal"/>
    <w:autoRedefine/>
    <w:semiHidden/>
    <w:unhideWhenUsed/>
    <w:pPr>
      <w:spacing w:after="0" w:line="240" w:lineRule="auto"/>
      <w:ind w:left="1400" w:hanging="200"/>
    </w:pPr>
    <w:rPr>
      <w:rFonts w:ascii="EC Square Sans Pro" w:hAnsi="EC Square Sans Pro" w:cs="Times New Roman"/>
      <w:sz w:val="20"/>
    </w:rPr>
  </w:style>
  <w:style w:type="paragraph" w:styleId="Index8">
    <w:name w:val="index 8"/>
    <w:basedOn w:val="Normal"/>
    <w:next w:val="Normal"/>
    <w:autoRedefine/>
    <w:semiHidden/>
    <w:unhideWhenUsed/>
    <w:pPr>
      <w:spacing w:after="0" w:line="240" w:lineRule="auto"/>
      <w:ind w:left="1600" w:hanging="200"/>
    </w:pPr>
    <w:rPr>
      <w:rFonts w:ascii="EC Square Sans Pro" w:hAnsi="EC Square Sans Pro" w:cs="Times New Roman"/>
      <w:sz w:val="20"/>
    </w:rPr>
  </w:style>
  <w:style w:type="paragraph" w:styleId="Index9">
    <w:name w:val="index 9"/>
    <w:basedOn w:val="Normal"/>
    <w:next w:val="Normal"/>
    <w:autoRedefine/>
    <w:semiHidden/>
    <w:unhideWhenUsed/>
    <w:pPr>
      <w:spacing w:after="0" w:line="240" w:lineRule="auto"/>
      <w:ind w:left="1800" w:hanging="200"/>
    </w:pPr>
    <w:rPr>
      <w:rFonts w:ascii="EC Square Sans Pro" w:hAnsi="EC Square Sans Pro" w:cs="Times New Roman"/>
      <w:sz w:val="20"/>
    </w:rPr>
  </w:style>
  <w:style w:type="paragraph" w:styleId="IndexHeading">
    <w:name w:val="index heading"/>
    <w:basedOn w:val="Normal"/>
    <w:next w:val="Index1"/>
    <w:semiHidden/>
    <w:unhideWhenUsed/>
    <w:pPr>
      <w:spacing w:after="0" w:line="240" w:lineRule="auto"/>
    </w:pPr>
    <w:rPr>
      <w:rFonts w:ascii="EC Square Sans Pro" w:eastAsia="Times New Roman" w:hAnsi="EC Square Sans Pro" w:cs="Times New Roman"/>
      <w:b/>
      <w:bCs/>
      <w:sz w:val="20"/>
    </w:rPr>
  </w:style>
  <w:style w:type="character" w:styleId="LineNumber">
    <w:name w:val="line number"/>
    <w:basedOn w:val="DefaultParagraphFont"/>
    <w:uiPriority w:val="99"/>
    <w:semiHidden/>
    <w:unhideWhenUsed/>
    <w:rPr>
      <w:rFonts w:ascii="EC Square Sans Pro" w:hAnsi="EC Square Sans Pro"/>
      <w:noProof w:val="0"/>
      <w:lang w:val="en-GB"/>
    </w:rPr>
  </w:style>
  <w:style w:type="paragraph" w:styleId="List">
    <w:name w:val="List"/>
    <w:basedOn w:val="Normal"/>
    <w:semiHidden/>
    <w:unhideWhenUsed/>
    <w:pPr>
      <w:spacing w:after="0" w:line="240" w:lineRule="auto"/>
      <w:ind w:left="283" w:hanging="283"/>
      <w:contextualSpacing/>
    </w:pPr>
    <w:rPr>
      <w:rFonts w:ascii="EC Square Sans Pro" w:hAnsi="EC Square Sans Pro" w:cs="Times New Roman"/>
      <w:sz w:val="20"/>
    </w:rPr>
  </w:style>
  <w:style w:type="paragraph" w:styleId="List2">
    <w:name w:val="List 2"/>
    <w:basedOn w:val="Normal"/>
    <w:semiHidden/>
    <w:unhideWhenUsed/>
    <w:pPr>
      <w:spacing w:after="0" w:line="240" w:lineRule="auto"/>
      <w:ind w:left="566" w:hanging="283"/>
      <w:contextualSpacing/>
    </w:pPr>
    <w:rPr>
      <w:rFonts w:ascii="EC Square Sans Pro" w:hAnsi="EC Square Sans Pro" w:cs="Times New Roman"/>
      <w:sz w:val="20"/>
    </w:rPr>
  </w:style>
  <w:style w:type="paragraph" w:styleId="List3">
    <w:name w:val="List 3"/>
    <w:basedOn w:val="Normal"/>
    <w:semiHidden/>
    <w:unhideWhenUsed/>
    <w:pPr>
      <w:spacing w:after="0" w:line="240" w:lineRule="auto"/>
      <w:ind w:left="849" w:hanging="283"/>
      <w:contextualSpacing/>
    </w:pPr>
    <w:rPr>
      <w:rFonts w:ascii="EC Square Sans Pro" w:hAnsi="EC Square Sans Pro" w:cs="Times New Roman"/>
      <w:sz w:val="20"/>
    </w:rPr>
  </w:style>
  <w:style w:type="paragraph" w:styleId="List4">
    <w:name w:val="List 4"/>
    <w:basedOn w:val="Normal"/>
    <w:semiHidden/>
    <w:unhideWhenUsed/>
    <w:pPr>
      <w:spacing w:after="0" w:line="240" w:lineRule="auto"/>
      <w:ind w:left="1132" w:hanging="283"/>
      <w:contextualSpacing/>
    </w:pPr>
    <w:rPr>
      <w:rFonts w:ascii="EC Square Sans Pro" w:hAnsi="EC Square Sans Pro" w:cs="Times New Roman"/>
      <w:sz w:val="20"/>
    </w:rPr>
  </w:style>
  <w:style w:type="paragraph" w:styleId="List5">
    <w:name w:val="List 5"/>
    <w:basedOn w:val="Normal"/>
    <w:semiHidden/>
    <w:unhideWhenUsed/>
    <w:pPr>
      <w:spacing w:after="0" w:line="240" w:lineRule="auto"/>
      <w:ind w:left="1415" w:hanging="283"/>
      <w:contextualSpacing/>
    </w:pPr>
    <w:rPr>
      <w:rFonts w:ascii="EC Square Sans Pro" w:hAnsi="EC Square Sans Pro" w:cs="Times New Roman"/>
      <w:sz w:val="20"/>
    </w:rPr>
  </w:style>
  <w:style w:type="paragraph" w:styleId="ListBullet5">
    <w:name w:val="List Bullet 5"/>
    <w:basedOn w:val="Normal"/>
    <w:semiHidden/>
    <w:unhideWhenUsed/>
    <w:pPr>
      <w:numPr>
        <w:numId w:val="1"/>
      </w:numPr>
      <w:spacing w:after="0" w:line="240" w:lineRule="auto"/>
      <w:contextualSpacing/>
    </w:pPr>
    <w:rPr>
      <w:rFonts w:ascii="EC Square Sans Pro" w:hAnsi="EC Square Sans Pro" w:cs="Times New Roman"/>
      <w:sz w:val="20"/>
    </w:rPr>
  </w:style>
  <w:style w:type="paragraph" w:styleId="ListContinue">
    <w:name w:val="List Continue"/>
    <w:basedOn w:val="Normal"/>
    <w:semiHidden/>
    <w:unhideWhenUsed/>
    <w:pPr>
      <w:spacing w:after="120" w:line="240" w:lineRule="auto"/>
      <w:ind w:left="283"/>
      <w:contextualSpacing/>
    </w:pPr>
    <w:rPr>
      <w:rFonts w:ascii="EC Square Sans Pro" w:hAnsi="EC Square Sans Pro" w:cs="Times New Roman"/>
      <w:sz w:val="20"/>
    </w:rPr>
  </w:style>
  <w:style w:type="paragraph" w:styleId="ListContinue2">
    <w:name w:val="List Continue 2"/>
    <w:basedOn w:val="Normal"/>
    <w:semiHidden/>
    <w:unhideWhenUsed/>
    <w:pPr>
      <w:spacing w:after="120" w:line="240" w:lineRule="auto"/>
      <w:ind w:left="566"/>
      <w:contextualSpacing/>
    </w:pPr>
    <w:rPr>
      <w:rFonts w:ascii="EC Square Sans Pro" w:hAnsi="EC Square Sans Pro" w:cs="Times New Roman"/>
      <w:sz w:val="20"/>
    </w:rPr>
  </w:style>
  <w:style w:type="paragraph" w:styleId="ListContinue3">
    <w:name w:val="List Continue 3"/>
    <w:basedOn w:val="Normal"/>
    <w:semiHidden/>
    <w:unhideWhenUsed/>
    <w:pPr>
      <w:spacing w:after="120" w:line="240" w:lineRule="auto"/>
      <w:ind w:left="849"/>
      <w:contextualSpacing/>
    </w:pPr>
    <w:rPr>
      <w:rFonts w:ascii="EC Square Sans Pro" w:hAnsi="EC Square Sans Pro" w:cs="Times New Roman"/>
      <w:sz w:val="20"/>
    </w:rPr>
  </w:style>
  <w:style w:type="paragraph" w:styleId="ListContinue4">
    <w:name w:val="List Continue 4"/>
    <w:basedOn w:val="Normal"/>
    <w:semiHidden/>
    <w:unhideWhenUsed/>
    <w:pPr>
      <w:spacing w:after="120" w:line="240" w:lineRule="auto"/>
      <w:ind w:left="1132"/>
      <w:contextualSpacing/>
    </w:pPr>
    <w:rPr>
      <w:rFonts w:ascii="EC Square Sans Pro" w:hAnsi="EC Square Sans Pro" w:cs="Times New Roman"/>
      <w:sz w:val="20"/>
    </w:rPr>
  </w:style>
  <w:style w:type="paragraph" w:styleId="ListContinue5">
    <w:name w:val="List Continue 5"/>
    <w:basedOn w:val="Normal"/>
    <w:semiHidden/>
    <w:unhideWhenUsed/>
    <w:pPr>
      <w:spacing w:after="120" w:line="240" w:lineRule="auto"/>
      <w:ind w:left="1415"/>
      <w:contextualSpacing/>
    </w:pPr>
    <w:rPr>
      <w:rFonts w:ascii="EC Square Sans Pro" w:hAnsi="EC Square Sans Pro" w:cs="Times New Roman"/>
      <w:sz w:val="20"/>
    </w:rPr>
  </w:style>
  <w:style w:type="paragraph" w:styleId="ListNumber5">
    <w:name w:val="List Number 5"/>
    <w:basedOn w:val="Normal"/>
    <w:semiHidden/>
    <w:unhideWhenUsed/>
    <w:pPr>
      <w:numPr>
        <w:numId w:val="2"/>
      </w:numPr>
      <w:spacing w:after="0" w:line="240" w:lineRule="auto"/>
      <w:contextualSpacing/>
    </w:pPr>
    <w:rPr>
      <w:rFonts w:ascii="EC Square Sans Pro" w:hAnsi="EC Square Sans Pro" w:cs="Times New Roman"/>
      <w:sz w:val="20"/>
    </w:r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sz w:val="20"/>
      <w:szCs w:val="20"/>
    </w:rPr>
  </w:style>
  <w:style w:type="character" w:customStyle="1" w:styleId="MacroTextChar">
    <w:name w:val="Macro Text Char"/>
    <w:basedOn w:val="DefaultParagraphFont"/>
    <w:link w:val="MacroText"/>
    <w:semiHidden/>
    <w:rPr>
      <w:rFonts w:ascii="EC Square Sans Pro" w:hAnsi="EC Square Sans Pro" w:cs="Consolas"/>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imes New Roman" w:hAnsi="EC Square Sans Pro" w:cs="Times New Roman"/>
      <w:sz w:val="24"/>
      <w:szCs w:val="24"/>
    </w:rPr>
  </w:style>
  <w:style w:type="character" w:customStyle="1" w:styleId="MessageHeaderChar">
    <w:name w:val="Message Header Char"/>
    <w:basedOn w:val="DefaultParagraphFont"/>
    <w:link w:val="MessageHeader"/>
    <w:uiPriority w:val="99"/>
    <w:semiHidden/>
    <w:rPr>
      <w:rFonts w:ascii="EC Square Sans Pro" w:eastAsia="Times New Roman" w:hAnsi="EC Square Sans Pro" w:cs="Times New Roman"/>
      <w:sz w:val="24"/>
      <w:szCs w:val="24"/>
      <w:shd w:val="pct20" w:color="auto" w:fill="auto"/>
    </w:rPr>
  </w:style>
  <w:style w:type="paragraph" w:styleId="NormalIndent">
    <w:name w:val="Normal Indent"/>
    <w:basedOn w:val="Normal"/>
    <w:semiHidden/>
    <w:unhideWhenUsed/>
    <w:pPr>
      <w:spacing w:after="0" w:line="240" w:lineRule="auto"/>
      <w:ind w:left="720"/>
    </w:pPr>
    <w:rPr>
      <w:rFonts w:ascii="EC Square Sans Pro" w:hAnsi="EC Square Sans Pro" w:cs="Times New Roman"/>
      <w:sz w:val="20"/>
    </w:rPr>
  </w:style>
  <w:style w:type="paragraph" w:styleId="NoteHeading">
    <w:name w:val="Note Heading"/>
    <w:basedOn w:val="Normal"/>
    <w:next w:val="Normal"/>
    <w:link w:val="NoteHeadingChar"/>
    <w:semiHidden/>
    <w:unhideWhenUsed/>
    <w:pPr>
      <w:spacing w:after="0" w:line="240" w:lineRule="auto"/>
    </w:pPr>
    <w:rPr>
      <w:rFonts w:ascii="EC Square Sans Pro" w:hAnsi="EC Square Sans Pro" w:cs="Times New Roman"/>
      <w:sz w:val="20"/>
    </w:rPr>
  </w:style>
  <w:style w:type="character" w:customStyle="1" w:styleId="NoteHeadingChar">
    <w:name w:val="Note Heading Char"/>
    <w:basedOn w:val="DefaultParagraphFont"/>
    <w:link w:val="NoteHeading"/>
    <w:semiHidden/>
    <w:rPr>
      <w:rFonts w:ascii="EC Square Sans Pro" w:hAnsi="EC Square Sans Pro" w:cs="Times New Roman"/>
      <w:sz w:val="20"/>
    </w:rPr>
  </w:style>
  <w:style w:type="character" w:styleId="PageNumber">
    <w:name w:val="page number"/>
    <w:basedOn w:val="DefaultParagraphFont"/>
    <w:semiHidden/>
    <w:unhideWhenUsed/>
    <w:rPr>
      <w:rFonts w:ascii="EC Square Sans Pro" w:hAnsi="EC Square Sans Pro"/>
      <w:noProof w:val="0"/>
      <w:lang w:val="en-GB"/>
    </w:rPr>
  </w:style>
  <w:style w:type="character" w:styleId="PlaceholderText">
    <w:name w:val="Placeholder Text"/>
    <w:basedOn w:val="DefaultParagraphFont"/>
    <w:uiPriority w:val="99"/>
    <w:semiHidden/>
    <w:rPr>
      <w:rFonts w:ascii="EC Square Sans Pro" w:hAnsi="EC Square Sans Pro"/>
      <w:noProof w:val="0"/>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sz w:val="21"/>
      <w:szCs w:val="21"/>
    </w:rPr>
  </w:style>
  <w:style w:type="paragraph" w:styleId="Salutation">
    <w:name w:val="Salutation"/>
    <w:basedOn w:val="Normal"/>
    <w:next w:val="Normal"/>
    <w:link w:val="SalutationChar"/>
    <w:semiHidden/>
    <w:unhideWhenUsed/>
    <w:pPr>
      <w:spacing w:after="0" w:line="240" w:lineRule="auto"/>
    </w:pPr>
    <w:rPr>
      <w:rFonts w:ascii="EC Square Sans Pro" w:hAnsi="EC Square Sans Pro" w:cs="Times New Roman"/>
      <w:sz w:val="20"/>
    </w:rPr>
  </w:style>
  <w:style w:type="character" w:customStyle="1" w:styleId="SalutationChar">
    <w:name w:val="Salutation Char"/>
    <w:basedOn w:val="DefaultParagraphFont"/>
    <w:link w:val="Salutation"/>
    <w:semiHidden/>
    <w:rPr>
      <w:rFonts w:ascii="EC Square Sans Pro" w:hAnsi="EC Square Sans Pro" w:cs="Times New Roman"/>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sz w:val="20"/>
    </w:rPr>
  </w:style>
  <w:style w:type="character" w:customStyle="1" w:styleId="SignatureChar">
    <w:name w:val="Signature Char"/>
    <w:basedOn w:val="DefaultParagraphFont"/>
    <w:link w:val="Signature"/>
    <w:uiPriority w:val="99"/>
    <w:semiHidden/>
    <w:rPr>
      <w:rFonts w:ascii="EC Square Sans Pro" w:hAnsi="EC Square Sans Pro" w:cs="Times New Roman"/>
      <w:sz w:val="20"/>
    </w:rPr>
  </w:style>
  <w:style w:type="paragraph" w:styleId="TableofAuthorities">
    <w:name w:val="table of authorities"/>
    <w:basedOn w:val="Normal"/>
    <w:next w:val="Normal"/>
    <w:semiHidden/>
    <w:unhideWhenUsed/>
    <w:pPr>
      <w:spacing w:after="0" w:line="240" w:lineRule="auto"/>
      <w:ind w:left="200" w:hanging="200"/>
    </w:pPr>
    <w:rPr>
      <w:rFonts w:ascii="EC Square Sans Pro" w:hAnsi="EC Square Sans Pro" w:cs="Times New Roman"/>
      <w:sz w:val="20"/>
    </w:rPr>
  </w:style>
  <w:style w:type="paragraph" w:styleId="TOAHeading">
    <w:name w:val="toa heading"/>
    <w:basedOn w:val="Normal"/>
    <w:next w:val="Normal"/>
    <w:semiHidden/>
    <w:unhideWhenUsed/>
    <w:pPr>
      <w:spacing w:before="120" w:after="0" w:line="240" w:lineRule="auto"/>
    </w:pPr>
    <w:rPr>
      <w:rFonts w:ascii="EC Square Sans Pro" w:eastAsia="Times New Roman" w:hAnsi="EC Square Sans Pro" w:cs="Times New Roman"/>
      <w:b/>
      <w:bCs/>
      <w:sz w:val="24"/>
      <w:szCs w:val="24"/>
    </w:rPr>
  </w:style>
  <w:style w:type="character" w:customStyle="1" w:styleId="BOLDBLUE">
    <w:name w:val="BOLD BLUE"/>
    <w:basedOn w:val="BodyTextChar"/>
    <w:semiHidden/>
    <w:qFormat/>
    <w:rPr>
      <w:rFonts w:ascii="EC Square Sans Pro" w:hAnsi="EC Square Sans Pro" w:cs="Times New Roman"/>
      <w:b/>
      <w:noProof w:val="0"/>
      <w:color w:val="4472C4" w:themeColor="accent5"/>
      <w:sz w:val="20"/>
      <w:lang w:val="en-GB" w:eastAsia="fr-BE"/>
    </w:rPr>
  </w:style>
  <w:style w:type="paragraph" w:customStyle="1" w:styleId="Title1-NoTOClink">
    <w:name w:val="Title 1 - No TOC link"/>
    <w:basedOn w:val="Normal"/>
    <w:next w:val="Normal"/>
    <w:semiHidden/>
    <w:pPr>
      <w:keepNext/>
      <w:keepLines/>
      <w:pageBreakBefore/>
      <w:spacing w:after="120" w:line="240" w:lineRule="auto"/>
      <w:outlineLvl w:val="0"/>
    </w:pPr>
    <w:rPr>
      <w:rFonts w:ascii="EC Square Sans Pro" w:hAnsi="EC Square Sans Pro" w:cs="Times New Roman"/>
      <w:color w:val="4472C4" w:themeColor="accent5"/>
      <w:sz w:val="52"/>
    </w:rPr>
  </w:style>
  <w:style w:type="character" w:customStyle="1" w:styleId="fnRefNo">
    <w:name w:val="fnRefNo"/>
    <w:uiPriority w:val="1"/>
    <w:qFormat/>
    <w:rPr>
      <w:rFonts w:ascii="EC Square Sans Pro" w:hAnsi="EC Square Sans Pro"/>
      <w:b w:val="0"/>
      <w:i w:val="0"/>
      <w:noProof w:val="0"/>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semiHidden/>
    <w:qFormat/>
    <w:pPr>
      <w:keepNext/>
      <w:keepLines/>
      <w:spacing w:before="480" w:after="240" w:line="240" w:lineRule="auto"/>
    </w:pPr>
    <w:rPr>
      <w:rFonts w:ascii="EC Square Sans Pro" w:hAnsi="EC Square Sans Pro" w:cs="Times New Roman"/>
      <w:b/>
      <w:color w:val="4472C4" w:themeColor="accent5"/>
      <w:sz w:val="24"/>
      <w:lang w:eastAsia="zh-CN"/>
    </w:rPr>
  </w:style>
  <w:style w:type="character" w:customStyle="1" w:styleId="Subhead2Char">
    <w:name w:val="Subhead 2 Char"/>
    <w:basedOn w:val="DefaultParagraphFont"/>
    <w:link w:val="Subhead2"/>
    <w:semiHidden/>
    <w:rPr>
      <w:rFonts w:ascii="EC Square Sans Pro" w:hAnsi="EC Square Sans Pro" w:cs="Times New Roman"/>
      <w:b/>
      <w:color w:val="4472C4" w:themeColor="accent5"/>
      <w:sz w:val="24"/>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sz w:val="20"/>
      <w:lang w:eastAsia="fr-BE"/>
    </w:rPr>
  </w:style>
  <w:style w:type="table" w:customStyle="1" w:styleId="DocumentTable2">
    <w:name w:val="Document Table2"/>
    <w:basedOn w:val="TableNormal"/>
    <w:next w:val="TableGrid"/>
    <w:uiPriority w:val="59"/>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Annexes">
    <w:name w:val="Title 1 / Annexes"/>
    <w:basedOn w:val="Normal"/>
    <w:link w:val="Title1AnnexesChar"/>
    <w:semiHidden/>
    <w:qFormat/>
    <w:pPr>
      <w:keepNext/>
      <w:keepLines/>
      <w:pageBreakBefore/>
      <w:spacing w:before="120" w:after="120" w:line="240" w:lineRule="auto"/>
      <w:outlineLvl w:val="0"/>
    </w:pPr>
    <w:rPr>
      <w:rFonts w:ascii="EC Square Sans Pro" w:hAnsi="EC Square Sans Pro" w:cs="Times New Roman"/>
      <w:color w:val="4472C4" w:themeColor="accent5"/>
      <w:sz w:val="52"/>
      <w:lang w:eastAsia="zh-CN"/>
    </w:rPr>
  </w:style>
  <w:style w:type="character" w:customStyle="1" w:styleId="Title1AnnexesChar">
    <w:name w:val="Title 1 / Annexes Char"/>
    <w:basedOn w:val="DefaultParagraphFont"/>
    <w:link w:val="Title1Annexes"/>
    <w:semiHidden/>
    <w:rPr>
      <w:rFonts w:ascii="EC Square Sans Pro" w:hAnsi="EC Square Sans Pro" w:cs="Times New Roman"/>
      <w:color w:val="4472C4" w:themeColor="accent5"/>
      <w:sz w:val="52"/>
      <w:lang w:eastAsia="zh-CN"/>
    </w:rPr>
  </w:style>
  <w:style w:type="paragraph" w:customStyle="1" w:styleId="Annex4-subheading1">
    <w:name w:val="Annex 4 - subheading 1"/>
    <w:basedOn w:val="BodyText"/>
    <w:semiHidden/>
    <w:pPr>
      <w:keepNext/>
      <w:spacing w:before="360" w:after="240"/>
      <w:jc w:val="left"/>
    </w:pPr>
    <w:rPr>
      <w:rFonts w:eastAsia="Calibri"/>
      <w:b/>
      <w:color w:val="4472C4" w:themeColor="accent5"/>
      <w:sz w:val="24"/>
      <w:lang w:eastAsia="fr-BE"/>
    </w:rPr>
  </w:style>
  <w:style w:type="paragraph" w:customStyle="1" w:styleId="BodyText1spaceafter">
    <w:name w:val="Body Text 1 (space after)"/>
    <w:basedOn w:val="Normal"/>
    <w:next w:val="Normal"/>
    <w:semiHidden/>
    <w:pPr>
      <w:spacing w:before="120" w:after="120" w:line="240" w:lineRule="auto"/>
      <w:jc w:val="both"/>
    </w:pPr>
    <w:rPr>
      <w:rFonts w:ascii="EC Square Sans Pro" w:eastAsia="Calibri" w:hAnsi="EC Square Sans Pro" w:cs="Times New Roman"/>
      <w:color w:val="000000" w:themeColor="text1"/>
      <w:sz w:val="20"/>
      <w:lang w:eastAsia="fr-BE"/>
    </w:rPr>
  </w:style>
  <w:style w:type="character" w:customStyle="1" w:styleId="BOLDORANGEAnnexes">
    <w:name w:val="BOLD ORANGE / Annexes"/>
    <w:uiPriority w:val="1"/>
    <w:rPr>
      <w:b/>
      <w:noProof w:val="0"/>
      <w:color w:val="E48C32"/>
      <w:lang w:val="en-GB"/>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color w:val="000000"/>
      <w:sz w:val="24"/>
      <w:szCs w:val="24"/>
    </w:rPr>
  </w:style>
  <w:style w:type="character" w:styleId="Emphasis">
    <w:name w:val="Emphasis"/>
    <w:aliases w:val="AMPR Emphasis"/>
    <w:basedOn w:val="DefaultParagraphFont"/>
    <w:uiPriority w:val="20"/>
    <w:qFormat/>
    <w:rPr>
      <w:rFonts w:ascii="EC Square Sans Pro" w:hAnsi="EC Square Sans Pro"/>
      <w:i/>
      <w:iCs/>
      <w:noProof w:val="0"/>
      <w:lang w:val="en-GB"/>
    </w:rPr>
  </w:style>
  <w:style w:type="paragraph" w:customStyle="1" w:styleId="PageNumber1">
    <w:name w:val="Page Number1"/>
    <w:basedOn w:val="Footer"/>
    <w:semiHidden/>
    <w:qFormat/>
    <w:pPr>
      <w:tabs>
        <w:tab w:val="clear" w:pos="4513"/>
        <w:tab w:val="clear" w:pos="9026"/>
        <w:tab w:val="center" w:pos="4536"/>
        <w:tab w:val="right" w:pos="9072"/>
      </w:tabs>
      <w:jc w:val="center"/>
    </w:pPr>
    <w:rPr>
      <w:rFonts w:ascii="EC Square Sans Pro" w:hAnsi="EC Square Sans Pro" w:cs="Times New Roman"/>
      <w:b/>
      <w:sz w:val="16"/>
    </w:rPr>
  </w:style>
  <w:style w:type="paragraph" w:customStyle="1" w:styleId="titleheader">
    <w:name w:val="title header"/>
    <w:basedOn w:val="Header"/>
    <w:link w:val="titleheaderChar"/>
    <w:semiHidden/>
    <w:qFormat/>
    <w:pPr>
      <w:tabs>
        <w:tab w:val="clear" w:pos="4513"/>
        <w:tab w:val="clear" w:pos="9026"/>
        <w:tab w:val="center" w:pos="4536"/>
        <w:tab w:val="right" w:pos="9072"/>
      </w:tabs>
    </w:pPr>
    <w:rPr>
      <w:rFonts w:ascii="EC Square Sans Pro" w:hAnsi="EC Square Sans Pro" w:cs="Times New Roman"/>
      <w:color w:val="3FB296"/>
      <w:sz w:val="20"/>
      <w:lang w:eastAsia="fr-BE"/>
    </w:rPr>
  </w:style>
  <w:style w:type="character" w:customStyle="1" w:styleId="titleheaderChar">
    <w:name w:val="title header Char"/>
    <w:basedOn w:val="HeaderChar"/>
    <w:link w:val="titleheader"/>
    <w:semiHidden/>
    <w:rPr>
      <w:rFonts w:ascii="EC Square Sans Pro" w:hAnsi="EC Square Sans Pro" w:cs="Times New Roman"/>
      <w:color w:val="3FB296"/>
      <w:sz w:val="20"/>
      <w:lang w:eastAsia="fr-BE"/>
    </w:rPr>
  </w:style>
  <w:style w:type="paragraph" w:customStyle="1" w:styleId="BodyText1">
    <w:name w:val="Body Text 1"/>
    <w:basedOn w:val="Forewordbodytext"/>
    <w:next w:val="BodyText"/>
    <w:link w:val="BodyText1Char"/>
    <w:semiHidden/>
    <w:qFormat/>
    <w:rPr>
      <w:color w:val="000000" w:themeColor="text1"/>
      <w:sz w:val="20"/>
    </w:rPr>
  </w:style>
  <w:style w:type="character" w:customStyle="1" w:styleId="BodyText1Char">
    <w:name w:val="Body Text 1 Char"/>
    <w:basedOn w:val="ForewordbodytextChar"/>
    <w:link w:val="BodyText1"/>
    <w:semiHidden/>
    <w:rPr>
      <w:rFonts w:ascii="EC Square Sans Pro" w:hAnsi="EC Square Sans Pro" w:cs="Times New Roman"/>
      <w:color w:val="000000" w:themeColor="text1"/>
      <w:sz w:val="20"/>
      <w:lang w:eastAsia="fr-BE"/>
    </w:rPr>
  </w:style>
  <w:style w:type="paragraph" w:customStyle="1" w:styleId="BodyText1spacebeforeandafter">
    <w:name w:val="Body Text 1 (space before and after)"/>
    <w:basedOn w:val="BodyText1"/>
    <w:semiHidden/>
    <w:pPr>
      <w:spacing w:before="240" w:after="240"/>
    </w:pPr>
    <w:rPr>
      <w:rFonts w:eastAsia="Calibri"/>
    </w:rPr>
  </w:style>
  <w:style w:type="character" w:customStyle="1" w:styleId="BOLDITALICORANGEAnnexes">
    <w:name w:val="BOLD ITALIC ORANGE / Annexes"/>
    <w:basedOn w:val="BOLDORANGEAnnexes"/>
    <w:uiPriority w:val="1"/>
    <w:semiHidden/>
    <w:rPr>
      <w:b/>
      <w:i/>
      <w:noProof w:val="0"/>
      <w:color w:val="E48C32"/>
      <w:lang w:val="en-GB"/>
    </w:rPr>
  </w:style>
  <w:style w:type="character" w:customStyle="1" w:styleId="fnRef">
    <w:name w:val="fnRef"/>
    <w:uiPriority w:val="1"/>
    <w:rPr>
      <w:rFonts w:ascii="EC Square Sans Pro" w:hAnsi="EC Square Sans Pro"/>
      <w:b w:val="0"/>
      <w:i w:val="0"/>
      <w:noProof w:val="0"/>
      <w:bdr w:val="none" w:sz="0" w:space="0" w:color="auto"/>
      <w:shd w:val="clear" w:color="auto" w:fill="auto"/>
      <w:vertAlign w:val="baseline"/>
      <w:lang w:val="en-GB"/>
    </w:rPr>
  </w:style>
  <w:style w:type="paragraph" w:styleId="FootnoteText">
    <w:name w:val="footnote text"/>
    <w:basedOn w:val="footnote"/>
    <w:link w:val="FootnoteTextChar"/>
    <w:uiPriority w:val="99"/>
    <w:qFormat/>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paragraph" w:customStyle="1" w:styleId="Bulletsgreen">
    <w:name w:val="Bullets green"/>
    <w:basedOn w:val="Forewordbodytext"/>
    <w:link w:val="BulletsgreenChar"/>
    <w:semiHidden/>
    <w:qFormat/>
    <w:pPr>
      <w:numPr>
        <w:numId w:val="6"/>
      </w:numPr>
    </w:pPr>
    <w:rPr>
      <w:sz w:val="20"/>
    </w:rPr>
  </w:style>
  <w:style w:type="character" w:customStyle="1" w:styleId="PagedecouvertureChar">
    <w:name w:val="Page de couverture Char"/>
    <w:basedOn w:val="DefaultParagraphFont"/>
    <w:link w:val="Pagedecouverture"/>
    <w:rPr>
      <w:rFonts w:ascii="Times New Roman" w:hAnsi="Times New Roman" w:cs="Times New Roman"/>
      <w:sz w:val="24"/>
    </w:rPr>
  </w:style>
  <w:style w:type="paragraph" w:customStyle="1" w:styleId="SubtitleAMPR">
    <w:name w:val="Subtitle AMPR"/>
    <w:basedOn w:val="Title2Executivesummary"/>
    <w:link w:val="SubtitleAMPRChar"/>
    <w:semiHidden/>
    <w:rPr>
      <w:color w:val="65BBC8"/>
    </w:rPr>
  </w:style>
  <w:style w:type="character" w:customStyle="1" w:styleId="BulletsgreenChar">
    <w:name w:val="Bullets green Char"/>
    <w:basedOn w:val="ForewordbodytextChar"/>
    <w:link w:val="Bulletsgreen"/>
    <w:semiHidden/>
    <w:rPr>
      <w:rFonts w:ascii="EC Square Sans Pro" w:hAnsi="EC Square Sans Pro" w:cs="Times New Roman"/>
      <w:sz w:val="20"/>
      <w:lang w:eastAsia="fr-BE"/>
    </w:rPr>
  </w:style>
  <w:style w:type="paragraph" w:customStyle="1" w:styleId="Title1">
    <w:name w:val="Title1"/>
    <w:basedOn w:val="Normal"/>
    <w:next w:val="Normal"/>
    <w:semiHidden/>
    <w:qFormat/>
    <w:pPr>
      <w:pBdr>
        <w:bottom w:val="single" w:sz="8" w:space="4" w:color="65BBC8"/>
      </w:pBdr>
      <w:spacing w:after="300" w:line="240" w:lineRule="auto"/>
      <w:contextualSpacing/>
    </w:pPr>
    <w:rPr>
      <w:rFonts w:ascii="EC Square Sans Pro" w:eastAsia="Malgun Gothic Semilight" w:hAnsi="EC Square Sans Pro" w:cs="Times New Roman"/>
      <w:color w:val="A1A1A1"/>
      <w:spacing w:val="5"/>
      <w:kern w:val="28"/>
      <w:sz w:val="52"/>
      <w:szCs w:val="52"/>
    </w:rPr>
  </w:style>
  <w:style w:type="character" w:customStyle="1" w:styleId="TitleChar">
    <w:name w:val="Title Char"/>
    <w:basedOn w:val="DefaultParagraphFont"/>
    <w:link w:val="Title"/>
    <w:rPr>
      <w:rFonts w:ascii="EC Square Sans Pro" w:eastAsia="Malgun Gothic Semilight" w:hAnsi="EC Square Sans Pro" w:cs="Times New Roman"/>
      <w:color w:val="A1A1A1"/>
      <w:spacing w:val="5"/>
      <w:kern w:val="28"/>
      <w:sz w:val="52"/>
      <w:szCs w:val="52"/>
    </w:rPr>
  </w:style>
  <w:style w:type="paragraph" w:styleId="NormalWeb">
    <w:name w:val="Normal (Web)"/>
    <w:basedOn w:val="Normal"/>
    <w:uiPriority w:val="99"/>
    <w:semiHidden/>
    <w:unhideWhenUsed/>
    <w:pPr>
      <w:spacing w:after="0" w:line="240" w:lineRule="auto"/>
    </w:pPr>
    <w:rPr>
      <w:rFonts w:ascii="EC Square Sans Pro" w:eastAsia="Times New Roman" w:hAnsi="EC Square Sans Pro" w:cs="Times New Roman"/>
      <w:sz w:val="20"/>
      <w:szCs w:val="20"/>
      <w:lang w:eastAsia="zh-CN"/>
    </w:rPr>
  </w:style>
  <w:style w:type="paragraph" w:customStyle="1" w:styleId="TITLE3Executivesummary">
    <w:name w:val="TITLE 3 / Executive summary"/>
    <w:basedOn w:val="Normal"/>
    <w:link w:val="TITLE3ExecutivesummaryChar"/>
    <w:semiHidden/>
    <w:qFormat/>
    <w:pPr>
      <w:numPr>
        <w:numId w:val="10"/>
      </w:numPr>
      <w:spacing w:before="240" w:after="240" w:line="240" w:lineRule="auto"/>
      <w:outlineLvl w:val="2"/>
    </w:pPr>
    <w:rPr>
      <w:rFonts w:ascii="EC Square Sans Pro" w:hAnsi="EC Square Sans Pro" w:cs="Times New Roman"/>
      <w:b/>
      <w:color w:val="08AA74"/>
      <w:sz w:val="24"/>
      <w:lang w:eastAsia="zh-CN"/>
    </w:rPr>
  </w:style>
  <w:style w:type="character" w:customStyle="1" w:styleId="SubtitleAMPRChar">
    <w:name w:val="Subtitle AMPR Char"/>
    <w:basedOn w:val="Title2ExecutivesummaryChar"/>
    <w:link w:val="SubtitleAMPR"/>
    <w:semiHidden/>
    <w:rPr>
      <w:rFonts w:ascii="EC Square Sans Pro" w:eastAsia="EC Square Sans Pro" w:hAnsi="EC Square Sans Pro" w:cs="Times New Roman"/>
      <w:b/>
      <w:color w:val="65BBC8"/>
      <w:sz w:val="28"/>
      <w:szCs w:val="21"/>
      <w:lang w:eastAsia="zh-CN"/>
    </w:rPr>
  </w:style>
  <w:style w:type="character" w:styleId="CommentReference">
    <w:name w:val="annotation reference"/>
    <w:basedOn w:val="DefaultParagraphFont"/>
    <w:uiPriority w:val="99"/>
    <w:semiHidden/>
    <w:unhideWhenUsed/>
    <w:qFormat/>
    <w:rPr>
      <w:rFonts w:ascii="EC Square Sans Pro" w:hAnsi="EC Square Sans Pro"/>
      <w:noProof w:val="0"/>
      <w:w w:val="100"/>
      <w:sz w:val="16"/>
      <w:szCs w:val="16"/>
      <w:shd w:val="clear" w:color="auto" w:fill="auto"/>
      <w:lang w:val="en-GB"/>
    </w:rPr>
  </w:style>
  <w:style w:type="paragraph" w:customStyle="1" w:styleId="Annualmgntandperformance">
    <w:name w:val="Annual mgnt and performance"/>
    <w:basedOn w:val="TITLE1Report"/>
    <w:link w:val="AnnualmgntandperformanceChar"/>
    <w:semiHidden/>
    <w:qFormat/>
    <w:pPr>
      <w:keepNext w:val="0"/>
      <w:keepLines w:val="0"/>
      <w:pageBreakBefore w:val="0"/>
      <w:spacing w:before="120"/>
    </w:pPr>
    <w:rPr>
      <w:color w:val="65BBC8"/>
      <w:lang w:eastAsia="zh-CN"/>
    </w:rPr>
  </w:style>
  <w:style w:type="paragraph" w:customStyle="1" w:styleId="bulletsblue">
    <w:name w:val="bullets blue"/>
    <w:basedOn w:val="BodyText1"/>
    <w:link w:val="bulletsblueChar"/>
    <w:semiHidden/>
    <w:qFormat/>
    <w:pPr>
      <w:numPr>
        <w:numId w:val="9"/>
      </w:numPr>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EC Square Sans Pro" w:hAnsi="EC Square Sans Pro" w:cs="Times New Roman"/>
      <w:sz w:val="20"/>
    </w:rPr>
  </w:style>
  <w:style w:type="paragraph" w:customStyle="1" w:styleId="CommentText1">
    <w:name w:val="Comment Text1"/>
    <w:basedOn w:val="Normal"/>
    <w:next w:val="CommentText"/>
    <w:uiPriority w:val="99"/>
    <w:semiHidden/>
    <w:unhideWhenUsed/>
    <w:qFormat/>
    <w:pPr>
      <w:spacing w:after="0" w:line="240" w:lineRule="auto"/>
    </w:pPr>
    <w:rPr>
      <w:rFonts w:ascii="EC Square Sans Pro" w:hAnsi="EC Square Sans Pro" w:cs="Times New Roman"/>
      <w:sz w:val="20"/>
      <w:szCs w:val="20"/>
    </w:rPr>
  </w:style>
  <w:style w:type="character" w:customStyle="1" w:styleId="st">
    <w:name w:val="st"/>
    <w:basedOn w:val="DefaultParagraphFont"/>
    <w:semiHidden/>
    <w:rPr>
      <w:rFonts w:ascii="EC Square Sans Pro" w:hAnsi="EC Square Sans Pro"/>
      <w:noProof w:val="0"/>
      <w:lang w:val="en-GB"/>
    </w:rPr>
  </w:style>
  <w:style w:type="paragraph" w:customStyle="1" w:styleId="Text1">
    <w:name w:val="Text 1"/>
    <w:basedOn w:val="Normal"/>
    <w:pPr>
      <w:spacing w:before="120" w:after="120" w:line="240" w:lineRule="auto"/>
      <w:ind w:left="850"/>
      <w:jc w:val="both"/>
    </w:pPr>
    <w:rPr>
      <w:rFonts w:ascii="EC Square Sans Pro" w:eastAsia="Times New Roman" w:hAnsi="EC Square Sans Pro" w:cs="Times New Roman"/>
      <w:sz w:val="24"/>
      <w:szCs w:val="24"/>
    </w:rPr>
  </w:style>
  <w:style w:type="character" w:styleId="Strong">
    <w:name w:val="Strong"/>
    <w:basedOn w:val="DefaultParagraphFont"/>
    <w:uiPriority w:val="22"/>
    <w:qFormat/>
    <w:rPr>
      <w:rFonts w:ascii="EC Square Sans Pro" w:hAnsi="EC Square Sans Pro"/>
      <w:b/>
      <w:bCs/>
      <w:noProof w:val="0"/>
      <w:lang w:val="en-GB"/>
    </w:rPr>
  </w:style>
  <w:style w:type="character" w:customStyle="1" w:styleId="TITLE3ExecutivesummaryChar">
    <w:name w:val="TITLE 3 / Executive summary Char"/>
    <w:basedOn w:val="DefaultParagraphFont"/>
    <w:link w:val="TITLE3Executivesummary"/>
    <w:semiHidden/>
    <w:rPr>
      <w:rFonts w:ascii="EC Square Sans Pro" w:hAnsi="EC Square Sans Pro" w:cs="Times New Roman"/>
      <w:b/>
      <w:color w:val="08AA74"/>
      <w:sz w:val="24"/>
      <w:lang w:eastAsia="zh-CN"/>
    </w:rPr>
  </w:style>
  <w:style w:type="character" w:customStyle="1" w:styleId="leaf">
    <w:name w:val="leaf"/>
    <w:basedOn w:val="DefaultParagraphFont"/>
    <w:semiHidden/>
    <w:rPr>
      <w:rFonts w:ascii="EC Square Sans Pro" w:hAnsi="EC Square Sans Pro"/>
      <w:noProof w:val="0"/>
      <w:lang w:val="en-GB"/>
    </w:rPr>
  </w:style>
  <w:style w:type="paragraph" w:customStyle="1" w:styleId="PSParagraphTitle">
    <w:name w:val="PS_Paragraph_Title"/>
    <w:basedOn w:val="Normal"/>
    <w:link w:val="PSParagraphTitleChar"/>
    <w:semiHidden/>
    <w:qFormat/>
    <w:pPr>
      <w:spacing w:before="120" w:after="120" w:line="240" w:lineRule="auto"/>
      <w:jc w:val="both"/>
    </w:pPr>
    <w:rPr>
      <w:rFonts w:ascii="EC Square Sans Pro" w:eastAsia="Times New Roman" w:hAnsi="EC Square Sans Pro" w:cs="Times New Roman"/>
      <w:b/>
      <w:i/>
      <w:sz w:val="20"/>
      <w:szCs w:val="20"/>
      <w:lang w:eastAsia="en-GB"/>
    </w:rPr>
  </w:style>
  <w:style w:type="character" w:customStyle="1" w:styleId="PSParagraphTitleChar">
    <w:name w:val="PS_Paragraph_Title Char"/>
    <w:basedOn w:val="DefaultParagraphFont"/>
    <w:link w:val="PSParagraphTitle"/>
    <w:semiHidden/>
    <w:rPr>
      <w:rFonts w:ascii="EC Square Sans Pro" w:eastAsia="Times New Roman" w:hAnsi="EC Square Sans Pro" w:cs="Times New Roman"/>
      <w:b/>
      <w:i/>
      <w:sz w:val="20"/>
      <w:szCs w:val="20"/>
      <w:lang w:eastAsia="en-GB"/>
    </w:rPr>
  </w:style>
  <w:style w:type="paragraph" w:customStyle="1" w:styleId="PSParagraphText">
    <w:name w:val="PS_Paragraph_Text"/>
    <w:basedOn w:val="Normal"/>
    <w:link w:val="PSParagraphTextChar"/>
    <w:semiHidden/>
    <w:qFormat/>
    <w:pPr>
      <w:spacing w:after="120" w:line="240" w:lineRule="auto"/>
      <w:jc w:val="both"/>
    </w:pPr>
    <w:rPr>
      <w:rFonts w:ascii="EC Square Sans Pro" w:eastAsia="Times New Roman" w:hAnsi="EC Square Sans Pro" w:cs="Times New Roman"/>
      <w:sz w:val="20"/>
      <w:szCs w:val="20"/>
      <w:lang w:eastAsia="en-GB"/>
    </w:rPr>
  </w:style>
  <w:style w:type="character" w:customStyle="1" w:styleId="PSParagraphTextChar">
    <w:name w:val="PS_Paragraph_Text Char"/>
    <w:basedOn w:val="DefaultParagraphFont"/>
    <w:link w:val="PSParagraphText"/>
    <w:semiHidden/>
    <w:rPr>
      <w:rFonts w:ascii="EC Square Sans Pro" w:eastAsia="Times New Roman" w:hAnsi="EC Square Sans Pro" w:cs="Times New Roman"/>
      <w:sz w:val="20"/>
      <w:szCs w:val="20"/>
      <w:lang w:eastAsia="en-GB"/>
    </w:rPr>
  </w:style>
  <w:style w:type="paragraph" w:customStyle="1" w:styleId="TOCHeading1">
    <w:name w:val="TOC Heading1"/>
    <w:basedOn w:val="Normal"/>
    <w:next w:val="Normal"/>
    <w:uiPriority w:val="39"/>
    <w:semiHidden/>
    <w:unhideWhenUsed/>
    <w:qFormat/>
    <w:pPr>
      <w:numPr>
        <w:numId w:val="25"/>
      </w:numPr>
      <w:spacing w:before="120" w:after="240" w:line="240" w:lineRule="auto"/>
      <w:ind w:left="0" w:firstLine="0"/>
      <w:jc w:val="center"/>
    </w:pPr>
    <w:rPr>
      <w:rFonts w:ascii="EC Square Sans Pro" w:hAnsi="EC Square Sans Pro" w:cs="Times New Roman"/>
      <w:b/>
      <w:sz w:val="28"/>
    </w:rPr>
  </w:style>
  <w:style w:type="character" w:customStyle="1" w:styleId="bulletsblueChar">
    <w:name w:val="bullets blue Char"/>
    <w:basedOn w:val="ForewordbodytextChar"/>
    <w:link w:val="bulletsblue"/>
    <w:semiHidden/>
    <w:rPr>
      <w:rFonts w:ascii="EC Square Sans Pro" w:hAnsi="EC Square Sans Pro" w:cs="Times New Roman"/>
      <w:color w:val="000000" w:themeColor="text1"/>
      <w:sz w:val="20"/>
      <w:lang w:eastAsia="fr-BE"/>
    </w:rPr>
  </w:style>
  <w:style w:type="paragraph" w:customStyle="1" w:styleId="HeaderLandscape">
    <w:name w:val="HeaderLandscape"/>
    <w:basedOn w:val="Normal"/>
    <w:semiHidden/>
    <w:pPr>
      <w:tabs>
        <w:tab w:val="center" w:pos="7285"/>
        <w:tab w:val="right" w:pos="14003"/>
      </w:tabs>
      <w:spacing w:after="120" w:line="240" w:lineRule="auto"/>
      <w:jc w:val="both"/>
    </w:pPr>
    <w:rPr>
      <w:rFonts w:ascii="EC Square Sans Pro" w:hAnsi="EC Square Sans Pro" w:cs="Times New Roman"/>
      <w:sz w:val="24"/>
    </w:rPr>
  </w:style>
  <w:style w:type="paragraph" w:customStyle="1" w:styleId="Text2">
    <w:name w:val="Text 2"/>
    <w:basedOn w:val="Normal"/>
    <w:link w:val="Text2Char"/>
    <w:semiHidden/>
    <w:pPr>
      <w:spacing w:before="120" w:after="120" w:line="240" w:lineRule="auto"/>
      <w:ind w:left="1417"/>
      <w:jc w:val="both"/>
    </w:pPr>
    <w:rPr>
      <w:rFonts w:ascii="EC Square Sans Pro" w:hAnsi="EC Square Sans Pro" w:cs="Times New Roman"/>
      <w:sz w:val="24"/>
    </w:rPr>
  </w:style>
  <w:style w:type="paragraph" w:customStyle="1" w:styleId="Text3">
    <w:name w:val="Text 3"/>
    <w:basedOn w:val="Normal"/>
    <w:semiHidden/>
    <w:pPr>
      <w:spacing w:before="120" w:after="120" w:line="240" w:lineRule="auto"/>
      <w:ind w:left="1984"/>
      <w:jc w:val="both"/>
    </w:pPr>
    <w:rPr>
      <w:rFonts w:ascii="EC Square Sans Pro" w:hAnsi="EC Square Sans Pro" w:cs="Times New Roman"/>
      <w:sz w:val="24"/>
    </w:rPr>
  </w:style>
  <w:style w:type="paragraph" w:customStyle="1" w:styleId="Text4">
    <w:name w:val="Text 4"/>
    <w:basedOn w:val="Normal"/>
    <w:semiHidden/>
    <w:pPr>
      <w:spacing w:before="120" w:after="120" w:line="240" w:lineRule="auto"/>
      <w:ind w:left="2551"/>
      <w:jc w:val="both"/>
    </w:pPr>
    <w:rPr>
      <w:rFonts w:ascii="EC Square Sans Pro" w:hAnsi="EC Square Sans Pro" w:cs="Times New Roman"/>
      <w:sz w:val="24"/>
    </w:rPr>
  </w:style>
  <w:style w:type="paragraph" w:customStyle="1" w:styleId="NormalCentered">
    <w:name w:val="Normal Centered"/>
    <w:basedOn w:val="Normal"/>
    <w:semiHidden/>
    <w:pPr>
      <w:spacing w:before="120" w:after="120" w:line="240" w:lineRule="auto"/>
      <w:jc w:val="center"/>
    </w:pPr>
    <w:rPr>
      <w:rFonts w:ascii="EC Square Sans Pro" w:hAnsi="EC Square Sans Pro" w:cs="Times New Roman"/>
      <w:sz w:val="24"/>
    </w:rPr>
  </w:style>
  <w:style w:type="paragraph" w:customStyle="1" w:styleId="NormalLeft">
    <w:name w:val="Normal Left"/>
    <w:basedOn w:val="Normal"/>
    <w:semiHidden/>
    <w:pPr>
      <w:spacing w:before="120" w:after="120" w:line="240" w:lineRule="auto"/>
    </w:pPr>
    <w:rPr>
      <w:rFonts w:ascii="EC Square Sans Pro" w:hAnsi="EC Square Sans Pro" w:cs="Times New Roman"/>
      <w:sz w:val="24"/>
    </w:rPr>
  </w:style>
  <w:style w:type="paragraph" w:customStyle="1" w:styleId="NormalRight">
    <w:name w:val="Normal Right"/>
    <w:basedOn w:val="Normal"/>
    <w:semiHidden/>
    <w:pPr>
      <w:spacing w:before="120" w:after="120" w:line="240" w:lineRule="auto"/>
      <w:jc w:val="right"/>
    </w:pPr>
    <w:rPr>
      <w:rFonts w:ascii="EC Square Sans Pro" w:hAnsi="EC Square Sans Pro" w:cs="Times New Roman"/>
      <w:sz w:val="24"/>
    </w:rPr>
  </w:style>
  <w:style w:type="paragraph" w:customStyle="1" w:styleId="QuotedText">
    <w:name w:val="Quoted Text"/>
    <w:basedOn w:val="Normal"/>
    <w:link w:val="QuotedTextChar"/>
    <w:semiHidden/>
    <w:pPr>
      <w:spacing w:before="120" w:after="120" w:line="240" w:lineRule="auto"/>
      <w:ind w:left="1417"/>
      <w:jc w:val="both"/>
    </w:pPr>
    <w:rPr>
      <w:rFonts w:ascii="EC Square Sans Pro" w:hAnsi="EC Square Sans Pro" w:cs="Times New Roman"/>
      <w:i/>
      <w:sz w:val="28"/>
    </w:rPr>
  </w:style>
  <w:style w:type="paragraph" w:customStyle="1" w:styleId="Point0">
    <w:name w:val="Point 0"/>
    <w:basedOn w:val="Normal"/>
    <w:semiHidden/>
    <w:pPr>
      <w:spacing w:before="120" w:after="120" w:line="240" w:lineRule="auto"/>
      <w:ind w:left="850" w:hanging="850"/>
      <w:jc w:val="both"/>
    </w:pPr>
    <w:rPr>
      <w:rFonts w:ascii="EC Square Sans Pro" w:hAnsi="EC Square Sans Pro" w:cs="Times New Roman"/>
      <w:sz w:val="24"/>
    </w:rPr>
  </w:style>
  <w:style w:type="paragraph" w:customStyle="1" w:styleId="Point1">
    <w:name w:val="Point 1"/>
    <w:basedOn w:val="Normal"/>
    <w:semiHidden/>
    <w:pPr>
      <w:spacing w:before="120" w:after="120" w:line="240" w:lineRule="auto"/>
      <w:ind w:left="1417" w:hanging="567"/>
      <w:jc w:val="both"/>
    </w:pPr>
    <w:rPr>
      <w:rFonts w:ascii="EC Square Sans Pro" w:hAnsi="EC Square Sans Pro" w:cs="Times New Roman"/>
      <w:sz w:val="24"/>
    </w:rPr>
  </w:style>
  <w:style w:type="paragraph" w:customStyle="1" w:styleId="Point2">
    <w:name w:val="Point 2"/>
    <w:basedOn w:val="Normal"/>
    <w:semiHidden/>
    <w:pPr>
      <w:spacing w:before="120" w:after="120" w:line="240" w:lineRule="auto"/>
      <w:ind w:left="1984" w:hanging="567"/>
      <w:jc w:val="both"/>
    </w:pPr>
    <w:rPr>
      <w:rFonts w:ascii="EC Square Sans Pro" w:hAnsi="EC Square Sans Pro" w:cs="Times New Roman"/>
      <w:sz w:val="24"/>
    </w:rPr>
  </w:style>
  <w:style w:type="paragraph" w:customStyle="1" w:styleId="Point3">
    <w:name w:val="Point 3"/>
    <w:basedOn w:val="Normal"/>
    <w:semiHidden/>
    <w:pPr>
      <w:spacing w:before="120" w:after="120" w:line="240" w:lineRule="auto"/>
      <w:ind w:left="2551" w:hanging="567"/>
      <w:jc w:val="both"/>
    </w:pPr>
    <w:rPr>
      <w:rFonts w:ascii="EC Square Sans Pro" w:hAnsi="EC Square Sans Pro" w:cs="Times New Roman"/>
      <w:sz w:val="24"/>
    </w:rPr>
  </w:style>
  <w:style w:type="paragraph" w:customStyle="1" w:styleId="Point4">
    <w:name w:val="Point 4"/>
    <w:basedOn w:val="Normal"/>
    <w:semiHidden/>
    <w:pPr>
      <w:spacing w:before="120" w:after="120" w:line="240" w:lineRule="auto"/>
      <w:ind w:left="3118" w:hanging="567"/>
      <w:jc w:val="both"/>
    </w:pPr>
    <w:rPr>
      <w:rFonts w:ascii="EC Square Sans Pro" w:hAnsi="EC Square Sans Pro" w:cs="Times New Roman"/>
      <w:sz w:val="24"/>
    </w:rPr>
  </w:style>
  <w:style w:type="paragraph" w:customStyle="1" w:styleId="Tiret0">
    <w:name w:val="Tiret 0"/>
    <w:basedOn w:val="Point0"/>
    <w:semiHidden/>
    <w:pPr>
      <w:ind w:left="720" w:hanging="360"/>
    </w:pPr>
  </w:style>
  <w:style w:type="paragraph" w:customStyle="1" w:styleId="Tiret1">
    <w:name w:val="Tiret 1"/>
    <w:basedOn w:val="Point1"/>
    <w:semiHidden/>
    <w:pPr>
      <w:tabs>
        <w:tab w:val="num" w:pos="1492"/>
      </w:tabs>
      <w:ind w:left="1492" w:hanging="360"/>
    </w:pPr>
  </w:style>
  <w:style w:type="paragraph" w:customStyle="1" w:styleId="Tiret2">
    <w:name w:val="Tiret 2"/>
    <w:basedOn w:val="Point2"/>
    <w:semiHidden/>
    <w:pPr>
      <w:tabs>
        <w:tab w:val="num" w:pos="1492"/>
      </w:tabs>
      <w:ind w:left="1492" w:hanging="360"/>
    </w:pPr>
  </w:style>
  <w:style w:type="paragraph" w:customStyle="1" w:styleId="Tiret3">
    <w:name w:val="Tiret 3"/>
    <w:basedOn w:val="Point3"/>
    <w:semiHidden/>
    <w:pPr>
      <w:ind w:left="720" w:hanging="360"/>
    </w:pPr>
  </w:style>
  <w:style w:type="paragraph" w:customStyle="1" w:styleId="Tiret4">
    <w:name w:val="Tiret 4"/>
    <w:basedOn w:val="Point4"/>
    <w:semiHidden/>
    <w:pPr>
      <w:ind w:left="720" w:hanging="360"/>
    </w:pPr>
  </w:style>
  <w:style w:type="paragraph" w:customStyle="1" w:styleId="PointDouble0">
    <w:name w:val="PointDouble 0"/>
    <w:basedOn w:val="Normal"/>
    <w:semiHidden/>
    <w:pPr>
      <w:tabs>
        <w:tab w:val="left" w:pos="850"/>
      </w:tabs>
      <w:spacing w:before="120" w:after="120" w:line="240" w:lineRule="auto"/>
      <w:ind w:left="1417" w:hanging="1417"/>
      <w:jc w:val="both"/>
    </w:pPr>
    <w:rPr>
      <w:rFonts w:ascii="EC Square Sans Pro" w:hAnsi="EC Square Sans Pro" w:cs="Times New Roman"/>
      <w:sz w:val="24"/>
    </w:rPr>
  </w:style>
  <w:style w:type="paragraph" w:customStyle="1" w:styleId="PointDouble1">
    <w:name w:val="PointDouble 1"/>
    <w:basedOn w:val="Normal"/>
    <w:semiHidden/>
    <w:pPr>
      <w:tabs>
        <w:tab w:val="left" w:pos="1417"/>
      </w:tabs>
      <w:spacing w:before="120" w:after="120" w:line="240" w:lineRule="auto"/>
      <w:ind w:left="1984" w:hanging="1134"/>
      <w:jc w:val="both"/>
    </w:pPr>
    <w:rPr>
      <w:rFonts w:ascii="EC Square Sans Pro" w:hAnsi="EC Square Sans Pro" w:cs="Times New Roman"/>
      <w:sz w:val="24"/>
    </w:rPr>
  </w:style>
  <w:style w:type="paragraph" w:customStyle="1" w:styleId="PointDouble2">
    <w:name w:val="PointDouble 2"/>
    <w:basedOn w:val="Normal"/>
    <w:semiHidden/>
    <w:pPr>
      <w:tabs>
        <w:tab w:val="left" w:pos="1984"/>
      </w:tabs>
      <w:spacing w:before="120" w:after="120" w:line="240" w:lineRule="auto"/>
      <w:ind w:left="2551" w:hanging="1134"/>
      <w:jc w:val="both"/>
    </w:pPr>
    <w:rPr>
      <w:rFonts w:ascii="EC Square Sans Pro" w:hAnsi="EC Square Sans Pro" w:cs="Times New Roman"/>
      <w:sz w:val="24"/>
    </w:rPr>
  </w:style>
  <w:style w:type="paragraph" w:customStyle="1" w:styleId="PointDouble3">
    <w:name w:val="PointDouble 3"/>
    <w:basedOn w:val="Normal"/>
    <w:semiHidden/>
    <w:pPr>
      <w:tabs>
        <w:tab w:val="left" w:pos="2551"/>
      </w:tabs>
      <w:spacing w:before="120" w:after="120" w:line="240" w:lineRule="auto"/>
      <w:ind w:left="3118" w:hanging="1134"/>
      <w:jc w:val="both"/>
    </w:pPr>
    <w:rPr>
      <w:rFonts w:ascii="EC Square Sans Pro" w:hAnsi="EC Square Sans Pro" w:cs="Times New Roman"/>
      <w:sz w:val="24"/>
    </w:rPr>
  </w:style>
  <w:style w:type="paragraph" w:customStyle="1" w:styleId="PointDouble4">
    <w:name w:val="PointDouble 4"/>
    <w:basedOn w:val="Normal"/>
    <w:semiHidden/>
    <w:pPr>
      <w:tabs>
        <w:tab w:val="left" w:pos="3118"/>
      </w:tabs>
      <w:spacing w:before="120" w:after="120" w:line="240" w:lineRule="auto"/>
      <w:ind w:left="3685" w:hanging="1134"/>
      <w:jc w:val="both"/>
    </w:pPr>
    <w:rPr>
      <w:rFonts w:ascii="EC Square Sans Pro" w:hAnsi="EC Square Sans Pro" w:cs="Times New Roman"/>
      <w:sz w:val="24"/>
    </w:rPr>
  </w:style>
  <w:style w:type="paragraph" w:customStyle="1" w:styleId="PointTriple0">
    <w:name w:val="PointTriple 0"/>
    <w:basedOn w:val="Normal"/>
    <w:semiHidden/>
    <w:pPr>
      <w:tabs>
        <w:tab w:val="left" w:pos="850"/>
        <w:tab w:val="left" w:pos="1417"/>
      </w:tabs>
      <w:spacing w:before="120" w:after="120" w:line="240" w:lineRule="auto"/>
      <w:ind w:left="1984" w:hanging="1984"/>
      <w:jc w:val="both"/>
    </w:pPr>
    <w:rPr>
      <w:rFonts w:ascii="EC Square Sans Pro" w:hAnsi="EC Square Sans Pro" w:cs="Times New Roman"/>
      <w:sz w:val="24"/>
    </w:rPr>
  </w:style>
  <w:style w:type="paragraph" w:customStyle="1" w:styleId="PointTriple1">
    <w:name w:val="PointTriple 1"/>
    <w:basedOn w:val="Normal"/>
    <w:semiHidden/>
    <w:pPr>
      <w:tabs>
        <w:tab w:val="left" w:pos="1417"/>
        <w:tab w:val="left" w:pos="1984"/>
      </w:tabs>
      <w:spacing w:before="120" w:after="120" w:line="240" w:lineRule="auto"/>
      <w:ind w:left="2551" w:hanging="1701"/>
      <w:jc w:val="both"/>
    </w:pPr>
    <w:rPr>
      <w:rFonts w:ascii="EC Square Sans Pro" w:hAnsi="EC Square Sans Pro" w:cs="Times New Roman"/>
      <w:sz w:val="24"/>
    </w:rPr>
  </w:style>
  <w:style w:type="paragraph" w:customStyle="1" w:styleId="PointTriple2">
    <w:name w:val="PointTriple 2"/>
    <w:basedOn w:val="Normal"/>
    <w:semiHidden/>
    <w:pPr>
      <w:tabs>
        <w:tab w:val="left" w:pos="1984"/>
        <w:tab w:val="left" w:pos="2551"/>
      </w:tabs>
      <w:spacing w:before="120" w:after="120" w:line="240" w:lineRule="auto"/>
      <w:ind w:left="3118" w:hanging="1701"/>
      <w:jc w:val="both"/>
    </w:pPr>
    <w:rPr>
      <w:rFonts w:ascii="EC Square Sans Pro" w:hAnsi="EC Square Sans Pro" w:cs="Times New Roman"/>
      <w:sz w:val="24"/>
    </w:rPr>
  </w:style>
  <w:style w:type="paragraph" w:customStyle="1" w:styleId="PointTriple3">
    <w:name w:val="PointTriple 3"/>
    <w:basedOn w:val="Normal"/>
    <w:semiHidden/>
    <w:pPr>
      <w:tabs>
        <w:tab w:val="left" w:pos="2551"/>
        <w:tab w:val="left" w:pos="3118"/>
      </w:tabs>
      <w:spacing w:before="120" w:after="120" w:line="240" w:lineRule="auto"/>
      <w:ind w:left="3685" w:hanging="1701"/>
      <w:jc w:val="both"/>
    </w:pPr>
    <w:rPr>
      <w:rFonts w:ascii="EC Square Sans Pro" w:hAnsi="EC Square Sans Pro" w:cs="Times New Roman"/>
      <w:sz w:val="24"/>
    </w:rPr>
  </w:style>
  <w:style w:type="paragraph" w:customStyle="1" w:styleId="PointTriple4">
    <w:name w:val="PointTriple 4"/>
    <w:basedOn w:val="Normal"/>
    <w:semiHidden/>
    <w:pPr>
      <w:tabs>
        <w:tab w:val="left" w:pos="3118"/>
        <w:tab w:val="left" w:pos="3685"/>
      </w:tabs>
      <w:spacing w:before="120" w:after="120" w:line="240" w:lineRule="auto"/>
      <w:ind w:left="4252" w:hanging="1701"/>
      <w:jc w:val="both"/>
    </w:pPr>
    <w:rPr>
      <w:rFonts w:ascii="EC Square Sans Pro" w:hAnsi="EC Square Sans Pro" w:cs="Times New Roman"/>
      <w:sz w:val="24"/>
    </w:rPr>
  </w:style>
  <w:style w:type="paragraph" w:customStyle="1" w:styleId="NumPar1">
    <w:name w:val="NumPar 1"/>
    <w:basedOn w:val="Normal"/>
    <w:next w:val="Text1"/>
    <w:semiHidden/>
    <w:pPr>
      <w:spacing w:before="120" w:after="120" w:line="240" w:lineRule="auto"/>
      <w:ind w:left="720" w:hanging="360"/>
      <w:jc w:val="both"/>
    </w:pPr>
    <w:rPr>
      <w:rFonts w:ascii="EC Square Sans Pro" w:hAnsi="EC Square Sans Pro" w:cs="Times New Roman"/>
      <w:sz w:val="24"/>
    </w:rPr>
  </w:style>
  <w:style w:type="paragraph" w:customStyle="1" w:styleId="NumPar2">
    <w:name w:val="NumPar 2"/>
    <w:basedOn w:val="Normal"/>
    <w:next w:val="Text1"/>
    <w:semiHidden/>
    <w:pPr>
      <w:spacing w:before="120" w:after="120" w:line="240" w:lineRule="auto"/>
      <w:ind w:left="1440" w:hanging="360"/>
      <w:jc w:val="both"/>
    </w:pPr>
    <w:rPr>
      <w:rFonts w:ascii="EC Square Sans Pro" w:hAnsi="EC Square Sans Pro" w:cs="Times New Roman"/>
      <w:sz w:val="24"/>
    </w:rPr>
  </w:style>
  <w:style w:type="paragraph" w:customStyle="1" w:styleId="NumPar3">
    <w:name w:val="NumPar 3"/>
    <w:basedOn w:val="Normal"/>
    <w:next w:val="Text1"/>
    <w:semiHidden/>
    <w:pPr>
      <w:spacing w:before="120" w:after="120" w:line="240" w:lineRule="auto"/>
      <w:ind w:left="2160" w:hanging="360"/>
      <w:jc w:val="both"/>
    </w:pPr>
    <w:rPr>
      <w:rFonts w:ascii="EC Square Sans Pro" w:hAnsi="EC Square Sans Pro" w:cs="Times New Roman"/>
      <w:sz w:val="24"/>
    </w:rPr>
  </w:style>
  <w:style w:type="paragraph" w:customStyle="1" w:styleId="NumPar4">
    <w:name w:val="NumPar 4"/>
    <w:basedOn w:val="Normal"/>
    <w:next w:val="Text1"/>
    <w:semiHidden/>
    <w:pPr>
      <w:spacing w:before="120" w:after="120" w:line="240" w:lineRule="auto"/>
      <w:ind w:left="2880" w:hanging="360"/>
      <w:jc w:val="both"/>
    </w:pPr>
    <w:rPr>
      <w:rFonts w:ascii="EC Square Sans Pro" w:hAnsi="EC Square Sans Pro" w:cs="Times New Roman"/>
      <w:sz w:val="24"/>
    </w:rPr>
  </w:style>
  <w:style w:type="paragraph" w:customStyle="1" w:styleId="ManualNumPar1">
    <w:name w:val="Manual NumPar 1"/>
    <w:basedOn w:val="Normal"/>
    <w:next w:val="Text1"/>
    <w:semiHidden/>
    <w:pPr>
      <w:spacing w:before="120" w:after="120" w:line="240" w:lineRule="auto"/>
      <w:ind w:left="850" w:hanging="850"/>
      <w:jc w:val="both"/>
    </w:pPr>
    <w:rPr>
      <w:rFonts w:ascii="EC Square Sans Pro" w:hAnsi="EC Square Sans Pro" w:cs="Times New Roman"/>
      <w:sz w:val="24"/>
    </w:rPr>
  </w:style>
  <w:style w:type="paragraph" w:customStyle="1" w:styleId="ManualNumPar2">
    <w:name w:val="Manual NumPar 2"/>
    <w:basedOn w:val="Normal"/>
    <w:next w:val="Text1"/>
    <w:semiHidden/>
    <w:pPr>
      <w:spacing w:before="120" w:after="120" w:line="240" w:lineRule="auto"/>
      <w:ind w:left="850" w:hanging="850"/>
      <w:jc w:val="both"/>
    </w:pPr>
    <w:rPr>
      <w:rFonts w:ascii="EC Square Sans Pro" w:hAnsi="EC Square Sans Pro" w:cs="Times New Roman"/>
      <w:sz w:val="24"/>
    </w:rPr>
  </w:style>
  <w:style w:type="paragraph" w:customStyle="1" w:styleId="ManualNumPar3">
    <w:name w:val="Manual NumPar 3"/>
    <w:basedOn w:val="Normal"/>
    <w:next w:val="Text1"/>
    <w:semiHidden/>
    <w:pPr>
      <w:spacing w:before="120" w:after="120" w:line="240" w:lineRule="auto"/>
      <w:ind w:left="850" w:hanging="850"/>
      <w:jc w:val="both"/>
    </w:pPr>
    <w:rPr>
      <w:rFonts w:ascii="EC Square Sans Pro" w:hAnsi="EC Square Sans Pro" w:cs="Times New Roman"/>
      <w:sz w:val="24"/>
    </w:rPr>
  </w:style>
  <w:style w:type="paragraph" w:customStyle="1" w:styleId="ManualNumPar4">
    <w:name w:val="Manual NumPar 4"/>
    <w:basedOn w:val="Normal"/>
    <w:next w:val="Text1"/>
    <w:semiHidden/>
    <w:pPr>
      <w:spacing w:before="120" w:after="120" w:line="240" w:lineRule="auto"/>
      <w:ind w:left="850" w:hanging="850"/>
      <w:jc w:val="both"/>
    </w:pPr>
    <w:rPr>
      <w:rFonts w:ascii="EC Square Sans Pro" w:hAnsi="EC Square Sans Pro" w:cs="Times New Roman"/>
      <w:sz w:val="24"/>
    </w:rPr>
  </w:style>
  <w:style w:type="paragraph" w:customStyle="1" w:styleId="QuotedNumPar">
    <w:name w:val="Quoted NumPar"/>
    <w:basedOn w:val="Normal"/>
    <w:semiHidden/>
    <w:pPr>
      <w:spacing w:before="120" w:after="120" w:line="240" w:lineRule="auto"/>
      <w:ind w:left="1417" w:hanging="567"/>
      <w:jc w:val="both"/>
    </w:pPr>
    <w:rPr>
      <w:rFonts w:ascii="EC Square Sans Pro" w:hAnsi="EC Square Sans Pro" w:cs="Times New Roman"/>
      <w:sz w:val="24"/>
    </w:rPr>
  </w:style>
  <w:style w:type="paragraph" w:customStyle="1" w:styleId="ManualHeading1">
    <w:name w:val="Manual Heading 1"/>
    <w:basedOn w:val="Normal"/>
    <w:next w:val="Text1"/>
    <w:semiHidden/>
    <w:pPr>
      <w:keepNext/>
      <w:tabs>
        <w:tab w:val="left" w:pos="850"/>
      </w:tabs>
      <w:spacing w:before="360" w:after="120" w:line="240" w:lineRule="auto"/>
      <w:ind w:left="850" w:hanging="850"/>
      <w:jc w:val="both"/>
      <w:outlineLvl w:val="0"/>
    </w:pPr>
    <w:rPr>
      <w:rFonts w:ascii="EC Square Sans Pro" w:hAnsi="EC Square Sans Pro" w:cs="Times New Roman"/>
      <w:b/>
      <w:smallCaps/>
      <w:sz w:val="24"/>
    </w:rPr>
  </w:style>
  <w:style w:type="paragraph" w:customStyle="1" w:styleId="ManualHeading2">
    <w:name w:val="Manual Heading 2"/>
    <w:basedOn w:val="Normal"/>
    <w:next w:val="Text1"/>
    <w:semiHidden/>
    <w:pPr>
      <w:keepNext/>
      <w:tabs>
        <w:tab w:val="left" w:pos="850"/>
      </w:tabs>
      <w:spacing w:before="120" w:after="120" w:line="240" w:lineRule="auto"/>
      <w:ind w:left="850" w:hanging="850"/>
      <w:jc w:val="both"/>
      <w:outlineLvl w:val="1"/>
    </w:pPr>
    <w:rPr>
      <w:rFonts w:ascii="EC Square Sans Pro" w:hAnsi="EC Square Sans Pro" w:cs="Times New Roman"/>
      <w:b/>
      <w:sz w:val="24"/>
    </w:rPr>
  </w:style>
  <w:style w:type="paragraph" w:customStyle="1" w:styleId="ManualHeading3">
    <w:name w:val="Manual Heading 3"/>
    <w:basedOn w:val="Normal"/>
    <w:next w:val="Text1"/>
    <w:semiHidden/>
    <w:pPr>
      <w:keepNext/>
      <w:tabs>
        <w:tab w:val="left" w:pos="850"/>
      </w:tabs>
      <w:spacing w:before="120" w:after="120" w:line="240" w:lineRule="auto"/>
      <w:ind w:left="850" w:hanging="850"/>
      <w:jc w:val="both"/>
      <w:outlineLvl w:val="2"/>
    </w:pPr>
    <w:rPr>
      <w:rFonts w:ascii="EC Square Sans Pro" w:hAnsi="EC Square Sans Pro" w:cs="Times New Roman"/>
      <w:i/>
      <w:sz w:val="24"/>
    </w:rPr>
  </w:style>
  <w:style w:type="paragraph" w:customStyle="1" w:styleId="ManualHeading4">
    <w:name w:val="Manual Heading 4"/>
    <w:basedOn w:val="Normal"/>
    <w:next w:val="Text1"/>
    <w:semiHidden/>
    <w:pPr>
      <w:keepNext/>
      <w:tabs>
        <w:tab w:val="left" w:pos="850"/>
      </w:tabs>
      <w:spacing w:before="120" w:after="120" w:line="240" w:lineRule="auto"/>
      <w:ind w:left="850" w:hanging="850"/>
      <w:jc w:val="both"/>
      <w:outlineLvl w:val="3"/>
    </w:pPr>
    <w:rPr>
      <w:rFonts w:ascii="EC Square Sans Pro" w:hAnsi="EC Square Sans Pro" w:cs="Times New Roman"/>
      <w:sz w:val="24"/>
    </w:rPr>
  </w:style>
  <w:style w:type="paragraph" w:customStyle="1" w:styleId="PartTitle">
    <w:name w:val="PartTitle"/>
    <w:basedOn w:val="Normal"/>
    <w:next w:val="Normal"/>
    <w:semiHidden/>
    <w:pPr>
      <w:keepNext/>
      <w:pageBreakBefore/>
      <w:spacing w:before="120" w:after="360" w:line="240" w:lineRule="auto"/>
      <w:jc w:val="center"/>
    </w:pPr>
    <w:rPr>
      <w:rFonts w:ascii="EC Square Sans Pro" w:hAnsi="EC Square Sans Pro" w:cs="Times New Roman"/>
      <w:b/>
      <w:sz w:val="36"/>
    </w:rPr>
  </w:style>
  <w:style w:type="paragraph" w:customStyle="1" w:styleId="SectionTitle">
    <w:name w:val="SectionTitle"/>
    <w:basedOn w:val="Normal"/>
    <w:next w:val="Heading1"/>
    <w:semiHidden/>
    <w:pPr>
      <w:keepNext/>
      <w:spacing w:before="120" w:after="360" w:line="240" w:lineRule="auto"/>
      <w:jc w:val="center"/>
    </w:pPr>
    <w:rPr>
      <w:rFonts w:ascii="EC Square Sans Pro" w:hAnsi="EC Square Sans Pro" w:cs="Times New Roman"/>
      <w:b/>
      <w:smallCaps/>
      <w:sz w:val="28"/>
    </w:rPr>
  </w:style>
  <w:style w:type="paragraph" w:customStyle="1" w:styleId="TableTitle">
    <w:name w:val="Table Title"/>
    <w:basedOn w:val="Normal"/>
    <w:next w:val="Normal"/>
    <w:semiHidden/>
    <w:pPr>
      <w:spacing w:before="120" w:after="120" w:line="240" w:lineRule="auto"/>
      <w:jc w:val="center"/>
    </w:pPr>
    <w:rPr>
      <w:rFonts w:ascii="EC Square Sans Pro" w:hAnsi="EC Square Sans Pro" w:cs="Times New Roman"/>
      <w:b/>
      <w:sz w:val="24"/>
    </w:rPr>
  </w:style>
  <w:style w:type="character" w:customStyle="1" w:styleId="Marker1">
    <w:name w:val="Marker1"/>
    <w:basedOn w:val="DefaultParagraphFont"/>
    <w:semiHidden/>
    <w:rPr>
      <w:rFonts w:ascii="EC Square Sans Pro" w:hAnsi="EC Square Sans Pro"/>
      <w:noProof w:val="0"/>
      <w:color w:val="008000"/>
      <w:shd w:val="clear" w:color="auto" w:fill="auto"/>
      <w:lang w:val="en-GB"/>
    </w:rPr>
  </w:style>
  <w:style w:type="character" w:customStyle="1" w:styleId="Marker2">
    <w:name w:val="Marker2"/>
    <w:basedOn w:val="DefaultParagraphFont"/>
    <w:semiHidden/>
    <w:rPr>
      <w:rFonts w:ascii="EC Square Sans Pro" w:hAnsi="EC Square Sans Pro"/>
      <w:noProof w:val="0"/>
      <w:color w:val="FF0000"/>
      <w:shd w:val="clear" w:color="auto" w:fill="auto"/>
      <w:lang w:val="en-GB"/>
    </w:rPr>
  </w:style>
  <w:style w:type="paragraph" w:customStyle="1" w:styleId="Point0number">
    <w:name w:val="Point 0 (number)"/>
    <w:basedOn w:val="Normal"/>
    <w:semiHidden/>
    <w:pPr>
      <w:tabs>
        <w:tab w:val="num" w:pos="1417"/>
      </w:tabs>
      <w:spacing w:before="120" w:after="120" w:line="240" w:lineRule="auto"/>
      <w:ind w:left="1417" w:hanging="567"/>
      <w:jc w:val="both"/>
    </w:pPr>
    <w:rPr>
      <w:rFonts w:ascii="EC Square Sans Pro" w:hAnsi="EC Square Sans Pro" w:cs="Times New Roman"/>
      <w:sz w:val="24"/>
    </w:rPr>
  </w:style>
  <w:style w:type="paragraph" w:customStyle="1" w:styleId="Point1number">
    <w:name w:val="Point 1 (number)"/>
    <w:basedOn w:val="Normal"/>
    <w:semiHidden/>
    <w:pPr>
      <w:tabs>
        <w:tab w:val="num" w:pos="1417"/>
      </w:tabs>
      <w:spacing w:before="120" w:after="120" w:line="240" w:lineRule="auto"/>
      <w:ind w:left="1417" w:hanging="567"/>
      <w:jc w:val="both"/>
    </w:pPr>
    <w:rPr>
      <w:rFonts w:ascii="EC Square Sans Pro" w:hAnsi="EC Square Sans Pro" w:cs="Times New Roman"/>
      <w:sz w:val="24"/>
    </w:rPr>
  </w:style>
  <w:style w:type="paragraph" w:customStyle="1" w:styleId="Point2number">
    <w:name w:val="Point 2 (number)"/>
    <w:basedOn w:val="Normal"/>
    <w:semiHidden/>
    <w:pPr>
      <w:tabs>
        <w:tab w:val="num" w:pos="1417"/>
      </w:tabs>
      <w:spacing w:before="120" w:after="120" w:line="240" w:lineRule="auto"/>
      <w:ind w:left="1417" w:hanging="567"/>
      <w:jc w:val="both"/>
    </w:pPr>
    <w:rPr>
      <w:rFonts w:ascii="EC Square Sans Pro" w:hAnsi="EC Square Sans Pro" w:cs="Times New Roman"/>
      <w:sz w:val="24"/>
    </w:rPr>
  </w:style>
  <w:style w:type="paragraph" w:customStyle="1" w:styleId="Point3number">
    <w:name w:val="Point 3 (number)"/>
    <w:basedOn w:val="Normal"/>
    <w:semiHidden/>
    <w:pPr>
      <w:tabs>
        <w:tab w:val="num" w:pos="1417"/>
      </w:tabs>
      <w:spacing w:before="120" w:after="120" w:line="240" w:lineRule="auto"/>
      <w:ind w:left="1417" w:hanging="567"/>
      <w:jc w:val="both"/>
    </w:pPr>
    <w:rPr>
      <w:rFonts w:ascii="EC Square Sans Pro" w:hAnsi="EC Square Sans Pro" w:cs="Times New Roman"/>
      <w:sz w:val="24"/>
    </w:rPr>
  </w:style>
  <w:style w:type="paragraph" w:customStyle="1" w:styleId="Point0letter">
    <w:name w:val="Point 0 (letter)"/>
    <w:basedOn w:val="Normal"/>
    <w:semiHidden/>
    <w:pPr>
      <w:tabs>
        <w:tab w:val="num" w:pos="1417"/>
      </w:tabs>
      <w:spacing w:before="120" w:after="120" w:line="240" w:lineRule="auto"/>
      <w:ind w:left="1417" w:hanging="567"/>
      <w:jc w:val="both"/>
    </w:pPr>
    <w:rPr>
      <w:rFonts w:ascii="EC Square Sans Pro" w:hAnsi="EC Square Sans Pro" w:cs="Times New Roman"/>
      <w:sz w:val="24"/>
    </w:rPr>
  </w:style>
  <w:style w:type="paragraph" w:customStyle="1" w:styleId="Point1letter">
    <w:name w:val="Point 1 (letter)"/>
    <w:basedOn w:val="Normal"/>
    <w:semiHidden/>
    <w:pPr>
      <w:tabs>
        <w:tab w:val="num" w:pos="1417"/>
      </w:tabs>
      <w:spacing w:before="120" w:after="120" w:line="240" w:lineRule="auto"/>
      <w:ind w:left="1417" w:hanging="567"/>
      <w:jc w:val="both"/>
    </w:pPr>
    <w:rPr>
      <w:rFonts w:ascii="EC Square Sans Pro" w:hAnsi="EC Square Sans Pro" w:cs="Times New Roman"/>
      <w:sz w:val="24"/>
    </w:rPr>
  </w:style>
  <w:style w:type="paragraph" w:customStyle="1" w:styleId="Point2letter">
    <w:name w:val="Point 2 (letter)"/>
    <w:basedOn w:val="Normal"/>
    <w:semiHidden/>
    <w:pPr>
      <w:tabs>
        <w:tab w:val="num" w:pos="1417"/>
      </w:tabs>
      <w:spacing w:before="120" w:after="120" w:line="240" w:lineRule="auto"/>
      <w:ind w:left="1417" w:hanging="567"/>
      <w:jc w:val="both"/>
    </w:pPr>
    <w:rPr>
      <w:rFonts w:ascii="EC Square Sans Pro" w:hAnsi="EC Square Sans Pro" w:cs="Times New Roman"/>
      <w:sz w:val="24"/>
    </w:rPr>
  </w:style>
  <w:style w:type="paragraph" w:customStyle="1" w:styleId="Point3letter">
    <w:name w:val="Point 3 (letter)"/>
    <w:basedOn w:val="Normal"/>
    <w:semiHidden/>
    <w:pPr>
      <w:tabs>
        <w:tab w:val="num" w:pos="1417"/>
      </w:tabs>
      <w:spacing w:before="120" w:after="120" w:line="240" w:lineRule="auto"/>
      <w:ind w:left="1417" w:hanging="567"/>
      <w:jc w:val="both"/>
    </w:pPr>
    <w:rPr>
      <w:rFonts w:ascii="EC Square Sans Pro" w:hAnsi="EC Square Sans Pro" w:cs="Times New Roman"/>
      <w:sz w:val="24"/>
    </w:rPr>
  </w:style>
  <w:style w:type="paragraph" w:customStyle="1" w:styleId="Point4letter">
    <w:name w:val="Point 4 (letter)"/>
    <w:basedOn w:val="Normal"/>
    <w:semiHidden/>
    <w:pPr>
      <w:tabs>
        <w:tab w:val="num" w:pos="1417"/>
      </w:tabs>
      <w:spacing w:before="120" w:after="120" w:line="240" w:lineRule="auto"/>
      <w:ind w:left="1417" w:hanging="567"/>
      <w:jc w:val="both"/>
    </w:pPr>
    <w:rPr>
      <w:rFonts w:ascii="EC Square Sans Pro" w:hAnsi="EC Square Sans Pro" w:cs="Times New Roman"/>
      <w:sz w:val="24"/>
    </w:rPr>
  </w:style>
  <w:style w:type="paragraph" w:customStyle="1" w:styleId="Langue">
    <w:name w:val="Langue"/>
    <w:basedOn w:val="Normal"/>
    <w:next w:val="Rfrenceinterne"/>
    <w:semiHidden/>
    <w:pPr>
      <w:framePr w:wrap="around" w:vAnchor="page" w:hAnchor="text" w:xAlign="center" w:y="14741"/>
      <w:spacing w:after="600" w:line="240" w:lineRule="auto"/>
      <w:jc w:val="center"/>
    </w:pPr>
    <w:rPr>
      <w:rFonts w:ascii="EC Square Sans Pro" w:hAnsi="EC Square Sans Pro" w:cs="Times New Roman"/>
      <w:b/>
      <w:caps/>
      <w:sz w:val="24"/>
    </w:rPr>
  </w:style>
  <w:style w:type="paragraph" w:customStyle="1" w:styleId="Nomdelinstitution">
    <w:name w:val="Nom de l'institution"/>
    <w:basedOn w:val="Normal"/>
    <w:next w:val="Normal"/>
    <w:semiHidden/>
    <w:pPr>
      <w:spacing w:after="0" w:line="240" w:lineRule="auto"/>
    </w:pPr>
    <w:rPr>
      <w:rFonts w:ascii="EC Square Sans Pro" w:hAnsi="EC Square Sans Pro" w:cs="Arial"/>
      <w:sz w:val="24"/>
    </w:rPr>
  </w:style>
  <w:style w:type="paragraph" w:customStyle="1" w:styleId="Rfrenceinstitutionnelle">
    <w:name w:val="Référence institutionnelle"/>
    <w:basedOn w:val="Normal"/>
    <w:next w:val="Normal"/>
    <w:semiHidden/>
    <w:pPr>
      <w:spacing w:after="240" w:line="240" w:lineRule="auto"/>
      <w:ind w:left="5103"/>
    </w:pPr>
    <w:rPr>
      <w:rFonts w:ascii="EC Square Sans Pro" w:hAnsi="EC Square Sans Pro" w:cs="Times New Roman"/>
      <w:sz w:val="24"/>
    </w:rPr>
  </w:style>
  <w:style w:type="paragraph" w:customStyle="1" w:styleId="Disclaimer">
    <w:name w:val="Disclaimer"/>
    <w:basedOn w:val="Normal"/>
    <w:semiHidden/>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EC Square Sans Pro" w:hAnsi="EC Square Sans Pro" w:cs="Times New Roman"/>
      <w:sz w:val="24"/>
    </w:rPr>
  </w:style>
  <w:style w:type="paragraph" w:customStyle="1" w:styleId="BOLDGREEN">
    <w:name w:val="BOLD GREEN"/>
    <w:basedOn w:val="BodyText1"/>
    <w:link w:val="BOLDGREENChar"/>
    <w:semiHidden/>
    <w:qFormat/>
    <w:rPr>
      <w:b/>
      <w:color w:val="08AA74"/>
    </w:rPr>
  </w:style>
  <w:style w:type="paragraph" w:customStyle="1" w:styleId="ManualConsidrant">
    <w:name w:val="Manual Considérant"/>
    <w:basedOn w:val="Normal"/>
    <w:semiHidden/>
    <w:pPr>
      <w:spacing w:before="120" w:after="120" w:line="240" w:lineRule="auto"/>
      <w:ind w:left="709" w:hanging="709"/>
      <w:jc w:val="both"/>
    </w:pPr>
    <w:rPr>
      <w:rFonts w:ascii="EC Square Sans Pro" w:hAnsi="EC Square Sans Pro" w:cs="Times New Roman"/>
      <w:sz w:val="24"/>
    </w:rPr>
  </w:style>
  <w:style w:type="paragraph" w:customStyle="1" w:styleId="Personnequisigne">
    <w:name w:val="Personne qui signe"/>
    <w:basedOn w:val="Normal"/>
    <w:next w:val="Normal"/>
    <w:semiHidden/>
    <w:pPr>
      <w:tabs>
        <w:tab w:val="left" w:pos="4252"/>
      </w:tabs>
      <w:spacing w:after="0" w:line="240" w:lineRule="auto"/>
    </w:pPr>
    <w:rPr>
      <w:rFonts w:ascii="EC Square Sans Pro" w:hAnsi="EC Square Sans Pro" w:cs="Times New Roman"/>
      <w:i/>
      <w:sz w:val="24"/>
    </w:rPr>
  </w:style>
  <w:style w:type="paragraph" w:customStyle="1" w:styleId="Rfrenceinterinstitutionnelle">
    <w:name w:val="Référence interinstitutionnelle"/>
    <w:basedOn w:val="Normal"/>
    <w:next w:val="Statut"/>
    <w:semiHidden/>
    <w:pPr>
      <w:spacing w:after="0" w:line="240" w:lineRule="auto"/>
      <w:ind w:left="5103"/>
    </w:pPr>
    <w:rPr>
      <w:rFonts w:ascii="EC Square Sans Pro" w:hAnsi="EC Square Sans Pro" w:cs="Times New Roman"/>
      <w:sz w:val="24"/>
    </w:rPr>
  </w:style>
  <w:style w:type="paragraph" w:customStyle="1" w:styleId="Rfrenceinterne">
    <w:name w:val="Référence interne"/>
    <w:basedOn w:val="Normal"/>
    <w:next w:val="Rfrenceinterinstitutionnelle"/>
    <w:semiHidden/>
    <w:pPr>
      <w:spacing w:after="0" w:line="240" w:lineRule="auto"/>
      <w:ind w:left="5103"/>
    </w:pPr>
    <w:rPr>
      <w:rFonts w:ascii="EC Square Sans Pro" w:hAnsi="EC Square Sans Pro" w:cs="Times New Roman"/>
      <w:sz w:val="24"/>
    </w:rPr>
  </w:style>
  <w:style w:type="paragraph" w:customStyle="1" w:styleId="Statut">
    <w:name w:val="Statut"/>
    <w:basedOn w:val="Normal"/>
    <w:next w:val="Typedudocument"/>
    <w:semiHidden/>
    <w:pPr>
      <w:spacing w:after="240" w:line="240" w:lineRule="auto"/>
      <w:jc w:val="center"/>
    </w:pPr>
    <w:rPr>
      <w:rFonts w:ascii="EC Square Sans Pro" w:hAnsi="EC Square Sans Pro" w:cs="Times New Roman"/>
      <w:sz w:val="24"/>
    </w:rPr>
  </w:style>
  <w:style w:type="paragraph" w:customStyle="1" w:styleId="Titrearticle">
    <w:name w:val="Titre article"/>
    <w:basedOn w:val="Normal"/>
    <w:next w:val="Normal"/>
    <w:semiHidden/>
    <w:pPr>
      <w:keepNext/>
      <w:spacing w:before="360" w:after="120" w:line="240" w:lineRule="auto"/>
      <w:jc w:val="center"/>
    </w:pPr>
    <w:rPr>
      <w:rFonts w:ascii="EC Square Sans Pro" w:hAnsi="EC Square Sans Pro" w:cs="Times New Roman"/>
      <w:i/>
      <w:sz w:val="24"/>
    </w:rPr>
  </w:style>
  <w:style w:type="paragraph" w:customStyle="1" w:styleId="Typedudocument">
    <w:name w:val="Type du document"/>
    <w:basedOn w:val="Normal"/>
    <w:next w:val="Normal"/>
    <w:semiHidden/>
    <w:pPr>
      <w:spacing w:before="360" w:after="180" w:line="240" w:lineRule="auto"/>
      <w:jc w:val="center"/>
    </w:pPr>
    <w:rPr>
      <w:rFonts w:ascii="EC Square Sans Pro" w:hAnsi="EC Square Sans Pro" w:cs="Times New Roman"/>
      <w:b/>
      <w:sz w:val="24"/>
    </w:rPr>
  </w:style>
  <w:style w:type="paragraph" w:customStyle="1" w:styleId="Objetexterne">
    <w:name w:val="Objet externe"/>
    <w:basedOn w:val="Normal"/>
    <w:next w:val="Normal"/>
    <w:semiHidden/>
    <w:pPr>
      <w:spacing w:before="120" w:after="120" w:line="240" w:lineRule="auto"/>
      <w:jc w:val="both"/>
    </w:pPr>
    <w:rPr>
      <w:rFonts w:ascii="EC Square Sans Pro" w:hAnsi="EC Square Sans Pro" w:cs="Times New Roman"/>
      <w:i/>
      <w:caps/>
      <w:sz w:val="24"/>
    </w:rPr>
  </w:style>
  <w:style w:type="paragraph" w:customStyle="1" w:styleId="Supertitre">
    <w:name w:val="Supertitre"/>
    <w:basedOn w:val="Normal"/>
    <w:next w:val="Normal"/>
    <w:semiHidden/>
    <w:pPr>
      <w:spacing w:after="600" w:line="240" w:lineRule="auto"/>
      <w:jc w:val="center"/>
    </w:pPr>
    <w:rPr>
      <w:rFonts w:ascii="EC Square Sans Pro" w:hAnsi="EC Square Sans Pro" w:cs="Times New Roman"/>
      <w:b/>
      <w:sz w:val="24"/>
    </w:rPr>
  </w:style>
  <w:style w:type="paragraph" w:customStyle="1" w:styleId="Languesfaisantfoi">
    <w:name w:val="Langues faisant foi"/>
    <w:basedOn w:val="Normal"/>
    <w:next w:val="Normal"/>
    <w:semiHidden/>
    <w:pPr>
      <w:spacing w:before="360" w:after="0" w:line="240" w:lineRule="auto"/>
      <w:jc w:val="center"/>
    </w:pPr>
    <w:rPr>
      <w:rFonts w:ascii="EC Square Sans Pro" w:hAnsi="EC Square Sans Pro" w:cs="Times New Roman"/>
      <w:sz w:val="24"/>
    </w:rPr>
  </w:style>
  <w:style w:type="paragraph" w:customStyle="1" w:styleId="Rfrencecroise">
    <w:name w:val="Référence croisée"/>
    <w:basedOn w:val="Normal"/>
    <w:semiHidden/>
    <w:pPr>
      <w:spacing w:after="0" w:line="240" w:lineRule="auto"/>
      <w:jc w:val="center"/>
    </w:pPr>
    <w:rPr>
      <w:rFonts w:ascii="EC Square Sans Pro" w:hAnsi="EC Square Sans Pro" w:cs="Times New Roman"/>
      <w:sz w:val="24"/>
    </w:rPr>
  </w:style>
  <w:style w:type="paragraph" w:customStyle="1" w:styleId="DatedadoptionPagedecouverture">
    <w:name w:val="Date d'adoption (Page de couverture)"/>
    <w:basedOn w:val="Normal"/>
    <w:next w:val="IntrtEEEPagedecouverture"/>
    <w:semiHidden/>
    <w:pPr>
      <w:spacing w:before="360" w:after="0" w:line="240" w:lineRule="auto"/>
      <w:jc w:val="center"/>
    </w:pPr>
    <w:rPr>
      <w:rFonts w:ascii="EC Square Sans Pro" w:hAnsi="EC Square Sans Pro" w:cs="Times New Roman"/>
      <w:b/>
      <w:sz w:val="24"/>
    </w:rPr>
  </w:style>
  <w:style w:type="paragraph" w:customStyle="1" w:styleId="RfrenceinterinstitutionnellePagedecouverture">
    <w:name w:val="Référence interinstitutionnelle (Page de couverture)"/>
    <w:basedOn w:val="Rfrenceinterinstitutionnelle"/>
    <w:next w:val="Normal"/>
    <w:semiHidden/>
  </w:style>
  <w:style w:type="paragraph" w:customStyle="1" w:styleId="StatutPagedecouverture">
    <w:name w:val="Statut (Page de couverture)"/>
    <w:basedOn w:val="Statut"/>
    <w:next w:val="TypedudocumentPagedecouverture"/>
    <w:semiHidden/>
  </w:style>
  <w:style w:type="paragraph" w:customStyle="1" w:styleId="TypedudocumentPagedecouverture">
    <w:name w:val="Type du document (Page de couverture)"/>
    <w:basedOn w:val="Typedudocument"/>
    <w:next w:val="Normal"/>
    <w:semiHidden/>
  </w:style>
  <w:style w:type="paragraph" w:customStyle="1" w:styleId="Volume">
    <w:name w:val="Volume"/>
    <w:basedOn w:val="Normal"/>
    <w:next w:val="Normal"/>
    <w:semiHidden/>
    <w:pPr>
      <w:spacing w:after="240" w:line="240" w:lineRule="auto"/>
      <w:ind w:left="5103"/>
    </w:pPr>
    <w:rPr>
      <w:rFonts w:ascii="EC Square Sans Pro" w:hAnsi="EC Square Sans Pro" w:cs="Times New Roman"/>
      <w:sz w:val="24"/>
    </w:rPr>
  </w:style>
  <w:style w:type="paragraph" w:customStyle="1" w:styleId="IntrtEEE">
    <w:name w:val="Intérêt EEE"/>
    <w:basedOn w:val="Languesfaisantfoi"/>
    <w:next w:val="Normal"/>
    <w:semiHidden/>
    <w:pPr>
      <w:spacing w:after="240"/>
    </w:pPr>
  </w:style>
  <w:style w:type="paragraph" w:customStyle="1" w:styleId="Typeacteprincipal">
    <w:name w:val="Type acte principal"/>
    <w:basedOn w:val="Normal"/>
    <w:next w:val="Objetacteprincipal"/>
    <w:semiHidden/>
    <w:pPr>
      <w:spacing w:after="240" w:line="240" w:lineRule="auto"/>
      <w:jc w:val="center"/>
    </w:pPr>
    <w:rPr>
      <w:rFonts w:ascii="EC Square Sans Pro" w:hAnsi="EC Square Sans Pro" w:cs="Times New Roman"/>
      <w:b/>
      <w:sz w:val="24"/>
    </w:rPr>
  </w:style>
  <w:style w:type="paragraph" w:customStyle="1" w:styleId="Objetacteprincipal">
    <w:name w:val="Objet acte principal"/>
    <w:basedOn w:val="Normal"/>
    <w:next w:val="Titrearticle"/>
    <w:semiHidden/>
    <w:pPr>
      <w:spacing w:after="360" w:line="240" w:lineRule="auto"/>
      <w:jc w:val="center"/>
    </w:pPr>
    <w:rPr>
      <w:rFonts w:ascii="EC Square Sans Pro" w:hAnsi="EC Square Sans Pro" w:cs="Times New Roman"/>
      <w:b/>
      <w:sz w:val="24"/>
    </w:rPr>
  </w:style>
  <w:style w:type="paragraph" w:customStyle="1" w:styleId="IntrtEEEPagedecouverture">
    <w:name w:val="Intérêt EEE (Page de couverture)"/>
    <w:basedOn w:val="IntrtEEE"/>
    <w:next w:val="Rfrencecroise"/>
    <w:semiHidden/>
  </w:style>
  <w:style w:type="paragraph" w:customStyle="1" w:styleId="TypeacteprincipalPagedecouverture">
    <w:name w:val="Type acte principal (Page de couverture)"/>
    <w:basedOn w:val="Typeacteprincipal"/>
    <w:next w:val="ObjetacteprincipalPagedecouverture"/>
    <w:semiHidden/>
  </w:style>
  <w:style w:type="paragraph" w:customStyle="1" w:styleId="ObjetacteprincipalPagedecouverture">
    <w:name w:val="Objet acte principal (Page de couverture)"/>
    <w:basedOn w:val="Objetacteprincipal"/>
    <w:next w:val="Rfrencecroise"/>
    <w:semiHidden/>
  </w:style>
  <w:style w:type="paragraph" w:customStyle="1" w:styleId="LanguesfaisantfoiPagedecouverture">
    <w:name w:val="Langues faisant foi (Page de couverture)"/>
    <w:basedOn w:val="Normal"/>
    <w:next w:val="Normal"/>
    <w:semiHidden/>
    <w:pPr>
      <w:spacing w:before="360" w:after="0" w:line="240" w:lineRule="auto"/>
      <w:jc w:val="center"/>
    </w:pPr>
    <w:rPr>
      <w:rFonts w:ascii="EC Square Sans Pro" w:hAnsi="EC Square Sans Pro" w:cs="Times New Roman"/>
      <w:sz w:val="24"/>
    </w:rPr>
  </w:style>
  <w:style w:type="paragraph" w:customStyle="1" w:styleId="Caption1">
    <w:name w:val="Caption1"/>
    <w:basedOn w:val="Normal"/>
    <w:next w:val="Normal"/>
    <w:semiHidden/>
    <w:unhideWhenUsed/>
    <w:qFormat/>
    <w:pPr>
      <w:spacing w:after="200" w:line="240" w:lineRule="auto"/>
      <w:jc w:val="both"/>
    </w:pPr>
    <w:rPr>
      <w:rFonts w:ascii="EC Square Sans Pro" w:hAnsi="EC Square Sans Pro" w:cs="Times New Roman"/>
      <w:b/>
      <w:bCs/>
      <w:color w:val="65BBC8"/>
      <w:sz w:val="18"/>
      <w:szCs w:val="18"/>
    </w:rPr>
  </w:style>
  <w:style w:type="paragraph" w:customStyle="1" w:styleId="PROGRAMME">
    <w:name w:val="PROGRAMME"/>
    <w:basedOn w:val="Normal"/>
    <w:link w:val="PROGRAMMEChar"/>
    <w:semiHidden/>
    <w:pPr>
      <w:spacing w:after="0" w:line="240" w:lineRule="auto"/>
      <w:ind w:right="-1"/>
      <w:outlineLvl w:val="2"/>
    </w:pPr>
    <w:rPr>
      <w:rFonts w:ascii="EC Square Sans Pro" w:eastAsia="Calibri" w:hAnsi="EC Square Sans Pro" w:cs="Times New Roman"/>
      <w:b/>
      <w:sz w:val="24"/>
      <w:szCs w:val="24"/>
      <w:lang w:eastAsia="zh-CN"/>
    </w:rPr>
  </w:style>
  <w:style w:type="paragraph" w:customStyle="1" w:styleId="HEADINGI">
    <w:name w:val="HEADING I"/>
    <w:basedOn w:val="Header"/>
    <w:link w:val="HEADINGIChar"/>
    <w:semiHidden/>
    <w:pPr>
      <w:tabs>
        <w:tab w:val="clear" w:pos="4513"/>
        <w:tab w:val="clear" w:pos="9026"/>
        <w:tab w:val="center" w:pos="4536"/>
        <w:tab w:val="right" w:pos="9072"/>
      </w:tabs>
      <w:outlineLvl w:val="0"/>
    </w:pPr>
    <w:rPr>
      <w:rFonts w:ascii="EC Square Sans Pro" w:hAnsi="EC Square Sans Pro" w:cs="Times New Roman"/>
      <w:color w:val="FBA900"/>
      <w:sz w:val="20"/>
    </w:rPr>
  </w:style>
  <w:style w:type="character" w:customStyle="1" w:styleId="PROGRAMMEChar">
    <w:name w:val="PROGRAMME Char"/>
    <w:basedOn w:val="DefaultParagraphFont"/>
    <w:link w:val="PROGRAMME"/>
    <w:semiHidden/>
    <w:rPr>
      <w:rFonts w:ascii="EC Square Sans Pro" w:eastAsia="Calibri" w:hAnsi="EC Square Sans Pro" w:cs="Times New Roman"/>
      <w:b/>
      <w:sz w:val="24"/>
      <w:szCs w:val="24"/>
      <w:lang w:eastAsia="zh-CN"/>
    </w:rPr>
  </w:style>
  <w:style w:type="character" w:customStyle="1" w:styleId="HEADINGIChar">
    <w:name w:val="HEADING I Char"/>
    <w:basedOn w:val="HeaderChar"/>
    <w:link w:val="HEADINGI"/>
    <w:semiHidden/>
    <w:rPr>
      <w:rFonts w:ascii="EC Square Sans Pro" w:hAnsi="EC Square Sans Pro" w:cs="Times New Roman"/>
      <w:color w:val="FBA900"/>
      <w:sz w:val="20"/>
    </w:rPr>
  </w:style>
  <w:style w:type="paragraph" w:customStyle="1" w:styleId="HEADINGII">
    <w:name w:val="HEADING II"/>
    <w:basedOn w:val="Header"/>
    <w:link w:val="HEADINGIIChar"/>
    <w:semiHidden/>
    <w:pPr>
      <w:tabs>
        <w:tab w:val="clear" w:pos="4513"/>
        <w:tab w:val="clear" w:pos="9026"/>
        <w:tab w:val="center" w:pos="4536"/>
        <w:tab w:val="right" w:pos="9072"/>
      </w:tabs>
      <w:outlineLvl w:val="0"/>
    </w:pPr>
    <w:rPr>
      <w:rFonts w:ascii="EC Square Sans Pro" w:hAnsi="EC Square Sans Pro" w:cs="Times New Roman"/>
      <w:color w:val="00AF62"/>
      <w:sz w:val="20"/>
    </w:rPr>
  </w:style>
  <w:style w:type="paragraph" w:customStyle="1" w:styleId="HEADINGIII">
    <w:name w:val="HEADING III"/>
    <w:basedOn w:val="Header"/>
    <w:link w:val="HEADINGIIIChar"/>
    <w:semiHidden/>
    <w:pPr>
      <w:tabs>
        <w:tab w:val="clear" w:pos="4513"/>
        <w:tab w:val="clear" w:pos="9026"/>
        <w:tab w:val="center" w:pos="4536"/>
        <w:tab w:val="right" w:pos="9072"/>
      </w:tabs>
      <w:outlineLvl w:val="0"/>
    </w:pPr>
    <w:rPr>
      <w:rFonts w:ascii="EC Square Sans Pro" w:hAnsi="EC Square Sans Pro" w:cs="Times New Roman"/>
      <w:color w:val="C2D341"/>
      <w:sz w:val="20"/>
    </w:rPr>
  </w:style>
  <w:style w:type="character" w:customStyle="1" w:styleId="HEADINGIIChar">
    <w:name w:val="HEADING II Char"/>
    <w:basedOn w:val="HeaderChar"/>
    <w:link w:val="HEADINGII"/>
    <w:semiHidden/>
    <w:rPr>
      <w:rFonts w:ascii="EC Square Sans Pro" w:hAnsi="EC Square Sans Pro" w:cs="Times New Roman"/>
      <w:color w:val="00AF62"/>
      <w:sz w:val="20"/>
    </w:rPr>
  </w:style>
  <w:style w:type="paragraph" w:customStyle="1" w:styleId="HEADINGIV">
    <w:name w:val="HEADING IV"/>
    <w:basedOn w:val="Header"/>
    <w:link w:val="HEADINGIVChar"/>
    <w:semiHidden/>
    <w:pPr>
      <w:tabs>
        <w:tab w:val="clear" w:pos="4513"/>
        <w:tab w:val="clear" w:pos="9026"/>
        <w:tab w:val="center" w:pos="4536"/>
        <w:tab w:val="right" w:pos="9072"/>
      </w:tabs>
      <w:outlineLvl w:val="0"/>
    </w:pPr>
    <w:rPr>
      <w:rFonts w:ascii="EC Square Sans Pro" w:hAnsi="EC Square Sans Pro" w:cs="Times New Roman"/>
      <w:color w:val="8F00B1"/>
      <w:sz w:val="20"/>
    </w:rPr>
  </w:style>
  <w:style w:type="character" w:customStyle="1" w:styleId="HEADINGIIIChar">
    <w:name w:val="HEADING III Char"/>
    <w:basedOn w:val="HeaderChar"/>
    <w:link w:val="HEADINGIII"/>
    <w:semiHidden/>
    <w:rPr>
      <w:rFonts w:ascii="EC Square Sans Pro" w:hAnsi="EC Square Sans Pro" w:cs="Times New Roman"/>
      <w:color w:val="C2D341"/>
      <w:sz w:val="20"/>
    </w:rPr>
  </w:style>
  <w:style w:type="paragraph" w:customStyle="1" w:styleId="HEADINGV">
    <w:name w:val="HEADING V"/>
    <w:basedOn w:val="Header"/>
    <w:link w:val="HEADINGVChar"/>
    <w:semiHidden/>
    <w:pPr>
      <w:tabs>
        <w:tab w:val="clear" w:pos="4513"/>
        <w:tab w:val="clear" w:pos="9026"/>
        <w:tab w:val="center" w:pos="4536"/>
        <w:tab w:val="right" w:pos="9072"/>
      </w:tabs>
      <w:outlineLvl w:val="0"/>
    </w:pPr>
    <w:rPr>
      <w:rFonts w:ascii="EC Square Sans Pro" w:hAnsi="EC Square Sans Pro" w:cs="Times New Roman"/>
      <w:color w:val="0079BA"/>
      <w:sz w:val="20"/>
    </w:rPr>
  </w:style>
  <w:style w:type="character" w:customStyle="1" w:styleId="HEADINGIVChar">
    <w:name w:val="HEADING IV Char"/>
    <w:basedOn w:val="HeaderChar"/>
    <w:link w:val="HEADINGIV"/>
    <w:semiHidden/>
    <w:rPr>
      <w:rFonts w:ascii="EC Square Sans Pro" w:hAnsi="EC Square Sans Pro" w:cs="Times New Roman"/>
      <w:color w:val="8F00B1"/>
      <w:sz w:val="20"/>
    </w:rPr>
  </w:style>
  <w:style w:type="paragraph" w:customStyle="1" w:styleId="HEADINGVI">
    <w:name w:val="HEADING VI"/>
    <w:basedOn w:val="Header"/>
    <w:link w:val="HEADINGVIChar"/>
    <w:semiHidden/>
    <w:pPr>
      <w:tabs>
        <w:tab w:val="clear" w:pos="4513"/>
        <w:tab w:val="clear" w:pos="9026"/>
        <w:tab w:val="center" w:pos="4536"/>
        <w:tab w:val="right" w:pos="9072"/>
      </w:tabs>
      <w:outlineLvl w:val="0"/>
    </w:pPr>
    <w:rPr>
      <w:rFonts w:ascii="EC Square Sans Pro" w:hAnsi="EC Square Sans Pro" w:cs="Times New Roman"/>
      <w:color w:val="EB5850"/>
      <w:sz w:val="20"/>
    </w:rPr>
  </w:style>
  <w:style w:type="character" w:customStyle="1" w:styleId="HEADINGVChar">
    <w:name w:val="HEADING V Char"/>
    <w:basedOn w:val="HeaderChar"/>
    <w:link w:val="HEADINGV"/>
    <w:semiHidden/>
    <w:rPr>
      <w:rFonts w:ascii="EC Square Sans Pro" w:hAnsi="EC Square Sans Pro" w:cs="Times New Roman"/>
      <w:color w:val="0079BA"/>
      <w:sz w:val="20"/>
    </w:rPr>
  </w:style>
  <w:style w:type="paragraph" w:customStyle="1" w:styleId="OFFHEADING">
    <w:name w:val="OFF HEADING"/>
    <w:basedOn w:val="Header"/>
    <w:link w:val="OFFHEADINGChar"/>
    <w:semiHidden/>
    <w:pPr>
      <w:tabs>
        <w:tab w:val="clear" w:pos="4513"/>
        <w:tab w:val="clear" w:pos="9026"/>
        <w:tab w:val="center" w:pos="4536"/>
        <w:tab w:val="right" w:pos="9072"/>
      </w:tabs>
      <w:outlineLvl w:val="0"/>
    </w:pPr>
    <w:rPr>
      <w:rFonts w:ascii="EC Square Sans Pro" w:hAnsi="EC Square Sans Pro" w:cs="Times New Roman"/>
      <w:color w:val="4ABFDF"/>
      <w:sz w:val="20"/>
    </w:rPr>
  </w:style>
  <w:style w:type="character" w:customStyle="1" w:styleId="HEADINGVIChar">
    <w:name w:val="HEADING VI Char"/>
    <w:basedOn w:val="HeaderChar"/>
    <w:link w:val="HEADINGVI"/>
    <w:semiHidden/>
    <w:rPr>
      <w:rFonts w:ascii="EC Square Sans Pro" w:hAnsi="EC Square Sans Pro" w:cs="Times New Roman"/>
      <w:color w:val="EB5850"/>
      <w:sz w:val="20"/>
    </w:rPr>
  </w:style>
  <w:style w:type="character" w:customStyle="1" w:styleId="OFFHEADINGChar">
    <w:name w:val="OFF HEADING Char"/>
    <w:basedOn w:val="HeaderChar"/>
    <w:link w:val="OFFHEADING"/>
    <w:semiHidden/>
    <w:rPr>
      <w:rFonts w:ascii="EC Square Sans Pro" w:hAnsi="EC Square Sans Pro" w:cs="Times New Roman"/>
      <w:color w:val="4ABFDF"/>
      <w:sz w:val="20"/>
    </w:rPr>
  </w:style>
  <w:style w:type="character" w:customStyle="1" w:styleId="SubtleEmphasis1">
    <w:name w:val="Subtle Emphasis1"/>
    <w:basedOn w:val="DefaultParagraphFont"/>
    <w:uiPriority w:val="19"/>
    <w:semiHidden/>
    <w:rPr>
      <w:rFonts w:ascii="EC Square Sans Pro" w:hAnsi="EC Square Sans Pro"/>
      <w:i/>
      <w:iCs/>
      <w:noProof w:val="0"/>
      <w:color w:val="404040"/>
      <w:lang w:val="en-GB"/>
    </w:rPr>
  </w:style>
  <w:style w:type="character" w:customStyle="1" w:styleId="SubtleReference1">
    <w:name w:val="Subtle Reference1"/>
    <w:basedOn w:val="DefaultParagraphFont"/>
    <w:uiPriority w:val="31"/>
    <w:semiHidden/>
    <w:qFormat/>
    <w:rPr>
      <w:rFonts w:ascii="EC Square Sans Pro" w:hAnsi="EC Square Sans Pro"/>
      <w:smallCaps/>
      <w:noProof w:val="0"/>
      <w:color w:val="5A5A5A"/>
      <w:lang w:val="en-GB"/>
    </w:rPr>
  </w:style>
  <w:style w:type="paragraph" w:customStyle="1" w:styleId="ExecutiveSummary">
    <w:name w:val="Executive Summary"/>
    <w:basedOn w:val="TITLE1Report"/>
    <w:link w:val="ExecutiveSummaryChar"/>
    <w:semiHidden/>
    <w:pPr>
      <w:keepNext w:val="0"/>
      <w:keepLines w:val="0"/>
      <w:pageBreakBefore w:val="0"/>
      <w:spacing w:before="120"/>
    </w:pPr>
    <w:rPr>
      <w:color w:val="3FB296"/>
    </w:rPr>
  </w:style>
  <w:style w:type="character" w:customStyle="1" w:styleId="ExecutiveSummaryChar">
    <w:name w:val="Executive Summary Char"/>
    <w:basedOn w:val="TITLE1ReportChar"/>
    <w:link w:val="ExecutiveSummary"/>
    <w:semiHidden/>
    <w:rPr>
      <w:rFonts w:ascii="EC Square Sans Pro" w:hAnsi="EC Square Sans Pro" w:cs="Times New Roman"/>
      <w:color w:val="3FB296"/>
      <w:sz w:val="52"/>
    </w:rPr>
  </w:style>
  <w:style w:type="paragraph" w:customStyle="1" w:styleId="Title2Executivesummary">
    <w:name w:val="Title 2 / Executive summary"/>
    <w:basedOn w:val="Normal"/>
    <w:link w:val="Title2ExecutivesummaryChar"/>
    <w:semiHidden/>
    <w:qFormat/>
    <w:pPr>
      <w:pBdr>
        <w:top w:val="single" w:sz="12" w:space="1" w:color="3FB296"/>
        <w:bottom w:val="single" w:sz="12" w:space="1" w:color="3FB296"/>
      </w:pBdr>
      <w:spacing w:before="240" w:after="240" w:line="240" w:lineRule="auto"/>
      <w:ind w:left="-6" w:right="1"/>
      <w:outlineLvl w:val="1"/>
    </w:pPr>
    <w:rPr>
      <w:rFonts w:ascii="EC Square Sans Pro" w:eastAsia="EC Square Sans Pro" w:hAnsi="EC Square Sans Pro" w:cs="Times New Roman"/>
      <w:b/>
      <w:color w:val="08AA74"/>
      <w:sz w:val="28"/>
      <w:szCs w:val="21"/>
      <w:lang w:eastAsia="zh-CN"/>
    </w:rPr>
  </w:style>
  <w:style w:type="character" w:customStyle="1" w:styleId="pagenumberChar">
    <w:name w:val="page number Char"/>
    <w:basedOn w:val="FooterChar"/>
    <w:semiHidden/>
    <w:rPr>
      <w:rFonts w:ascii="EC Square Sans Pro" w:hAnsi="EC Square Sans Pro" w:cs="Times New Roman"/>
      <w:b/>
      <w:noProof w:val="0"/>
      <w:sz w:val="16"/>
      <w:lang w:val="en-GB"/>
    </w:rPr>
  </w:style>
  <w:style w:type="paragraph" w:customStyle="1" w:styleId="Frame">
    <w:name w:val="Frame"/>
    <w:basedOn w:val="Normal"/>
    <w:semiHidden/>
    <w:pPr>
      <w:pBdr>
        <w:top w:val="single" w:sz="12" w:space="1" w:color="3FB296"/>
        <w:left w:val="single" w:sz="12" w:space="4" w:color="3FB296"/>
        <w:bottom w:val="single" w:sz="12" w:space="1" w:color="3FB296"/>
        <w:right w:val="single" w:sz="12" w:space="4" w:color="3FB296"/>
      </w:pBdr>
      <w:spacing w:after="0" w:line="240" w:lineRule="auto"/>
      <w:jc w:val="both"/>
    </w:pPr>
    <w:rPr>
      <w:rFonts w:ascii="EC Square Sans Pro" w:eastAsia="EC Square Sans Pro" w:hAnsi="EC Square Sans Pro" w:cs="Times New Roman"/>
      <w:sz w:val="21"/>
      <w:szCs w:val="21"/>
      <w:lang w:eastAsia="zh-CN"/>
    </w:rPr>
  </w:style>
  <w:style w:type="character" w:customStyle="1" w:styleId="Title2ExecutivesummaryChar">
    <w:name w:val="Title 2 / Executive summary Char"/>
    <w:basedOn w:val="DefaultParagraphFont"/>
    <w:link w:val="Title2Executivesummary"/>
    <w:semiHidden/>
    <w:rPr>
      <w:rFonts w:ascii="EC Square Sans Pro" w:eastAsia="EC Square Sans Pro" w:hAnsi="EC Square Sans Pro" w:cs="Times New Roman"/>
      <w:b/>
      <w:color w:val="08AA74"/>
      <w:sz w:val="28"/>
      <w:szCs w:val="21"/>
      <w:lang w:eastAsia="zh-CN"/>
    </w:rPr>
  </w:style>
  <w:style w:type="character" w:customStyle="1" w:styleId="AnnualmgntandperformanceChar">
    <w:name w:val="Annual mgnt and performance Char"/>
    <w:basedOn w:val="TITLE1ReportChar"/>
    <w:link w:val="Annualmgntandperformance"/>
    <w:semiHidden/>
    <w:rPr>
      <w:rFonts w:ascii="EC Square Sans Pro" w:hAnsi="EC Square Sans Pro" w:cs="Times New Roman"/>
      <w:color w:val="65BBC8"/>
      <w:sz w:val="52"/>
      <w:lang w:eastAsia="zh-CN"/>
    </w:rPr>
  </w:style>
  <w:style w:type="paragraph" w:customStyle="1" w:styleId="textchart">
    <w:name w:val="text chart"/>
    <w:basedOn w:val="Forewordbodytext"/>
    <w:link w:val="textchartChar"/>
    <w:semiHidden/>
    <w:qFormat/>
    <w:pPr>
      <w:jc w:val="left"/>
    </w:pPr>
    <w:rPr>
      <w:i/>
      <w:iCs/>
      <w:sz w:val="16"/>
      <w:szCs w:val="16"/>
    </w:rPr>
  </w:style>
  <w:style w:type="paragraph" w:customStyle="1" w:styleId="BOXE1GREEN">
    <w:name w:val="BOXE 1 / GREEN"/>
    <w:basedOn w:val="BOLDGREEN"/>
    <w:link w:val="BOXE1GREENChar"/>
    <w:semiHidden/>
    <w:qFormat/>
    <w:pPr>
      <w:pBdr>
        <w:top w:val="single" w:sz="12" w:space="1" w:color="08AA74"/>
        <w:left w:val="single" w:sz="12" w:space="4" w:color="08AA74"/>
        <w:bottom w:val="single" w:sz="12" w:space="1" w:color="08AA74"/>
        <w:right w:val="single" w:sz="12" w:space="4" w:color="08AA74"/>
      </w:pBdr>
    </w:pPr>
  </w:style>
  <w:style w:type="character" w:customStyle="1" w:styleId="textchartChar">
    <w:name w:val="text chart Char"/>
    <w:basedOn w:val="ForewordbodytextChar"/>
    <w:link w:val="textchart"/>
    <w:semiHidden/>
    <w:rPr>
      <w:rFonts w:ascii="EC Square Sans Pro" w:hAnsi="EC Square Sans Pro" w:cs="Times New Roman"/>
      <w:i/>
      <w:iCs/>
      <w:sz w:val="16"/>
      <w:szCs w:val="16"/>
      <w:lang w:eastAsia="fr-BE"/>
    </w:rPr>
  </w:style>
  <w:style w:type="paragraph" w:customStyle="1" w:styleId="Annexetitle">
    <w:name w:val="Annexe title"/>
    <w:basedOn w:val="Annualmgntandperformance"/>
    <w:link w:val="AnnexetitleChar"/>
    <w:semiHidden/>
    <w:rPr>
      <w:color w:val="8033A3"/>
    </w:rPr>
  </w:style>
  <w:style w:type="character" w:customStyle="1" w:styleId="AnnexetitleChar">
    <w:name w:val="Annexe title Char"/>
    <w:basedOn w:val="AnnualmgntandperformanceChar"/>
    <w:link w:val="Annexetitle"/>
    <w:semiHidden/>
    <w:rPr>
      <w:rFonts w:ascii="EC Square Sans Pro" w:hAnsi="EC Square Sans Pro" w:cs="Times New Roman"/>
      <w:color w:val="8033A3"/>
      <w:sz w:val="52"/>
      <w:lang w:eastAsia="zh-CN"/>
    </w:rPr>
  </w:style>
  <w:style w:type="paragraph" w:customStyle="1" w:styleId="Subtitleannexe">
    <w:name w:val="Subtitle annexe"/>
    <w:basedOn w:val="SubtitleAMPR"/>
    <w:link w:val="SubtitleannexeChar"/>
    <w:semiHidden/>
    <w:pPr>
      <w:pBdr>
        <w:top w:val="single" w:sz="12" w:space="1" w:color="8033A3"/>
        <w:bottom w:val="single" w:sz="12" w:space="1" w:color="8033A3"/>
      </w:pBdr>
    </w:pPr>
    <w:rPr>
      <w:color w:val="8033A3"/>
    </w:rPr>
  </w:style>
  <w:style w:type="paragraph" w:customStyle="1" w:styleId="Source">
    <w:name w:val="Source"/>
    <w:basedOn w:val="textchart"/>
    <w:link w:val="SourceChar"/>
    <w:semiHidden/>
    <w:qFormat/>
    <w:pPr>
      <w:spacing w:after="240"/>
      <w:contextualSpacing/>
    </w:pPr>
    <w:rPr>
      <w:rFonts w:eastAsia="Calibri"/>
      <w:color w:val="000000"/>
    </w:rPr>
  </w:style>
  <w:style w:type="character" w:customStyle="1" w:styleId="SubtitleannexeChar">
    <w:name w:val="Subtitle annexe Char"/>
    <w:basedOn w:val="SubtitleAMPRChar"/>
    <w:link w:val="Subtitleannexe"/>
    <w:semiHidden/>
    <w:rPr>
      <w:rFonts w:ascii="EC Square Sans Pro" w:eastAsia="EC Square Sans Pro" w:hAnsi="EC Square Sans Pro" w:cs="Times New Roman"/>
      <w:b/>
      <w:color w:val="8033A3"/>
      <w:sz w:val="28"/>
      <w:szCs w:val="21"/>
      <w:lang w:eastAsia="zh-CN"/>
    </w:rPr>
  </w:style>
  <w:style w:type="paragraph" w:customStyle="1" w:styleId="tablesubtitle">
    <w:name w:val="table subtitle"/>
    <w:basedOn w:val="Normal"/>
    <w:link w:val="tablesubtitleChar"/>
    <w:semiHidden/>
    <w:qFormat/>
    <w:pPr>
      <w:autoSpaceDE w:val="0"/>
      <w:autoSpaceDN w:val="0"/>
      <w:adjustRightInd w:val="0"/>
      <w:spacing w:after="0" w:line="240" w:lineRule="auto"/>
      <w:jc w:val="center"/>
    </w:pPr>
    <w:rPr>
      <w:rFonts w:ascii="EC Square Sans Pro" w:eastAsia="Calibri" w:hAnsi="EC Square Sans Pro" w:cs="Arial"/>
      <w:b/>
      <w:bCs/>
      <w:color w:val="FFFFFF"/>
      <w:sz w:val="18"/>
      <w:szCs w:val="18"/>
      <w:lang w:eastAsia="zh-CN"/>
    </w:rPr>
  </w:style>
  <w:style w:type="character" w:customStyle="1" w:styleId="SourceChar">
    <w:name w:val="Source Char"/>
    <w:basedOn w:val="textchartChar"/>
    <w:link w:val="Source"/>
    <w:semiHidden/>
    <w:rPr>
      <w:rFonts w:ascii="EC Square Sans Pro" w:eastAsia="Calibri" w:hAnsi="EC Square Sans Pro" w:cs="Times New Roman"/>
      <w:i/>
      <w:iCs/>
      <w:color w:val="000000"/>
      <w:sz w:val="16"/>
      <w:szCs w:val="16"/>
      <w:lang w:eastAsia="fr-BE"/>
    </w:rPr>
  </w:style>
  <w:style w:type="paragraph" w:customStyle="1" w:styleId="Bulletsannexes">
    <w:name w:val="Bullets annexes"/>
    <w:basedOn w:val="ListParagraph"/>
    <w:link w:val="BulletsannexesChar"/>
    <w:semiHidden/>
    <w:qFormat/>
    <w:pPr>
      <w:numPr>
        <w:numId w:val="5"/>
      </w:numPr>
      <w:autoSpaceDE w:val="0"/>
      <w:autoSpaceDN w:val="0"/>
      <w:adjustRightInd w:val="0"/>
      <w:contextualSpacing w:val="0"/>
      <w:jc w:val="both"/>
    </w:pPr>
    <w:rPr>
      <w:rFonts w:eastAsia="Calibri" w:cs="Arial"/>
      <w:iCs/>
      <w:color w:val="000000"/>
      <w:szCs w:val="20"/>
      <w:lang w:eastAsia="zh-CN"/>
    </w:rPr>
  </w:style>
  <w:style w:type="character" w:customStyle="1" w:styleId="BOLDGREENChar">
    <w:name w:val="BOLD GREEN Char"/>
    <w:basedOn w:val="BodyText1Char"/>
    <w:link w:val="BOLDGREEN"/>
    <w:semiHidden/>
    <w:rPr>
      <w:rFonts w:ascii="EC Square Sans Pro" w:hAnsi="EC Square Sans Pro" w:cs="Times New Roman"/>
      <w:b/>
      <w:color w:val="08AA74"/>
      <w:sz w:val="20"/>
      <w:lang w:eastAsia="fr-BE"/>
    </w:rPr>
  </w:style>
  <w:style w:type="character" w:customStyle="1" w:styleId="tablesubtitleChar">
    <w:name w:val="table subtitle Char"/>
    <w:basedOn w:val="DefaultParagraphFont"/>
    <w:link w:val="tablesubtitle"/>
    <w:semiHidden/>
    <w:rPr>
      <w:rFonts w:ascii="EC Square Sans Pro" w:eastAsia="Calibri" w:hAnsi="EC Square Sans Pro" w:cs="Arial"/>
      <w:b/>
      <w:bCs/>
      <w:color w:val="FFFFFF"/>
      <w:sz w:val="18"/>
      <w:szCs w:val="18"/>
      <w:lang w:eastAsia="zh-CN"/>
    </w:rPr>
  </w:style>
  <w:style w:type="paragraph" w:customStyle="1" w:styleId="subtitle3purple">
    <w:name w:val="subtitle 3 purple"/>
    <w:basedOn w:val="TITLE3Executivesummary"/>
    <w:link w:val="subtitle3purpleChar"/>
    <w:semiHidden/>
    <w:rPr>
      <w:color w:val="8033A3"/>
    </w:rPr>
  </w:style>
  <w:style w:type="character" w:customStyle="1" w:styleId="BulletsannexesChar">
    <w:name w:val="Bullets annexes Char"/>
    <w:basedOn w:val="ListParagraphChar"/>
    <w:link w:val="Bulletsannexes"/>
    <w:semiHidden/>
    <w:rPr>
      <w:rFonts w:ascii="EC Square Sans Pro" w:eastAsia="Calibri" w:hAnsi="EC Square Sans Pro" w:cs="Arial"/>
      <w:iCs/>
      <w:color w:val="000000"/>
      <w:sz w:val="20"/>
      <w:szCs w:val="20"/>
      <w:lang w:eastAsia="zh-CN"/>
    </w:rPr>
  </w:style>
  <w:style w:type="paragraph" w:customStyle="1" w:styleId="Title4Executivesummary">
    <w:name w:val="Title 4 / Executive summary"/>
    <w:basedOn w:val="BodyText1"/>
    <w:link w:val="Title4ExecutivesummaryChar"/>
    <w:semiHidden/>
    <w:qFormat/>
    <w:pPr>
      <w:numPr>
        <w:ilvl w:val="1"/>
        <w:numId w:val="13"/>
      </w:numPr>
      <w:spacing w:line="360" w:lineRule="auto"/>
      <w:jc w:val="left"/>
    </w:pPr>
    <w:rPr>
      <w:color w:val="08AA74"/>
      <w:sz w:val="18"/>
      <w:szCs w:val="28"/>
      <w:lang w:eastAsia="zh-CN"/>
    </w:rPr>
  </w:style>
  <w:style w:type="character" w:customStyle="1" w:styleId="subtitle3purpleChar">
    <w:name w:val="subtitle 3 purple Char"/>
    <w:basedOn w:val="TITLE3ExecutivesummaryChar"/>
    <w:link w:val="subtitle3purple"/>
    <w:semiHidden/>
    <w:rPr>
      <w:rFonts w:ascii="EC Square Sans Pro" w:hAnsi="EC Square Sans Pro" w:cs="Times New Roman"/>
      <w:b/>
      <w:color w:val="8033A3"/>
      <w:sz w:val="24"/>
      <w:lang w:eastAsia="zh-CN"/>
    </w:rPr>
  </w:style>
  <w:style w:type="paragraph" w:customStyle="1" w:styleId="Tablefootnote">
    <w:name w:val="Table footnote"/>
    <w:basedOn w:val="textchart"/>
    <w:link w:val="TablefootnoteChar"/>
    <w:semiHidden/>
    <w:qFormat/>
  </w:style>
  <w:style w:type="character" w:customStyle="1" w:styleId="Title4ExecutivesummaryChar">
    <w:name w:val="Title 4 / Executive summary Char"/>
    <w:basedOn w:val="ForewordbodytextChar"/>
    <w:link w:val="Title4Executivesummary"/>
    <w:semiHidden/>
    <w:rPr>
      <w:rFonts w:ascii="EC Square Sans Pro" w:hAnsi="EC Square Sans Pro" w:cs="Times New Roman"/>
      <w:color w:val="08AA74"/>
      <w:sz w:val="18"/>
      <w:szCs w:val="28"/>
      <w:lang w:eastAsia="zh-CN"/>
    </w:rPr>
  </w:style>
  <w:style w:type="paragraph" w:customStyle="1" w:styleId="BOXE2GREEN">
    <w:name w:val="BOXE 2 / GREEN"/>
    <w:basedOn w:val="BodyText10"/>
    <w:link w:val="BOXE2GREENChar"/>
    <w:semiHidden/>
    <w:qFormat/>
    <w:pPr>
      <w:shd w:val="clear" w:color="auto" w:fill="D7F1EA"/>
    </w:pPr>
  </w:style>
  <w:style w:type="character" w:customStyle="1" w:styleId="TablefootnoteChar">
    <w:name w:val="Table footnote Char"/>
    <w:basedOn w:val="textchartChar"/>
    <w:link w:val="Tablefootnote"/>
    <w:semiHidden/>
    <w:rPr>
      <w:rFonts w:ascii="EC Square Sans Pro" w:hAnsi="EC Square Sans Pro" w:cs="Times New Roman"/>
      <w:i/>
      <w:iCs/>
      <w:sz w:val="16"/>
      <w:szCs w:val="16"/>
      <w:lang w:eastAsia="fr-BE"/>
    </w:rPr>
  </w:style>
  <w:style w:type="paragraph" w:customStyle="1" w:styleId="TOC21">
    <w:name w:val="TOC 21"/>
    <w:basedOn w:val="Normal"/>
    <w:next w:val="Normal"/>
    <w:autoRedefine/>
    <w:uiPriority w:val="39"/>
    <w:semiHidden/>
    <w:unhideWhenUsed/>
    <w:qFormat/>
    <w:pPr>
      <w:tabs>
        <w:tab w:val="right" w:leader="dot" w:pos="9062"/>
      </w:tabs>
      <w:spacing w:after="0" w:line="240" w:lineRule="auto"/>
      <w:ind w:left="220"/>
    </w:pPr>
    <w:rPr>
      <w:rFonts w:ascii="EC Square Sans Pro" w:hAnsi="EC Square Sans Pro" w:cs="EC Square Sans Pro"/>
      <w:smallCaps/>
      <w:sz w:val="20"/>
      <w:szCs w:val="20"/>
    </w:rPr>
  </w:style>
  <w:style w:type="paragraph" w:customStyle="1" w:styleId="TOC31">
    <w:name w:val="TOC 31"/>
    <w:basedOn w:val="Normal"/>
    <w:next w:val="Normal"/>
    <w:autoRedefine/>
    <w:uiPriority w:val="39"/>
    <w:semiHidden/>
    <w:unhideWhenUsed/>
    <w:qFormat/>
    <w:pPr>
      <w:spacing w:after="0" w:line="240" w:lineRule="auto"/>
      <w:ind w:left="440"/>
    </w:pPr>
    <w:rPr>
      <w:rFonts w:ascii="EC Square Sans Pro" w:hAnsi="EC Square Sans Pro" w:cs="EC Square Sans Pro"/>
      <w:i/>
      <w:iCs/>
      <w:sz w:val="20"/>
      <w:szCs w:val="20"/>
    </w:rPr>
  </w:style>
  <w:style w:type="paragraph" w:customStyle="1" w:styleId="TOC41">
    <w:name w:val="TOC 41"/>
    <w:basedOn w:val="Normal"/>
    <w:next w:val="Normal"/>
    <w:autoRedefine/>
    <w:semiHidden/>
    <w:unhideWhenUsed/>
    <w:pPr>
      <w:spacing w:after="0" w:line="240" w:lineRule="auto"/>
      <w:ind w:left="660"/>
    </w:pPr>
    <w:rPr>
      <w:rFonts w:ascii="EC Square Sans Pro" w:hAnsi="EC Square Sans Pro" w:cs="EC Square Sans Pro"/>
      <w:sz w:val="18"/>
      <w:szCs w:val="18"/>
    </w:rPr>
  </w:style>
  <w:style w:type="paragraph" w:customStyle="1" w:styleId="TOC51">
    <w:name w:val="TOC 51"/>
    <w:basedOn w:val="Normal"/>
    <w:next w:val="Normal"/>
    <w:autoRedefine/>
    <w:semiHidden/>
    <w:unhideWhenUsed/>
    <w:pPr>
      <w:spacing w:after="0" w:line="240" w:lineRule="auto"/>
      <w:ind w:left="880"/>
    </w:pPr>
    <w:rPr>
      <w:rFonts w:ascii="EC Square Sans Pro" w:hAnsi="EC Square Sans Pro" w:cs="EC Square Sans Pro"/>
      <w:sz w:val="18"/>
      <w:szCs w:val="18"/>
    </w:rPr>
  </w:style>
  <w:style w:type="paragraph" w:customStyle="1" w:styleId="TOC61">
    <w:name w:val="TOC 61"/>
    <w:basedOn w:val="Normal"/>
    <w:next w:val="Normal"/>
    <w:autoRedefine/>
    <w:semiHidden/>
    <w:unhideWhenUsed/>
    <w:pPr>
      <w:spacing w:after="0" w:line="240" w:lineRule="auto"/>
      <w:ind w:left="1100"/>
    </w:pPr>
    <w:rPr>
      <w:rFonts w:ascii="EC Square Sans Pro" w:hAnsi="EC Square Sans Pro" w:cs="EC Square Sans Pro"/>
      <w:sz w:val="18"/>
      <w:szCs w:val="18"/>
    </w:rPr>
  </w:style>
  <w:style w:type="paragraph" w:customStyle="1" w:styleId="TOC71">
    <w:name w:val="TOC 71"/>
    <w:basedOn w:val="Normal"/>
    <w:next w:val="Normal"/>
    <w:autoRedefine/>
    <w:semiHidden/>
    <w:unhideWhenUsed/>
    <w:pPr>
      <w:spacing w:after="0" w:line="240" w:lineRule="auto"/>
      <w:ind w:left="1320"/>
    </w:pPr>
    <w:rPr>
      <w:rFonts w:ascii="EC Square Sans Pro" w:hAnsi="EC Square Sans Pro" w:cs="EC Square Sans Pro"/>
      <w:sz w:val="18"/>
      <w:szCs w:val="18"/>
    </w:rPr>
  </w:style>
  <w:style w:type="paragraph" w:customStyle="1" w:styleId="TOC81">
    <w:name w:val="TOC 81"/>
    <w:basedOn w:val="Normal"/>
    <w:next w:val="Normal"/>
    <w:autoRedefine/>
    <w:semiHidden/>
    <w:unhideWhenUsed/>
    <w:pPr>
      <w:spacing w:after="0" w:line="240" w:lineRule="auto"/>
      <w:ind w:left="1540"/>
    </w:pPr>
    <w:rPr>
      <w:rFonts w:ascii="EC Square Sans Pro" w:hAnsi="EC Square Sans Pro" w:cs="EC Square Sans Pro"/>
      <w:sz w:val="18"/>
      <w:szCs w:val="18"/>
    </w:rPr>
  </w:style>
  <w:style w:type="paragraph" w:customStyle="1" w:styleId="TOC91">
    <w:name w:val="TOC 91"/>
    <w:basedOn w:val="Normal"/>
    <w:next w:val="Normal"/>
    <w:autoRedefine/>
    <w:semiHidden/>
    <w:unhideWhenUsed/>
    <w:pPr>
      <w:spacing w:after="0" w:line="240" w:lineRule="auto"/>
      <w:ind w:left="1760"/>
    </w:pPr>
    <w:rPr>
      <w:rFonts w:ascii="EC Square Sans Pro" w:hAnsi="EC Square Sans Pro" w:cs="EC Square Sans Pro"/>
      <w:sz w:val="18"/>
      <w:szCs w:val="18"/>
    </w:rPr>
  </w:style>
  <w:style w:type="paragraph" w:customStyle="1" w:styleId="Endnote">
    <w:name w:val="Endnote"/>
    <w:basedOn w:val="EndnoteText"/>
    <w:link w:val="EndnoteChar"/>
    <w:semiHidden/>
    <w:qFormat/>
    <w:pPr>
      <w:spacing w:before="120" w:after="120"/>
    </w:pPr>
  </w:style>
  <w:style w:type="character" w:customStyle="1" w:styleId="EndnoteChar">
    <w:name w:val="Endnote Char"/>
    <w:basedOn w:val="EndnoteTextChar"/>
    <w:link w:val="Endnote"/>
    <w:semiHidden/>
    <w:rPr>
      <w:rFonts w:ascii="EC Square Sans Pro" w:eastAsia="Calibri" w:hAnsi="EC Square Sans Pro" w:cs="Times New Roman"/>
      <w:sz w:val="20"/>
      <w:szCs w:val="20"/>
    </w:rPr>
  </w:style>
  <w:style w:type="paragraph" w:customStyle="1" w:styleId="TitleforSectionpagebreak">
    <w:name w:val="Title for Section / page break"/>
    <w:basedOn w:val="Normal"/>
    <w:link w:val="TitleforSectionpagebreakChar"/>
    <w:semiHidden/>
    <w:qFormat/>
    <w:pPr>
      <w:spacing w:after="0" w:line="240" w:lineRule="auto"/>
    </w:pPr>
    <w:rPr>
      <w:rFonts w:ascii="EC Square Sans Pro" w:hAnsi="EC Square Sans Pro" w:cs="Times New Roman"/>
      <w:color w:val="1F4EA2"/>
      <w:sz w:val="60"/>
      <w:szCs w:val="60"/>
    </w:rPr>
  </w:style>
  <w:style w:type="paragraph" w:customStyle="1" w:styleId="BodyText10">
    <w:name w:val="Body Text1"/>
    <w:basedOn w:val="Forewordbodytext"/>
    <w:next w:val="BodyText"/>
    <w:semiHidden/>
    <w:qFormat/>
    <w:rPr>
      <w:color w:val="000000"/>
      <w:sz w:val="20"/>
    </w:rPr>
  </w:style>
  <w:style w:type="character" w:customStyle="1" w:styleId="TitleforSectionpagebreakChar">
    <w:name w:val="Title for Section / page break Char"/>
    <w:basedOn w:val="DefaultParagraphFont"/>
    <w:link w:val="TitleforSectionpagebreak"/>
    <w:semiHidden/>
    <w:rPr>
      <w:rFonts w:ascii="EC Square Sans Pro" w:hAnsi="EC Square Sans Pro" w:cs="Times New Roman"/>
      <w:color w:val="1F4EA2"/>
      <w:sz w:val="60"/>
      <w:szCs w:val="60"/>
    </w:rPr>
  </w:style>
  <w:style w:type="character" w:customStyle="1" w:styleId="BOXE1GREENChar">
    <w:name w:val="BOXE 1 / GREEN Char"/>
    <w:basedOn w:val="BOLDGREENChar"/>
    <w:link w:val="BOXE1GREEN"/>
    <w:semiHidden/>
    <w:rPr>
      <w:rFonts w:ascii="EC Square Sans Pro" w:hAnsi="EC Square Sans Pro" w:cs="Times New Roman"/>
      <w:b/>
      <w:color w:val="08AA74"/>
      <w:sz w:val="20"/>
      <w:lang w:eastAsia="fr-BE"/>
    </w:rPr>
  </w:style>
  <w:style w:type="character" w:customStyle="1" w:styleId="BodytextChar0">
    <w:name w:val="Body text Char"/>
    <w:basedOn w:val="ForewordbodytextChar"/>
    <w:semiHidden/>
    <w:rPr>
      <w:rFonts w:ascii="EC Square Sans Pro" w:hAnsi="EC Square Sans Pro" w:cs="Times New Roman"/>
      <w:color w:val="000000"/>
      <w:sz w:val="20"/>
      <w:lang w:eastAsia="fr-BE"/>
    </w:rPr>
  </w:style>
  <w:style w:type="paragraph" w:customStyle="1" w:styleId="BOXE3GREEN">
    <w:name w:val="BOXE 3 / GREEN"/>
    <w:basedOn w:val="BodyText10"/>
    <w:link w:val="BOXE3GREENChar"/>
    <w:semiHidden/>
    <w:qFormat/>
    <w:pPr>
      <w:pBdr>
        <w:top w:val="dashSmallGap" w:sz="12" w:space="1" w:color="08AA74"/>
        <w:left w:val="dashSmallGap" w:sz="12" w:space="4" w:color="08AA74"/>
        <w:bottom w:val="dashSmallGap" w:sz="12" w:space="1" w:color="08AA74"/>
        <w:right w:val="dashSmallGap" w:sz="12" w:space="4" w:color="08AA74"/>
      </w:pBdr>
    </w:pPr>
  </w:style>
  <w:style w:type="character" w:customStyle="1" w:styleId="BOXE2GREENChar">
    <w:name w:val="BOXE 2 / GREEN Char"/>
    <w:basedOn w:val="BodytextChar0"/>
    <w:link w:val="BOXE2GREEN"/>
    <w:semiHidden/>
    <w:rPr>
      <w:rFonts w:ascii="EC Square Sans Pro" w:hAnsi="EC Square Sans Pro" w:cs="Times New Roman"/>
      <w:color w:val="000000"/>
      <w:sz w:val="20"/>
      <w:shd w:val="clear" w:color="auto" w:fill="D7F1EA"/>
      <w:lang w:eastAsia="fr-BE"/>
    </w:rPr>
  </w:style>
  <w:style w:type="paragraph" w:customStyle="1" w:styleId="Greenbolded">
    <w:name w:val="Green bolded"/>
    <w:basedOn w:val="BodyText10"/>
    <w:link w:val="GreenboldedChar"/>
    <w:semiHidden/>
    <w:qFormat/>
    <w:rPr>
      <w:b/>
      <w:color w:val="08AA74"/>
    </w:rPr>
  </w:style>
  <w:style w:type="character" w:customStyle="1" w:styleId="BOXE3GREENChar">
    <w:name w:val="BOXE 3 / GREEN Char"/>
    <w:basedOn w:val="BodytextChar0"/>
    <w:link w:val="BOXE3GREEN"/>
    <w:semiHidden/>
    <w:rPr>
      <w:rFonts w:ascii="EC Square Sans Pro" w:hAnsi="EC Square Sans Pro" w:cs="Times New Roman"/>
      <w:color w:val="000000"/>
      <w:sz w:val="20"/>
      <w:lang w:eastAsia="fr-BE"/>
    </w:rPr>
  </w:style>
  <w:style w:type="character" w:customStyle="1" w:styleId="GreenboldedChar">
    <w:name w:val="Green bolded Char"/>
    <w:basedOn w:val="BodytextChar0"/>
    <w:link w:val="Greenbolded"/>
    <w:semiHidden/>
    <w:rPr>
      <w:rFonts w:ascii="EC Square Sans Pro" w:hAnsi="EC Square Sans Pro" w:cs="Times New Roman"/>
      <w:b/>
      <w:color w:val="08AA74"/>
      <w:sz w:val="20"/>
      <w:lang w:eastAsia="fr-BE"/>
    </w:rPr>
  </w:style>
  <w:style w:type="paragraph" w:customStyle="1" w:styleId="AMPRPageNumber">
    <w:name w:val="AMPR Page Number"/>
    <w:basedOn w:val="Normal"/>
    <w:link w:val="AMPRPageNumberChar"/>
    <w:semiHidden/>
    <w:qFormat/>
    <w:pPr>
      <w:pBdr>
        <w:top w:val="single" w:sz="4" w:space="1" w:color="0070C0"/>
      </w:pBdr>
      <w:spacing w:after="100" w:line="240" w:lineRule="auto"/>
      <w:jc w:val="center"/>
    </w:pPr>
    <w:rPr>
      <w:rFonts w:ascii="EC Square Sans Pro" w:eastAsia="Times New Roman" w:hAnsi="EC Square Sans Pro" w:cs="Times New Roman"/>
      <w:color w:val="0070C0"/>
      <w:sz w:val="32"/>
      <w:szCs w:val="24"/>
      <w:lang w:eastAsia="en-GB"/>
    </w:rPr>
  </w:style>
  <w:style w:type="character" w:customStyle="1" w:styleId="AMPRPageNumberChar">
    <w:name w:val="AMPR Page Number Char"/>
    <w:basedOn w:val="DefaultParagraphFont"/>
    <w:link w:val="AMPRPageNumber"/>
    <w:semiHidden/>
    <w:rPr>
      <w:rFonts w:ascii="EC Square Sans Pro" w:eastAsia="Times New Roman" w:hAnsi="EC Square Sans Pro" w:cs="Times New Roman"/>
      <w:color w:val="0070C0"/>
      <w:sz w:val="32"/>
      <w:szCs w:val="24"/>
      <w:lang w:eastAsia="en-GB"/>
    </w:rPr>
  </w:style>
  <w:style w:type="paragraph" w:customStyle="1" w:styleId="Paragraph">
    <w:name w:val="Paragraph"/>
    <w:basedOn w:val="Normal"/>
    <w:link w:val="ParagraphChar"/>
    <w:semiHidden/>
    <w:qFormat/>
    <w:pPr>
      <w:spacing w:after="120" w:line="240" w:lineRule="auto"/>
      <w:jc w:val="both"/>
    </w:pPr>
    <w:rPr>
      <w:rFonts w:ascii="EC Square Sans Pro" w:eastAsia="Times New Roman" w:hAnsi="EC Square Sans Pro" w:cs="Times New Roman"/>
      <w:sz w:val="24"/>
      <w:szCs w:val="24"/>
    </w:rPr>
  </w:style>
  <w:style w:type="character" w:customStyle="1" w:styleId="ParagraphChar">
    <w:name w:val="Paragraph Char"/>
    <w:basedOn w:val="DefaultParagraphFont"/>
    <w:link w:val="Paragraph"/>
    <w:semiHidden/>
    <w:rPr>
      <w:rFonts w:ascii="EC Square Sans Pro" w:eastAsia="Times New Roman" w:hAnsi="EC Square Sans Pro" w:cs="Times New Roman"/>
      <w:sz w:val="24"/>
      <w:szCs w:val="24"/>
    </w:rPr>
  </w:style>
  <w:style w:type="paragraph" w:customStyle="1" w:styleId="Subtitleblue">
    <w:name w:val="Subtitle blue"/>
    <w:basedOn w:val="Normal"/>
    <w:link w:val="SubtitleblueChar"/>
    <w:semiHidden/>
    <w:qFormat/>
    <w:pPr>
      <w:spacing w:after="0" w:line="240" w:lineRule="auto"/>
    </w:pPr>
    <w:rPr>
      <w:rFonts w:ascii="EC Square Sans Pro" w:hAnsi="EC Square Sans Pro" w:cs="Times New Roman"/>
      <w:b/>
      <w:i/>
      <w:color w:val="65BBC8"/>
      <w:sz w:val="20"/>
      <w:lang w:eastAsia="zh-CN"/>
    </w:rPr>
  </w:style>
  <w:style w:type="character" w:customStyle="1" w:styleId="SubtitleblueChar">
    <w:name w:val="Subtitle blue Char"/>
    <w:basedOn w:val="DefaultParagraphFont"/>
    <w:link w:val="Subtitleblue"/>
    <w:semiHidden/>
    <w:rPr>
      <w:rFonts w:ascii="EC Square Sans Pro" w:hAnsi="EC Square Sans Pro" w:cs="Times New Roman"/>
      <w:b/>
      <w:i/>
      <w:color w:val="65BBC8"/>
      <w:sz w:val="20"/>
      <w:lang w:eastAsia="zh-CN"/>
    </w:rPr>
  </w:style>
  <w:style w:type="paragraph" w:customStyle="1" w:styleId="BOX1BLUE">
    <w:name w:val="BOX 1 / BLUE"/>
    <w:basedOn w:val="BOXE1GREEN"/>
    <w:link w:val="BOX1BLUEChar"/>
    <w:semiHidden/>
    <w:qFormat/>
    <w:pPr>
      <w:pBdr>
        <w:top w:val="single" w:sz="12" w:space="1" w:color="65BBC8"/>
        <w:left w:val="single" w:sz="12" w:space="4" w:color="65BBC8"/>
        <w:bottom w:val="single" w:sz="12" w:space="1" w:color="65BBC8"/>
        <w:right w:val="single" w:sz="12" w:space="4" w:color="65BBC8"/>
      </w:pBdr>
    </w:pPr>
    <w:rPr>
      <w:color w:val="65BBC8"/>
    </w:rPr>
  </w:style>
  <w:style w:type="paragraph" w:customStyle="1" w:styleId="Subtitle3blue">
    <w:name w:val="Subtitle 3 blue"/>
    <w:basedOn w:val="Normal"/>
    <w:link w:val="Subtitle3blueChar"/>
    <w:semiHidden/>
    <w:qFormat/>
    <w:pPr>
      <w:spacing w:after="0" w:line="240" w:lineRule="auto"/>
    </w:pPr>
    <w:rPr>
      <w:rFonts w:ascii="EC Square Sans Pro" w:hAnsi="EC Square Sans Pro" w:cs="Times New Roman"/>
      <w:b/>
      <w:color w:val="65BBC8"/>
      <w:sz w:val="20"/>
      <w:lang w:eastAsia="zh-CN"/>
    </w:rPr>
  </w:style>
  <w:style w:type="character" w:customStyle="1" w:styleId="BOX1BLUEChar">
    <w:name w:val="BOX 1 / BLUE Char"/>
    <w:basedOn w:val="BOXE1GREENChar"/>
    <w:link w:val="BOX1BLUE"/>
    <w:semiHidden/>
    <w:rPr>
      <w:rFonts w:ascii="EC Square Sans Pro" w:hAnsi="EC Square Sans Pro" w:cs="Times New Roman"/>
      <w:b/>
      <w:color w:val="65BBC8"/>
      <w:sz w:val="20"/>
      <w:lang w:eastAsia="fr-BE"/>
    </w:rPr>
  </w:style>
  <w:style w:type="character" w:customStyle="1" w:styleId="Subtitle3blueChar">
    <w:name w:val="Subtitle 3 blue Char"/>
    <w:basedOn w:val="DefaultParagraphFont"/>
    <w:link w:val="Subtitle3blue"/>
    <w:semiHidden/>
    <w:rPr>
      <w:rFonts w:ascii="EC Square Sans Pro" w:hAnsi="EC Square Sans Pro" w:cs="Times New Roman"/>
      <w:b/>
      <w:color w:val="65BBC8"/>
      <w:sz w:val="20"/>
      <w:lang w:eastAsia="zh-CN"/>
    </w:rPr>
  </w:style>
  <w:style w:type="paragraph" w:customStyle="1" w:styleId="TITLE3Blue">
    <w:name w:val="TITLE 3 Blue"/>
    <w:basedOn w:val="Normal"/>
    <w:link w:val="TITLE3BlueChar"/>
    <w:semiHidden/>
    <w:pPr>
      <w:spacing w:after="0" w:line="240" w:lineRule="auto"/>
      <w:ind w:left="644" w:hanging="360"/>
    </w:pPr>
    <w:rPr>
      <w:rFonts w:ascii="EC Square Sans Pro" w:hAnsi="EC Square Sans Pro" w:cs="Times New Roman"/>
      <w:color w:val="65BBC8"/>
      <w:sz w:val="20"/>
      <w:lang w:eastAsia="zh-CN"/>
    </w:rPr>
  </w:style>
  <w:style w:type="character" w:customStyle="1" w:styleId="TITLE3BlueChar">
    <w:name w:val="TITLE 3 Blue Char"/>
    <w:basedOn w:val="TITLE3ExecutivesummaryChar"/>
    <w:link w:val="TITLE3Blue"/>
    <w:semiHidden/>
    <w:rPr>
      <w:rFonts w:ascii="EC Square Sans Pro" w:hAnsi="EC Square Sans Pro" w:cs="Times New Roman"/>
      <w:b w:val="0"/>
      <w:color w:val="65BBC8"/>
      <w:sz w:val="20"/>
      <w:lang w:eastAsia="zh-CN"/>
    </w:rPr>
  </w:style>
  <w:style w:type="paragraph" w:customStyle="1" w:styleId="Title3Report">
    <w:name w:val="Title 3 / Report"/>
    <w:basedOn w:val="TITLE3Executivesummary"/>
    <w:link w:val="Title3ReportChar"/>
    <w:semiHidden/>
    <w:qFormat/>
    <w:pPr>
      <w:numPr>
        <w:numId w:val="0"/>
      </w:numPr>
      <w:ind w:left="142"/>
    </w:pPr>
    <w:rPr>
      <w:color w:val="65BBC8"/>
    </w:rPr>
  </w:style>
  <w:style w:type="paragraph" w:customStyle="1" w:styleId="QuoteReport">
    <w:name w:val="Quote Report"/>
    <w:basedOn w:val="QuotedText"/>
    <w:link w:val="QuoteReportChar"/>
    <w:semiHidden/>
    <w:qFormat/>
  </w:style>
  <w:style w:type="character" w:customStyle="1" w:styleId="Title3ReportChar">
    <w:name w:val="Title 3 / Report Char"/>
    <w:basedOn w:val="TITLE3ExecutivesummaryChar"/>
    <w:link w:val="Title3Report"/>
    <w:semiHidden/>
    <w:rPr>
      <w:rFonts w:ascii="EC Square Sans Pro" w:hAnsi="EC Square Sans Pro" w:cs="Times New Roman"/>
      <w:b/>
      <w:color w:val="65BBC8"/>
      <w:sz w:val="24"/>
      <w:lang w:eastAsia="zh-CN"/>
    </w:rPr>
  </w:style>
  <w:style w:type="paragraph" w:customStyle="1" w:styleId="Title1Corporate">
    <w:name w:val="Title 1 / Corporate"/>
    <w:basedOn w:val="TITLE1Report"/>
    <w:link w:val="Title1CorporateChar"/>
    <w:semiHidden/>
    <w:qFormat/>
    <w:pPr>
      <w:keepNext w:val="0"/>
      <w:keepLines w:val="0"/>
      <w:pageBreakBefore w:val="0"/>
      <w:spacing w:before="120"/>
    </w:pPr>
    <w:rPr>
      <w:color w:val="1F4EA2"/>
    </w:rPr>
  </w:style>
  <w:style w:type="character" w:customStyle="1" w:styleId="QuotedTextChar">
    <w:name w:val="Quoted Text Char"/>
    <w:basedOn w:val="DefaultParagraphFont"/>
    <w:link w:val="QuotedText"/>
    <w:semiHidden/>
    <w:rPr>
      <w:rFonts w:ascii="EC Square Sans Pro" w:hAnsi="EC Square Sans Pro" w:cs="Times New Roman"/>
      <w:i/>
      <w:sz w:val="28"/>
    </w:rPr>
  </w:style>
  <w:style w:type="character" w:customStyle="1" w:styleId="QuoteReportChar">
    <w:name w:val="Quote Report Char"/>
    <w:basedOn w:val="QuotedTextChar"/>
    <w:link w:val="QuoteReport"/>
    <w:semiHidden/>
    <w:rPr>
      <w:rFonts w:ascii="EC Square Sans Pro" w:hAnsi="EC Square Sans Pro" w:cs="Times New Roman"/>
      <w:i/>
      <w:sz w:val="28"/>
    </w:rPr>
  </w:style>
  <w:style w:type="paragraph" w:customStyle="1" w:styleId="Datagraphs">
    <w:name w:val="Data graphs"/>
    <w:basedOn w:val="Forewordbodytext"/>
    <w:link w:val="DatagraphsChar"/>
    <w:semiHidden/>
    <w:qFormat/>
  </w:style>
  <w:style w:type="character" w:customStyle="1" w:styleId="Title1CorporateChar">
    <w:name w:val="Title 1 / Corporate Char"/>
    <w:basedOn w:val="TITLE1ReportChar"/>
    <w:link w:val="Title1Corporate"/>
    <w:semiHidden/>
    <w:rPr>
      <w:rFonts w:ascii="EC Square Sans Pro" w:hAnsi="EC Square Sans Pro" w:cs="Times New Roman"/>
      <w:color w:val="1F4EA2"/>
      <w:sz w:val="52"/>
    </w:rPr>
  </w:style>
  <w:style w:type="character" w:customStyle="1" w:styleId="DatagraphsChar">
    <w:name w:val="Data graphs Char"/>
    <w:basedOn w:val="ForewordbodytextChar"/>
    <w:link w:val="Datagraphs"/>
    <w:semiHidden/>
    <w:rPr>
      <w:rFonts w:ascii="EC Square Sans Pro" w:hAnsi="EC Square Sans Pro" w:cs="Times New Roman"/>
      <w:sz w:val="18"/>
      <w:lang w:eastAsia="fr-BE"/>
    </w:rPr>
  </w:style>
  <w:style w:type="paragraph" w:customStyle="1" w:styleId="BOX2Blue">
    <w:name w:val="BOX 2 /Blue"/>
    <w:basedOn w:val="BOXE2GREEN"/>
    <w:link w:val="BOX2BlueChar"/>
    <w:semiHidden/>
    <w:qFormat/>
    <w:pPr>
      <w:shd w:val="clear" w:color="auto" w:fill="FBEFD5"/>
    </w:pPr>
  </w:style>
  <w:style w:type="paragraph" w:customStyle="1" w:styleId="Title4Blue">
    <w:name w:val="Title 4 / Blue"/>
    <w:basedOn w:val="Title4Executivesummary"/>
    <w:link w:val="Title4BlueChar"/>
    <w:semiHidden/>
    <w:qFormat/>
    <w:pPr>
      <w:numPr>
        <w:ilvl w:val="0"/>
        <w:numId w:val="0"/>
      </w:numPr>
      <w:ind w:left="1440" w:hanging="360"/>
    </w:pPr>
    <w:rPr>
      <w:color w:val="65BBC8"/>
    </w:rPr>
  </w:style>
  <w:style w:type="character" w:customStyle="1" w:styleId="BOX2BlueChar">
    <w:name w:val="BOX 2 /Blue Char"/>
    <w:basedOn w:val="BOXE2GREENChar"/>
    <w:link w:val="BOX2Blue"/>
    <w:semiHidden/>
    <w:rPr>
      <w:rFonts w:ascii="EC Square Sans Pro" w:hAnsi="EC Square Sans Pro" w:cs="Times New Roman"/>
      <w:color w:val="000000"/>
      <w:sz w:val="20"/>
      <w:shd w:val="clear" w:color="auto" w:fill="FBEFD5"/>
      <w:lang w:eastAsia="fr-BE"/>
    </w:rPr>
  </w:style>
  <w:style w:type="character" w:customStyle="1" w:styleId="Title4BlueChar">
    <w:name w:val="Title 4 / Blue Char"/>
    <w:basedOn w:val="Title4ExecutivesummaryChar"/>
    <w:link w:val="Title4Blue"/>
    <w:semiHidden/>
    <w:rPr>
      <w:rFonts w:ascii="EC Square Sans Pro" w:hAnsi="EC Square Sans Pro" w:cs="Times New Roman"/>
      <w:color w:val="65BBC8"/>
      <w:sz w:val="18"/>
      <w:szCs w:val="28"/>
      <w:lang w:eastAsia="zh-CN"/>
    </w:rPr>
  </w:style>
  <w:style w:type="paragraph" w:customStyle="1" w:styleId="Title1Endnotes">
    <w:name w:val="Title 1 / Endnotes"/>
    <w:basedOn w:val="Annexetitle"/>
    <w:link w:val="Title1EndnotesChar"/>
    <w:semiHidden/>
    <w:qFormat/>
    <w:rPr>
      <w:color w:val="EFC465"/>
    </w:rPr>
  </w:style>
  <w:style w:type="paragraph" w:customStyle="1" w:styleId="Title2Annexes">
    <w:name w:val="Title 2 / Annexes"/>
    <w:basedOn w:val="Subtitleannexe"/>
    <w:link w:val="Title2AnnexesChar"/>
    <w:semiHidden/>
    <w:qFormat/>
    <w:pPr>
      <w:keepNext/>
      <w:keepLines/>
      <w:pBdr>
        <w:top w:val="single" w:sz="12" w:space="1" w:color="E48C32"/>
        <w:bottom w:val="single" w:sz="12" w:space="1" w:color="E48C32"/>
      </w:pBdr>
      <w:ind w:right="0"/>
    </w:pPr>
    <w:rPr>
      <w:color w:val="E48C32"/>
    </w:rPr>
  </w:style>
  <w:style w:type="character" w:customStyle="1" w:styleId="Title1EndnotesChar">
    <w:name w:val="Title 1 / Endnotes Char"/>
    <w:basedOn w:val="AnnexetitleChar"/>
    <w:link w:val="Title1Endnotes"/>
    <w:semiHidden/>
    <w:rPr>
      <w:rFonts w:ascii="EC Square Sans Pro" w:hAnsi="EC Square Sans Pro" w:cs="Times New Roman"/>
      <w:color w:val="EFC465"/>
      <w:sz w:val="52"/>
      <w:lang w:eastAsia="zh-CN"/>
    </w:rPr>
  </w:style>
  <w:style w:type="paragraph" w:customStyle="1" w:styleId="Title3Annexes">
    <w:name w:val="Title 3 / Annexes"/>
    <w:basedOn w:val="Title3Report"/>
    <w:link w:val="Title3AnnexesChar"/>
    <w:semiHidden/>
    <w:qFormat/>
    <w:pPr>
      <w:numPr>
        <w:numId w:val="12"/>
      </w:numPr>
    </w:pPr>
    <w:rPr>
      <w:color w:val="E48C32"/>
    </w:rPr>
  </w:style>
  <w:style w:type="character" w:customStyle="1" w:styleId="Title2AnnexesChar">
    <w:name w:val="Title 2 / Annexes Char"/>
    <w:basedOn w:val="SubtitleannexeChar"/>
    <w:link w:val="Title2Annexes"/>
    <w:semiHidden/>
    <w:rPr>
      <w:rFonts w:ascii="EC Square Sans Pro" w:eastAsia="EC Square Sans Pro" w:hAnsi="EC Square Sans Pro" w:cs="Times New Roman"/>
      <w:b/>
      <w:color w:val="E48C32"/>
      <w:sz w:val="28"/>
      <w:szCs w:val="21"/>
      <w:lang w:eastAsia="zh-CN"/>
    </w:rPr>
  </w:style>
  <w:style w:type="paragraph" w:customStyle="1" w:styleId="Title4annexes">
    <w:name w:val="Title 4 / annexes"/>
    <w:basedOn w:val="Title3Annexes"/>
    <w:link w:val="Title4annexesChar"/>
    <w:semiHidden/>
    <w:qFormat/>
    <w:pPr>
      <w:numPr>
        <w:ilvl w:val="1"/>
      </w:numPr>
    </w:pPr>
    <w:rPr>
      <w:b w:val="0"/>
    </w:rPr>
  </w:style>
  <w:style w:type="character" w:customStyle="1" w:styleId="Title3AnnexesChar">
    <w:name w:val="Title 3 / Annexes Char"/>
    <w:basedOn w:val="Title3ReportChar"/>
    <w:link w:val="Title3Annexes"/>
    <w:semiHidden/>
    <w:rPr>
      <w:rFonts w:ascii="EC Square Sans Pro" w:hAnsi="EC Square Sans Pro" w:cs="Times New Roman"/>
      <w:b/>
      <w:color w:val="E48C32"/>
      <w:sz w:val="24"/>
      <w:lang w:eastAsia="zh-CN"/>
    </w:rPr>
  </w:style>
  <w:style w:type="paragraph" w:customStyle="1" w:styleId="AARText">
    <w:name w:val="AAR Text"/>
    <w:basedOn w:val="Normal"/>
    <w:link w:val="AARTextChar"/>
    <w:semiHidden/>
    <w:qFormat/>
    <w:pPr>
      <w:widowControl w:val="0"/>
      <w:autoSpaceDE w:val="0"/>
      <w:autoSpaceDN w:val="0"/>
      <w:adjustRightInd w:val="0"/>
      <w:spacing w:after="100" w:line="241" w:lineRule="exact"/>
      <w:jc w:val="both"/>
    </w:pPr>
    <w:rPr>
      <w:rFonts w:ascii="EC Square Sans Pro" w:eastAsia="Times New Roman" w:hAnsi="EC Square Sans Pro" w:cs="Times New Roman"/>
      <w:color w:val="7F7F7F"/>
      <w:sz w:val="19"/>
      <w:szCs w:val="24"/>
      <w:lang w:eastAsia="en-GB"/>
    </w:rPr>
  </w:style>
  <w:style w:type="character" w:customStyle="1" w:styleId="Title4annexesChar">
    <w:name w:val="Title 4 / annexes Char"/>
    <w:basedOn w:val="Title3AnnexesChar"/>
    <w:link w:val="Title4annexes"/>
    <w:semiHidden/>
    <w:rPr>
      <w:rFonts w:ascii="EC Square Sans Pro" w:hAnsi="EC Square Sans Pro" w:cs="Times New Roman"/>
      <w:b w:val="0"/>
      <w:color w:val="E48C32"/>
      <w:sz w:val="24"/>
      <w:lang w:eastAsia="zh-CN"/>
    </w:rPr>
  </w:style>
  <w:style w:type="character" w:customStyle="1" w:styleId="AARTextChar">
    <w:name w:val="AAR Text Char"/>
    <w:link w:val="AARText"/>
    <w:semiHidden/>
    <w:rPr>
      <w:rFonts w:ascii="EC Square Sans Pro" w:eastAsia="Times New Roman" w:hAnsi="EC Square Sans Pro" w:cs="Times New Roman"/>
      <w:color w:val="7F7F7F"/>
      <w:sz w:val="19"/>
      <w:szCs w:val="24"/>
      <w:lang w:eastAsia="en-GB"/>
    </w:rPr>
  </w:style>
  <w:style w:type="paragraph" w:customStyle="1" w:styleId="1AMPRText">
    <w:name w:val="1 AMPR Text"/>
    <w:basedOn w:val="Normal"/>
    <w:link w:val="1AMPRTextChar"/>
    <w:semiHidden/>
    <w:qFormat/>
    <w:pPr>
      <w:widowControl w:val="0"/>
      <w:autoSpaceDE w:val="0"/>
      <w:autoSpaceDN w:val="0"/>
      <w:adjustRightInd w:val="0"/>
      <w:spacing w:after="100" w:line="241" w:lineRule="exact"/>
      <w:jc w:val="both"/>
    </w:pPr>
    <w:rPr>
      <w:rFonts w:ascii="EC Square Sans Pro" w:eastAsia="Times New Roman" w:hAnsi="EC Square Sans Pro" w:cs="Times New Roman"/>
      <w:color w:val="7F7F7F"/>
      <w:sz w:val="19"/>
      <w:szCs w:val="24"/>
      <w:lang w:eastAsia="en-GB"/>
    </w:rPr>
  </w:style>
  <w:style w:type="character" w:customStyle="1" w:styleId="1AMPRTextChar">
    <w:name w:val="1 AMPR Text Char"/>
    <w:link w:val="1AMPRText"/>
    <w:semiHidden/>
    <w:rPr>
      <w:rFonts w:ascii="EC Square Sans Pro" w:eastAsia="Times New Roman" w:hAnsi="EC Square Sans Pro" w:cs="Times New Roman"/>
      <w:color w:val="7F7F7F"/>
      <w:sz w:val="19"/>
      <w:szCs w:val="24"/>
      <w:lang w:eastAsia="en-GB"/>
    </w:rPr>
  </w:style>
  <w:style w:type="paragraph" w:customStyle="1" w:styleId="tabletext">
    <w:name w:val="table text"/>
    <w:basedOn w:val="Normal"/>
    <w:link w:val="tabletextChar"/>
    <w:semiHidden/>
    <w:qFormat/>
    <w:pPr>
      <w:widowControl w:val="0"/>
      <w:autoSpaceDE w:val="0"/>
      <w:autoSpaceDN w:val="0"/>
      <w:adjustRightInd w:val="0"/>
      <w:spacing w:after="0" w:line="240" w:lineRule="auto"/>
      <w:jc w:val="center"/>
    </w:pPr>
    <w:rPr>
      <w:rFonts w:ascii="EC Square Sans Pro" w:eastAsia="Calibri" w:hAnsi="EC Square Sans Pro" w:cs="Arial"/>
      <w:color w:val="000000"/>
      <w:sz w:val="17"/>
      <w:szCs w:val="24"/>
      <w:u w:val="single"/>
      <w:lang w:eastAsia="en-GB"/>
    </w:rPr>
  </w:style>
  <w:style w:type="paragraph" w:customStyle="1" w:styleId="tabletext2">
    <w:name w:val="table text 2"/>
    <w:basedOn w:val="Normal"/>
    <w:link w:val="tabletext2Char"/>
    <w:semiHidden/>
    <w:qFormat/>
    <w:pPr>
      <w:widowControl w:val="0"/>
      <w:autoSpaceDE w:val="0"/>
      <w:autoSpaceDN w:val="0"/>
      <w:adjustRightInd w:val="0"/>
      <w:spacing w:after="0" w:line="240" w:lineRule="auto"/>
    </w:pPr>
    <w:rPr>
      <w:rFonts w:ascii="EC Square Sans Pro" w:eastAsia="Times New Roman" w:hAnsi="EC Square Sans Pro" w:cs="Arial"/>
      <w:b/>
      <w:color w:val="FFFFFF"/>
      <w:sz w:val="18"/>
      <w:szCs w:val="18"/>
      <w:lang w:eastAsia="zh-CN"/>
    </w:rPr>
  </w:style>
  <w:style w:type="character" w:customStyle="1" w:styleId="tabletextChar">
    <w:name w:val="table text Char"/>
    <w:basedOn w:val="DefaultParagraphFont"/>
    <w:link w:val="tabletext"/>
    <w:semiHidden/>
    <w:rPr>
      <w:rFonts w:ascii="EC Square Sans Pro" w:eastAsia="Calibri" w:hAnsi="EC Square Sans Pro" w:cs="Arial"/>
      <w:color w:val="000000"/>
      <w:sz w:val="17"/>
      <w:szCs w:val="24"/>
      <w:u w:val="single"/>
      <w:lang w:eastAsia="en-GB"/>
    </w:rPr>
  </w:style>
  <w:style w:type="paragraph" w:customStyle="1" w:styleId="BulletsletteringAnnexes">
    <w:name w:val="Bullets lettering Annexes"/>
    <w:basedOn w:val="Normal"/>
    <w:link w:val="BulletsletteringAnnexesChar"/>
    <w:semiHidden/>
    <w:qFormat/>
    <w:pPr>
      <w:numPr>
        <w:numId w:val="7"/>
      </w:numPr>
      <w:spacing w:after="0" w:line="26" w:lineRule="atLeast"/>
      <w:contextualSpacing/>
      <w:jc w:val="both"/>
    </w:pPr>
    <w:rPr>
      <w:rFonts w:ascii="EC Square Sans Pro" w:eastAsia="Times New Roman" w:hAnsi="EC Square Sans Pro" w:cs="Arial"/>
      <w:sz w:val="20"/>
      <w:szCs w:val="20"/>
      <w:lang w:eastAsia="en-GB"/>
    </w:rPr>
  </w:style>
  <w:style w:type="character" w:customStyle="1" w:styleId="tabletext2Char">
    <w:name w:val="table text 2 Char"/>
    <w:basedOn w:val="DefaultParagraphFont"/>
    <w:link w:val="tabletext2"/>
    <w:semiHidden/>
    <w:rPr>
      <w:rFonts w:ascii="EC Square Sans Pro" w:eastAsia="Times New Roman" w:hAnsi="EC Square Sans Pro" w:cs="Arial"/>
      <w:b/>
      <w:color w:val="FFFFFF"/>
      <w:sz w:val="18"/>
      <w:szCs w:val="18"/>
      <w:lang w:eastAsia="zh-CN"/>
    </w:rPr>
  </w:style>
  <w:style w:type="paragraph" w:customStyle="1" w:styleId="endnotestext">
    <w:name w:val="endnotes text"/>
    <w:basedOn w:val="BodyText10"/>
    <w:link w:val="endnotestextChar"/>
    <w:semiHidden/>
    <w:qFormat/>
  </w:style>
  <w:style w:type="character" w:customStyle="1" w:styleId="BulletsletteringAnnexesChar">
    <w:name w:val="Bullets lettering Annexes Char"/>
    <w:basedOn w:val="DefaultParagraphFont"/>
    <w:link w:val="BulletsletteringAnnexes"/>
    <w:semiHidden/>
    <w:rPr>
      <w:rFonts w:ascii="EC Square Sans Pro" w:eastAsia="Times New Roman" w:hAnsi="EC Square Sans Pro" w:cs="Arial"/>
      <w:sz w:val="20"/>
      <w:szCs w:val="20"/>
      <w:lang w:eastAsia="en-GB"/>
    </w:rPr>
  </w:style>
  <w:style w:type="character" w:customStyle="1" w:styleId="endnotestextChar">
    <w:name w:val="endnotes text Char"/>
    <w:basedOn w:val="BodytextChar0"/>
    <w:link w:val="endnotestext"/>
    <w:semiHidden/>
    <w:rPr>
      <w:rFonts w:ascii="EC Square Sans Pro" w:hAnsi="EC Square Sans Pro" w:cs="Times New Roman"/>
      <w:color w:val="000000"/>
      <w:sz w:val="20"/>
      <w:lang w:eastAsia="fr-BE"/>
    </w:rPr>
  </w:style>
  <w:style w:type="paragraph" w:customStyle="1" w:styleId="BOX1ORANGE">
    <w:name w:val="BOX 1/ ORANGE"/>
    <w:basedOn w:val="BOXE1GREEN"/>
    <w:link w:val="BOX1ORANGEChar"/>
    <w:semiHidden/>
    <w:qFormat/>
    <w:pPr>
      <w:pBdr>
        <w:top w:val="single" w:sz="12" w:space="1" w:color="E48C32"/>
        <w:left w:val="single" w:sz="12" w:space="4" w:color="E48C32"/>
        <w:bottom w:val="single" w:sz="12" w:space="1" w:color="E48C32"/>
        <w:right w:val="single" w:sz="12" w:space="4" w:color="E48C32"/>
      </w:pBdr>
    </w:pPr>
    <w:rPr>
      <w:color w:val="E48C32"/>
    </w:rPr>
  </w:style>
  <w:style w:type="paragraph" w:customStyle="1" w:styleId="BOX3Orange">
    <w:name w:val="BOX 3 / Orange"/>
    <w:basedOn w:val="BOX3Blue"/>
    <w:link w:val="BOX3OrangeChar"/>
    <w:semiHidden/>
    <w:qFormat/>
    <w:pPr>
      <w:pBdr>
        <w:top w:val="dashSmallGap" w:sz="12" w:space="1" w:color="E48C32"/>
        <w:left w:val="dashSmallGap" w:sz="12" w:space="4" w:color="E48C32"/>
        <w:bottom w:val="dashSmallGap" w:sz="12" w:space="1" w:color="E48C32"/>
        <w:right w:val="dashSmallGap" w:sz="12" w:space="4" w:color="E48C32"/>
      </w:pBdr>
      <w:spacing w:after="0"/>
    </w:pPr>
    <w:rPr>
      <w:b/>
    </w:rPr>
  </w:style>
  <w:style w:type="character" w:customStyle="1" w:styleId="BOX1ORANGEChar">
    <w:name w:val="BOX 1/ ORANGE Char"/>
    <w:basedOn w:val="BOXE1GREENChar"/>
    <w:link w:val="BOX1ORANGE"/>
    <w:semiHidden/>
    <w:rPr>
      <w:rFonts w:ascii="EC Square Sans Pro" w:hAnsi="EC Square Sans Pro" w:cs="Times New Roman"/>
      <w:b/>
      <w:color w:val="E48C32"/>
      <w:sz w:val="20"/>
      <w:lang w:eastAsia="fr-BE"/>
    </w:rPr>
  </w:style>
  <w:style w:type="paragraph" w:customStyle="1" w:styleId="Box2Orange">
    <w:name w:val="Box 2 / Orange"/>
    <w:basedOn w:val="BodyText10"/>
    <w:link w:val="Box2OrangeChar"/>
    <w:semiHidden/>
    <w:qFormat/>
    <w:rPr>
      <w:shd w:val="clear" w:color="auto" w:fill="F4D0AC"/>
    </w:rPr>
  </w:style>
  <w:style w:type="character" w:customStyle="1" w:styleId="BOX3OrangeChar">
    <w:name w:val="BOX 3 / Orange Char"/>
    <w:basedOn w:val="BOX3BlueChar"/>
    <w:link w:val="BOX3Orange"/>
    <w:semiHidden/>
    <w:rPr>
      <w:rFonts w:ascii="EC Square Sans Pro" w:hAnsi="EC Square Sans Pro" w:cs="Times New Roman"/>
      <w:b/>
      <w:color w:val="4472C4" w:themeColor="accent5"/>
      <w:sz w:val="20"/>
      <w:lang w:eastAsia="fr-BE"/>
    </w:rPr>
  </w:style>
  <w:style w:type="character" w:customStyle="1" w:styleId="Box2OrangeChar">
    <w:name w:val="Box 2 / Orange Char"/>
    <w:basedOn w:val="BodytextChar0"/>
    <w:link w:val="Box2Orange"/>
    <w:semiHidden/>
    <w:rPr>
      <w:rFonts w:ascii="EC Square Sans Pro" w:hAnsi="EC Square Sans Pro" w:cs="Times New Roman"/>
      <w:color w:val="000000"/>
      <w:sz w:val="20"/>
      <w:lang w:eastAsia="fr-BE"/>
    </w:rPr>
  </w:style>
  <w:style w:type="character" w:customStyle="1" w:styleId="A4">
    <w:name w:val="A4"/>
    <w:uiPriority w:val="99"/>
    <w:semiHidden/>
    <w:rPr>
      <w:rFonts w:ascii="EC Square Sans Pro" w:hAnsi="EC Square Sans Pro" w:cs="EC Square Sans Pro"/>
      <w:b/>
      <w:bCs/>
      <w:noProof w:val="0"/>
      <w:color w:val="000000"/>
      <w:sz w:val="72"/>
      <w:szCs w:val="72"/>
      <w:lang w:val="en-GB"/>
    </w:rPr>
  </w:style>
  <w:style w:type="paragraph" w:customStyle="1" w:styleId="AMPRText">
    <w:name w:val="AMPR Text"/>
    <w:basedOn w:val="Normal"/>
    <w:link w:val="AMPRTextChar"/>
    <w:semiHidden/>
    <w:qFormat/>
    <w:pPr>
      <w:widowControl w:val="0"/>
      <w:autoSpaceDE w:val="0"/>
      <w:autoSpaceDN w:val="0"/>
      <w:adjustRightInd w:val="0"/>
      <w:spacing w:after="100" w:line="241" w:lineRule="exact"/>
      <w:jc w:val="both"/>
    </w:pPr>
    <w:rPr>
      <w:rFonts w:ascii="EC Square Sans Pro" w:eastAsia="Times New Roman" w:hAnsi="EC Square Sans Pro" w:cs="Times New Roman"/>
      <w:color w:val="7F7F7F"/>
      <w:sz w:val="19"/>
      <w:szCs w:val="24"/>
      <w:lang w:eastAsia="en-GB"/>
    </w:rPr>
  </w:style>
  <w:style w:type="character" w:customStyle="1" w:styleId="AMPRTextChar">
    <w:name w:val="AMPR Text Char"/>
    <w:link w:val="AMPRText"/>
    <w:semiHidden/>
    <w:rPr>
      <w:rFonts w:ascii="EC Square Sans Pro" w:eastAsia="Times New Roman" w:hAnsi="EC Square Sans Pro" w:cs="Times New Roman"/>
      <w:color w:val="7F7F7F"/>
      <w:sz w:val="19"/>
      <w:szCs w:val="24"/>
      <w:lang w:eastAsia="en-GB"/>
    </w:rPr>
  </w:style>
  <w:style w:type="paragraph" w:customStyle="1" w:styleId="AMPRH2">
    <w:name w:val="AMPR H2"/>
    <w:basedOn w:val="Normal"/>
    <w:next w:val="Normal"/>
    <w:semiHidden/>
    <w:qFormat/>
    <w:pPr>
      <w:tabs>
        <w:tab w:val="left" w:pos="907"/>
      </w:tabs>
      <w:spacing w:before="600" w:after="360" w:line="240" w:lineRule="auto"/>
    </w:pPr>
    <w:rPr>
      <w:rFonts w:ascii="EC Square Sans Pro" w:eastAsia="Times New Roman" w:hAnsi="EC Square Sans Pro" w:cs="Times New Roman"/>
      <w:b/>
      <w:color w:val="0070C0"/>
      <w:sz w:val="28"/>
      <w:szCs w:val="24"/>
      <w:lang w:eastAsia="en-GB"/>
    </w:rPr>
  </w:style>
  <w:style w:type="paragraph" w:customStyle="1" w:styleId="AMPRTabletext">
    <w:name w:val="AMPR Table text"/>
    <w:basedOn w:val="AMPRText"/>
    <w:link w:val="AMPRTabletextChar"/>
    <w:semiHidden/>
    <w:qFormat/>
    <w:pPr>
      <w:spacing w:after="0" w:line="240" w:lineRule="auto"/>
    </w:pPr>
    <w:rPr>
      <w:sz w:val="17"/>
    </w:rPr>
  </w:style>
  <w:style w:type="character" w:customStyle="1" w:styleId="AMPRTabletextChar">
    <w:name w:val="AMPR Table text Char"/>
    <w:basedOn w:val="AMPRTextChar"/>
    <w:link w:val="AMPRTabletext"/>
    <w:semiHidden/>
    <w:rPr>
      <w:rFonts w:ascii="EC Square Sans Pro" w:eastAsia="Times New Roman" w:hAnsi="EC Square Sans Pro" w:cs="Times New Roman"/>
      <w:color w:val="7F7F7F"/>
      <w:sz w:val="17"/>
      <w:szCs w:val="24"/>
      <w:lang w:eastAsia="en-GB"/>
    </w:rPr>
  </w:style>
  <w:style w:type="character" w:styleId="BookTitle">
    <w:name w:val="Book Title"/>
    <w:basedOn w:val="DefaultParagraphFont"/>
    <w:uiPriority w:val="33"/>
    <w:rPr>
      <w:rFonts w:ascii="EC Square Sans Pro" w:hAnsi="EC Square Sans Pro"/>
      <w:b/>
      <w:bCs/>
      <w:smallCaps/>
      <w:noProof w:val="0"/>
      <w:spacing w:val="5"/>
      <w:lang w:val="en-GB"/>
    </w:rPr>
  </w:style>
  <w:style w:type="character" w:customStyle="1" w:styleId="IntenseEmphasis1">
    <w:name w:val="Intense Emphasis1"/>
    <w:basedOn w:val="DefaultParagraphFont"/>
    <w:uiPriority w:val="21"/>
    <w:semiHidden/>
    <w:rPr>
      <w:rFonts w:ascii="EC Square Sans Pro" w:hAnsi="EC Square Sans Pro"/>
      <w:b/>
      <w:bCs/>
      <w:i/>
      <w:iCs/>
      <w:noProof w:val="0"/>
      <w:color w:val="65BBC8"/>
      <w:lang w:val="en-GB"/>
    </w:rPr>
  </w:style>
  <w:style w:type="paragraph" w:customStyle="1" w:styleId="IntenseQuote1">
    <w:name w:val="Intense Quote1"/>
    <w:basedOn w:val="Normal"/>
    <w:next w:val="Normal"/>
    <w:uiPriority w:val="30"/>
    <w:semiHidden/>
    <w:pPr>
      <w:pBdr>
        <w:bottom w:val="single" w:sz="4" w:space="4" w:color="65BBC8"/>
      </w:pBdr>
      <w:spacing w:before="200" w:after="280" w:line="240" w:lineRule="auto"/>
      <w:ind w:left="936" w:right="936"/>
    </w:pPr>
    <w:rPr>
      <w:rFonts w:ascii="EC Square Sans Pro" w:hAnsi="EC Square Sans Pro" w:cs="Times New Roman"/>
      <w:b/>
      <w:bCs/>
      <w:i/>
      <w:iCs/>
      <w:color w:val="65BBC8"/>
      <w:sz w:val="20"/>
    </w:rPr>
  </w:style>
  <w:style w:type="character" w:customStyle="1" w:styleId="IntenseQuoteChar">
    <w:name w:val="Intense Quote Char"/>
    <w:basedOn w:val="DefaultParagraphFont"/>
    <w:link w:val="IntenseQuote"/>
    <w:uiPriority w:val="30"/>
    <w:rPr>
      <w:rFonts w:ascii="EC Square Sans Pro" w:hAnsi="EC Square Sans Pro" w:cs="Times New Roman"/>
      <w:b/>
      <w:bCs/>
      <w:i/>
      <w:iCs/>
      <w:color w:val="65BBC8"/>
      <w:sz w:val="20"/>
    </w:rPr>
  </w:style>
  <w:style w:type="character" w:customStyle="1" w:styleId="IntenseReference1">
    <w:name w:val="Intense Reference1"/>
    <w:basedOn w:val="DefaultParagraphFont"/>
    <w:uiPriority w:val="32"/>
    <w:semiHidden/>
    <w:rPr>
      <w:rFonts w:ascii="EC Square Sans Pro" w:hAnsi="EC Square Sans Pro"/>
      <w:b/>
      <w:bCs/>
      <w:smallCaps/>
      <w:noProof w:val="0"/>
      <w:color w:val="82D2E8"/>
      <w:spacing w:val="5"/>
      <w:u w:val="single"/>
      <w:lang w:val="en-GB"/>
    </w:rPr>
  </w:style>
  <w:style w:type="paragraph" w:customStyle="1" w:styleId="NoSpacing2">
    <w:name w:val="No Spacing2"/>
    <w:next w:val="NoSpacing"/>
    <w:link w:val="NoSpacingChar"/>
    <w:uiPriority w:val="1"/>
    <w:semiHidden/>
    <w:qFormat/>
    <w:pPr>
      <w:spacing w:after="0" w:line="240" w:lineRule="auto"/>
    </w:pPr>
    <w:rPr>
      <w:rFonts w:ascii="EC Square Sans Pro" w:hAnsi="EC Square Sans Pro" w:cs="Times New Roman"/>
      <w:sz w:val="20"/>
    </w:rPr>
  </w:style>
  <w:style w:type="paragraph" w:customStyle="1" w:styleId="Quote1">
    <w:name w:val="Quote1"/>
    <w:basedOn w:val="Normal"/>
    <w:next w:val="Normal"/>
    <w:uiPriority w:val="29"/>
    <w:semiHidden/>
    <w:qFormat/>
    <w:pPr>
      <w:spacing w:after="0" w:line="240" w:lineRule="auto"/>
    </w:pPr>
    <w:rPr>
      <w:rFonts w:ascii="EC Square Sans Pro" w:hAnsi="EC Square Sans Pro" w:cs="Times New Roman"/>
      <w:i/>
      <w:iCs/>
      <w:color w:val="000000"/>
      <w:sz w:val="20"/>
    </w:rPr>
  </w:style>
  <w:style w:type="character" w:customStyle="1" w:styleId="QuoteChar">
    <w:name w:val="Quote Char"/>
    <w:basedOn w:val="DefaultParagraphFont"/>
    <w:link w:val="Quote"/>
    <w:uiPriority w:val="29"/>
    <w:rPr>
      <w:rFonts w:ascii="EC Square Sans Pro" w:hAnsi="EC Square Sans Pro" w:cs="Times New Roman"/>
      <w:i/>
      <w:iCs/>
      <w:color w:val="000000"/>
      <w:sz w:val="20"/>
    </w:rPr>
  </w:style>
  <w:style w:type="paragraph" w:customStyle="1" w:styleId="Subtitle1">
    <w:name w:val="Subtitle1"/>
    <w:basedOn w:val="Normal"/>
    <w:next w:val="Normal"/>
    <w:semiHidden/>
    <w:qFormat/>
    <w:pPr>
      <w:numPr>
        <w:ilvl w:val="1"/>
      </w:numPr>
      <w:spacing w:after="0" w:line="240" w:lineRule="auto"/>
    </w:pPr>
    <w:rPr>
      <w:rFonts w:ascii="EC Square Sans Pro" w:eastAsia="Malgun Gothic Semilight" w:hAnsi="EC Square Sans Pro" w:cs="Times New Roman"/>
      <w:i/>
      <w:iCs/>
      <w:color w:val="65BBC8"/>
      <w:spacing w:val="15"/>
      <w:sz w:val="24"/>
      <w:szCs w:val="24"/>
    </w:rPr>
  </w:style>
  <w:style w:type="character" w:customStyle="1" w:styleId="SubtitleChar">
    <w:name w:val="Subtitle Char"/>
    <w:basedOn w:val="DefaultParagraphFont"/>
    <w:link w:val="Subtitle"/>
    <w:rPr>
      <w:rFonts w:ascii="EC Square Sans Pro" w:eastAsia="Malgun Gothic Semilight" w:hAnsi="EC Square Sans Pro" w:cs="Times New Roman"/>
      <w:i/>
      <w:iCs/>
      <w:color w:val="65BBC8"/>
      <w:spacing w:val="15"/>
      <w:sz w:val="24"/>
      <w:szCs w:val="24"/>
    </w:rPr>
  </w:style>
  <w:style w:type="paragraph" w:customStyle="1" w:styleId="BodyText1spacebefore">
    <w:name w:val="Body Text 1 (space before)"/>
    <w:basedOn w:val="BodyText1"/>
    <w:semiHidden/>
    <w:pPr>
      <w:spacing w:before="240"/>
    </w:pPr>
    <w:rPr>
      <w:rFonts w:eastAsia="Calibri"/>
    </w:rPr>
  </w:style>
  <w:style w:type="character" w:customStyle="1" w:styleId="BOLDBLUECorporate">
    <w:name w:val="BOLD BLUE / Corporate"/>
    <w:semiHidden/>
    <w:rPr>
      <w:rFonts w:ascii="EC Square Sans Pro" w:hAnsi="EC Square Sans Pro"/>
      <w:b/>
      <w:noProof w:val="0"/>
      <w:color w:val="1F4EA2"/>
      <w:lang w:val="en-GB" w:eastAsia="fr-BE"/>
    </w:rPr>
  </w:style>
  <w:style w:type="character" w:customStyle="1" w:styleId="BOLDGREENExecutiveSummary">
    <w:name w:val="BOLD GREEN / Executive Summary"/>
    <w:semiHidden/>
    <w:rPr>
      <w:rFonts w:ascii="EC Square Sans Pro" w:eastAsia="Calibri" w:hAnsi="EC Square Sans Pro"/>
      <w:b/>
      <w:noProof w:val="0"/>
      <w:color w:val="08AA74"/>
      <w:lang w:val="en-GB" w:eastAsia="fr-BE"/>
    </w:rPr>
  </w:style>
  <w:style w:type="character" w:customStyle="1" w:styleId="BOLDLIGHTBLUEReport">
    <w:name w:val="BOLD LIGHT BLUE / Report"/>
    <w:basedOn w:val="DefaultParagraphFont"/>
    <w:semiHidden/>
    <w:rPr>
      <w:rFonts w:ascii="EC Square Sans Pro" w:eastAsia="Times New Roman" w:hAnsi="EC Square Sans Pro"/>
      <w:b/>
      <w:noProof w:val="0"/>
      <w:color w:val="65BBC8"/>
      <w:szCs w:val="20"/>
      <w:lang w:val="en-GB" w:eastAsia="en-GB"/>
    </w:rPr>
  </w:style>
  <w:style w:type="character" w:customStyle="1" w:styleId="BOLDUnderlinedLIGHTBLUEReport">
    <w:name w:val="BOLD Underlined  LIGHT BLUE / Report"/>
    <w:basedOn w:val="BOLDLIGHTBLUEReport"/>
    <w:uiPriority w:val="1"/>
    <w:semiHidden/>
    <w:rPr>
      <w:rFonts w:ascii="EC Square Sans Pro" w:eastAsia="Times New Roman" w:hAnsi="EC Square Sans Pro"/>
      <w:b/>
      <w:noProof w:val="0"/>
      <w:color w:val="65BBC8"/>
      <w:szCs w:val="20"/>
      <w:u w:val="single"/>
      <w:lang w:val="en-GB" w:eastAsia="en-GB"/>
    </w:rPr>
  </w:style>
  <w:style w:type="paragraph" w:customStyle="1" w:styleId="Box2BulletsBlueReport">
    <w:name w:val="Box 2 Bullets Blue / Report"/>
    <w:basedOn w:val="BOX2Blue"/>
    <w:semiHidden/>
    <w:pPr>
      <w:numPr>
        <w:numId w:val="8"/>
      </w:numPr>
      <w:ind w:left="1080"/>
    </w:pPr>
  </w:style>
  <w:style w:type="paragraph" w:customStyle="1" w:styleId="bulletsblue-spaceafter">
    <w:name w:val="bullets blue - (space after)"/>
    <w:basedOn w:val="bulletsblue"/>
    <w:semiHidden/>
    <w:pPr>
      <w:numPr>
        <w:numId w:val="0"/>
      </w:numPr>
      <w:spacing w:after="120"/>
    </w:pPr>
  </w:style>
  <w:style w:type="paragraph" w:customStyle="1" w:styleId="bulletsblue-consecutive">
    <w:name w:val="bullets blue - consecutive"/>
    <w:basedOn w:val="bulletsblue"/>
    <w:semiHidden/>
    <w:pPr>
      <w:numPr>
        <w:numId w:val="0"/>
      </w:numPr>
      <w:ind w:left="709"/>
    </w:pPr>
  </w:style>
  <w:style w:type="paragraph" w:customStyle="1" w:styleId="bulletsblue-consecutivespaceafter">
    <w:name w:val="bullets blue - consecutive (space after)"/>
    <w:basedOn w:val="bulletsblue-consecutive"/>
    <w:semiHidden/>
    <w:pPr>
      <w:spacing w:after="120"/>
    </w:pPr>
  </w:style>
  <w:style w:type="paragraph" w:customStyle="1" w:styleId="Title1Corporate-NoTOC">
    <w:name w:val="Title 1 / Corporate - No TOC"/>
    <w:basedOn w:val="Title1Corporate"/>
    <w:next w:val="BodyText1spaceafter"/>
    <w:semiHidden/>
    <w:pPr>
      <w:outlineLvl w:val="9"/>
    </w:pPr>
  </w:style>
  <w:style w:type="paragraph" w:customStyle="1" w:styleId="Title3Report-Numbered">
    <w:name w:val="Title 3 / Report - Numbered"/>
    <w:basedOn w:val="Title3Report"/>
    <w:next w:val="BodyText1spaceafter"/>
    <w:semiHidden/>
    <w:pPr>
      <w:numPr>
        <w:numId w:val="11"/>
      </w:numPr>
      <w:spacing w:line="276" w:lineRule="auto"/>
      <w:ind w:left="1080"/>
    </w:pPr>
  </w:style>
  <w:style w:type="character" w:customStyle="1" w:styleId="BOLDYELLOWEndnotes">
    <w:name w:val="BOLD YELLOW / Endnotes"/>
    <w:uiPriority w:val="1"/>
    <w:semiHidden/>
    <w:rPr>
      <w:b/>
      <w:noProof w:val="0"/>
      <w:color w:val="EFC465"/>
      <w:lang w:val="en-GB"/>
    </w:rPr>
  </w:style>
  <w:style w:type="paragraph" w:customStyle="1" w:styleId="bulletsorange0">
    <w:name w:val="bullets orange"/>
    <w:basedOn w:val="bulletsblue"/>
    <w:semiHidden/>
    <w:pPr>
      <w:spacing w:after="240"/>
      <w:ind w:left="714" w:hanging="357"/>
      <w:contextualSpacing/>
    </w:pPr>
  </w:style>
  <w:style w:type="paragraph" w:customStyle="1" w:styleId="PSNormal">
    <w:name w:val="PS_Normal"/>
    <w:basedOn w:val="Normal"/>
    <w:semiHidden/>
    <w:pPr>
      <w:spacing w:after="100" w:line="240" w:lineRule="auto"/>
      <w:jc w:val="both"/>
    </w:pPr>
    <w:rPr>
      <w:rFonts w:ascii="EC Square Sans Pro" w:eastAsia="Times New Roman" w:hAnsi="EC Square Sans Pro" w:cs="Times New Roman"/>
      <w:color w:val="7F7F7F"/>
      <w:sz w:val="18"/>
      <w:szCs w:val="20"/>
      <w:lang w:eastAsia="en-GB"/>
    </w:rPr>
  </w:style>
  <w:style w:type="paragraph" w:customStyle="1" w:styleId="Default">
    <w:name w:val="Default"/>
    <w:semiHidden/>
    <w:pPr>
      <w:autoSpaceDE w:val="0"/>
      <w:autoSpaceDN w:val="0"/>
      <w:adjustRightInd w:val="0"/>
      <w:spacing w:after="0" w:line="240" w:lineRule="auto"/>
    </w:pPr>
    <w:rPr>
      <w:rFonts w:ascii="Calibri" w:eastAsia="Calibri" w:hAnsi="Calibri" w:cs="Calibri"/>
      <w:color w:val="000000"/>
      <w:sz w:val="24"/>
      <w:szCs w:val="24"/>
    </w:rPr>
  </w:style>
  <w:style w:type="character" w:customStyle="1" w:styleId="A2">
    <w:name w:val="A2"/>
    <w:uiPriority w:val="99"/>
    <w:semiHidden/>
    <w:rPr>
      <w:rFonts w:cs="EC Square Sans Pro"/>
      <w:noProof w:val="0"/>
      <w:color w:val="000000"/>
      <w:sz w:val="20"/>
      <w:szCs w:val="20"/>
      <w:lang w:val="en-GB"/>
    </w:rPr>
  </w:style>
  <w:style w:type="numbering" w:customStyle="1" w:styleId="Bullets">
    <w:name w:val="Bullets"/>
    <w:aliases w:val="NumbLstBTBullet,NumbLstBullet"/>
    <w:pPr>
      <w:numPr>
        <w:numId w:val="14"/>
      </w:numPr>
    </w:pPr>
  </w:style>
  <w:style w:type="paragraph" w:customStyle="1" w:styleId="Bullet2">
    <w:name w:val="Bullet 2"/>
    <w:aliases w:val="Bullet2,BTBullet2"/>
    <w:basedOn w:val="Normal"/>
    <w:semiHidden/>
    <w:qFormat/>
    <w:pPr>
      <w:tabs>
        <w:tab w:val="num" w:pos="1021"/>
      </w:tabs>
      <w:spacing w:before="120" w:after="120" w:line="240" w:lineRule="auto"/>
      <w:ind w:left="1021" w:hanging="341"/>
      <w:contextualSpacing/>
      <w:jc w:val="both"/>
    </w:pPr>
    <w:rPr>
      <w:rFonts w:ascii="EC Square Sans Pro" w:eastAsia="Calibri" w:hAnsi="EC Square Sans Pro" w:cs="Times New Roman"/>
      <w:color w:val="000000"/>
      <w:sz w:val="18"/>
    </w:rPr>
  </w:style>
  <w:style w:type="paragraph" w:customStyle="1" w:styleId="Bullet3">
    <w:name w:val="Bullet 3"/>
    <w:aliases w:val="Bullet3,BTBullet3"/>
    <w:basedOn w:val="Bullet2"/>
    <w:semiHidden/>
    <w:qFormat/>
    <w:pPr>
      <w:tabs>
        <w:tab w:val="clear" w:pos="1021"/>
        <w:tab w:val="num" w:pos="1361"/>
      </w:tabs>
      <w:ind w:left="1361" w:hanging="340"/>
    </w:pPr>
  </w:style>
  <w:style w:type="paragraph" w:customStyle="1" w:styleId="AARHintboxtitle">
    <w:name w:val="AAR Hintbox title"/>
    <w:basedOn w:val="Normal"/>
    <w:next w:val="Normal"/>
    <w:semiHidden/>
    <w:qFormat/>
    <w:pPr>
      <w:keepNext/>
      <w:numPr>
        <w:numId w:val="15"/>
      </w:numPr>
      <w:spacing w:before="120" w:after="100" w:line="240" w:lineRule="auto"/>
      <w:jc w:val="both"/>
    </w:pPr>
    <w:rPr>
      <w:rFonts w:ascii="EC Square Sans Pro" w:eastAsia="Calibri" w:hAnsi="EC Square Sans Pro" w:cs="Times New Roman"/>
      <w:b/>
      <w:bCs/>
      <w:i/>
      <w:color w:val="00B050"/>
      <w:u w:val="single"/>
    </w:rPr>
  </w:style>
  <w:style w:type="character" w:customStyle="1" w:styleId="Corpsdutexte27">
    <w:name w:val="Corps du texte27"/>
    <w:uiPriority w:val="99"/>
    <w:semiHidden/>
    <w:rPr>
      <w:rFonts w:ascii="Arial" w:hAnsi="Arial" w:cs="Arial"/>
      <w:noProof w:val="0"/>
      <w:color w:val="1A171C"/>
      <w:sz w:val="21"/>
      <w:szCs w:val="21"/>
      <w:u w:val="none"/>
      <w:lang w:val="en-GB"/>
    </w:rPr>
  </w:style>
  <w:style w:type="paragraph" w:customStyle="1" w:styleId="FooterLandscape">
    <w:name w:val="FooterLandscape"/>
    <w:basedOn w:val="Normal"/>
    <w:semiHidden/>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ChapterTitle">
    <w:name w:val="ChapterTitle"/>
    <w:basedOn w:val="Normal"/>
    <w:next w:val="Normal"/>
    <w:semiHidden/>
    <w:pPr>
      <w:keepNext/>
      <w:spacing w:before="120" w:after="360" w:line="240" w:lineRule="auto"/>
      <w:jc w:val="center"/>
    </w:pPr>
    <w:rPr>
      <w:rFonts w:ascii="EC Square Sans Pro" w:eastAsia="SimSun" w:hAnsi="EC Square Sans Pro" w:cs="Times New Roman"/>
      <w:b/>
      <w:color w:val="7F7F7F"/>
      <w:sz w:val="32"/>
      <w:szCs w:val="24"/>
    </w:rPr>
  </w:style>
  <w:style w:type="paragraph" w:customStyle="1" w:styleId="Bullet0">
    <w:name w:val="Bullet 0"/>
    <w:basedOn w:val="Normal"/>
    <w:semiHidden/>
    <w:pPr>
      <w:tabs>
        <w:tab w:val="num" w:pos="850"/>
      </w:tabs>
      <w:spacing w:before="120" w:after="120" w:line="240" w:lineRule="auto"/>
      <w:ind w:left="850" w:hanging="850"/>
      <w:jc w:val="both"/>
    </w:pPr>
    <w:rPr>
      <w:rFonts w:ascii="EC Square Sans Pro" w:eastAsia="SimSun" w:hAnsi="EC Square Sans Pro" w:cs="Times New Roman"/>
      <w:color w:val="7F7F7F"/>
      <w:sz w:val="18"/>
      <w:szCs w:val="24"/>
    </w:rPr>
  </w:style>
  <w:style w:type="paragraph" w:customStyle="1" w:styleId="Bullet4">
    <w:name w:val="Bullet 4"/>
    <w:basedOn w:val="Normal"/>
    <w:semiHidden/>
    <w:pPr>
      <w:tabs>
        <w:tab w:val="num" w:pos="2551"/>
        <w:tab w:val="num" w:pos="3118"/>
      </w:tabs>
      <w:spacing w:before="120" w:after="120" w:line="240" w:lineRule="auto"/>
      <w:ind w:left="3118" w:hanging="567"/>
      <w:jc w:val="both"/>
    </w:pPr>
    <w:rPr>
      <w:rFonts w:ascii="EC Square Sans Pro" w:eastAsia="SimSun" w:hAnsi="EC Square Sans Pro" w:cs="Times New Roman"/>
      <w:color w:val="7F7F7F"/>
      <w:sz w:val="18"/>
      <w:szCs w:val="24"/>
    </w:rPr>
  </w:style>
  <w:style w:type="paragraph" w:customStyle="1" w:styleId="Annexetitreexpos">
    <w:name w:val="Annexe titre (exposé)"/>
    <w:basedOn w:val="Normal"/>
    <w:next w:val="Normal"/>
    <w:semiHidden/>
    <w:pPr>
      <w:spacing w:before="120" w:after="120" w:line="240" w:lineRule="auto"/>
      <w:jc w:val="center"/>
    </w:pPr>
    <w:rPr>
      <w:rFonts w:ascii="EC Square Sans Pro" w:eastAsia="SimSun" w:hAnsi="EC Square Sans Pro" w:cs="Times New Roman"/>
      <w:b/>
      <w:color w:val="7F7F7F"/>
      <w:sz w:val="18"/>
      <w:szCs w:val="24"/>
      <w:u w:val="single"/>
    </w:rPr>
  </w:style>
  <w:style w:type="paragraph" w:customStyle="1" w:styleId="Annexetitre">
    <w:name w:val="Annexe titre"/>
    <w:basedOn w:val="Normal"/>
    <w:next w:val="Normal"/>
    <w:autoRedefine/>
    <w:semiHidden/>
    <w:pPr>
      <w:tabs>
        <w:tab w:val="num" w:pos="1134"/>
      </w:tabs>
      <w:spacing w:before="120" w:after="120" w:line="240" w:lineRule="auto"/>
      <w:ind w:left="360"/>
      <w:jc w:val="both"/>
      <w:outlineLvl w:val="0"/>
    </w:pPr>
    <w:rPr>
      <w:rFonts w:ascii="EC Square Sans Pro" w:eastAsia="SimSun" w:hAnsi="EC Square Sans Pro" w:cs="Times New Roman"/>
      <w:b/>
      <w:color w:val="7F7F7F"/>
      <w:sz w:val="18"/>
      <w:szCs w:val="24"/>
      <w:u w:val="single"/>
    </w:rPr>
  </w:style>
  <w:style w:type="paragraph" w:customStyle="1" w:styleId="Annexetitrefichefinancire">
    <w:name w:val="Annexe titre (fiche financière)"/>
    <w:basedOn w:val="Normal"/>
    <w:next w:val="Normal"/>
    <w:semiHidden/>
    <w:pPr>
      <w:spacing w:before="120" w:after="120" w:line="240" w:lineRule="auto"/>
      <w:jc w:val="center"/>
    </w:pPr>
    <w:rPr>
      <w:rFonts w:ascii="EC Square Sans Pro" w:eastAsia="SimSun" w:hAnsi="EC Square Sans Pro" w:cs="Times New Roman"/>
      <w:b/>
      <w:color w:val="7F7F7F"/>
      <w:sz w:val="18"/>
      <w:szCs w:val="24"/>
      <w:u w:val="single"/>
    </w:rPr>
  </w:style>
  <w:style w:type="paragraph" w:customStyle="1" w:styleId="Applicationdirecte">
    <w:name w:val="Application directe"/>
    <w:basedOn w:val="Normal"/>
    <w:next w:val="Fait"/>
    <w:semiHidden/>
    <w:pPr>
      <w:spacing w:before="480" w:after="120" w:line="240" w:lineRule="auto"/>
      <w:jc w:val="both"/>
    </w:pPr>
    <w:rPr>
      <w:rFonts w:ascii="EC Square Sans Pro" w:eastAsia="SimSun" w:hAnsi="EC Square Sans Pro" w:cs="Times New Roman"/>
      <w:color w:val="7F7F7F"/>
      <w:sz w:val="18"/>
      <w:szCs w:val="24"/>
    </w:rPr>
  </w:style>
  <w:style w:type="paragraph" w:customStyle="1" w:styleId="Fait">
    <w:name w:val="Fait à"/>
    <w:basedOn w:val="Normal"/>
    <w:next w:val="Institutionquisigne"/>
    <w:semiHidden/>
    <w:pPr>
      <w:keepNext/>
      <w:spacing w:before="120" w:after="240" w:line="240" w:lineRule="auto"/>
      <w:jc w:val="both"/>
    </w:pPr>
    <w:rPr>
      <w:rFonts w:ascii="EC Square Sans Pro" w:eastAsia="SimSun" w:hAnsi="EC Square Sans Pro" w:cs="Times New Roman"/>
      <w:color w:val="7F7F7F"/>
      <w:sz w:val="18"/>
      <w:szCs w:val="24"/>
    </w:rPr>
  </w:style>
  <w:style w:type="paragraph" w:customStyle="1" w:styleId="Institutionquisigne">
    <w:name w:val="Institution qui signe"/>
    <w:basedOn w:val="Normal"/>
    <w:next w:val="Personnequisigne"/>
    <w:semiHidden/>
    <w:pPr>
      <w:keepNext/>
      <w:tabs>
        <w:tab w:val="left" w:pos="4252"/>
      </w:tabs>
      <w:spacing w:before="720" w:after="240" w:line="240" w:lineRule="auto"/>
      <w:jc w:val="both"/>
    </w:pPr>
    <w:rPr>
      <w:rFonts w:ascii="EC Square Sans Pro" w:eastAsia="SimSun" w:hAnsi="EC Square Sans Pro" w:cs="Times New Roman"/>
      <w:i/>
      <w:color w:val="7F7F7F"/>
      <w:sz w:val="18"/>
      <w:szCs w:val="24"/>
    </w:rPr>
  </w:style>
  <w:style w:type="paragraph" w:customStyle="1" w:styleId="Avertissementtitre">
    <w:name w:val="Avertissement titre"/>
    <w:basedOn w:val="Normal"/>
    <w:next w:val="Normal"/>
    <w:semiHidden/>
    <w:pPr>
      <w:keepNext/>
      <w:spacing w:before="480" w:after="120" w:line="240" w:lineRule="auto"/>
      <w:jc w:val="both"/>
    </w:pPr>
    <w:rPr>
      <w:rFonts w:ascii="EC Square Sans Pro" w:eastAsia="SimSun" w:hAnsi="EC Square Sans Pro" w:cs="Times New Roman"/>
      <w:color w:val="7F7F7F"/>
      <w:sz w:val="18"/>
      <w:szCs w:val="24"/>
      <w:u w:val="single"/>
    </w:rPr>
  </w:style>
  <w:style w:type="paragraph" w:customStyle="1" w:styleId="Confidence">
    <w:name w:val="Confidence"/>
    <w:basedOn w:val="Normal"/>
    <w:next w:val="Normal"/>
    <w:semiHidden/>
    <w:pPr>
      <w:spacing w:before="360" w:after="120" w:line="240" w:lineRule="auto"/>
      <w:jc w:val="center"/>
    </w:pPr>
    <w:rPr>
      <w:rFonts w:ascii="EC Square Sans Pro" w:eastAsia="SimSun" w:hAnsi="EC Square Sans Pro" w:cs="Times New Roman"/>
      <w:color w:val="7F7F7F"/>
      <w:sz w:val="18"/>
      <w:szCs w:val="24"/>
    </w:rPr>
  </w:style>
  <w:style w:type="paragraph" w:customStyle="1" w:styleId="Confidentialit">
    <w:name w:val="Confidentialité"/>
    <w:basedOn w:val="Normal"/>
    <w:next w:val="TypedudocumentPagedecouverture"/>
    <w:semiHidden/>
    <w:pPr>
      <w:spacing w:before="240" w:after="240" w:line="240" w:lineRule="auto"/>
      <w:ind w:left="5103"/>
      <w:jc w:val="both"/>
    </w:pPr>
    <w:rPr>
      <w:rFonts w:ascii="EC Square Sans Pro" w:eastAsia="SimSun" w:hAnsi="EC Square Sans Pro" w:cs="Times New Roman"/>
      <w:color w:val="7F7F7F"/>
      <w:sz w:val="18"/>
      <w:szCs w:val="24"/>
      <w:u w:val="single"/>
    </w:rPr>
  </w:style>
  <w:style w:type="paragraph" w:customStyle="1" w:styleId="Titreobjet">
    <w:name w:val="Titre objet"/>
    <w:basedOn w:val="Normal"/>
    <w:next w:val="Sous-titreobjet"/>
    <w:semiHidden/>
    <w:pPr>
      <w:spacing w:before="360" w:after="360" w:line="240" w:lineRule="auto"/>
      <w:jc w:val="center"/>
    </w:pPr>
    <w:rPr>
      <w:rFonts w:ascii="EC Square Sans Pro" w:eastAsia="SimSun" w:hAnsi="EC Square Sans Pro" w:cs="Times New Roman"/>
      <w:b/>
      <w:color w:val="7F7F7F"/>
      <w:sz w:val="18"/>
      <w:szCs w:val="24"/>
    </w:rPr>
  </w:style>
  <w:style w:type="paragraph" w:customStyle="1" w:styleId="Sous-titreobjet">
    <w:name w:val="Sous-titre objet"/>
    <w:basedOn w:val="Normal"/>
    <w:semiHidden/>
    <w:pPr>
      <w:spacing w:after="240" w:line="240" w:lineRule="auto"/>
      <w:jc w:val="center"/>
    </w:pPr>
    <w:rPr>
      <w:rFonts w:ascii="EC Square Sans Pro" w:eastAsia="SimSun" w:hAnsi="EC Square Sans Pro" w:cs="Times New Roman"/>
      <w:b/>
      <w:color w:val="7F7F7F"/>
      <w:sz w:val="18"/>
      <w:szCs w:val="24"/>
    </w:rPr>
  </w:style>
  <w:style w:type="paragraph" w:customStyle="1" w:styleId="TitreobjetPagedecouverture">
    <w:name w:val="Titre objet (Page de couverture)"/>
    <w:basedOn w:val="Titreobjet"/>
    <w:next w:val="Sous-titreobjetPagedecouverture"/>
    <w:semiHidden/>
  </w:style>
  <w:style w:type="paragraph" w:customStyle="1" w:styleId="Sous-titreobjetPagedecouverture">
    <w:name w:val="Sous-titre objet (Page de couverture)"/>
    <w:basedOn w:val="Sous-titreobjet"/>
    <w:semiHidden/>
  </w:style>
  <w:style w:type="paragraph" w:customStyle="1" w:styleId="Considrant">
    <w:name w:val="Considérant"/>
    <w:basedOn w:val="Normal"/>
    <w:semiHidden/>
    <w:pPr>
      <w:tabs>
        <w:tab w:val="num" w:pos="709"/>
        <w:tab w:val="num" w:pos="3118"/>
      </w:tabs>
      <w:spacing w:before="120" w:after="120" w:line="240" w:lineRule="auto"/>
      <w:ind w:left="709" w:hanging="709"/>
      <w:jc w:val="both"/>
    </w:pPr>
    <w:rPr>
      <w:rFonts w:ascii="EC Square Sans Pro" w:eastAsia="SimSun" w:hAnsi="EC Square Sans Pro" w:cs="Times New Roman"/>
      <w:color w:val="7F7F7F"/>
      <w:sz w:val="18"/>
      <w:szCs w:val="24"/>
    </w:rPr>
  </w:style>
  <w:style w:type="paragraph" w:customStyle="1" w:styleId="Corrigendum">
    <w:name w:val="Corrigendum"/>
    <w:basedOn w:val="Normal"/>
    <w:next w:val="Normal"/>
    <w:semiHidden/>
    <w:pPr>
      <w:spacing w:after="240" w:line="240" w:lineRule="auto"/>
      <w:jc w:val="both"/>
    </w:pPr>
    <w:rPr>
      <w:rFonts w:ascii="EC Square Sans Pro" w:eastAsia="SimSun" w:hAnsi="EC Square Sans Pro" w:cs="Times New Roman"/>
      <w:color w:val="7F7F7F"/>
      <w:sz w:val="18"/>
      <w:szCs w:val="24"/>
    </w:rPr>
  </w:style>
  <w:style w:type="paragraph" w:customStyle="1" w:styleId="Datedadoption">
    <w:name w:val="Date d'adoption"/>
    <w:basedOn w:val="Normal"/>
    <w:next w:val="Titreobjet"/>
    <w:semiHidden/>
    <w:pPr>
      <w:spacing w:before="360" w:after="240" w:line="240" w:lineRule="auto"/>
      <w:jc w:val="center"/>
    </w:pPr>
    <w:rPr>
      <w:rFonts w:ascii="EC Square Sans Pro" w:eastAsia="SimSun" w:hAnsi="EC Square Sans Pro" w:cs="Times New Roman"/>
      <w:b/>
      <w:color w:val="7F7F7F"/>
      <w:sz w:val="18"/>
      <w:szCs w:val="24"/>
    </w:rPr>
  </w:style>
  <w:style w:type="paragraph" w:customStyle="1" w:styleId="Emission">
    <w:name w:val="Emission"/>
    <w:basedOn w:val="Normal"/>
    <w:next w:val="Rfrenceinstitutionnelle"/>
    <w:semiHidden/>
    <w:pPr>
      <w:spacing w:after="240" w:line="240" w:lineRule="auto"/>
      <w:ind w:left="5103"/>
      <w:jc w:val="both"/>
    </w:pPr>
    <w:rPr>
      <w:rFonts w:ascii="EC Square Sans Pro" w:eastAsia="SimSun" w:hAnsi="EC Square Sans Pro" w:cs="Times New Roman"/>
      <w:color w:val="7F7F7F"/>
      <w:sz w:val="18"/>
      <w:szCs w:val="24"/>
    </w:rPr>
  </w:style>
  <w:style w:type="paragraph" w:customStyle="1" w:styleId="Exposdesmotifstitre">
    <w:name w:val="Exposé des motifs titre"/>
    <w:basedOn w:val="Normal"/>
    <w:next w:val="Normal"/>
    <w:semiHidden/>
    <w:pPr>
      <w:spacing w:before="120" w:after="120" w:line="240" w:lineRule="auto"/>
      <w:jc w:val="center"/>
    </w:pPr>
    <w:rPr>
      <w:rFonts w:ascii="EC Square Sans Pro" w:eastAsia="SimSun" w:hAnsi="EC Square Sans Pro" w:cs="Times New Roman"/>
      <w:b/>
      <w:color w:val="7F7F7F"/>
      <w:sz w:val="18"/>
      <w:szCs w:val="24"/>
      <w:u w:val="single"/>
    </w:rPr>
  </w:style>
  <w:style w:type="paragraph" w:customStyle="1" w:styleId="Formuledadoption">
    <w:name w:val="Formule d'adoption"/>
    <w:basedOn w:val="Normal"/>
    <w:next w:val="Titrearticle"/>
    <w:semiHidden/>
    <w:pPr>
      <w:keepNext/>
      <w:spacing w:before="120" w:after="120" w:line="240" w:lineRule="auto"/>
      <w:jc w:val="both"/>
    </w:pPr>
    <w:rPr>
      <w:rFonts w:ascii="EC Square Sans Pro" w:eastAsia="SimSun" w:hAnsi="EC Square Sans Pro" w:cs="Times New Roman"/>
      <w:color w:val="7F7F7F"/>
      <w:sz w:val="18"/>
      <w:szCs w:val="24"/>
    </w:rPr>
  </w:style>
  <w:style w:type="paragraph" w:customStyle="1" w:styleId="Institutionquiagit">
    <w:name w:val="Institution qui agit"/>
    <w:basedOn w:val="Normal"/>
    <w:next w:val="Normal"/>
    <w:semiHidden/>
    <w:pPr>
      <w:keepNext/>
      <w:spacing w:before="600" w:after="120" w:line="240" w:lineRule="auto"/>
      <w:jc w:val="both"/>
    </w:pPr>
    <w:rPr>
      <w:rFonts w:ascii="EC Square Sans Pro" w:eastAsia="SimSun" w:hAnsi="EC Square Sans Pro" w:cs="Times New Roman"/>
      <w:color w:val="7F7F7F"/>
      <w:sz w:val="18"/>
      <w:szCs w:val="24"/>
    </w:rPr>
  </w:style>
  <w:style w:type="character" w:customStyle="1" w:styleId="Added">
    <w:name w:val="Added"/>
    <w:semiHidden/>
    <w:rPr>
      <w:rFonts w:cs="Times New Roman"/>
      <w:b/>
      <w:noProof w:val="0"/>
      <w:u w:val="single"/>
      <w:shd w:val="clear" w:color="auto" w:fill="auto"/>
      <w:lang w:val="en-GB"/>
    </w:rPr>
  </w:style>
  <w:style w:type="character" w:customStyle="1" w:styleId="Deleted">
    <w:name w:val="Deleted"/>
    <w:semiHidden/>
    <w:rPr>
      <w:rFonts w:cs="Times New Roman"/>
      <w:strike/>
      <w:noProof w:val="0"/>
      <w:shd w:val="clear" w:color="auto" w:fill="auto"/>
      <w:lang w:val="en-GB"/>
    </w:rPr>
  </w:style>
  <w:style w:type="paragraph" w:customStyle="1" w:styleId="Address">
    <w:name w:val="Address"/>
    <w:basedOn w:val="Normal"/>
    <w:next w:val="Normal"/>
    <w:semiHidden/>
    <w:pPr>
      <w:keepLines/>
      <w:spacing w:before="120" w:after="120" w:line="360" w:lineRule="auto"/>
      <w:ind w:left="3402"/>
      <w:jc w:val="both"/>
    </w:pPr>
    <w:rPr>
      <w:rFonts w:ascii="EC Square Sans Pro" w:eastAsia="SimSun" w:hAnsi="EC Square Sans Pro" w:cs="Times New Roman"/>
      <w:color w:val="7F7F7F"/>
      <w:sz w:val="18"/>
      <w:szCs w:val="24"/>
    </w:rPr>
  </w:style>
  <w:style w:type="paragraph" w:customStyle="1" w:styleId="Fichefinanciretitre">
    <w:name w:val="Fiche financière titre"/>
    <w:basedOn w:val="Normal"/>
    <w:next w:val="Normal"/>
    <w:semiHidden/>
    <w:pPr>
      <w:spacing w:before="120" w:after="120" w:line="240" w:lineRule="auto"/>
      <w:jc w:val="center"/>
    </w:pPr>
    <w:rPr>
      <w:rFonts w:ascii="EC Square Sans Pro" w:eastAsia="SimSun" w:hAnsi="EC Square Sans Pro" w:cs="Times New Roman"/>
      <w:b/>
      <w:color w:val="7F7F7F"/>
      <w:sz w:val="18"/>
      <w:szCs w:val="24"/>
      <w:u w:val="single"/>
    </w:rPr>
  </w:style>
  <w:style w:type="paragraph" w:customStyle="1" w:styleId="Accompagnant">
    <w:name w:val="Accompagnant"/>
    <w:basedOn w:val="Normal"/>
    <w:next w:val="Typeacteprincipal"/>
    <w:semiHidden/>
    <w:pPr>
      <w:spacing w:after="240" w:line="240" w:lineRule="auto"/>
      <w:jc w:val="center"/>
    </w:pPr>
    <w:rPr>
      <w:rFonts w:ascii="EC Square Sans Pro" w:eastAsia="SimSun" w:hAnsi="EC Square Sans Pro" w:cs="Times New Roman"/>
      <w:b/>
      <w:i/>
      <w:color w:val="7F7F7F"/>
      <w:sz w:val="18"/>
      <w:szCs w:val="24"/>
    </w:rPr>
  </w:style>
  <w:style w:type="paragraph" w:customStyle="1" w:styleId="AccompagnantPagedecouverture">
    <w:name w:val="Accompagnant (Page de couverture)"/>
    <w:basedOn w:val="Accompagnant"/>
    <w:next w:val="TypeacteprincipalPagedecouverture"/>
    <w:semiHidden/>
  </w:style>
  <w:style w:type="paragraph" w:customStyle="1" w:styleId="ListBullet1">
    <w:name w:val="List Bullet 1"/>
    <w:basedOn w:val="Text1"/>
    <w:uiPriority w:val="99"/>
    <w:semiHidden/>
    <w:pPr>
      <w:numPr>
        <w:numId w:val="18"/>
      </w:numPr>
      <w:tabs>
        <w:tab w:val="clear" w:pos="765"/>
      </w:tabs>
      <w:spacing w:before="0" w:after="240"/>
      <w:ind w:left="921" w:hanging="360"/>
    </w:pPr>
    <w:rPr>
      <w:color w:val="7F7F7F"/>
      <w:sz w:val="18"/>
      <w:szCs w:val="20"/>
    </w:rPr>
  </w:style>
  <w:style w:type="paragraph" w:customStyle="1" w:styleId="ListDash">
    <w:name w:val="List Dash"/>
    <w:basedOn w:val="Normal"/>
    <w:semiHidden/>
    <w:pPr>
      <w:numPr>
        <w:numId w:val="19"/>
      </w:numPr>
      <w:tabs>
        <w:tab w:val="clear" w:pos="283"/>
        <w:tab w:val="num" w:pos="850"/>
      </w:tabs>
      <w:spacing w:after="240" w:line="240" w:lineRule="auto"/>
      <w:ind w:left="850" w:hanging="850"/>
      <w:jc w:val="both"/>
    </w:pPr>
    <w:rPr>
      <w:rFonts w:ascii="EC Square Sans Pro" w:eastAsia="Times New Roman" w:hAnsi="EC Square Sans Pro" w:cs="Times New Roman"/>
      <w:color w:val="7F7F7F"/>
      <w:sz w:val="18"/>
      <w:szCs w:val="20"/>
    </w:rPr>
  </w:style>
  <w:style w:type="paragraph" w:customStyle="1" w:styleId="ListDash1">
    <w:name w:val="List Dash 1"/>
    <w:basedOn w:val="Text1"/>
    <w:semiHidden/>
    <w:pPr>
      <w:numPr>
        <w:numId w:val="20"/>
      </w:numPr>
      <w:tabs>
        <w:tab w:val="clear" w:pos="765"/>
        <w:tab w:val="num" w:pos="850"/>
      </w:tabs>
      <w:spacing w:before="0" w:after="240"/>
      <w:ind w:left="850" w:hanging="850"/>
    </w:pPr>
    <w:rPr>
      <w:color w:val="7F7F7F"/>
      <w:sz w:val="18"/>
      <w:szCs w:val="20"/>
    </w:rPr>
  </w:style>
  <w:style w:type="paragraph" w:customStyle="1" w:styleId="ListDash2">
    <w:name w:val="List Dash 2"/>
    <w:basedOn w:val="Text2"/>
    <w:semiHidden/>
    <w:pPr>
      <w:numPr>
        <w:numId w:val="21"/>
      </w:numPr>
      <w:tabs>
        <w:tab w:val="clear" w:pos="1485"/>
        <w:tab w:val="num" w:pos="283"/>
        <w:tab w:val="num" w:pos="1984"/>
      </w:tabs>
      <w:spacing w:before="0" w:after="240"/>
      <w:ind w:left="1984" w:hanging="567"/>
    </w:pPr>
    <w:rPr>
      <w:rFonts w:eastAsia="Times New Roman"/>
      <w:color w:val="7F7F7F"/>
      <w:sz w:val="18"/>
      <w:szCs w:val="20"/>
    </w:rPr>
  </w:style>
  <w:style w:type="paragraph" w:customStyle="1" w:styleId="ListDash3">
    <w:name w:val="List Dash 3"/>
    <w:basedOn w:val="Text3"/>
    <w:semiHidden/>
    <w:pPr>
      <w:numPr>
        <w:numId w:val="22"/>
      </w:numPr>
      <w:tabs>
        <w:tab w:val="clear" w:pos="1485"/>
        <w:tab w:val="num" w:pos="2551"/>
      </w:tabs>
      <w:spacing w:before="0" w:after="240"/>
      <w:ind w:left="2551" w:hanging="567"/>
    </w:pPr>
    <w:rPr>
      <w:rFonts w:eastAsia="Times New Roman"/>
      <w:color w:val="7F7F7F"/>
      <w:sz w:val="18"/>
      <w:szCs w:val="20"/>
    </w:rPr>
  </w:style>
  <w:style w:type="paragraph" w:customStyle="1" w:styleId="ListDash4">
    <w:name w:val="List Dash 4"/>
    <w:basedOn w:val="Text4"/>
    <w:semiHidden/>
    <w:pPr>
      <w:numPr>
        <w:numId w:val="23"/>
      </w:numPr>
      <w:tabs>
        <w:tab w:val="clear" w:pos="1485"/>
        <w:tab w:val="num" w:pos="3118"/>
      </w:tabs>
      <w:spacing w:before="0" w:after="240"/>
      <w:ind w:left="3118" w:hanging="567"/>
    </w:pPr>
    <w:rPr>
      <w:rFonts w:eastAsia="Times New Roman"/>
      <w:color w:val="7F7F7F"/>
      <w:sz w:val="18"/>
      <w:szCs w:val="20"/>
    </w:rPr>
  </w:style>
  <w:style w:type="paragraph" w:customStyle="1" w:styleId="ListNumber1">
    <w:name w:val="List Number 1"/>
    <w:basedOn w:val="Text1"/>
    <w:semiHidden/>
    <w:pPr>
      <w:numPr>
        <w:numId w:val="24"/>
      </w:numPr>
      <w:tabs>
        <w:tab w:val="clear" w:pos="1191"/>
        <w:tab w:val="num" w:pos="850"/>
      </w:tabs>
      <w:spacing w:before="0" w:after="240"/>
      <w:ind w:left="850" w:hanging="850"/>
    </w:pPr>
    <w:rPr>
      <w:color w:val="7F7F7F"/>
      <w:sz w:val="18"/>
      <w:szCs w:val="20"/>
    </w:rPr>
  </w:style>
  <w:style w:type="paragraph" w:customStyle="1" w:styleId="ListNumberLevel2">
    <w:name w:val="List Number (Level 2)"/>
    <w:basedOn w:val="Normal"/>
    <w:semiHidden/>
    <w:pPr>
      <w:tabs>
        <w:tab w:val="num" w:pos="1417"/>
      </w:tabs>
      <w:spacing w:after="240" w:line="240" w:lineRule="auto"/>
      <w:ind w:left="1417" w:hanging="708"/>
      <w:jc w:val="both"/>
    </w:pPr>
    <w:rPr>
      <w:rFonts w:ascii="EC Square Sans Pro" w:eastAsia="Times New Roman" w:hAnsi="EC Square Sans Pro" w:cs="Times New Roman"/>
      <w:color w:val="7F7F7F"/>
      <w:sz w:val="18"/>
      <w:szCs w:val="20"/>
    </w:rPr>
  </w:style>
  <w:style w:type="paragraph" w:customStyle="1" w:styleId="ListNumber1Level2">
    <w:name w:val="List Number 1 (Level 2)"/>
    <w:basedOn w:val="Text1"/>
    <w:semiHidden/>
    <w:pPr>
      <w:numPr>
        <w:ilvl w:val="1"/>
        <w:numId w:val="24"/>
      </w:numPr>
      <w:tabs>
        <w:tab w:val="clear" w:pos="1899"/>
        <w:tab w:val="num" w:pos="850"/>
      </w:tabs>
      <w:spacing w:before="0" w:after="240"/>
      <w:ind w:left="850" w:hanging="850"/>
    </w:pPr>
    <w:rPr>
      <w:color w:val="7F7F7F"/>
      <w:sz w:val="18"/>
      <w:szCs w:val="20"/>
    </w:rPr>
  </w:style>
  <w:style w:type="paragraph" w:customStyle="1" w:styleId="ListNumber2Level2">
    <w:name w:val="List Number 2 (Level 2)"/>
    <w:basedOn w:val="Text2"/>
    <w:semiHidden/>
    <w:pPr>
      <w:tabs>
        <w:tab w:val="num" w:pos="360"/>
      </w:tabs>
      <w:spacing w:before="0" w:after="240"/>
      <w:ind w:left="2619" w:hanging="708"/>
    </w:pPr>
    <w:rPr>
      <w:rFonts w:eastAsia="Times New Roman"/>
      <w:color w:val="7F7F7F"/>
      <w:sz w:val="18"/>
      <w:szCs w:val="20"/>
    </w:rPr>
  </w:style>
  <w:style w:type="paragraph" w:customStyle="1" w:styleId="ListNumber3Level2">
    <w:name w:val="List Number 3 (Level 2)"/>
    <w:basedOn w:val="Text3"/>
    <w:semiHidden/>
    <w:pPr>
      <w:tabs>
        <w:tab w:val="num" w:pos="2619"/>
      </w:tabs>
      <w:spacing w:before="0" w:after="240"/>
      <w:ind w:left="2619" w:hanging="708"/>
    </w:pPr>
    <w:rPr>
      <w:rFonts w:eastAsia="Times New Roman"/>
      <w:color w:val="7F7F7F"/>
      <w:sz w:val="18"/>
      <w:szCs w:val="20"/>
    </w:rPr>
  </w:style>
  <w:style w:type="paragraph" w:customStyle="1" w:styleId="ListNumber4Level2">
    <w:name w:val="List Number 4 (Level 2)"/>
    <w:basedOn w:val="Text4"/>
    <w:semiHidden/>
    <w:pPr>
      <w:tabs>
        <w:tab w:val="num" w:pos="2619"/>
      </w:tabs>
      <w:spacing w:before="0" w:after="240"/>
      <w:ind w:left="2619" w:hanging="708"/>
    </w:pPr>
    <w:rPr>
      <w:rFonts w:eastAsia="Times New Roman"/>
      <w:color w:val="7F7F7F"/>
      <w:sz w:val="18"/>
      <w:szCs w:val="20"/>
    </w:rPr>
  </w:style>
  <w:style w:type="paragraph" w:customStyle="1" w:styleId="ListNumberLevel3">
    <w:name w:val="List Number (Level 3)"/>
    <w:basedOn w:val="Normal"/>
    <w:semiHidden/>
    <w:pPr>
      <w:tabs>
        <w:tab w:val="num" w:pos="2126"/>
      </w:tabs>
      <w:spacing w:after="240" w:line="240" w:lineRule="auto"/>
      <w:ind w:left="2126" w:hanging="709"/>
      <w:jc w:val="both"/>
    </w:pPr>
    <w:rPr>
      <w:rFonts w:ascii="EC Square Sans Pro" w:eastAsia="Times New Roman" w:hAnsi="EC Square Sans Pro" w:cs="Times New Roman"/>
      <w:color w:val="7F7F7F"/>
      <w:sz w:val="18"/>
      <w:szCs w:val="20"/>
    </w:rPr>
  </w:style>
  <w:style w:type="paragraph" w:customStyle="1" w:styleId="ListNumber1Level3">
    <w:name w:val="List Number 1 (Level 3)"/>
    <w:basedOn w:val="Text1"/>
    <w:semiHidden/>
    <w:pPr>
      <w:numPr>
        <w:ilvl w:val="2"/>
        <w:numId w:val="24"/>
      </w:numPr>
      <w:tabs>
        <w:tab w:val="clear" w:pos="2608"/>
        <w:tab w:val="num" w:pos="850"/>
      </w:tabs>
      <w:spacing w:before="0" w:after="240"/>
      <w:ind w:left="850" w:hanging="850"/>
    </w:pPr>
    <w:rPr>
      <w:color w:val="7F7F7F"/>
      <w:sz w:val="18"/>
      <w:szCs w:val="20"/>
    </w:rPr>
  </w:style>
  <w:style w:type="paragraph" w:customStyle="1" w:styleId="ListNumber2Level3">
    <w:name w:val="List Number 2 (Level 3)"/>
    <w:basedOn w:val="Text2"/>
    <w:semiHidden/>
    <w:pPr>
      <w:tabs>
        <w:tab w:val="num" w:pos="360"/>
      </w:tabs>
      <w:spacing w:before="0" w:after="240"/>
      <w:ind w:left="3328" w:hanging="709"/>
    </w:pPr>
    <w:rPr>
      <w:rFonts w:eastAsia="Times New Roman"/>
      <w:color w:val="7F7F7F"/>
      <w:sz w:val="18"/>
      <w:szCs w:val="20"/>
    </w:rPr>
  </w:style>
  <w:style w:type="paragraph" w:customStyle="1" w:styleId="ListNumber3Level3">
    <w:name w:val="List Number 3 (Level 3)"/>
    <w:basedOn w:val="Text3"/>
    <w:semiHidden/>
    <w:pPr>
      <w:tabs>
        <w:tab w:val="num" w:pos="3328"/>
      </w:tabs>
      <w:spacing w:before="0" w:after="240"/>
      <w:ind w:left="3328" w:hanging="709"/>
    </w:pPr>
    <w:rPr>
      <w:rFonts w:eastAsia="Times New Roman"/>
      <w:color w:val="7F7F7F"/>
      <w:sz w:val="18"/>
      <w:szCs w:val="20"/>
    </w:rPr>
  </w:style>
  <w:style w:type="paragraph" w:customStyle="1" w:styleId="ListNumber4Level3">
    <w:name w:val="List Number 4 (Level 3)"/>
    <w:basedOn w:val="Text4"/>
    <w:semiHidden/>
    <w:pPr>
      <w:tabs>
        <w:tab w:val="num" w:pos="3328"/>
      </w:tabs>
      <w:spacing w:before="0" w:after="240"/>
      <w:ind w:left="3328" w:hanging="709"/>
    </w:pPr>
    <w:rPr>
      <w:rFonts w:eastAsia="Times New Roman"/>
      <w:color w:val="7F7F7F"/>
      <w:sz w:val="18"/>
      <w:szCs w:val="20"/>
    </w:rPr>
  </w:style>
  <w:style w:type="paragraph" w:customStyle="1" w:styleId="ListNumberLevel4">
    <w:name w:val="List Number (Level 4)"/>
    <w:basedOn w:val="Normal"/>
    <w:semiHidden/>
    <w:pPr>
      <w:tabs>
        <w:tab w:val="num" w:pos="2835"/>
      </w:tabs>
      <w:spacing w:after="240" w:line="240" w:lineRule="auto"/>
      <w:ind w:left="2835" w:hanging="709"/>
      <w:jc w:val="both"/>
    </w:pPr>
    <w:rPr>
      <w:rFonts w:ascii="EC Square Sans Pro" w:eastAsia="Times New Roman" w:hAnsi="EC Square Sans Pro" w:cs="Times New Roman"/>
      <w:color w:val="7F7F7F"/>
      <w:sz w:val="18"/>
      <w:szCs w:val="20"/>
    </w:rPr>
  </w:style>
  <w:style w:type="paragraph" w:customStyle="1" w:styleId="ListNumber1Level4">
    <w:name w:val="List Number 1 (Level 4)"/>
    <w:basedOn w:val="Text1"/>
    <w:semiHidden/>
    <w:pPr>
      <w:numPr>
        <w:ilvl w:val="3"/>
        <w:numId w:val="24"/>
      </w:numPr>
      <w:tabs>
        <w:tab w:val="clear" w:pos="3317"/>
        <w:tab w:val="num" w:pos="850"/>
      </w:tabs>
      <w:spacing w:before="0" w:after="240"/>
      <w:ind w:left="850" w:hanging="850"/>
    </w:pPr>
    <w:rPr>
      <w:color w:val="7F7F7F"/>
      <w:sz w:val="18"/>
      <w:szCs w:val="20"/>
    </w:rPr>
  </w:style>
  <w:style w:type="paragraph" w:customStyle="1" w:styleId="ListNumber2Level4">
    <w:name w:val="List Number 2 (Level 4)"/>
    <w:basedOn w:val="Text2"/>
    <w:semiHidden/>
    <w:pPr>
      <w:tabs>
        <w:tab w:val="num" w:pos="360"/>
      </w:tabs>
      <w:spacing w:before="0" w:after="240"/>
      <w:ind w:left="4037" w:hanging="709"/>
    </w:pPr>
    <w:rPr>
      <w:rFonts w:eastAsia="Times New Roman"/>
      <w:color w:val="7F7F7F"/>
      <w:sz w:val="18"/>
      <w:szCs w:val="20"/>
    </w:rPr>
  </w:style>
  <w:style w:type="paragraph" w:customStyle="1" w:styleId="ListNumber3Level4">
    <w:name w:val="List Number 3 (Level 4)"/>
    <w:basedOn w:val="Text3"/>
    <w:semiHidden/>
    <w:pPr>
      <w:tabs>
        <w:tab w:val="num" w:pos="4037"/>
      </w:tabs>
      <w:spacing w:before="0" w:after="240"/>
      <w:ind w:left="4037" w:hanging="709"/>
    </w:pPr>
    <w:rPr>
      <w:rFonts w:eastAsia="Times New Roman"/>
      <w:color w:val="7F7F7F"/>
      <w:sz w:val="18"/>
      <w:szCs w:val="20"/>
    </w:rPr>
  </w:style>
  <w:style w:type="paragraph" w:customStyle="1" w:styleId="ListNumber4Level4">
    <w:name w:val="List Number 4 (Level 4)"/>
    <w:basedOn w:val="Text4"/>
    <w:semiHidden/>
    <w:pPr>
      <w:tabs>
        <w:tab w:val="num" w:pos="4037"/>
      </w:tabs>
      <w:spacing w:before="0" w:after="240"/>
      <w:ind w:left="4037" w:hanging="709"/>
    </w:pPr>
    <w:rPr>
      <w:rFonts w:eastAsia="Times New Roman"/>
      <w:color w:val="7F7F7F"/>
      <w:sz w:val="18"/>
      <w:szCs w:val="20"/>
    </w:rPr>
  </w:style>
  <w:style w:type="paragraph" w:customStyle="1" w:styleId="Rfrenceinterinstitutionelleprliminaire">
    <w:name w:val="Référence interinstitutionelle (préliminaire)"/>
    <w:basedOn w:val="Normal"/>
    <w:next w:val="Normal"/>
    <w:semiHidden/>
    <w:pPr>
      <w:spacing w:after="240" w:line="240" w:lineRule="auto"/>
      <w:ind w:left="5103"/>
      <w:jc w:val="both"/>
    </w:pPr>
    <w:rPr>
      <w:rFonts w:ascii="EC Square Sans Pro" w:eastAsia="SimSun" w:hAnsi="EC Square Sans Pro" w:cs="Times New Roman"/>
      <w:color w:val="7F7F7F"/>
      <w:sz w:val="18"/>
      <w:szCs w:val="24"/>
      <w:lang w:eastAsia="de-DE"/>
    </w:rPr>
  </w:style>
  <w:style w:type="paragraph" w:customStyle="1" w:styleId="Sous-titreobjetprliminaire">
    <w:name w:val="Sous-titre objet (préliminaire)"/>
    <w:basedOn w:val="Normal"/>
    <w:semiHidden/>
    <w:pPr>
      <w:spacing w:after="240" w:line="240" w:lineRule="auto"/>
      <w:jc w:val="center"/>
    </w:pPr>
    <w:rPr>
      <w:rFonts w:ascii="EC Square Sans Pro" w:eastAsia="SimSun" w:hAnsi="EC Square Sans Pro" w:cs="Times New Roman"/>
      <w:b/>
      <w:color w:val="7F7F7F"/>
      <w:sz w:val="18"/>
      <w:szCs w:val="24"/>
      <w:lang w:eastAsia="de-DE"/>
    </w:rPr>
  </w:style>
  <w:style w:type="paragraph" w:customStyle="1" w:styleId="Statutprliminaire">
    <w:name w:val="Statut (préliminaire)"/>
    <w:basedOn w:val="Normal"/>
    <w:next w:val="Normal"/>
    <w:semiHidden/>
    <w:pPr>
      <w:spacing w:before="360" w:after="240" w:line="240" w:lineRule="auto"/>
      <w:jc w:val="center"/>
    </w:pPr>
    <w:rPr>
      <w:rFonts w:ascii="EC Square Sans Pro" w:eastAsia="SimSun" w:hAnsi="EC Square Sans Pro" w:cs="Times New Roman"/>
      <w:color w:val="7F7F7F"/>
      <w:sz w:val="18"/>
      <w:szCs w:val="24"/>
      <w:lang w:eastAsia="de-DE"/>
    </w:rPr>
  </w:style>
  <w:style w:type="paragraph" w:customStyle="1" w:styleId="Titreobjetprliminaire">
    <w:name w:val="Titre objet (préliminaire)"/>
    <w:basedOn w:val="Normal"/>
    <w:next w:val="Normal"/>
    <w:semiHidden/>
    <w:pPr>
      <w:numPr>
        <w:numId w:val="17"/>
      </w:numPr>
      <w:tabs>
        <w:tab w:val="clear" w:pos="850"/>
      </w:tabs>
      <w:spacing w:before="360" w:after="360" w:line="240" w:lineRule="auto"/>
      <w:ind w:left="720" w:hanging="360"/>
      <w:jc w:val="center"/>
    </w:pPr>
    <w:rPr>
      <w:rFonts w:ascii="EC Square Sans Pro" w:eastAsia="SimSun" w:hAnsi="EC Square Sans Pro" w:cs="Times New Roman"/>
      <w:b/>
      <w:color w:val="7F7F7F"/>
      <w:sz w:val="18"/>
      <w:szCs w:val="24"/>
      <w:lang w:eastAsia="de-DE"/>
    </w:rPr>
  </w:style>
  <w:style w:type="paragraph" w:customStyle="1" w:styleId="Typedudocumentprliminaire">
    <w:name w:val="Type du document (préliminaire)"/>
    <w:basedOn w:val="Normal"/>
    <w:next w:val="Normal"/>
    <w:semiHidden/>
    <w:pPr>
      <w:spacing w:before="360" w:after="240" w:line="240" w:lineRule="auto"/>
      <w:jc w:val="center"/>
    </w:pPr>
    <w:rPr>
      <w:rFonts w:ascii="EC Square Sans Pro" w:eastAsia="SimSun" w:hAnsi="EC Square Sans Pro" w:cs="Times New Roman"/>
      <w:b/>
      <w:color w:val="7F7F7F"/>
      <w:sz w:val="18"/>
      <w:szCs w:val="24"/>
      <w:lang w:eastAsia="de-DE"/>
    </w:rPr>
  </w:style>
  <w:style w:type="paragraph" w:customStyle="1" w:styleId="FootnoteText1">
    <w:name w:val="Footnote Text1"/>
    <w:basedOn w:val="FootnoteText"/>
    <w:autoRedefine/>
    <w:semiHidden/>
    <w:pPr>
      <w:spacing w:after="240"/>
      <w:ind w:left="244" w:hanging="244"/>
    </w:pPr>
    <w:rPr>
      <w:rFonts w:eastAsia="SimSun"/>
      <w:color w:val="7F7F7F"/>
      <w:sz w:val="18"/>
    </w:rPr>
  </w:style>
  <w:style w:type="paragraph" w:customStyle="1" w:styleId="References">
    <w:name w:val="References"/>
    <w:basedOn w:val="Normal"/>
    <w:next w:val="Normal"/>
    <w:link w:val="ReferencesChar"/>
    <w:uiPriority w:val="99"/>
    <w:semiHidden/>
    <w:pPr>
      <w:spacing w:after="240" w:line="240" w:lineRule="auto"/>
      <w:ind w:left="5103"/>
      <w:jc w:val="both"/>
    </w:pPr>
    <w:rPr>
      <w:rFonts w:ascii="EC Square Sans Pro" w:eastAsia="SimSun" w:hAnsi="EC Square Sans Pro" w:cs="Times New Roman"/>
      <w:color w:val="7F7F7F"/>
      <w:sz w:val="18"/>
      <w:szCs w:val="20"/>
    </w:rPr>
  </w:style>
  <w:style w:type="paragraph" w:customStyle="1" w:styleId="Prliminairetitre">
    <w:name w:val="Préliminaire titre"/>
    <w:basedOn w:val="Normal"/>
    <w:next w:val="Normal"/>
    <w:semiHidden/>
    <w:pPr>
      <w:spacing w:before="360" w:after="360" w:line="240" w:lineRule="auto"/>
      <w:jc w:val="center"/>
    </w:pPr>
    <w:rPr>
      <w:rFonts w:ascii="EC Square Sans Pro" w:eastAsia="SimSun" w:hAnsi="EC Square Sans Pro" w:cs="Times New Roman"/>
      <w:b/>
      <w:color w:val="7F7F7F"/>
      <w:sz w:val="18"/>
      <w:szCs w:val="24"/>
      <w:lang w:eastAsia="de-DE"/>
    </w:rPr>
  </w:style>
  <w:style w:type="paragraph" w:customStyle="1" w:styleId="Prliminairetype">
    <w:name w:val="Préliminaire type"/>
    <w:basedOn w:val="Normal"/>
    <w:next w:val="Normal"/>
    <w:semiHidden/>
    <w:pPr>
      <w:spacing w:before="360" w:after="240" w:line="240" w:lineRule="auto"/>
      <w:jc w:val="center"/>
    </w:pPr>
    <w:rPr>
      <w:rFonts w:ascii="EC Square Sans Pro" w:eastAsia="SimSun" w:hAnsi="EC Square Sans Pro" w:cs="Times New Roman"/>
      <w:b/>
      <w:color w:val="7F7F7F"/>
      <w:sz w:val="18"/>
      <w:szCs w:val="24"/>
      <w:lang w:eastAsia="de-DE"/>
    </w:rPr>
  </w:style>
  <w:style w:type="paragraph" w:customStyle="1" w:styleId="Annexetitreacte">
    <w:name w:val="Annexe titre (acte)"/>
    <w:basedOn w:val="Normal"/>
    <w:next w:val="Normal"/>
    <w:semiHidden/>
    <w:pPr>
      <w:spacing w:before="120" w:after="120" w:line="240" w:lineRule="auto"/>
      <w:jc w:val="center"/>
    </w:pPr>
    <w:rPr>
      <w:rFonts w:ascii="EC Square Sans Pro" w:eastAsia="SimSun" w:hAnsi="EC Square Sans Pro" w:cs="Times New Roman"/>
      <w:b/>
      <w:color w:val="7F7F7F"/>
      <w:sz w:val="18"/>
      <w:szCs w:val="24"/>
      <w:u w:val="single"/>
      <w:lang w:eastAsia="de-DE"/>
    </w:rPr>
  </w:style>
  <w:style w:type="paragraph" w:customStyle="1" w:styleId="CM1">
    <w:name w:val="CM1"/>
    <w:basedOn w:val="Default"/>
    <w:next w:val="Default"/>
    <w:semiHidden/>
    <w:rPr>
      <w:rFonts w:ascii="EC Square Sans Pro" w:eastAsia="SimSun" w:hAnsi="EC Square Sans Pro" w:cs="Times New Roman"/>
      <w:color w:val="auto"/>
      <w:lang w:eastAsia="ko-KR"/>
    </w:rPr>
  </w:style>
  <w:style w:type="paragraph" w:customStyle="1" w:styleId="CM3">
    <w:name w:val="CM3"/>
    <w:basedOn w:val="Default"/>
    <w:next w:val="Default"/>
    <w:semiHidden/>
    <w:rPr>
      <w:rFonts w:ascii="EC Square Sans Pro" w:eastAsia="SimSun" w:hAnsi="EC Square Sans Pro" w:cs="Times New Roman"/>
      <w:color w:val="auto"/>
      <w:lang w:eastAsia="ko-KR"/>
    </w:rPr>
  </w:style>
  <w:style w:type="paragraph" w:customStyle="1" w:styleId="NormalJustified">
    <w:name w:val="Normal + Justified"/>
    <w:basedOn w:val="Normal"/>
    <w:semiHidden/>
    <w:pPr>
      <w:spacing w:after="240" w:line="240" w:lineRule="auto"/>
      <w:jc w:val="both"/>
    </w:pPr>
    <w:rPr>
      <w:rFonts w:ascii="EC Square Sans Pro" w:eastAsia="SimSun" w:hAnsi="EC Square Sans Pro" w:cs="Times New Roman"/>
      <w:color w:val="7F7F7F"/>
      <w:sz w:val="18"/>
      <w:szCs w:val="24"/>
      <w:lang w:eastAsia="en-GB"/>
    </w:rPr>
  </w:style>
  <w:style w:type="paragraph" w:customStyle="1" w:styleId="Rfrenceinstitutionelle">
    <w:name w:val="Référence institutionelle"/>
    <w:basedOn w:val="Normal"/>
    <w:next w:val="Statut"/>
    <w:semiHidden/>
    <w:pPr>
      <w:spacing w:after="240" w:line="240" w:lineRule="auto"/>
      <w:ind w:left="5103"/>
      <w:jc w:val="both"/>
    </w:pPr>
    <w:rPr>
      <w:rFonts w:ascii="EC Square Sans Pro" w:eastAsia="SimSun" w:hAnsi="EC Square Sans Pro" w:cs="Times New Roman"/>
      <w:color w:val="7F7F7F"/>
      <w:sz w:val="18"/>
      <w:szCs w:val="24"/>
      <w:lang w:eastAsia="de-DE"/>
    </w:rPr>
  </w:style>
  <w:style w:type="paragraph" w:customStyle="1" w:styleId="Rfrenceinterinstitutionelle">
    <w:name w:val="Référence interinstitutionelle"/>
    <w:basedOn w:val="Normal"/>
    <w:next w:val="Statut"/>
    <w:semiHidden/>
    <w:pPr>
      <w:spacing w:after="240" w:line="240" w:lineRule="auto"/>
      <w:ind w:left="5103"/>
      <w:jc w:val="both"/>
    </w:pPr>
    <w:rPr>
      <w:rFonts w:ascii="EC Square Sans Pro" w:eastAsia="SimSun" w:hAnsi="EC Square Sans Pro" w:cs="Times New Roman"/>
      <w:color w:val="7F7F7F"/>
      <w:sz w:val="18"/>
      <w:szCs w:val="24"/>
      <w:lang w:eastAsia="de-DE"/>
    </w:rPr>
  </w:style>
  <w:style w:type="character" w:customStyle="1" w:styleId="ReferencesChar">
    <w:name w:val="References Char"/>
    <w:link w:val="References"/>
    <w:uiPriority w:val="99"/>
    <w:semiHidden/>
    <w:rPr>
      <w:rFonts w:ascii="EC Square Sans Pro" w:eastAsia="SimSun" w:hAnsi="EC Square Sans Pro" w:cs="Times New Roman"/>
      <w:color w:val="7F7F7F"/>
      <w:sz w:val="18"/>
      <w:szCs w:val="20"/>
    </w:rPr>
  </w:style>
  <w:style w:type="character" w:customStyle="1" w:styleId="FootnotetextChar0">
    <w:name w:val="Footnote text Char"/>
    <w:semiHidden/>
    <w:rPr>
      <w:rFonts w:ascii="EC Square Sans Pro" w:eastAsia="SimSun" w:hAnsi="EC Square Sans Pro" w:cs="Times New Roman"/>
      <w:noProof w:val="0"/>
      <w:color w:val="7F7F7F"/>
      <w:sz w:val="18"/>
      <w:szCs w:val="20"/>
      <w:lang w:val="en-GB"/>
    </w:rPr>
  </w:style>
  <w:style w:type="character" w:customStyle="1" w:styleId="Text2Char">
    <w:name w:val="Text 2 Char"/>
    <w:link w:val="Text2"/>
    <w:semiHidden/>
    <w:rPr>
      <w:rFonts w:ascii="EC Square Sans Pro" w:hAnsi="EC Square Sans Pro" w:cs="Times New Roman"/>
      <w:sz w:val="24"/>
    </w:rPr>
  </w:style>
  <w:style w:type="paragraph" w:customStyle="1" w:styleId="Footnoo">
    <w:name w:val="Footnoo"/>
    <w:basedOn w:val="Normal"/>
    <w:link w:val="FootnooChar"/>
    <w:semiHidden/>
    <w:pPr>
      <w:spacing w:after="240" w:line="240" w:lineRule="auto"/>
      <w:jc w:val="both"/>
    </w:pPr>
    <w:rPr>
      <w:rFonts w:ascii="EC Square Sans Pro" w:eastAsia="SimSun" w:hAnsi="EC Square Sans Pro" w:cs="Times New Roman"/>
      <w:color w:val="7F7F7F"/>
      <w:sz w:val="18"/>
      <w:szCs w:val="24"/>
      <w:lang w:eastAsia="en-GB"/>
    </w:rPr>
  </w:style>
  <w:style w:type="character" w:customStyle="1" w:styleId="FootnooChar">
    <w:name w:val="Footnoo Char"/>
    <w:link w:val="Footnoo"/>
    <w:semiHidden/>
    <w:rPr>
      <w:rFonts w:ascii="EC Square Sans Pro" w:eastAsia="SimSun" w:hAnsi="EC Square Sans Pro" w:cs="Times New Roman"/>
      <w:color w:val="7F7F7F"/>
      <w:sz w:val="18"/>
      <w:szCs w:val="24"/>
      <w:lang w:eastAsia="en-GB"/>
    </w:rPr>
  </w:style>
  <w:style w:type="character" w:customStyle="1" w:styleId="Corpsdutexte">
    <w:name w:val="Corps du texte_"/>
    <w:uiPriority w:val="99"/>
    <w:semiHidden/>
    <w:locked/>
    <w:rPr>
      <w:noProof w:val="0"/>
      <w:sz w:val="23"/>
      <w:szCs w:val="23"/>
      <w:shd w:val="clear" w:color="auto" w:fill="FFFFFF"/>
      <w:lang w:val="en-GB"/>
    </w:rPr>
  </w:style>
  <w:style w:type="paragraph" w:customStyle="1" w:styleId="Corpsdutexte1">
    <w:name w:val="Corps du texte1"/>
    <w:basedOn w:val="Normal"/>
    <w:uiPriority w:val="99"/>
    <w:semiHidden/>
    <w:pPr>
      <w:widowControl w:val="0"/>
      <w:shd w:val="clear" w:color="auto" w:fill="FFFFFF"/>
      <w:spacing w:before="180" w:after="900" w:line="240" w:lineRule="atLeast"/>
      <w:ind w:hanging="2160"/>
      <w:jc w:val="both"/>
    </w:pPr>
    <w:rPr>
      <w:rFonts w:ascii="EC Square Sans Pro" w:hAnsi="EC Square Sans Pro" w:cs="Times New Roman"/>
      <w:sz w:val="23"/>
      <w:szCs w:val="23"/>
    </w:rPr>
  </w:style>
  <w:style w:type="paragraph" w:customStyle="1" w:styleId="ZCom">
    <w:name w:val="Z_Com"/>
    <w:basedOn w:val="Normal"/>
    <w:next w:val="ZDGName"/>
    <w:semiHidden/>
    <w:pPr>
      <w:widowControl w:val="0"/>
      <w:autoSpaceDE w:val="0"/>
      <w:autoSpaceDN w:val="0"/>
      <w:spacing w:after="240" w:line="240" w:lineRule="auto"/>
      <w:ind w:right="85"/>
      <w:jc w:val="both"/>
    </w:pPr>
    <w:rPr>
      <w:rFonts w:ascii="Arial" w:eastAsia="SimSun" w:hAnsi="Arial" w:cs="Arial"/>
      <w:color w:val="7F7F7F"/>
      <w:sz w:val="18"/>
      <w:szCs w:val="24"/>
      <w:lang w:eastAsia="en-GB"/>
    </w:rPr>
  </w:style>
  <w:style w:type="paragraph" w:customStyle="1" w:styleId="ZDGName">
    <w:name w:val="Z_DGName"/>
    <w:basedOn w:val="Normal"/>
    <w:semiHidden/>
    <w:pPr>
      <w:widowControl w:val="0"/>
      <w:autoSpaceDE w:val="0"/>
      <w:autoSpaceDN w:val="0"/>
      <w:spacing w:after="240" w:line="240" w:lineRule="auto"/>
      <w:ind w:right="85"/>
      <w:jc w:val="both"/>
    </w:pPr>
    <w:rPr>
      <w:rFonts w:ascii="Arial" w:eastAsia="SimSun" w:hAnsi="Arial" w:cs="Arial"/>
      <w:color w:val="7F7F7F"/>
      <w:sz w:val="16"/>
      <w:szCs w:val="16"/>
      <w:lang w:eastAsia="en-GB"/>
    </w:rPr>
  </w:style>
  <w:style w:type="numbering" w:customStyle="1" w:styleId="Style1">
    <w:name w:val="Style1"/>
    <w:pPr>
      <w:numPr>
        <w:numId w:val="15"/>
      </w:numPr>
    </w:pPr>
  </w:style>
  <w:style w:type="numbering" w:customStyle="1" w:styleId="Style2">
    <w:name w:val="Style2"/>
    <w:pPr>
      <w:numPr>
        <w:numId w:val="16"/>
      </w:numPr>
    </w:pPr>
  </w:style>
  <w:style w:type="paragraph" w:customStyle="1" w:styleId="FootnoteJAL">
    <w:name w:val="FootnoteJAL"/>
    <w:basedOn w:val="FootnoteText"/>
    <w:link w:val="FootnoteJALChar"/>
    <w:semiHidden/>
    <w:qFormat/>
    <w:pPr>
      <w:spacing w:after="120"/>
    </w:pPr>
    <w:rPr>
      <w:rFonts w:ascii="Calibri" w:eastAsia="SimSun" w:hAnsi="Calibri"/>
      <w:i/>
      <w:iCs/>
      <w:color w:val="7F7F7F"/>
      <w:sz w:val="24"/>
      <w:szCs w:val="24"/>
    </w:rPr>
  </w:style>
  <w:style w:type="character" w:customStyle="1" w:styleId="FootnoteJALChar">
    <w:name w:val="FootnoteJAL Char"/>
    <w:link w:val="FootnoteJAL"/>
    <w:semiHidden/>
    <w:rPr>
      <w:rFonts w:ascii="Calibri" w:eastAsia="SimSun" w:hAnsi="Calibri"/>
      <w:i/>
      <w:iCs/>
      <w:color w:val="7F7F7F"/>
      <w:sz w:val="24"/>
      <w:szCs w:val="24"/>
    </w:rPr>
  </w:style>
  <w:style w:type="paragraph" w:customStyle="1" w:styleId="ColorfulShading-Accent11">
    <w:name w:val="Colorful Shading - Accent 11"/>
    <w:hidden/>
    <w:uiPriority w:val="71"/>
    <w:pPr>
      <w:spacing w:after="0" w:line="240" w:lineRule="auto"/>
    </w:pPr>
    <w:rPr>
      <w:rFonts w:ascii="Times New Roman" w:eastAsia="SimSun" w:hAnsi="Times New Roman" w:cs="Times New Roman"/>
      <w:sz w:val="24"/>
      <w:szCs w:val="24"/>
      <w:lang w:eastAsia="en-GB"/>
    </w:rPr>
  </w:style>
  <w:style w:type="paragraph" w:customStyle="1" w:styleId="font0">
    <w:name w:val="font0"/>
    <w:basedOn w:val="Normal"/>
    <w:semiHidden/>
    <w:pPr>
      <w:spacing w:before="100" w:beforeAutospacing="1" w:after="100" w:afterAutospacing="1" w:line="240" w:lineRule="auto"/>
      <w:jc w:val="both"/>
    </w:pPr>
    <w:rPr>
      <w:rFonts w:ascii="Calibri" w:eastAsia="SimSun" w:hAnsi="Calibri" w:cs="Times New Roman"/>
      <w:color w:val="000000"/>
      <w:lang w:eastAsia="en-GB"/>
    </w:rPr>
  </w:style>
  <w:style w:type="paragraph" w:customStyle="1" w:styleId="font5">
    <w:name w:val="font5"/>
    <w:basedOn w:val="Normal"/>
    <w:semiHidden/>
    <w:pPr>
      <w:spacing w:before="100" w:beforeAutospacing="1" w:after="100" w:afterAutospacing="1" w:line="240" w:lineRule="auto"/>
      <w:jc w:val="both"/>
    </w:pPr>
    <w:rPr>
      <w:rFonts w:ascii="Calibri" w:eastAsia="SimSun" w:hAnsi="Calibri" w:cs="Times New Roman"/>
      <w:color w:val="000000"/>
      <w:lang w:eastAsia="en-GB"/>
    </w:rPr>
  </w:style>
  <w:style w:type="paragraph" w:customStyle="1" w:styleId="font6">
    <w:name w:val="font6"/>
    <w:basedOn w:val="Normal"/>
    <w:semiHidden/>
    <w:pPr>
      <w:spacing w:before="100" w:beforeAutospacing="1" w:after="100" w:afterAutospacing="1" w:line="240" w:lineRule="auto"/>
      <w:jc w:val="both"/>
    </w:pPr>
    <w:rPr>
      <w:rFonts w:ascii="Tahoma" w:eastAsia="SimSun" w:hAnsi="Tahoma" w:cs="Tahoma"/>
      <w:color w:val="000000"/>
      <w:sz w:val="18"/>
      <w:szCs w:val="18"/>
      <w:lang w:eastAsia="en-GB"/>
    </w:rPr>
  </w:style>
  <w:style w:type="paragraph" w:customStyle="1" w:styleId="font7">
    <w:name w:val="font7"/>
    <w:basedOn w:val="Normal"/>
    <w:semiHidden/>
    <w:pPr>
      <w:spacing w:before="100" w:beforeAutospacing="1" w:after="100" w:afterAutospacing="1" w:line="240" w:lineRule="auto"/>
      <w:jc w:val="both"/>
    </w:pPr>
    <w:rPr>
      <w:rFonts w:ascii="Tahoma" w:eastAsia="SimSun" w:hAnsi="Tahoma" w:cs="Tahoma"/>
      <w:b/>
      <w:bCs/>
      <w:color w:val="000000"/>
      <w:sz w:val="18"/>
      <w:szCs w:val="18"/>
      <w:lang w:eastAsia="en-GB"/>
    </w:rPr>
  </w:style>
  <w:style w:type="paragraph" w:customStyle="1" w:styleId="font8">
    <w:name w:val="font8"/>
    <w:basedOn w:val="Normal"/>
    <w:semiHidden/>
    <w:pPr>
      <w:spacing w:before="100" w:beforeAutospacing="1" w:after="100" w:afterAutospacing="1" w:line="240" w:lineRule="auto"/>
      <w:jc w:val="both"/>
    </w:pPr>
    <w:rPr>
      <w:rFonts w:ascii="Calibri" w:eastAsia="SimSun" w:hAnsi="Calibri" w:cs="Times New Roman"/>
      <w:color w:val="000000"/>
      <w:lang w:eastAsia="en-GB"/>
    </w:rPr>
  </w:style>
  <w:style w:type="paragraph" w:customStyle="1" w:styleId="xl63">
    <w:name w:val="xl63"/>
    <w:basedOn w:val="Normal"/>
    <w:semiHidden/>
    <w:pP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7F7F7F"/>
      <w:sz w:val="18"/>
      <w:szCs w:val="24"/>
      <w:lang w:eastAsia="en-GB"/>
    </w:rPr>
  </w:style>
  <w:style w:type="paragraph" w:customStyle="1" w:styleId="xl64">
    <w:name w:val="xl64"/>
    <w:basedOn w:val="Normal"/>
    <w:semiHidden/>
    <w:pPr>
      <w:pBdr>
        <w:top w:val="single" w:sz="4" w:space="0" w:color="auto"/>
      </w:pBd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7F7F7F"/>
      <w:sz w:val="18"/>
      <w:szCs w:val="24"/>
      <w:lang w:eastAsia="en-GB"/>
    </w:rPr>
  </w:style>
  <w:style w:type="paragraph" w:customStyle="1" w:styleId="xl65">
    <w:name w:val="xl65"/>
    <w:basedOn w:val="Normal"/>
    <w:semiHidden/>
    <w:pP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7F7F7F"/>
      <w:sz w:val="18"/>
      <w:szCs w:val="24"/>
      <w:lang w:eastAsia="en-GB"/>
    </w:rPr>
  </w:style>
  <w:style w:type="paragraph" w:customStyle="1" w:styleId="xl66">
    <w:name w:val="xl66"/>
    <w:basedOn w:val="Normal"/>
    <w:semiHidden/>
    <w:pPr>
      <w:pBdr>
        <w:bottom w:val="single" w:sz="12" w:space="0" w:color="auto"/>
      </w:pBd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7F7F7F"/>
      <w:sz w:val="18"/>
      <w:szCs w:val="24"/>
      <w:lang w:eastAsia="en-GB"/>
    </w:rPr>
  </w:style>
  <w:style w:type="paragraph" w:customStyle="1" w:styleId="xl67">
    <w:name w:val="xl67"/>
    <w:basedOn w:val="Normal"/>
    <w:semiHidden/>
    <w:pPr>
      <w:pBdr>
        <w:bottom w:val="single" w:sz="8" w:space="0" w:color="auto"/>
      </w:pBd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7F7F7F"/>
      <w:sz w:val="18"/>
      <w:szCs w:val="24"/>
      <w:lang w:eastAsia="en-GB"/>
    </w:rPr>
  </w:style>
  <w:style w:type="paragraph" w:customStyle="1" w:styleId="xl68">
    <w:name w:val="xl68"/>
    <w:basedOn w:val="Normal"/>
    <w:semiHidden/>
    <w:pPr>
      <w:pBdr>
        <w:bottom w:val="single" w:sz="8" w:space="0" w:color="auto"/>
      </w:pBd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FF0000"/>
      <w:sz w:val="18"/>
      <w:szCs w:val="24"/>
      <w:lang w:eastAsia="en-GB"/>
    </w:rPr>
  </w:style>
  <w:style w:type="paragraph" w:customStyle="1" w:styleId="xl69">
    <w:name w:val="xl69"/>
    <w:basedOn w:val="Normal"/>
    <w:semiHidden/>
    <w:pP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70">
    <w:name w:val="xl70"/>
    <w:basedOn w:val="Normal"/>
    <w:semiHidden/>
    <w:pPr>
      <w:pBdr>
        <w:bottom w:val="single" w:sz="12"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71">
    <w:name w:val="xl71"/>
    <w:basedOn w:val="Normal"/>
    <w:semiHidden/>
    <w:pP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72">
    <w:name w:val="xl72"/>
    <w:basedOn w:val="Normal"/>
    <w:semiHidden/>
    <w:pPr>
      <w:pBdr>
        <w:bottom w:val="single" w:sz="12"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73">
    <w:name w:val="xl73"/>
    <w:basedOn w:val="Normal"/>
    <w:semiHidden/>
    <w:pPr>
      <w:pBdr>
        <w:bottom w:val="single" w:sz="8"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74">
    <w:name w:val="xl74"/>
    <w:basedOn w:val="Normal"/>
    <w:semiHidden/>
    <w:pPr>
      <w:pBdr>
        <w:bottom w:val="single" w:sz="8"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FF0000"/>
      <w:sz w:val="18"/>
      <w:szCs w:val="24"/>
      <w:lang w:eastAsia="en-GB"/>
    </w:rPr>
  </w:style>
  <w:style w:type="paragraph" w:customStyle="1" w:styleId="xl75">
    <w:name w:val="xl75"/>
    <w:basedOn w:val="Normal"/>
    <w:semiHidden/>
    <w:pPr>
      <w:pBdr>
        <w:top w:val="single" w:sz="4" w:space="0" w:color="auto"/>
        <w:left w:val="single" w:sz="4" w:space="0" w:color="auto"/>
      </w:pBd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7F7F7F"/>
      <w:sz w:val="18"/>
      <w:szCs w:val="24"/>
      <w:lang w:eastAsia="en-GB"/>
    </w:rPr>
  </w:style>
  <w:style w:type="paragraph" w:customStyle="1" w:styleId="xl76">
    <w:name w:val="xl76"/>
    <w:basedOn w:val="Normal"/>
    <w:semiHidden/>
    <w:pPr>
      <w:pBdr>
        <w:left w:val="single" w:sz="4" w:space="0" w:color="auto"/>
      </w:pBd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7F7F7F"/>
      <w:sz w:val="18"/>
      <w:szCs w:val="24"/>
      <w:lang w:eastAsia="en-GB"/>
    </w:rPr>
  </w:style>
  <w:style w:type="paragraph" w:customStyle="1" w:styleId="xl77">
    <w:name w:val="xl77"/>
    <w:basedOn w:val="Normal"/>
    <w:semiHidden/>
    <w:pPr>
      <w:pBdr>
        <w:left w:val="single" w:sz="4" w:space="0" w:color="auto"/>
        <w:bottom w:val="single" w:sz="12" w:space="0" w:color="auto"/>
      </w:pBd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7F7F7F"/>
      <w:sz w:val="18"/>
      <w:szCs w:val="24"/>
      <w:lang w:eastAsia="en-GB"/>
    </w:rPr>
  </w:style>
  <w:style w:type="paragraph" w:customStyle="1" w:styleId="xl78">
    <w:name w:val="xl78"/>
    <w:basedOn w:val="Normal"/>
    <w:semiHidden/>
    <w:pPr>
      <w:pBdr>
        <w:bottom w:val="single" w:sz="12" w:space="0" w:color="auto"/>
      </w:pBd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7F7F7F"/>
      <w:sz w:val="18"/>
      <w:szCs w:val="24"/>
      <w:lang w:eastAsia="en-GB"/>
    </w:rPr>
  </w:style>
  <w:style w:type="paragraph" w:customStyle="1" w:styleId="xl79">
    <w:name w:val="xl79"/>
    <w:basedOn w:val="Normal"/>
    <w:semiHidden/>
    <w:pP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7F7F7F"/>
      <w:sz w:val="18"/>
      <w:szCs w:val="24"/>
      <w:lang w:eastAsia="en-GB"/>
    </w:rPr>
  </w:style>
  <w:style w:type="paragraph" w:customStyle="1" w:styleId="xl80">
    <w:name w:val="xl80"/>
    <w:basedOn w:val="Normal"/>
    <w:semiHidden/>
    <w:pP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7F7F7F"/>
      <w:sz w:val="18"/>
      <w:szCs w:val="24"/>
      <w:lang w:eastAsia="en-GB"/>
    </w:rPr>
  </w:style>
  <w:style w:type="paragraph" w:customStyle="1" w:styleId="xl81">
    <w:name w:val="xl81"/>
    <w:basedOn w:val="Normal"/>
    <w:semiHidden/>
    <w:pPr>
      <w:pBdr>
        <w:bottom w:val="single" w:sz="12" w:space="0" w:color="auto"/>
      </w:pBd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7F7F7F"/>
      <w:sz w:val="18"/>
      <w:szCs w:val="24"/>
      <w:lang w:eastAsia="en-GB"/>
    </w:rPr>
  </w:style>
  <w:style w:type="paragraph" w:customStyle="1" w:styleId="xl82">
    <w:name w:val="xl82"/>
    <w:basedOn w:val="Normal"/>
    <w:semiHidden/>
    <w:pPr>
      <w:pBdr>
        <w:bottom w:val="single" w:sz="12" w:space="0" w:color="auto"/>
      </w:pBd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7F7F7F"/>
      <w:sz w:val="18"/>
      <w:szCs w:val="24"/>
      <w:lang w:eastAsia="en-GB"/>
    </w:rPr>
  </w:style>
  <w:style w:type="paragraph" w:customStyle="1" w:styleId="xl83">
    <w:name w:val="xl83"/>
    <w:basedOn w:val="Normal"/>
    <w:semiHidden/>
    <w:pPr>
      <w:pBdr>
        <w:bottom w:val="single" w:sz="8" w:space="0" w:color="auto"/>
      </w:pBd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7F7F7F"/>
      <w:sz w:val="18"/>
      <w:szCs w:val="24"/>
      <w:lang w:eastAsia="en-GB"/>
    </w:rPr>
  </w:style>
  <w:style w:type="paragraph" w:customStyle="1" w:styleId="xl84">
    <w:name w:val="xl84"/>
    <w:basedOn w:val="Normal"/>
    <w:semiHidden/>
    <w:pPr>
      <w:pBdr>
        <w:bottom w:val="single" w:sz="8" w:space="0" w:color="auto"/>
      </w:pBd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7F7F7F"/>
      <w:sz w:val="18"/>
      <w:szCs w:val="24"/>
      <w:lang w:eastAsia="en-GB"/>
    </w:rPr>
  </w:style>
  <w:style w:type="paragraph" w:customStyle="1" w:styleId="xl85">
    <w:name w:val="xl85"/>
    <w:basedOn w:val="Normal"/>
    <w:semiHidden/>
    <w:pPr>
      <w:pBdr>
        <w:bottom w:val="single" w:sz="8" w:space="0" w:color="auto"/>
      </w:pBd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FF0000"/>
      <w:sz w:val="18"/>
      <w:szCs w:val="24"/>
      <w:lang w:eastAsia="en-GB"/>
    </w:rPr>
  </w:style>
  <w:style w:type="paragraph" w:customStyle="1" w:styleId="xl86">
    <w:name w:val="xl86"/>
    <w:basedOn w:val="Normal"/>
    <w:semiHidden/>
    <w:pPr>
      <w:shd w:val="clear" w:color="000000" w:fill="FFFF00"/>
      <w:spacing w:before="100" w:beforeAutospacing="1" w:after="100" w:afterAutospacing="1" w:line="240" w:lineRule="auto"/>
      <w:jc w:val="both"/>
      <w:textAlignment w:val="top"/>
    </w:pPr>
    <w:rPr>
      <w:rFonts w:ascii="EC Square Sans Pro" w:eastAsia="SimSun" w:hAnsi="EC Square Sans Pro" w:cs="Times New Roman"/>
      <w:color w:val="7F7F7F"/>
      <w:sz w:val="18"/>
      <w:szCs w:val="24"/>
      <w:lang w:eastAsia="en-GB"/>
    </w:rPr>
  </w:style>
  <w:style w:type="paragraph" w:customStyle="1" w:styleId="xl87">
    <w:name w:val="xl87"/>
    <w:basedOn w:val="Normal"/>
    <w:semiHidden/>
    <w:pPr>
      <w:pBdr>
        <w:right w:val="single" w:sz="4"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88">
    <w:name w:val="xl88"/>
    <w:basedOn w:val="Normal"/>
    <w:semiHidden/>
    <w:pPr>
      <w:pBdr>
        <w:top w:val="single" w:sz="4"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89">
    <w:name w:val="xl89"/>
    <w:basedOn w:val="Normal"/>
    <w:semiHidden/>
    <w:pPr>
      <w:pBdr>
        <w:top w:val="single" w:sz="4" w:space="0" w:color="auto"/>
        <w:right w:val="single" w:sz="4"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90">
    <w:name w:val="xl90"/>
    <w:basedOn w:val="Normal"/>
    <w:semiHidden/>
    <w:pPr>
      <w:pBdr>
        <w:right w:val="single" w:sz="4"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91">
    <w:name w:val="xl91"/>
    <w:basedOn w:val="Normal"/>
    <w:semiHidden/>
    <w:pPr>
      <w:pBdr>
        <w:bottom w:val="single" w:sz="12" w:space="0" w:color="auto"/>
        <w:right w:val="single" w:sz="4"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92">
    <w:name w:val="xl92"/>
    <w:basedOn w:val="Normal"/>
    <w:semiHidden/>
    <w:pP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93">
    <w:name w:val="xl93"/>
    <w:basedOn w:val="Normal"/>
    <w:semiHidden/>
    <w:pPr>
      <w:pBdr>
        <w:bottom w:val="single" w:sz="12" w:space="0" w:color="auto"/>
        <w:right w:val="single" w:sz="4"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94">
    <w:name w:val="xl94"/>
    <w:basedOn w:val="Normal"/>
    <w:semiHidden/>
    <w:pP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95">
    <w:name w:val="xl95"/>
    <w:basedOn w:val="Normal"/>
    <w:semiHidden/>
    <w:pPr>
      <w:pBdr>
        <w:bottom w:val="single" w:sz="12"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96">
    <w:name w:val="xl96"/>
    <w:basedOn w:val="Normal"/>
    <w:semiHidden/>
    <w:pPr>
      <w:pBdr>
        <w:bottom w:val="single" w:sz="12" w:space="0" w:color="auto"/>
        <w:right w:val="single" w:sz="4"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97">
    <w:name w:val="xl97"/>
    <w:basedOn w:val="Normal"/>
    <w:semiHidden/>
    <w:pPr>
      <w:pBdr>
        <w:right w:val="single" w:sz="4"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98">
    <w:name w:val="xl98"/>
    <w:basedOn w:val="Normal"/>
    <w:semiHidden/>
    <w:pPr>
      <w:pBdr>
        <w:right w:val="single" w:sz="4"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99">
    <w:name w:val="xl99"/>
    <w:basedOn w:val="Normal"/>
    <w:semiHidden/>
    <w:pP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100">
    <w:name w:val="xl100"/>
    <w:basedOn w:val="Normal"/>
    <w:semiHidden/>
    <w:pPr>
      <w:pBdr>
        <w:bottom w:val="single" w:sz="12"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101">
    <w:name w:val="xl101"/>
    <w:basedOn w:val="Normal"/>
    <w:semiHidden/>
    <w:pP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102">
    <w:name w:val="xl102"/>
    <w:basedOn w:val="Normal"/>
    <w:semiHidden/>
    <w:pPr>
      <w:pBdr>
        <w:bottom w:val="single" w:sz="8"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103">
    <w:name w:val="xl103"/>
    <w:basedOn w:val="Normal"/>
    <w:semiHidden/>
    <w:pPr>
      <w:pBdr>
        <w:bottom w:val="single" w:sz="8" w:space="0" w:color="auto"/>
        <w:right w:val="single" w:sz="4"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104">
    <w:name w:val="xl104"/>
    <w:basedOn w:val="Normal"/>
    <w:semiHidden/>
    <w:pPr>
      <w:pBdr>
        <w:bottom w:val="single" w:sz="8"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105">
    <w:name w:val="xl105"/>
    <w:basedOn w:val="Normal"/>
    <w:semiHidden/>
    <w:pPr>
      <w:pBdr>
        <w:bottom w:val="single" w:sz="8"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7F7F7F"/>
      <w:sz w:val="18"/>
      <w:szCs w:val="24"/>
      <w:lang w:eastAsia="en-GB"/>
    </w:rPr>
  </w:style>
  <w:style w:type="paragraph" w:customStyle="1" w:styleId="xl106">
    <w:name w:val="xl106"/>
    <w:basedOn w:val="Normal"/>
    <w:semiHidden/>
    <w:pPr>
      <w:pBdr>
        <w:bottom w:val="single" w:sz="8" w:space="0" w:color="auto"/>
        <w:right w:val="single" w:sz="4" w:space="0" w:color="auto"/>
      </w:pBdr>
      <w:shd w:val="clear" w:color="000000" w:fill="FFFF00"/>
      <w:spacing w:before="100" w:beforeAutospacing="1" w:after="100" w:afterAutospacing="1" w:line="240" w:lineRule="auto"/>
      <w:jc w:val="center"/>
      <w:textAlignment w:val="top"/>
    </w:pPr>
    <w:rPr>
      <w:rFonts w:ascii="EC Square Sans Pro" w:eastAsia="SimSun" w:hAnsi="EC Square Sans Pro" w:cs="Times New Roman"/>
      <w:color w:val="FF0000"/>
      <w:sz w:val="18"/>
      <w:szCs w:val="24"/>
      <w:lang w:eastAsia="en-GB"/>
    </w:rPr>
  </w:style>
  <w:style w:type="table" w:styleId="TableClassic3">
    <w:name w:val="Table Classic 3"/>
    <w:basedOn w:val="TableNormal"/>
    <w:pPr>
      <w:spacing w:after="240" w:line="240" w:lineRule="auto"/>
      <w:jc w:val="both"/>
    </w:pPr>
    <w:rPr>
      <w:rFonts w:ascii="Times New Roman" w:eastAsia="SimSu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240" w:line="240" w:lineRule="auto"/>
      <w:jc w:val="both"/>
    </w:pPr>
    <w:rPr>
      <w:rFonts w:ascii="Times New Roman" w:eastAsia="SimSu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pPr>
      <w:spacing w:after="240" w:line="240" w:lineRule="auto"/>
      <w:jc w:val="both"/>
    </w:pPr>
    <w:rPr>
      <w:rFonts w:ascii="Times New Roman" w:eastAsia="SimSu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4">
    <w:name w:val="Table List 4"/>
    <w:basedOn w:val="TableNormal"/>
    <w:pPr>
      <w:spacing w:after="240" w:line="240" w:lineRule="auto"/>
      <w:jc w:val="both"/>
    </w:pPr>
    <w:rPr>
      <w:rFonts w:ascii="Times New Roman" w:eastAsia="SimSu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tact">
    <w:name w:val="Contact"/>
    <w:basedOn w:val="Normal"/>
    <w:next w:val="Normal"/>
    <w:uiPriority w:val="99"/>
    <w:semiHidden/>
    <w:pPr>
      <w:spacing w:after="480" w:line="240" w:lineRule="auto"/>
      <w:ind w:left="567" w:hanging="567"/>
      <w:jc w:val="both"/>
    </w:pPr>
    <w:rPr>
      <w:rFonts w:ascii="EC Square Sans Pro" w:eastAsia="Times New Roman" w:hAnsi="EC Square Sans Pro" w:cs="Times New Roman"/>
      <w:color w:val="7F7F7F"/>
      <w:sz w:val="18"/>
      <w:szCs w:val="20"/>
    </w:rPr>
  </w:style>
  <w:style w:type="paragraph" w:customStyle="1" w:styleId="Tablecharttitle">
    <w:name w:val="Table/chart title"/>
    <w:basedOn w:val="Normal"/>
    <w:semiHidden/>
    <w:pPr>
      <w:keepNext/>
      <w:spacing w:after="120" w:line="240" w:lineRule="auto"/>
      <w:jc w:val="both"/>
    </w:pPr>
    <w:rPr>
      <w:rFonts w:ascii="Cambria" w:eastAsia="SimSun" w:hAnsi="Cambria" w:cs="Times New Roman"/>
      <w:color w:val="7F7F7F"/>
      <w:sz w:val="18"/>
      <w:szCs w:val="20"/>
    </w:rPr>
  </w:style>
  <w:style w:type="table" w:styleId="TableColumns1">
    <w:name w:val="Table Columns 1"/>
    <w:basedOn w:val="TableNormal"/>
    <w:pPr>
      <w:spacing w:after="240" w:line="240" w:lineRule="auto"/>
      <w:jc w:val="both"/>
    </w:pPr>
    <w:rPr>
      <w:rFonts w:ascii="Times New Roman" w:eastAsia="SimSu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Accent1">
    <w:name w:val="Light List Accent 1"/>
    <w:basedOn w:val="TableNormal"/>
    <w:uiPriority w:val="61"/>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
    <w:name w:val="Table Grid11"/>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Tonny">
    <w:name w:val="Heading 2 Tonny"/>
    <w:basedOn w:val="Heading2"/>
    <w:link w:val="Heading2TonnyChar"/>
    <w:semiHidden/>
    <w:qFormat/>
    <w:pPr>
      <w:spacing w:before="360" w:after="100"/>
      <w:ind w:left="0" w:firstLine="0"/>
    </w:pPr>
    <w:rPr>
      <w:rFonts w:ascii="Arial" w:eastAsia="Calibri" w:hAnsi="Arial" w:cs="Arial"/>
      <w:iCs/>
      <w:color w:val="0070C0"/>
      <w:szCs w:val="28"/>
    </w:rPr>
  </w:style>
  <w:style w:type="character" w:customStyle="1" w:styleId="Heading2TonnyChar">
    <w:name w:val="Heading 2 Tonny Char"/>
    <w:basedOn w:val="Heading2Char"/>
    <w:link w:val="Heading2Tonny"/>
    <w:semiHidden/>
    <w:rPr>
      <w:rFonts w:ascii="Arial" w:eastAsia="Calibri" w:hAnsi="Arial" w:cs="Arial"/>
      <w:b/>
      <w:bCs/>
      <w:iCs/>
      <w:color w:val="0070C0"/>
      <w:sz w:val="24"/>
      <w:szCs w:val="28"/>
    </w:rPr>
  </w:style>
  <w:style w:type="character" w:customStyle="1" w:styleId="st1">
    <w:name w:val="st1"/>
    <w:basedOn w:val="DefaultParagraphFont"/>
    <w:semiHidden/>
    <w:rPr>
      <w:noProof w:val="0"/>
      <w:lang w:val="en-GB"/>
    </w:rPr>
  </w:style>
  <w:style w:type="paragraph" w:customStyle="1" w:styleId="Pa19">
    <w:name w:val="Pa19"/>
    <w:basedOn w:val="Default"/>
    <w:next w:val="Default"/>
    <w:uiPriority w:val="99"/>
    <w:semiHidden/>
    <w:pPr>
      <w:spacing w:line="321" w:lineRule="atLeast"/>
    </w:pPr>
    <w:rPr>
      <w:rFonts w:ascii="EC Square Sans Pro" w:eastAsia="EC Square Sans Pro" w:hAnsi="EC Square Sans Pro" w:cs="Times New Roman"/>
      <w:color w:val="auto"/>
    </w:rPr>
  </w:style>
  <w:style w:type="character" w:customStyle="1" w:styleId="NoSpacingChar">
    <w:name w:val="No Spacing Char"/>
    <w:basedOn w:val="DefaultParagraphFont"/>
    <w:link w:val="NoSpacing2"/>
    <w:uiPriority w:val="1"/>
    <w:semiHidden/>
    <w:rPr>
      <w:rFonts w:ascii="EC Square Sans Pro" w:hAnsi="EC Square Sans Pro" w:cs="Times New Roman"/>
      <w:sz w:val="20"/>
    </w:rPr>
  </w:style>
  <w:style w:type="paragraph" w:customStyle="1" w:styleId="AMPRBox">
    <w:name w:val="AMPR Box"/>
    <w:basedOn w:val="PSParagraphText"/>
    <w:link w:val="AMPRBoxChar"/>
    <w:autoRedefine/>
    <w:semiHidden/>
    <w:qFormat/>
    <w:pPr>
      <w:keepLines/>
      <w:pBdr>
        <w:top w:val="single" w:sz="4" w:space="1" w:color="auto"/>
        <w:left w:val="single" w:sz="4" w:space="4" w:color="auto"/>
        <w:bottom w:val="single" w:sz="4" w:space="1" w:color="auto"/>
        <w:right w:val="single" w:sz="4" w:space="4" w:color="auto"/>
      </w:pBdr>
      <w:shd w:val="clear" w:color="auto" w:fill="F7F7F7"/>
      <w:spacing w:line="276" w:lineRule="auto"/>
    </w:pPr>
    <w:rPr>
      <w:rFonts w:eastAsia="Calibri"/>
      <w:i/>
      <w:color w:val="7F7F7F"/>
      <w:szCs w:val="18"/>
    </w:rPr>
  </w:style>
  <w:style w:type="character" w:customStyle="1" w:styleId="AMPRBoxChar">
    <w:name w:val="AMPR Box Char"/>
    <w:basedOn w:val="PSParagraphTextChar"/>
    <w:link w:val="AMPRBox"/>
    <w:semiHidden/>
    <w:rPr>
      <w:rFonts w:ascii="EC Square Sans Pro" w:eastAsia="Calibri" w:hAnsi="EC Square Sans Pro" w:cs="Times New Roman"/>
      <w:i/>
      <w:color w:val="7F7F7F"/>
      <w:sz w:val="20"/>
      <w:szCs w:val="18"/>
      <w:shd w:val="clear" w:color="auto" w:fill="F7F7F7"/>
      <w:lang w:eastAsia="en-GB"/>
    </w:rPr>
  </w:style>
  <w:style w:type="paragraph" w:customStyle="1" w:styleId="AMPRTABLECHART">
    <w:name w:val="AMPR TABLECHART"/>
    <w:basedOn w:val="Normal"/>
    <w:link w:val="AMPRTABLECHARTChar"/>
    <w:autoRedefine/>
    <w:semiHidden/>
    <w:qFormat/>
    <w:pPr>
      <w:spacing w:after="240" w:line="240" w:lineRule="auto"/>
      <w:ind w:firstLine="40"/>
      <w:jc w:val="both"/>
    </w:pPr>
    <w:rPr>
      <w:rFonts w:ascii="EC Square Sans Pro Thin" w:eastAsia="Times New Roman" w:hAnsi="EC Square Sans Pro Thin" w:cs="Times New Roman"/>
      <w:b/>
      <w:i/>
      <w:sz w:val="18"/>
      <w:szCs w:val="18"/>
      <w:lang w:eastAsia="en-GB"/>
    </w:rPr>
  </w:style>
  <w:style w:type="character" w:customStyle="1" w:styleId="AMPRTABLECHARTChar">
    <w:name w:val="AMPR TABLECHART Char"/>
    <w:basedOn w:val="DefaultParagraphFont"/>
    <w:link w:val="AMPRTABLECHART"/>
    <w:semiHidden/>
    <w:rPr>
      <w:rFonts w:ascii="EC Square Sans Pro Thin" w:eastAsia="Times New Roman" w:hAnsi="EC Square Sans Pro Thin" w:cs="Times New Roman"/>
      <w:b/>
      <w:i/>
      <w:sz w:val="18"/>
      <w:szCs w:val="18"/>
      <w:lang w:eastAsia="en-GB"/>
    </w:rPr>
  </w:style>
  <w:style w:type="numbering" w:customStyle="1" w:styleId="NoList1">
    <w:name w:val="No List1"/>
    <w:next w:val="NoList"/>
    <w:uiPriority w:val="99"/>
    <w:semiHidden/>
    <w:unhideWhenUsed/>
  </w:style>
  <w:style w:type="numbering" w:customStyle="1" w:styleId="NoList2">
    <w:name w:val="No List2"/>
    <w:next w:val="NoList"/>
    <w:uiPriority w:val="99"/>
    <w:semiHidden/>
    <w:unhideWhenUsed/>
  </w:style>
  <w:style w:type="numbering" w:customStyle="1" w:styleId="NumbLstBullet1">
    <w:name w:val="NumbLstBullet1"/>
  </w:style>
  <w:style w:type="numbering" w:customStyle="1" w:styleId="Style11">
    <w:name w:val="Style11"/>
  </w:style>
  <w:style w:type="numbering" w:customStyle="1" w:styleId="Style21">
    <w:name w:val="Style21"/>
  </w:style>
  <w:style w:type="paragraph" w:customStyle="1" w:styleId="ConsideredContent">
    <w:name w:val="Considered Content"/>
    <w:basedOn w:val="Normal"/>
    <w:link w:val="ConsideredContentChar"/>
    <w:semiHidden/>
    <w:qFormat/>
    <w:pPr>
      <w:spacing w:after="0" w:line="240" w:lineRule="auto"/>
      <w:ind w:left="720"/>
      <w:jc w:val="both"/>
    </w:pPr>
    <w:rPr>
      <w:rFonts w:ascii="Times New Roman" w:eastAsia="Times New Roman" w:hAnsi="Times New Roman" w:cs="Times New Roman"/>
      <w:color w:val="BFBFBF"/>
      <w:sz w:val="24"/>
      <w:szCs w:val="24"/>
      <w:lang w:eastAsia="en-GB"/>
    </w:rPr>
  </w:style>
  <w:style w:type="character" w:customStyle="1" w:styleId="ConsideredContentChar">
    <w:name w:val="Considered Content Char"/>
    <w:basedOn w:val="DefaultParagraphFont"/>
    <w:link w:val="ConsideredContent"/>
    <w:semiHidden/>
    <w:rPr>
      <w:rFonts w:ascii="Times New Roman" w:eastAsia="Times New Roman" w:hAnsi="Times New Roman" w:cs="Times New Roman"/>
      <w:color w:val="BFBFBF"/>
      <w:sz w:val="24"/>
      <w:szCs w:val="24"/>
      <w:lang w:eastAsia="en-GB"/>
    </w:rPr>
  </w:style>
  <w:style w:type="paragraph" w:customStyle="1" w:styleId="Pa14">
    <w:name w:val="Pa14"/>
    <w:basedOn w:val="Default"/>
    <w:next w:val="Default"/>
    <w:uiPriority w:val="99"/>
    <w:semiHidden/>
    <w:pPr>
      <w:spacing w:line="241" w:lineRule="atLeast"/>
    </w:pPr>
    <w:rPr>
      <w:rFonts w:ascii="EC Square Sans Pro" w:eastAsia="EC Square Sans Pro" w:hAnsi="EC Square Sans Pro" w:cs="Times New Roman"/>
      <w:color w:val="auto"/>
    </w:rPr>
  </w:style>
  <w:style w:type="paragraph" w:customStyle="1" w:styleId="AMPRRunningTitle">
    <w:name w:val="AMPR Running Title"/>
    <w:basedOn w:val="Normal"/>
    <w:link w:val="AMPRRunningTitleChar"/>
    <w:semiHidden/>
    <w:qFormat/>
    <w:pPr>
      <w:spacing w:after="0" w:line="312" w:lineRule="auto"/>
      <w:jc w:val="both"/>
    </w:pPr>
    <w:rPr>
      <w:rFonts w:ascii="EC Square Sans Pro" w:eastAsia="Times New Roman" w:hAnsi="EC Square Sans Pro" w:cs="Arial"/>
      <w:b/>
      <w:color w:val="313131"/>
      <w:sz w:val="20"/>
      <w:szCs w:val="24"/>
      <w:lang w:eastAsia="en-GB"/>
    </w:rPr>
  </w:style>
  <w:style w:type="character" w:customStyle="1" w:styleId="AMPRRunningTitleChar">
    <w:name w:val="AMPR Running Title Char"/>
    <w:basedOn w:val="DefaultParagraphFont"/>
    <w:link w:val="AMPRRunningTitle"/>
    <w:semiHidden/>
    <w:rPr>
      <w:rFonts w:ascii="EC Square Sans Pro" w:eastAsia="Times New Roman" w:hAnsi="EC Square Sans Pro" w:cs="Arial"/>
      <w:b/>
      <w:color w:val="313131"/>
      <w:sz w:val="20"/>
      <w:szCs w:val="24"/>
      <w:lang w:eastAsia="en-GB"/>
    </w:rPr>
  </w:style>
  <w:style w:type="paragraph" w:customStyle="1" w:styleId="AMPRCall-out">
    <w:name w:val="AMPR Call-out"/>
    <w:basedOn w:val="Normal"/>
    <w:link w:val="AMPRCall-outChar"/>
    <w:semiHidden/>
    <w:qFormat/>
    <w:pPr>
      <w:pBdr>
        <w:top w:val="single" w:sz="12" w:space="0" w:color="002060"/>
        <w:left w:val="single" w:sz="12" w:space="2" w:color="002060"/>
        <w:bottom w:val="single" w:sz="12" w:space="0" w:color="002060"/>
        <w:right w:val="single" w:sz="12" w:space="2" w:color="002060"/>
      </w:pBdr>
      <w:shd w:val="clear" w:color="auto" w:fill="0070C0"/>
      <w:spacing w:after="100" w:line="240" w:lineRule="auto"/>
      <w:jc w:val="center"/>
    </w:pPr>
    <w:rPr>
      <w:rFonts w:ascii="EC Square Sans Pro" w:eastAsia="SimSun" w:hAnsi="EC Square Sans Pro" w:cs="Times New Roman"/>
      <w:i/>
      <w:color w:val="FFFFFF"/>
      <w:sz w:val="24"/>
      <w:szCs w:val="32"/>
      <w:lang w:eastAsia="en-GB"/>
    </w:rPr>
  </w:style>
  <w:style w:type="character" w:customStyle="1" w:styleId="AMPRCall-outChar">
    <w:name w:val="AMPR Call-out Char"/>
    <w:basedOn w:val="DefaultParagraphFont"/>
    <w:link w:val="AMPRCall-out"/>
    <w:semiHidden/>
    <w:rPr>
      <w:rFonts w:ascii="EC Square Sans Pro" w:eastAsia="SimSun" w:hAnsi="EC Square Sans Pro" w:cs="Times New Roman"/>
      <w:i/>
      <w:color w:val="FFFFFF"/>
      <w:sz w:val="24"/>
      <w:szCs w:val="32"/>
      <w:shd w:val="clear" w:color="auto" w:fill="0070C0"/>
      <w:lang w:eastAsia="en-GB"/>
    </w:rPr>
  </w:style>
  <w:style w:type="numbering" w:customStyle="1" w:styleId="NoList3">
    <w:name w:val="No List3"/>
    <w:next w:val="NoList"/>
    <w:uiPriority w:val="99"/>
    <w:semiHidden/>
    <w:unhideWhenUsed/>
  </w:style>
  <w:style w:type="paragraph" w:customStyle="1" w:styleId="AddressTL">
    <w:name w:val="AddressTL"/>
    <w:basedOn w:val="Normal"/>
    <w:next w:val="Normal"/>
    <w:semiHidden/>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semiHidden/>
    <w:pPr>
      <w:spacing w:after="720" w:line="240" w:lineRule="auto"/>
      <w:ind w:left="5103"/>
    </w:pPr>
    <w:rPr>
      <w:rFonts w:ascii="Times New Roman" w:eastAsia="Times New Roman" w:hAnsi="Times New Roman" w:cs="Times New Roman"/>
      <w:sz w:val="24"/>
      <w:szCs w:val="20"/>
    </w:rPr>
  </w:style>
  <w:style w:type="paragraph" w:customStyle="1" w:styleId="Enclosures">
    <w:name w:val="Enclosures"/>
    <w:basedOn w:val="Normal"/>
    <w:next w:val="Participants"/>
    <w:semiHidden/>
    <w:pPr>
      <w:keepNext/>
      <w:keepLines/>
      <w:tabs>
        <w:tab w:val="left" w:pos="5670"/>
      </w:tabs>
      <w:spacing w:before="480" w:after="0" w:line="240" w:lineRule="auto"/>
      <w:ind w:left="1985" w:hanging="1985"/>
    </w:pPr>
    <w:rPr>
      <w:rFonts w:ascii="Times New Roman" w:eastAsia="Times New Roman" w:hAnsi="Times New Roman" w:cs="Times New Roman"/>
      <w:sz w:val="24"/>
      <w:szCs w:val="20"/>
    </w:rPr>
  </w:style>
  <w:style w:type="paragraph" w:customStyle="1" w:styleId="Participants">
    <w:name w:val="Participants"/>
    <w:basedOn w:val="Normal"/>
    <w:next w:val="Copies"/>
    <w:semiHidden/>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customStyle="1" w:styleId="Copies">
    <w:name w:val="Copies"/>
    <w:basedOn w:val="Normal"/>
    <w:next w:val="Normal"/>
    <w:semiHidden/>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customStyle="1" w:styleId="DoubSign">
    <w:name w:val="DoubSign"/>
    <w:basedOn w:val="Normal"/>
    <w:next w:val="Contact"/>
    <w:semiHidden/>
    <w:pPr>
      <w:tabs>
        <w:tab w:val="left" w:pos="5103"/>
      </w:tabs>
      <w:spacing w:before="1200" w:after="0" w:line="240" w:lineRule="auto"/>
    </w:pPr>
    <w:rPr>
      <w:rFonts w:ascii="Times New Roman" w:eastAsia="Times New Roman" w:hAnsi="Times New Roman" w:cs="Times New Roman"/>
      <w:sz w:val="24"/>
      <w:szCs w:val="20"/>
    </w:rPr>
  </w:style>
  <w:style w:type="paragraph" w:customStyle="1" w:styleId="NoteHead">
    <w:name w:val="NoteHead"/>
    <w:basedOn w:val="Normal"/>
    <w:next w:val="Subject"/>
    <w:semiHidden/>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semiHidden/>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semiHidden/>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customStyle="1" w:styleId="YReferences">
    <w:name w:val="YReferences"/>
    <w:basedOn w:val="Normal"/>
    <w:next w:val="Normal"/>
    <w:semiHidden/>
    <w:pPr>
      <w:spacing w:after="480" w:line="240" w:lineRule="auto"/>
      <w:ind w:left="1531" w:hanging="1531"/>
      <w:jc w:val="both"/>
    </w:pPr>
    <w:rPr>
      <w:rFonts w:ascii="Times New Roman" w:eastAsia="Times New Roman" w:hAnsi="Times New Roman" w:cs="Times New Roman"/>
      <w:sz w:val="24"/>
      <w:szCs w:val="20"/>
    </w:rPr>
  </w:style>
  <w:style w:type="paragraph" w:customStyle="1" w:styleId="DisclaimerNotice">
    <w:name w:val="Disclaimer Notice"/>
    <w:basedOn w:val="Normal"/>
    <w:next w:val="AddressTR"/>
    <w:semiHidden/>
    <w:pPr>
      <w:spacing w:after="240" w:line="240" w:lineRule="auto"/>
      <w:ind w:left="5103"/>
    </w:pPr>
    <w:rPr>
      <w:rFonts w:ascii="Times New Roman" w:eastAsia="Times New Roman" w:hAnsi="Times New Roman" w:cs="Times New Roman"/>
      <w:i/>
      <w:sz w:val="20"/>
      <w:szCs w:val="20"/>
    </w:rPr>
  </w:style>
  <w:style w:type="paragraph" w:customStyle="1" w:styleId="DisclaimerSJ">
    <w:name w:val="Disclaimer_SJ"/>
    <w:basedOn w:val="Normal"/>
    <w:next w:val="Normal"/>
    <w:semiHidden/>
    <w:pPr>
      <w:spacing w:after="0" w:line="240" w:lineRule="auto"/>
      <w:jc w:val="both"/>
    </w:pPr>
    <w:rPr>
      <w:rFonts w:ascii="Arial" w:eastAsia="Times New Roman" w:hAnsi="Arial" w:cs="Times New Roman"/>
      <w:b/>
      <w:sz w:val="16"/>
      <w:szCs w:val="20"/>
    </w:rPr>
  </w:style>
  <w:style w:type="paragraph" w:customStyle="1" w:styleId="Designator">
    <w:name w:val="Designator"/>
    <w:basedOn w:val="Normal"/>
    <w:semiHidden/>
    <w:pPr>
      <w:spacing w:after="0" w:line="240" w:lineRule="auto"/>
      <w:jc w:val="center"/>
    </w:pPr>
    <w:rPr>
      <w:rFonts w:ascii="Times New Roman" w:eastAsia="Times New Roman" w:hAnsi="Times New Roman" w:cs="Times New Roman"/>
      <w:b/>
      <w:caps/>
      <w:sz w:val="32"/>
      <w:szCs w:val="20"/>
    </w:rPr>
  </w:style>
  <w:style w:type="paragraph" w:customStyle="1" w:styleId="Releasable">
    <w:name w:val="Releasable"/>
    <w:basedOn w:val="Normal"/>
    <w:semiHidden/>
    <w:qFormat/>
    <w:pPr>
      <w:spacing w:after="0" w:line="240" w:lineRule="auto"/>
      <w:jc w:val="center"/>
    </w:pPr>
    <w:rPr>
      <w:rFonts w:ascii="Times New Roman" w:eastAsia="Times New Roman" w:hAnsi="Times New Roman" w:cs="Times New Roman"/>
      <w:b/>
      <w:caps/>
      <w:sz w:val="32"/>
      <w:szCs w:val="20"/>
    </w:rPr>
  </w:style>
  <w:style w:type="paragraph" w:customStyle="1" w:styleId="RUE">
    <w:name w:val="RUE"/>
    <w:basedOn w:val="Normal"/>
    <w:semiHidden/>
    <w:pPr>
      <w:spacing w:after="0" w:line="240" w:lineRule="auto"/>
      <w:jc w:val="center"/>
    </w:pPr>
    <w:rPr>
      <w:rFonts w:ascii="Times New Roman" w:eastAsia="Times New Roman" w:hAnsi="Times New Roman" w:cs="Times New Roman"/>
      <w:b/>
      <w:caps/>
      <w:sz w:val="32"/>
      <w:szCs w:val="20"/>
      <w:bdr w:val="single" w:sz="18" w:space="0" w:color="auto"/>
    </w:rPr>
  </w:style>
  <w:style w:type="paragraph" w:customStyle="1" w:styleId="ConfidentialUE">
    <w:name w:val="Confidential UE"/>
    <w:basedOn w:val="Normal"/>
    <w:semiHidden/>
    <w:pPr>
      <w:spacing w:after="0" w:line="240" w:lineRule="auto"/>
      <w:jc w:val="center"/>
    </w:pPr>
    <w:rPr>
      <w:rFonts w:ascii="Times New Roman" w:eastAsia="Times New Roman" w:hAnsi="Times New Roman" w:cs="Times New Roman"/>
      <w:b/>
      <w:caps/>
      <w:sz w:val="32"/>
      <w:szCs w:val="20"/>
      <w:bdr w:val="single" w:sz="18" w:space="0" w:color="auto"/>
    </w:rPr>
  </w:style>
  <w:style w:type="paragraph" w:customStyle="1" w:styleId="TrsSecretUE">
    <w:name w:val="Très Secret UE"/>
    <w:basedOn w:val="Normal"/>
    <w:semiHidden/>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SecretUE">
    <w:name w:val="Secret UE"/>
    <w:basedOn w:val="Normal"/>
    <w:semiHidden/>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Style10">
    <w:name w:val="Style 1"/>
    <w:basedOn w:val="Normal"/>
    <w:semiHidden/>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ADPPuce1">
    <w:name w:val="ADP Puce 1"/>
    <w:basedOn w:val="Normal"/>
    <w:semiHidden/>
    <w:pPr>
      <w:numPr>
        <w:numId w:val="26"/>
      </w:numPr>
      <w:spacing w:after="0" w:line="240" w:lineRule="auto"/>
      <w:jc w:val="both"/>
    </w:pPr>
    <w:rPr>
      <w:rFonts w:ascii="Arial" w:eastAsia="Times New Roman" w:hAnsi="Arial" w:cs="Times New Roman"/>
      <w:sz w:val="20"/>
      <w:szCs w:val="24"/>
    </w:rPr>
  </w:style>
  <w:style w:type="table" w:customStyle="1" w:styleId="TableGrid21">
    <w:name w:val="Table Grid21"/>
    <w:basedOn w:val="TableNormal"/>
    <w:next w:val="TableGrid"/>
    <w:uiPriority w:val="59"/>
    <w:pPr>
      <w:spacing w:after="12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pPr>
      <w:spacing w:after="0" w:line="240" w:lineRule="auto"/>
      <w:jc w:val="both"/>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11">
    <w:name w:val="Table Grid211"/>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pPr>
      <w:numPr>
        <w:numId w:val="27"/>
      </w:numPr>
    </w:pPr>
  </w:style>
  <w:style w:type="paragraph" w:customStyle="1" w:styleId="Annexetitreexposglobal">
    <w:name w:val="Annexe titre (exposé global)"/>
    <w:basedOn w:val="Normal"/>
    <w:next w:val="Normal"/>
    <w:semiHidden/>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fichefinacte">
    <w:name w:val="Annexe titre (fiche fin. acte)"/>
    <w:basedOn w:val="Normal"/>
    <w:next w:val="Normal"/>
    <w:semiHidden/>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fichefinglobale">
    <w:name w:val="Annexe titre (fiche fin. globale)"/>
    <w:basedOn w:val="Normal"/>
    <w:next w:val="Normal"/>
    <w:semiHidden/>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globale">
    <w:name w:val="Annexe titre (globale)"/>
    <w:basedOn w:val="Normal"/>
    <w:next w:val="Normal"/>
    <w:semiHidden/>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Exposdesmotifstitreglobal">
    <w:name w:val="Exposé des motifs titre (global)"/>
    <w:basedOn w:val="Normal"/>
    <w:next w:val="Normal"/>
    <w:semiHidden/>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Langueoriginale">
    <w:name w:val="Langue originale"/>
    <w:basedOn w:val="Normal"/>
    <w:next w:val="Phrasefinale"/>
    <w:semiHidden/>
    <w:pPr>
      <w:spacing w:before="360" w:after="120" w:line="240" w:lineRule="auto"/>
      <w:jc w:val="center"/>
    </w:pPr>
    <w:rPr>
      <w:rFonts w:ascii="Times New Roman" w:eastAsia="Times New Roman" w:hAnsi="Times New Roman" w:cs="Times New Roman"/>
      <w:caps/>
      <w:sz w:val="24"/>
      <w:szCs w:val="24"/>
      <w:lang w:eastAsia="de-DE"/>
    </w:rPr>
  </w:style>
  <w:style w:type="paragraph" w:customStyle="1" w:styleId="Phrasefinale">
    <w:name w:val="Phrase finale"/>
    <w:basedOn w:val="Normal"/>
    <w:next w:val="Normal"/>
    <w:semiHidden/>
    <w:pPr>
      <w:spacing w:before="360" w:after="0" w:line="240" w:lineRule="auto"/>
      <w:jc w:val="center"/>
    </w:pPr>
    <w:rPr>
      <w:rFonts w:ascii="Times New Roman" w:eastAsia="Times New Roman" w:hAnsi="Times New Roman" w:cs="Times New Roman"/>
      <w:sz w:val="24"/>
      <w:szCs w:val="24"/>
      <w:lang w:eastAsia="de-DE"/>
    </w:rPr>
  </w:style>
  <w:style w:type="paragraph" w:customStyle="1" w:styleId="Fichefinancirestandardtitre">
    <w:name w:val="Fiche financière (standard) titre"/>
    <w:basedOn w:val="Normal"/>
    <w:next w:val="Normal"/>
    <w:semiHidden/>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standardtitreacte">
    <w:name w:val="Fiche financière (standard) titre (acte)"/>
    <w:basedOn w:val="Normal"/>
    <w:next w:val="Normal"/>
    <w:semiHidden/>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travailtitre">
    <w:name w:val="Fiche financière (travail) titre"/>
    <w:basedOn w:val="Normal"/>
    <w:next w:val="Normal"/>
    <w:semiHidden/>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travailtitreacte">
    <w:name w:val="Fiche financière (travail) titre (acte)"/>
    <w:basedOn w:val="Normal"/>
    <w:next w:val="Normal"/>
    <w:semiHidden/>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attributiontitre">
    <w:name w:val="Fiche financière (attribution) titre"/>
    <w:basedOn w:val="Normal"/>
    <w:next w:val="Normal"/>
    <w:semiHidden/>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attributiontitreacte">
    <w:name w:val="Fiche financière (attribution) titre (acte)"/>
    <w:basedOn w:val="Normal"/>
    <w:next w:val="Normal"/>
    <w:semiHidden/>
    <w:pPr>
      <w:spacing w:before="120" w:after="120" w:line="240" w:lineRule="auto"/>
      <w:jc w:val="center"/>
    </w:pPr>
    <w:rPr>
      <w:rFonts w:ascii="Times New Roman" w:eastAsia="Times New Roman" w:hAnsi="Times New Roman" w:cs="Times New Roman"/>
      <w:b/>
      <w:sz w:val="24"/>
      <w:szCs w:val="24"/>
      <w:u w:val="single"/>
      <w:lang w:eastAsia="de-DE"/>
    </w:rPr>
  </w:style>
  <w:style w:type="character" w:customStyle="1" w:styleId="titlebold1">
    <w:name w:val="titlebold1"/>
    <w:semiHidden/>
    <w:rPr>
      <w:rFonts w:ascii="Tahoma" w:hAnsi="Tahoma" w:cs="Tahoma" w:hint="default"/>
      <w:b/>
      <w:bCs/>
      <w:noProof w:val="0"/>
      <w:color w:val="006699"/>
      <w:sz w:val="24"/>
      <w:szCs w:val="24"/>
      <w:lang w:val="en-GB"/>
    </w:rPr>
  </w:style>
  <w:style w:type="character" w:customStyle="1" w:styleId="numerique2">
    <w:name w:val="numerique2"/>
    <w:semiHidden/>
    <w:rPr>
      <w:noProof w:val="0"/>
      <w:lang w:val="en-GB"/>
    </w:rPr>
  </w:style>
  <w:style w:type="character" w:customStyle="1" w:styleId="alpha2">
    <w:name w:val="alpha2"/>
    <w:semiHidden/>
    <w:rPr>
      <w:noProof w:val="0"/>
      <w:lang w:val="en-GB"/>
    </w:rPr>
  </w:style>
  <w:style w:type="paragraph" w:customStyle="1" w:styleId="CM4">
    <w:name w:val="CM4"/>
    <w:basedOn w:val="Default"/>
    <w:next w:val="Default"/>
    <w:uiPriority w:val="99"/>
    <w:semiHidden/>
    <w:rPr>
      <w:rFonts w:ascii="Times New Roman" w:eastAsia="Times New Roman" w:hAnsi="Times New Roman" w:cs="Times New Roman"/>
      <w:color w:val="auto"/>
      <w:lang w:eastAsia="en-GB"/>
    </w:rPr>
  </w:style>
  <w:style w:type="paragraph" w:customStyle="1" w:styleId="Para2">
    <w:name w:val="Para_2"/>
    <w:basedOn w:val="Normal"/>
    <w:link w:val="Para2Char1"/>
    <w:semiHidden/>
    <w:pPr>
      <w:numPr>
        <w:ilvl w:val="1"/>
        <w:numId w:val="28"/>
      </w:numPr>
      <w:spacing w:after="240" w:line="360" w:lineRule="auto"/>
    </w:pPr>
    <w:rPr>
      <w:rFonts w:ascii="Arial" w:eastAsia="Times New Roman" w:hAnsi="Arial" w:cs="Times New Roman"/>
      <w:sz w:val="24"/>
      <w:szCs w:val="20"/>
    </w:rPr>
  </w:style>
  <w:style w:type="paragraph" w:customStyle="1" w:styleId="Para3">
    <w:name w:val="Para_3"/>
    <w:basedOn w:val="Normal"/>
    <w:semiHidden/>
    <w:pPr>
      <w:numPr>
        <w:ilvl w:val="2"/>
        <w:numId w:val="28"/>
      </w:numPr>
      <w:tabs>
        <w:tab w:val="left" w:pos="992"/>
      </w:tabs>
      <w:spacing w:after="240" w:line="360" w:lineRule="auto"/>
    </w:pPr>
    <w:rPr>
      <w:rFonts w:ascii="Arial" w:eastAsia="Times New Roman" w:hAnsi="Arial" w:cs="Times New Roman"/>
      <w:sz w:val="24"/>
      <w:szCs w:val="20"/>
    </w:rPr>
  </w:style>
  <w:style w:type="paragraph" w:customStyle="1" w:styleId="Para4">
    <w:name w:val="Para_4"/>
    <w:basedOn w:val="Normal"/>
    <w:semiHidden/>
    <w:pPr>
      <w:numPr>
        <w:ilvl w:val="3"/>
        <w:numId w:val="28"/>
      </w:numPr>
      <w:spacing w:after="240" w:line="360" w:lineRule="auto"/>
    </w:pPr>
    <w:rPr>
      <w:rFonts w:ascii="Arial" w:eastAsia="Times New Roman" w:hAnsi="Arial" w:cs="Times New Roman"/>
      <w:sz w:val="24"/>
      <w:szCs w:val="20"/>
    </w:rPr>
  </w:style>
  <w:style w:type="paragraph" w:customStyle="1" w:styleId="Para5">
    <w:name w:val="Para_5"/>
    <w:basedOn w:val="Normal"/>
    <w:semiHidden/>
    <w:pPr>
      <w:numPr>
        <w:ilvl w:val="4"/>
        <w:numId w:val="28"/>
      </w:numPr>
      <w:tabs>
        <w:tab w:val="left" w:pos="567"/>
      </w:tabs>
      <w:spacing w:after="240" w:line="360" w:lineRule="auto"/>
    </w:pPr>
    <w:rPr>
      <w:rFonts w:ascii="Arial" w:eastAsia="Times New Roman" w:hAnsi="Arial" w:cs="Times New Roman"/>
      <w:sz w:val="24"/>
      <w:szCs w:val="20"/>
    </w:rPr>
  </w:style>
  <w:style w:type="character" w:customStyle="1" w:styleId="Para2Char1">
    <w:name w:val="Para_2 Char1"/>
    <w:link w:val="Para2"/>
    <w:semiHidden/>
    <w:rPr>
      <w:rFonts w:ascii="Arial" w:eastAsia="Times New Roman" w:hAnsi="Arial" w:cs="Times New Roman"/>
      <w:sz w:val="24"/>
      <w:szCs w:val="20"/>
    </w:rPr>
  </w:style>
  <w:style w:type="paragraph" w:customStyle="1" w:styleId="Textstand-alone">
    <w:name w:val="Text_stand-alone"/>
    <w:basedOn w:val="Normal"/>
    <w:semiHidden/>
    <w:qFormat/>
    <w:pPr>
      <w:spacing w:before="240" w:after="240" w:line="240" w:lineRule="auto"/>
      <w:jc w:val="both"/>
    </w:pPr>
    <w:rPr>
      <w:rFonts w:ascii="Verdana" w:eastAsia="Times New Roman" w:hAnsi="Verdana" w:cs="Times New Roman"/>
      <w:sz w:val="18"/>
      <w:szCs w:val="18"/>
    </w:rPr>
  </w:style>
  <w:style w:type="paragraph" w:customStyle="1" w:styleId="TableText0">
    <w:name w:val="TableText"/>
    <w:basedOn w:val="Normal"/>
    <w:semiHidden/>
    <w:pPr>
      <w:keepNext/>
      <w:spacing w:before="60" w:after="60" w:line="240" w:lineRule="auto"/>
      <w:ind w:left="10"/>
    </w:pPr>
    <w:rPr>
      <w:rFonts w:ascii="Arial" w:hAnsi="Arial" w:cs="Arial"/>
      <w:sz w:val="16"/>
      <w:szCs w:val="16"/>
    </w:rPr>
  </w:style>
  <w:style w:type="numbering" w:customStyle="1" w:styleId="NoList4">
    <w:name w:val="No List4"/>
    <w:next w:val="NoList"/>
    <w:uiPriority w:val="99"/>
    <w:semiHidden/>
    <w:unhideWhenUsed/>
  </w:style>
  <w:style w:type="table" w:customStyle="1" w:styleId="TableGrid5">
    <w:name w:val="Table Grid5"/>
    <w:basedOn w:val="TableNormal"/>
    <w:next w:val="TableGrid"/>
    <w:uiPriority w:val="59"/>
    <w:pPr>
      <w:spacing w:after="12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
    <w:name w:val="Table Elegant1"/>
    <w:basedOn w:val="TableNormal"/>
    <w:next w:val="TableElegant"/>
    <w:pPr>
      <w:spacing w:after="0" w:line="240" w:lineRule="auto"/>
      <w:jc w:val="both"/>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1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style>
  <w:style w:type="paragraph" w:customStyle="1" w:styleId="Declassification">
    <w:name w:val="Declassification"/>
    <w:basedOn w:val="Normal"/>
    <w:next w:val="Normal"/>
    <w:semiHidden/>
    <w:pPr>
      <w:spacing w:after="0" w:line="240" w:lineRule="auto"/>
      <w:jc w:val="both"/>
    </w:pPr>
    <w:rPr>
      <w:rFonts w:ascii="Times New Roman" w:hAnsi="Times New Roman" w:cs="Times New Roman"/>
      <w:sz w:val="24"/>
    </w:rPr>
  </w:style>
  <w:style w:type="character" w:customStyle="1" w:styleId="tgc">
    <w:name w:val="_tgc"/>
    <w:semiHidden/>
    <w:rPr>
      <w:noProof w:val="0"/>
      <w:lang w:val="en-GB"/>
    </w:rPr>
  </w:style>
  <w:style w:type="numbering" w:customStyle="1" w:styleId="NoList5">
    <w:name w:val="No List5"/>
    <w:next w:val="NoList"/>
    <w:uiPriority w:val="99"/>
    <w:semiHidden/>
    <w:unhideWhenUsed/>
  </w:style>
  <w:style w:type="table" w:customStyle="1" w:styleId="TableGrid6">
    <w:name w:val="Table Grid6"/>
    <w:basedOn w:val="TableNormal"/>
    <w:next w:val="TableGrid"/>
    <w:uiPriority w:val="59"/>
    <w:pPr>
      <w:spacing w:after="12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
    <w:name w:val="Table Elegant2"/>
    <w:basedOn w:val="TableNormal"/>
    <w:next w:val="TableElegant"/>
    <w:pPr>
      <w:spacing w:after="0" w:line="240" w:lineRule="auto"/>
      <w:jc w:val="both"/>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
    <w:name w:val="Table Grid1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style>
  <w:style w:type="paragraph" w:customStyle="1" w:styleId="AMPRINDICATOR">
    <w:name w:val="AMPRINDICATOR"/>
    <w:basedOn w:val="AMPRText"/>
    <w:link w:val="AMPRINDICATORChar"/>
    <w:semiHidden/>
    <w:qFormat/>
    <w:rPr>
      <w:rFonts w:ascii="Arial" w:eastAsia="Calibri" w:hAnsi="Arial"/>
      <w:color w:val="FFFFFF"/>
    </w:rPr>
  </w:style>
  <w:style w:type="character" w:customStyle="1" w:styleId="AMPRINDICATORChar">
    <w:name w:val="AMPRINDICATOR Char"/>
    <w:basedOn w:val="AMPRTextChar"/>
    <w:link w:val="AMPRINDICATOR"/>
    <w:semiHidden/>
    <w:rPr>
      <w:rFonts w:ascii="Arial" w:eastAsia="Calibri" w:hAnsi="Arial" w:cs="Times New Roman"/>
      <w:color w:val="FFFFFF"/>
      <w:sz w:val="19"/>
      <w:szCs w:val="24"/>
      <w:lang w:eastAsia="en-GB"/>
    </w:rPr>
  </w:style>
  <w:style w:type="paragraph" w:customStyle="1" w:styleId="AMPRRUNNINGKLEIN">
    <w:name w:val="AMPRRUNNINGKLEIN"/>
    <w:basedOn w:val="AMPRRunningTitle"/>
    <w:link w:val="AMPRRUNNINGKLEINChar"/>
    <w:semiHidden/>
    <w:qFormat/>
    <w:rPr>
      <w:rFonts w:ascii="Verdana" w:hAnsi="Verdana"/>
      <w:color w:val="0070C0"/>
    </w:rPr>
  </w:style>
  <w:style w:type="character" w:customStyle="1" w:styleId="AMPRRUNNINGKLEINChar">
    <w:name w:val="AMPRRUNNINGKLEIN Char"/>
    <w:basedOn w:val="AMPRRunningTitleChar"/>
    <w:link w:val="AMPRRUNNINGKLEIN"/>
    <w:semiHidden/>
    <w:rPr>
      <w:rFonts w:ascii="Verdana" w:eastAsia="Times New Roman" w:hAnsi="Verdana" w:cs="Arial"/>
      <w:b/>
      <w:color w:val="0070C0"/>
      <w:sz w:val="20"/>
      <w:szCs w:val="24"/>
      <w:lang w:eastAsia="en-GB"/>
    </w:rPr>
  </w:style>
  <w:style w:type="character" w:customStyle="1" w:styleId="Bodytext20">
    <w:name w:val="Body text (2)_"/>
    <w:basedOn w:val="DefaultParagraphFont"/>
    <w:semiHidden/>
    <w:rPr>
      <w:rFonts w:ascii="Arial" w:eastAsia="Arial" w:hAnsi="Arial" w:cs="Arial"/>
      <w:b w:val="0"/>
      <w:bCs w:val="0"/>
      <w:i w:val="0"/>
      <w:iCs w:val="0"/>
      <w:smallCaps w:val="0"/>
      <w:strike w:val="0"/>
      <w:noProof w:val="0"/>
      <w:sz w:val="17"/>
      <w:szCs w:val="17"/>
      <w:u w:val="none"/>
      <w:lang w:val="en-GB"/>
    </w:rPr>
  </w:style>
  <w:style w:type="character" w:customStyle="1" w:styleId="Bodytext21">
    <w:name w:val="Body text (2)"/>
    <w:basedOn w:val="Bodytext20"/>
    <w:semiHidden/>
    <w:rPr>
      <w:rFonts w:ascii="Arial" w:eastAsia="Arial" w:hAnsi="Arial" w:cs="Arial"/>
      <w:b w:val="0"/>
      <w:bCs w:val="0"/>
      <w:i w:val="0"/>
      <w:iCs w:val="0"/>
      <w:smallCaps w:val="0"/>
      <w:strike w:val="0"/>
      <w:noProof w:val="0"/>
      <w:color w:val="7F7F7F"/>
      <w:spacing w:val="0"/>
      <w:w w:val="100"/>
      <w:position w:val="0"/>
      <w:sz w:val="17"/>
      <w:szCs w:val="17"/>
      <w:u w:val="none"/>
      <w:lang w:val="en-GB" w:eastAsia="en-US" w:bidi="en-US"/>
    </w:rPr>
  </w:style>
  <w:style w:type="character" w:customStyle="1" w:styleId="Bodytext2Bold">
    <w:name w:val="Body text (2) + Bold"/>
    <w:basedOn w:val="Bodytext20"/>
    <w:semiHidden/>
    <w:rPr>
      <w:rFonts w:ascii="Arial" w:eastAsia="Arial" w:hAnsi="Arial" w:cs="Arial"/>
      <w:b/>
      <w:bCs/>
      <w:i w:val="0"/>
      <w:iCs w:val="0"/>
      <w:smallCaps w:val="0"/>
      <w:strike w:val="0"/>
      <w:noProof w:val="0"/>
      <w:color w:val="0070C0"/>
      <w:spacing w:val="0"/>
      <w:w w:val="100"/>
      <w:position w:val="0"/>
      <w:sz w:val="17"/>
      <w:szCs w:val="17"/>
      <w:u w:val="none"/>
      <w:lang w:val="en-GB" w:eastAsia="en-US" w:bidi="en-US"/>
    </w:rPr>
  </w:style>
  <w:style w:type="character" w:customStyle="1" w:styleId="Tablecaption">
    <w:name w:val="Table caption_"/>
    <w:basedOn w:val="DefaultParagraphFont"/>
    <w:semiHidden/>
    <w:rPr>
      <w:rFonts w:ascii="Arial" w:eastAsia="Arial" w:hAnsi="Arial" w:cs="Arial"/>
      <w:b w:val="0"/>
      <w:bCs w:val="0"/>
      <w:i/>
      <w:iCs/>
      <w:smallCaps w:val="0"/>
      <w:strike w:val="0"/>
      <w:noProof w:val="0"/>
      <w:sz w:val="14"/>
      <w:szCs w:val="14"/>
      <w:u w:val="none"/>
      <w:lang w:val="en-GB"/>
    </w:rPr>
  </w:style>
  <w:style w:type="character" w:customStyle="1" w:styleId="Tablecaption0">
    <w:name w:val="Table caption"/>
    <w:basedOn w:val="Tablecaption"/>
    <w:semiHidden/>
    <w:rPr>
      <w:rFonts w:ascii="Arial" w:eastAsia="Arial" w:hAnsi="Arial" w:cs="Arial"/>
      <w:b w:val="0"/>
      <w:bCs w:val="0"/>
      <w:i/>
      <w:iCs/>
      <w:smallCaps w:val="0"/>
      <w:strike w:val="0"/>
      <w:noProof w:val="0"/>
      <w:color w:val="7F7F7F"/>
      <w:spacing w:val="0"/>
      <w:w w:val="100"/>
      <w:position w:val="0"/>
      <w:sz w:val="14"/>
      <w:szCs w:val="14"/>
      <w:u w:val="none"/>
      <w:lang w:val="en-GB" w:eastAsia="en-US" w:bidi="en-US"/>
    </w:rPr>
  </w:style>
  <w:style w:type="character" w:customStyle="1" w:styleId="Tablecaption65ptNotItalic">
    <w:name w:val="Table caption + 6.5 pt;Not Italic"/>
    <w:basedOn w:val="Tablecaption"/>
    <w:semiHidden/>
    <w:rPr>
      <w:rFonts w:ascii="Arial" w:eastAsia="Arial" w:hAnsi="Arial" w:cs="Arial"/>
      <w:b w:val="0"/>
      <w:bCs w:val="0"/>
      <w:i/>
      <w:iCs/>
      <w:smallCaps w:val="0"/>
      <w:strike w:val="0"/>
      <w:noProof w:val="0"/>
      <w:color w:val="7F7F7F"/>
      <w:spacing w:val="0"/>
      <w:w w:val="100"/>
      <w:position w:val="0"/>
      <w:sz w:val="13"/>
      <w:szCs w:val="13"/>
      <w:u w:val="none"/>
      <w:lang w:val="en-GB" w:eastAsia="en-US" w:bidi="en-US"/>
    </w:rPr>
  </w:style>
  <w:style w:type="character" w:customStyle="1" w:styleId="Bodytext30">
    <w:name w:val="Body text (3)_"/>
    <w:basedOn w:val="DefaultParagraphFont"/>
    <w:semiHidden/>
    <w:rPr>
      <w:rFonts w:ascii="Arial" w:eastAsia="Arial" w:hAnsi="Arial" w:cs="Arial"/>
      <w:b/>
      <w:bCs/>
      <w:i w:val="0"/>
      <w:iCs w:val="0"/>
      <w:smallCaps w:val="0"/>
      <w:strike w:val="0"/>
      <w:noProof w:val="0"/>
      <w:sz w:val="17"/>
      <w:szCs w:val="17"/>
      <w:u w:val="none"/>
      <w:lang w:val="en-GB"/>
    </w:rPr>
  </w:style>
  <w:style w:type="character" w:customStyle="1" w:styleId="Bodytext3NotBold">
    <w:name w:val="Body text (3) + Not Bold"/>
    <w:basedOn w:val="Bodytext30"/>
    <w:semiHidden/>
    <w:rPr>
      <w:rFonts w:ascii="Arial" w:eastAsia="Arial" w:hAnsi="Arial" w:cs="Arial"/>
      <w:b/>
      <w:bCs/>
      <w:i w:val="0"/>
      <w:iCs w:val="0"/>
      <w:smallCaps w:val="0"/>
      <w:strike w:val="0"/>
      <w:noProof w:val="0"/>
      <w:color w:val="7F7F7F"/>
      <w:spacing w:val="0"/>
      <w:w w:val="100"/>
      <w:position w:val="0"/>
      <w:sz w:val="17"/>
      <w:szCs w:val="17"/>
      <w:u w:val="none"/>
      <w:lang w:val="en-GB" w:eastAsia="en-US" w:bidi="en-US"/>
    </w:rPr>
  </w:style>
  <w:style w:type="character" w:customStyle="1" w:styleId="Bodytext31">
    <w:name w:val="Body text (3)"/>
    <w:basedOn w:val="Bodytext30"/>
    <w:semiHidden/>
    <w:rPr>
      <w:rFonts w:ascii="Arial" w:eastAsia="Arial" w:hAnsi="Arial" w:cs="Arial"/>
      <w:b/>
      <w:bCs/>
      <w:i w:val="0"/>
      <w:iCs w:val="0"/>
      <w:smallCaps w:val="0"/>
      <w:strike w:val="0"/>
      <w:noProof w:val="0"/>
      <w:color w:val="0070C0"/>
      <w:spacing w:val="0"/>
      <w:w w:val="100"/>
      <w:position w:val="0"/>
      <w:sz w:val="17"/>
      <w:szCs w:val="17"/>
      <w:u w:val="none"/>
      <w:lang w:val="en-GB" w:eastAsia="en-US" w:bidi="en-US"/>
    </w:rPr>
  </w:style>
  <w:style w:type="character" w:customStyle="1" w:styleId="Heading30">
    <w:name w:val="Heading #3_"/>
    <w:basedOn w:val="DefaultParagraphFont"/>
    <w:semiHidden/>
    <w:rPr>
      <w:rFonts w:ascii="Arial" w:eastAsia="Arial" w:hAnsi="Arial" w:cs="Arial"/>
      <w:b/>
      <w:bCs/>
      <w:i w:val="0"/>
      <w:iCs w:val="0"/>
      <w:smallCaps w:val="0"/>
      <w:strike w:val="0"/>
      <w:noProof w:val="0"/>
      <w:sz w:val="17"/>
      <w:szCs w:val="17"/>
      <w:u w:val="none"/>
      <w:lang w:val="en-GB"/>
    </w:rPr>
  </w:style>
  <w:style w:type="character" w:customStyle="1" w:styleId="Heading31">
    <w:name w:val="Heading #3"/>
    <w:basedOn w:val="Heading30"/>
    <w:semiHidden/>
    <w:rPr>
      <w:rFonts w:ascii="Arial" w:eastAsia="Arial" w:hAnsi="Arial" w:cs="Arial"/>
      <w:b/>
      <w:bCs/>
      <w:i w:val="0"/>
      <w:iCs w:val="0"/>
      <w:smallCaps w:val="0"/>
      <w:strike w:val="0"/>
      <w:noProof w:val="0"/>
      <w:color w:val="0070C0"/>
      <w:spacing w:val="0"/>
      <w:w w:val="100"/>
      <w:position w:val="0"/>
      <w:sz w:val="17"/>
      <w:szCs w:val="17"/>
      <w:u w:val="none"/>
      <w:lang w:val="en-GB" w:eastAsia="en-US" w:bidi="en-US"/>
    </w:rPr>
  </w:style>
  <w:style w:type="character" w:customStyle="1" w:styleId="Heading3NotBold">
    <w:name w:val="Heading #3 + Not Bold"/>
    <w:basedOn w:val="Heading30"/>
    <w:semiHidden/>
    <w:rPr>
      <w:rFonts w:ascii="Arial" w:eastAsia="Arial" w:hAnsi="Arial" w:cs="Arial"/>
      <w:b/>
      <w:bCs/>
      <w:i w:val="0"/>
      <w:iCs w:val="0"/>
      <w:smallCaps w:val="0"/>
      <w:strike w:val="0"/>
      <w:noProof w:val="0"/>
      <w:color w:val="7F7F7F"/>
      <w:spacing w:val="0"/>
      <w:w w:val="100"/>
      <w:position w:val="0"/>
      <w:sz w:val="17"/>
      <w:szCs w:val="17"/>
      <w:u w:val="none"/>
      <w:lang w:val="en-GB" w:eastAsia="en-US" w:bidi="en-US"/>
    </w:rPr>
  </w:style>
  <w:style w:type="character" w:customStyle="1" w:styleId="Bodytext2Italic">
    <w:name w:val="Body text (2) + Italic"/>
    <w:basedOn w:val="Bodytext20"/>
    <w:semiHidden/>
    <w:rPr>
      <w:rFonts w:ascii="Arial" w:eastAsia="Arial" w:hAnsi="Arial" w:cs="Arial"/>
      <w:b w:val="0"/>
      <w:bCs w:val="0"/>
      <w:i/>
      <w:iCs/>
      <w:smallCaps w:val="0"/>
      <w:strike w:val="0"/>
      <w:noProof w:val="0"/>
      <w:color w:val="7F7F7F"/>
      <w:spacing w:val="0"/>
      <w:w w:val="100"/>
      <w:position w:val="0"/>
      <w:sz w:val="17"/>
      <w:szCs w:val="17"/>
      <w:u w:val="none"/>
      <w:lang w:val="en-GB" w:eastAsia="en-US" w:bidi="en-US"/>
    </w:rPr>
  </w:style>
  <w:style w:type="character" w:customStyle="1" w:styleId="highlight">
    <w:name w:val="highlight"/>
    <w:basedOn w:val="DefaultParagraphFont"/>
    <w:semiHidden/>
    <w:rPr>
      <w:noProof w:val="0"/>
      <w:lang w:val="en-GB"/>
    </w:rPr>
  </w:style>
  <w:style w:type="paragraph" w:customStyle="1" w:styleId="AMPRTabletext-source">
    <w:name w:val="AMPR Table text - source"/>
    <w:semiHidden/>
    <w:pPr>
      <w:spacing w:after="0" w:line="240" w:lineRule="auto"/>
    </w:pPr>
    <w:rPr>
      <w:rFonts w:ascii="EC Square Sans Pro" w:eastAsia="Times New Roman" w:hAnsi="EC Square Sans Pro" w:cs="Times New Roman"/>
      <w:color w:val="000000"/>
      <w:sz w:val="18"/>
      <w:szCs w:val="18"/>
      <w:lang w:eastAsia="en-GB"/>
    </w:rPr>
  </w:style>
  <w:style w:type="character" w:customStyle="1" w:styleId="hyperlinkunderlined">
    <w:name w:val="hyperlink underlined"/>
    <w:uiPriority w:val="1"/>
    <w:semiHidden/>
    <w:rPr>
      <w:noProof w:val="0"/>
      <w:u w:val="single"/>
      <w:lang w:val="en-GB"/>
    </w:rPr>
  </w:style>
  <w:style w:type="character" w:customStyle="1" w:styleId="italics">
    <w:name w:val="italics"/>
    <w:uiPriority w:val="1"/>
    <w:semiHidden/>
    <w:rPr>
      <w:i/>
      <w:noProof w:val="0"/>
      <w:lang w:val="en-GB"/>
    </w:rPr>
  </w:style>
  <w:style w:type="paragraph" w:customStyle="1" w:styleId="AnnexTabletitle">
    <w:name w:val="Annex Table title"/>
    <w:semiHidden/>
    <w:pPr>
      <w:spacing w:before="240" w:after="120" w:line="26" w:lineRule="atLeast"/>
    </w:pPr>
    <w:rPr>
      <w:rFonts w:ascii="EC Square Sans Pro" w:hAnsi="EC Square Sans Pro" w:cs="Times New Roman"/>
      <w:b/>
      <w:sz w:val="20"/>
    </w:rPr>
  </w:style>
  <w:style w:type="paragraph" w:customStyle="1" w:styleId="BOX3BluedashedborderBluetext">
    <w:name w:val="BOX 3 / Blue dashed border / Blue text"/>
    <w:basedOn w:val="Normal"/>
    <w:semiHidden/>
    <w:pPr>
      <w:keepLines/>
      <w:pBdr>
        <w:top w:val="dashSmallGap" w:sz="12" w:space="1" w:color="65BBC8"/>
        <w:left w:val="dashSmallGap" w:sz="12" w:space="4" w:color="65BBC8"/>
        <w:bottom w:val="dashSmallGap" w:sz="12" w:space="1" w:color="65BBC8"/>
        <w:right w:val="dashSmallGap" w:sz="12" w:space="4" w:color="65BBC8"/>
      </w:pBdr>
      <w:spacing w:after="120" w:line="240" w:lineRule="auto"/>
      <w:jc w:val="both"/>
    </w:pPr>
    <w:rPr>
      <w:rFonts w:ascii="EC Square Sans Pro" w:hAnsi="EC Square Sans Pro" w:cs="Times New Roman"/>
      <w:color w:val="65BBC8"/>
      <w:sz w:val="20"/>
      <w:lang w:eastAsia="fr-BE"/>
    </w:rPr>
  </w:style>
  <w:style w:type="character" w:customStyle="1" w:styleId="fontsmall3">
    <w:name w:val="fontsmall3"/>
    <w:basedOn w:val="DefaultParagraphFont"/>
    <w:semiHidden/>
    <w:rPr>
      <w:noProof w:val="0"/>
      <w:sz w:val="16"/>
      <w:szCs w:val="16"/>
      <w:lang w:val="en-GB"/>
    </w:rPr>
  </w:style>
  <w:style w:type="character" w:customStyle="1" w:styleId="update">
    <w:name w:val="update"/>
    <w:basedOn w:val="DefaultParagraphFont"/>
    <w:semiHidden/>
    <w:rPr>
      <w:noProof w:val="0"/>
      <w:lang w:val="en-GB"/>
    </w:rPr>
  </w:style>
  <w:style w:type="character" w:customStyle="1" w:styleId="update1">
    <w:name w:val="update1"/>
    <w:basedOn w:val="DefaultParagraphFont"/>
    <w:semiHidden/>
    <w:rPr>
      <w:noProof w:val="0"/>
      <w:color w:val="006666"/>
      <w:lang w:val="en-GB"/>
    </w:rPr>
  </w:style>
  <w:style w:type="paragraph" w:customStyle="1" w:styleId="BOX2Orange-new">
    <w:name w:val="BOX 2 / Orange - new"/>
    <w:basedOn w:val="BOX2Blue"/>
    <w:semiHidden/>
    <w:pPr>
      <w:pBdr>
        <w:top w:val="single" w:sz="4" w:space="4" w:color="FCDC85"/>
        <w:left w:val="single" w:sz="4" w:space="4" w:color="FCDC85"/>
        <w:bottom w:val="single" w:sz="4" w:space="4" w:color="FCDC85"/>
        <w:right w:val="single" w:sz="4" w:space="4" w:color="FCDC85"/>
      </w:pBdr>
      <w:shd w:val="clear" w:color="auto" w:fill="FCDC85"/>
    </w:pPr>
  </w:style>
  <w:style w:type="paragraph" w:customStyle="1" w:styleId="BOX3BluedashedborderOrangetext">
    <w:name w:val="BOX 3 / Blue dashed border / Orange text"/>
    <w:basedOn w:val="BOX3BluedashedborderBluetext"/>
    <w:semiHidden/>
    <w:pPr>
      <w:pBdr>
        <w:top w:val="dashSmallGap" w:sz="12" w:space="1" w:color="E48C32"/>
        <w:left w:val="dashSmallGap" w:sz="12" w:space="4" w:color="E48C32"/>
        <w:bottom w:val="dashSmallGap" w:sz="12" w:space="1" w:color="E48C32"/>
        <w:right w:val="dashSmallGap" w:sz="12" w:space="4" w:color="E48C32"/>
      </w:pBdr>
    </w:pPr>
    <w:rPr>
      <w:color w:val="E48C32"/>
    </w:rPr>
  </w:style>
  <w:style w:type="paragraph" w:customStyle="1" w:styleId="Annex4-subheading2">
    <w:name w:val="Annex 4 - subheading 2"/>
    <w:basedOn w:val="BodyText"/>
    <w:semiHidden/>
    <w:pPr>
      <w:keepNext/>
      <w:spacing w:after="120"/>
      <w:jc w:val="left"/>
    </w:pPr>
    <w:rPr>
      <w:b/>
      <w:color w:val="E48C32"/>
    </w:rPr>
  </w:style>
  <w:style w:type="paragraph" w:customStyle="1" w:styleId="Annex4-H2">
    <w:name w:val="Annex 4 - H2"/>
    <w:basedOn w:val="Heading2Tonny"/>
    <w:semiHidden/>
    <w:rPr>
      <w:rFonts w:ascii="EC Square Sans Pro" w:hAnsi="EC Square Sans Pro" w:cs="Times New Roman"/>
      <w:bCs w:val="0"/>
      <w:iCs w:val="0"/>
      <w:color w:val="E48C32"/>
      <w:szCs w:val="24"/>
      <w:lang w:eastAsia="fr-BE"/>
    </w:rPr>
  </w:style>
  <w:style w:type="paragraph" w:customStyle="1" w:styleId="Annex4-H3">
    <w:name w:val="Annex 4 - H3"/>
    <w:basedOn w:val="Heading2Tonny"/>
    <w:semiHidden/>
    <w:pPr>
      <w:spacing w:after="240"/>
      <w:outlineLvl w:val="2"/>
    </w:pPr>
    <w:rPr>
      <w:rFonts w:ascii="EC Square Sans Pro" w:hAnsi="EC Square Sans Pro" w:cs="Times New Roman"/>
      <w:bCs w:val="0"/>
      <w:iCs w:val="0"/>
      <w:color w:val="E48C32"/>
      <w:szCs w:val="24"/>
      <w:lang w:eastAsia="fr-BE"/>
    </w:rPr>
  </w:style>
  <w:style w:type="paragraph" w:customStyle="1" w:styleId="Annex4-H4">
    <w:name w:val="Annex 4 - H4"/>
    <w:next w:val="BodyText1spaceafter"/>
    <w:semiHidden/>
    <w:pPr>
      <w:spacing w:before="240" w:after="240" w:line="240" w:lineRule="auto"/>
      <w:outlineLvl w:val="3"/>
    </w:pPr>
    <w:rPr>
      <w:rFonts w:ascii="EC Square Sans Pro" w:eastAsia="Malgun Gothic Semilight" w:hAnsi="EC Square Sans Pro" w:cs="Times New Roman"/>
      <w:b/>
      <w:color w:val="E48C32"/>
      <w:sz w:val="24"/>
      <w:szCs w:val="24"/>
    </w:rPr>
  </w:style>
  <w:style w:type="paragraph" w:customStyle="1" w:styleId="Annex1Tableseparator">
    <w:name w:val="Annex 1 Table separator"/>
    <w:semiHidden/>
    <w:pPr>
      <w:spacing w:after="320" w:line="240" w:lineRule="auto"/>
    </w:pPr>
    <w:rPr>
      <w:rFonts w:ascii="EC Square Sans Pro" w:hAnsi="EC Square Sans Pro" w:cs="Times New Roman"/>
      <w:sz w:val="20"/>
    </w:rPr>
  </w:style>
  <w:style w:type="paragraph" w:customStyle="1" w:styleId="LegalNumPar">
    <w:name w:val="LegalNumPar"/>
    <w:basedOn w:val="Normal"/>
    <w:semiHidden/>
    <w:pPr>
      <w:numPr>
        <w:numId w:val="29"/>
      </w:numPr>
      <w:tabs>
        <w:tab w:val="num" w:pos="360"/>
      </w:tabs>
      <w:spacing w:after="0" w:line="360" w:lineRule="auto"/>
      <w:ind w:left="0" w:firstLine="0"/>
    </w:pPr>
    <w:rPr>
      <w:rFonts w:ascii="EC Square Sans Pro" w:hAnsi="EC Square Sans Pro" w:cs="Times New Roman"/>
      <w:sz w:val="24"/>
    </w:rPr>
  </w:style>
  <w:style w:type="paragraph" w:customStyle="1" w:styleId="LegalNumPar2">
    <w:name w:val="LegalNumPar2"/>
    <w:basedOn w:val="Normal"/>
    <w:semiHidden/>
    <w:pPr>
      <w:numPr>
        <w:ilvl w:val="1"/>
        <w:numId w:val="29"/>
      </w:numPr>
      <w:tabs>
        <w:tab w:val="num" w:pos="360"/>
      </w:tabs>
      <w:spacing w:after="0" w:line="360" w:lineRule="auto"/>
      <w:ind w:left="0" w:firstLine="0"/>
    </w:pPr>
    <w:rPr>
      <w:rFonts w:ascii="EC Square Sans Pro" w:hAnsi="EC Square Sans Pro" w:cs="Times New Roman"/>
      <w:sz w:val="24"/>
    </w:rPr>
  </w:style>
  <w:style w:type="paragraph" w:customStyle="1" w:styleId="LegalNumPar3">
    <w:name w:val="LegalNumPar3"/>
    <w:basedOn w:val="Normal"/>
    <w:semiHidden/>
    <w:pPr>
      <w:numPr>
        <w:ilvl w:val="2"/>
        <w:numId w:val="29"/>
      </w:numPr>
      <w:tabs>
        <w:tab w:val="num" w:pos="360"/>
      </w:tabs>
      <w:spacing w:after="0" w:line="360" w:lineRule="auto"/>
      <w:ind w:left="0" w:firstLine="0"/>
    </w:pPr>
    <w:rPr>
      <w:rFonts w:ascii="EC Square Sans Pro" w:hAnsi="EC Square Sans Pro" w:cs="Times New Roman"/>
      <w:sz w:val="24"/>
    </w:rPr>
  </w:style>
  <w:style w:type="paragraph" w:styleId="Title">
    <w:name w:val="Title"/>
    <w:basedOn w:val="Normal"/>
    <w:next w:val="Normal"/>
    <w:link w:val="TitleChar"/>
    <w:pPr>
      <w:spacing w:after="0" w:line="240" w:lineRule="auto"/>
      <w:contextualSpacing/>
    </w:pPr>
    <w:rPr>
      <w:rFonts w:ascii="EC Square Sans Pro" w:eastAsia="Malgun Gothic Semilight" w:hAnsi="EC Square Sans Pro" w:cs="Times New Roman"/>
      <w:color w:val="A1A1A1"/>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character" w:customStyle="1" w:styleId="CommentTextChar1">
    <w:name w:val="Comment Text Char1"/>
    <w:basedOn w:val="DefaultParagraphFont"/>
    <w:uiPriority w:val="99"/>
    <w:rPr>
      <w:rFonts w:ascii="EC Square Sans Pro" w:hAnsi="EC Square Sans Pro" w:cs="Times New Roman"/>
      <w:noProof w:val="0"/>
      <w:sz w:val="20"/>
      <w:szCs w:val="20"/>
      <w:lang w:val="en-GB"/>
    </w:rPr>
  </w:style>
  <w:style w:type="character" w:styleId="SubtleEmphasis">
    <w:name w:val="Subtle Emphasis"/>
    <w:basedOn w:val="DefaultParagraphFont"/>
    <w:uiPriority w:val="19"/>
    <w:rPr>
      <w:i/>
      <w:iCs/>
      <w:noProof w:val="0"/>
      <w:color w:val="404040" w:themeColor="text1" w:themeTint="BF"/>
      <w:lang w:val="en-GB"/>
    </w:rPr>
  </w:style>
  <w:style w:type="character" w:styleId="SubtleReference">
    <w:name w:val="Subtle Reference"/>
    <w:basedOn w:val="DefaultParagraphFont"/>
    <w:uiPriority w:val="31"/>
    <w:qFormat/>
    <w:rPr>
      <w:smallCaps/>
      <w:noProof w:val="0"/>
      <w:color w:val="5A5A5A" w:themeColor="text1" w:themeTint="A5"/>
      <w:lang w:val="en-GB"/>
    </w:rPr>
  </w:style>
  <w:style w:type="character" w:styleId="IntenseEmphasis">
    <w:name w:val="Intense Emphasis"/>
    <w:basedOn w:val="DefaultParagraphFont"/>
    <w:uiPriority w:val="21"/>
    <w:rPr>
      <w:i/>
      <w:iCs/>
      <w:noProof w:val="0"/>
      <w:color w:val="5B9BD5" w:themeColor="accent1"/>
      <w:lang w:val="en-GB"/>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b/>
      <w:bCs/>
      <w:i/>
      <w:iCs/>
      <w:color w:val="65BBC8"/>
      <w:sz w:val="20"/>
    </w:rPr>
  </w:style>
  <w:style w:type="character" w:customStyle="1" w:styleId="IntenseQuoteChar1">
    <w:name w:val="Intense Quote Char1"/>
    <w:basedOn w:val="DefaultParagraphFont"/>
    <w:uiPriority w:val="30"/>
    <w:rPr>
      <w:i/>
      <w:iCs/>
      <w:color w:val="5B9BD5" w:themeColor="accent1"/>
    </w:rPr>
  </w:style>
  <w:style w:type="character" w:styleId="IntenseReference">
    <w:name w:val="Intense Reference"/>
    <w:basedOn w:val="DefaultParagraphFont"/>
    <w:uiPriority w:val="32"/>
    <w:rPr>
      <w:b/>
      <w:bCs/>
      <w:smallCaps/>
      <w:noProof w:val="0"/>
      <w:color w:val="5B9BD5" w:themeColor="accent1"/>
      <w:spacing w:val="5"/>
      <w:lang w:val="en-GB"/>
    </w:rPr>
  </w:style>
  <w:style w:type="paragraph" w:styleId="NoSpacing">
    <w:name w:val="No Spacing"/>
    <w:uiPriority w:val="1"/>
    <w:pPr>
      <w:spacing w:after="0" w:line="240" w:lineRule="auto"/>
    </w:pPr>
    <w:rPr>
      <w:rFonts w:ascii="EC Square Sans Pro" w:hAnsi="EC Square Sans Pro" w:cs="Times New Roman"/>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color w:val="000000"/>
      <w:sz w:val="20"/>
    </w:rPr>
  </w:style>
  <w:style w:type="character" w:customStyle="1" w:styleId="QuoteChar1">
    <w:name w:val="Quote Char1"/>
    <w:basedOn w:val="DefaultParagraphFont"/>
    <w:uiPriority w:val="29"/>
    <w:rPr>
      <w:i/>
      <w:iCs/>
      <w:color w:val="404040" w:themeColor="text1" w:themeTint="BF"/>
    </w:rPr>
  </w:style>
  <w:style w:type="paragraph" w:styleId="Subtitle">
    <w:name w:val="Subtitle"/>
    <w:basedOn w:val="Normal"/>
    <w:next w:val="Normal"/>
    <w:link w:val="SubtitleChar"/>
    <w:pPr>
      <w:numPr>
        <w:ilvl w:val="1"/>
      </w:numPr>
      <w:spacing w:line="240" w:lineRule="auto"/>
    </w:pPr>
    <w:rPr>
      <w:rFonts w:ascii="EC Square Sans Pro" w:eastAsia="Malgun Gothic Semilight" w:hAnsi="EC Square Sans Pro" w:cs="Times New Roman"/>
      <w:i/>
      <w:iCs/>
      <w:color w:val="65BBC8"/>
      <w:spacing w:val="15"/>
      <w:sz w:val="24"/>
      <w:szCs w:val="24"/>
    </w:rPr>
  </w:style>
  <w:style w:type="character" w:customStyle="1" w:styleId="SubtitleChar1">
    <w:name w:val="Subtitle Char1"/>
    <w:basedOn w:val="DefaultParagraphFont"/>
    <w:uiPriority w:val="11"/>
    <w:rPr>
      <w:rFonts w:eastAsiaTheme="minorEastAsia"/>
      <w:color w:val="5A5A5A" w:themeColor="text1" w:themeTint="A5"/>
      <w:spacing w:val="15"/>
    </w:rPr>
  </w:style>
  <w:style w:type="paragraph" w:customStyle="1" w:styleId="AMPRBodyText">
    <w:name w:val="(AMPR) Body Text"/>
    <w:basedOn w:val="BASE-STYLE-TEXT"/>
    <w:qFormat/>
    <w:pPr>
      <w:spacing w:before="240" w:after="240" w:line="240" w:lineRule="auto"/>
    </w:pPr>
    <w:rPr>
      <w:rFonts w:eastAsiaTheme="minorHAnsi" w:cstheme="minorBidi"/>
      <w:color w:val="000000"/>
      <w:sz w:val="20"/>
      <w:szCs w:val="20"/>
      <w:lang w:eastAsia="en-US"/>
    </w:rPr>
  </w:style>
  <w:style w:type="paragraph" w:customStyle="1" w:styleId="AMPRListOrange-L1">
    <w:name w:val="(AMPR) List * [Orange] - L1"/>
    <w:basedOn w:val="BASE-STYLE-TEXT"/>
    <w:qFormat/>
    <w:pPr>
      <w:numPr>
        <w:numId w:val="30"/>
      </w:numPr>
      <w:spacing w:before="100" w:after="100" w:line="240" w:lineRule="auto"/>
    </w:pPr>
    <w:rPr>
      <w:rFonts w:eastAsiaTheme="minorHAnsi"/>
      <w:sz w:val="20"/>
      <w:szCs w:val="22"/>
      <w:lang w:eastAsia="en-US"/>
    </w:rPr>
  </w:style>
  <w:style w:type="paragraph" w:customStyle="1" w:styleId="AMPRListOrange-L2">
    <w:name w:val="(AMPR) List * [Orange] - L2"/>
    <w:basedOn w:val="BASE-STYLE-TEXT"/>
    <w:qFormat/>
    <w:pPr>
      <w:numPr>
        <w:ilvl w:val="1"/>
        <w:numId w:val="30"/>
      </w:numPr>
      <w:spacing w:before="100" w:after="100" w:line="240" w:lineRule="auto"/>
    </w:pPr>
    <w:rPr>
      <w:rFonts w:eastAsiaTheme="minorHAnsi"/>
      <w:sz w:val="20"/>
      <w:szCs w:val="22"/>
      <w:lang w:eastAsia="fr-BE"/>
    </w:rPr>
  </w:style>
  <w:style w:type="table" w:customStyle="1" w:styleId="GridTable1Light1">
    <w:name w:val="Grid Table 1 Light1"/>
    <w:basedOn w:val="TableNormal"/>
    <w:uiPriority w:val="46"/>
    <w:pPr>
      <w:spacing w:after="0" w:line="240" w:lineRule="auto"/>
    </w:pPr>
    <w:rPr>
      <w:lang w:val="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AMPRLISTOrange">
    <w:name w:val="(AMPR_LIST) * Orange"/>
    <w:uiPriority w:val="99"/>
    <w:pPr>
      <w:numPr>
        <w:numId w:val="30"/>
      </w:numPr>
    </w:pPr>
  </w:style>
  <w:style w:type="paragraph" w:customStyle="1" w:styleId="PPObodyText">
    <w:name w:val="(PPO) bodyText"/>
    <w:basedOn w:val="Normal"/>
    <w:qFormat/>
    <w:pPr>
      <w:jc w:val="both"/>
    </w:pPr>
    <w:rPr>
      <w:rFonts w:ascii="EC Square Sans Cond Pro" w:eastAsia="Times New Roman" w:hAnsi="EC Square Sans Cond Pro" w:cs="EC Square Sans Cond Pro"/>
      <w:color w:val="000000"/>
      <w:sz w:val="18"/>
      <w:szCs w:val="18"/>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color w:val="44546A" w:themeColor="text2"/>
      <w:sz w:val="18"/>
      <w:szCs w:val="18"/>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sz w:val="20"/>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sz w:val="20"/>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sz w:val="20"/>
    </w:rPr>
  </w:style>
  <w:style w:type="paragraph" w:styleId="TOCHeading">
    <w:name w:val="TOC Heading"/>
    <w:basedOn w:val="Heading1"/>
    <w:next w:val="Normal"/>
    <w:uiPriority w:val="39"/>
    <w:semiHidden/>
    <w:unhideWhenUsed/>
    <w:qFormat/>
    <w:pPr>
      <w:widowControl/>
      <w:spacing w:before="240" w:line="259" w:lineRule="auto"/>
      <w:outlineLvl w:val="9"/>
    </w:pPr>
    <w:rPr>
      <w:rFonts w:asciiTheme="majorHAnsi" w:eastAsiaTheme="majorEastAsia" w:hAnsiTheme="majorHAnsi" w:cstheme="majorBidi"/>
      <w:b w:val="0"/>
      <w:bCs w:val="0"/>
      <w:sz w:val="32"/>
      <w:szCs w:val="32"/>
      <w:lang w:eastAsia="en-US"/>
    </w:rPr>
  </w:style>
  <w:style w:type="character" w:customStyle="1" w:styleId="AMPRcharBold">
    <w:name w:val="(AMPR char) Bold"/>
    <w:uiPriority w:val="1"/>
    <w:rPr>
      <w:b/>
      <w:bCs/>
      <w:noProof w:val="0"/>
      <w:bdr w:val="none" w:sz="0" w:space="0" w:color="auto"/>
      <w:shd w:val="clear" w:color="auto" w:fill="auto"/>
      <w:lang w:val="en-GB"/>
    </w:rPr>
  </w:style>
  <w:style w:type="character" w:customStyle="1" w:styleId="AMPRcharBoldBlue">
    <w:name w:val="(AMPR char) Bold Blue"/>
    <w:uiPriority w:val="1"/>
    <w:rPr>
      <w:b/>
      <w:noProof w:val="0"/>
      <w:color w:val="005D95"/>
      <w:bdr w:val="none" w:sz="0" w:space="0" w:color="auto"/>
      <w:shd w:val="clear" w:color="auto" w:fill="auto"/>
      <w:lang w:val="en-GB"/>
    </w:rPr>
  </w:style>
  <w:style w:type="character" w:customStyle="1" w:styleId="AMPRcharBoldOrange">
    <w:name w:val="(AMPR char) Bold Orange"/>
    <w:basedOn w:val="DefaultParagraphFont"/>
    <w:uiPriority w:val="1"/>
    <w:rPr>
      <w:b/>
      <w:bCs/>
      <w:noProof w:val="0"/>
      <w:color w:val="5B9BD5" w:themeColor="accent1"/>
      <w:bdr w:val="none" w:sz="0" w:space="0" w:color="auto"/>
      <w:shd w:val="clear" w:color="auto" w:fill="auto"/>
      <w:lang w:val="en-GB"/>
    </w:rPr>
  </w:style>
  <w:style w:type="character" w:customStyle="1" w:styleId="AMPRcharHyperlink">
    <w:name w:val="(AMPR char) Hyperlink"/>
    <w:uiPriority w:val="1"/>
    <w:rPr>
      <w:noProof w:val="0"/>
      <w:color w:val="4E9DD6"/>
      <w:bdr w:val="none" w:sz="0" w:space="0" w:color="auto"/>
      <w:shd w:val="clear" w:color="auto" w:fill="auto"/>
      <w:lang w:val="en-GB"/>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0"/>
      <w:szCs w:val="22"/>
      <w:lang w:eastAsia="fr-BE"/>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120" w:line="240" w:lineRule="auto"/>
    </w:pPr>
    <w:rPr>
      <w:rFonts w:eastAsiaTheme="minorHAnsi"/>
      <w:sz w:val="20"/>
      <w:szCs w:val="22"/>
      <w:lang w:eastAsia="fr-BE"/>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numbering" w:customStyle="1" w:styleId="AMPRLIST-SEC1-Headings">
    <w:name w:val="(AMPR) LIST - SEC 1 - Headings"/>
    <w:uiPriority w:val="99"/>
    <w:pPr>
      <w:numPr>
        <w:numId w:val="31"/>
      </w:numPr>
    </w:pPr>
  </w:style>
  <w:style w:type="numbering" w:customStyle="1" w:styleId="AMPRLIST-SEC2-Headings">
    <w:name w:val="(AMPR) LIST - SEC 2 - Headings"/>
    <w:uiPriority w:val="99"/>
    <w:pPr>
      <w:numPr>
        <w:numId w:val="32"/>
      </w:numPr>
    </w:pPr>
  </w:style>
  <w:style w:type="paragraph" w:customStyle="1" w:styleId="AMPRLista-L1">
    <w:name w:val="(AMPR) List (a) - L1"/>
    <w:basedOn w:val="BASE-STYLE-TEXT"/>
    <w:qFormat/>
    <w:pPr>
      <w:numPr>
        <w:numId w:val="33"/>
      </w:numPr>
      <w:spacing w:before="80" w:after="80" w:line="240" w:lineRule="auto"/>
      <w:jc w:val="left"/>
    </w:pPr>
    <w:rPr>
      <w:rFonts w:eastAsiaTheme="minorHAnsi"/>
      <w:color w:val="auto"/>
      <w:sz w:val="20"/>
      <w:szCs w:val="22"/>
      <w:lang w:eastAsia="en-US"/>
    </w:rPr>
  </w:style>
  <w:style w:type="paragraph" w:customStyle="1" w:styleId="AMPRListBlue-L1">
    <w:name w:val="(AMPR) List * [Blue] - L1"/>
    <w:basedOn w:val="BASE-STYLE-TEXT"/>
    <w:qFormat/>
    <w:pPr>
      <w:numPr>
        <w:numId w:val="34"/>
      </w:numPr>
      <w:spacing w:before="80" w:after="80" w:line="240" w:lineRule="auto"/>
    </w:pPr>
    <w:rPr>
      <w:rFonts w:eastAsiaTheme="minorHAnsi"/>
      <w:sz w:val="20"/>
      <w:szCs w:val="22"/>
      <w:lang w:eastAsia="en-US"/>
    </w:rPr>
  </w:style>
  <w:style w:type="paragraph" w:customStyle="1" w:styleId="AMPRListBlue-L2">
    <w:name w:val="(AMPR) List * [Blue] - L2"/>
    <w:basedOn w:val="BASE-STYLE-TEXT"/>
    <w:qFormat/>
    <w:pPr>
      <w:numPr>
        <w:ilvl w:val="1"/>
        <w:numId w:val="34"/>
      </w:numPr>
      <w:spacing w:before="80" w:after="80" w:line="240" w:lineRule="auto"/>
    </w:pPr>
    <w:rPr>
      <w:rFonts w:eastAsiaTheme="minorHAnsi"/>
      <w:sz w:val="20"/>
      <w:szCs w:val="22"/>
      <w:lang w:eastAsia="fr-BE"/>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color w:val="auto"/>
      <w:sz w:val="16"/>
      <w:szCs w:val="16"/>
      <w:lang w:eastAsia="fr-BE"/>
    </w:r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color w:val="203F79"/>
      <w:szCs w:val="18"/>
    </w:rPr>
  </w:style>
  <w:style w:type="paragraph" w:customStyle="1" w:styleId="AMPRtableBOXA-bgWHITElnORANGE-BLUEBullet">
    <w:name w:val="(AMPR) tableBOX A - bgWHITE_lnORANGE - BLUE Bullet"/>
    <w:basedOn w:val="BASE-STYLE-TEXT"/>
    <w:qFormat/>
    <w:pPr>
      <w:widowControl w:val="0"/>
      <w:numPr>
        <w:numId w:val="35"/>
      </w:numPr>
      <w:autoSpaceDE w:val="0"/>
      <w:autoSpaceDN w:val="0"/>
      <w:adjustRightInd w:val="0"/>
      <w:spacing w:after="100" w:line="241" w:lineRule="exact"/>
      <w:jc w:val="left"/>
    </w:pPr>
    <w:rPr>
      <w:rFonts w:eastAsia="Times New Roman"/>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color w:val="005D95"/>
      <w:sz w:val="20"/>
      <w:szCs w:val="20"/>
      <w:lang w:eastAsia="en-US"/>
    </w:rPr>
  </w:style>
  <w:style w:type="paragraph" w:customStyle="1" w:styleId="BASE-STYLE-HEADINGS">
    <w:name w:val="_BASE-STYLE-HEADINGS"/>
    <w:basedOn w:val="BASE-STYLE-TEXT"/>
    <w:next w:val="Normal"/>
    <w:semiHidden/>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color w:val="auto"/>
      <w:sz w:val="20"/>
      <w:szCs w:val="22"/>
      <w:lang w:eastAsia="en-US" w:bidi="en-US"/>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color w:val="auto"/>
      <w:sz w:val="20"/>
      <w:szCs w:val="20"/>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color w:val="auto"/>
      <w:sz w:val="20"/>
      <w:szCs w:val="20"/>
      <w:lang w:eastAsia="en-US" w:bidi="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numbering" w:customStyle="1" w:styleId="AMPRLISTa">
    <w:name w:val="(AMPR_LIST) (a)"/>
    <w:uiPriority w:val="99"/>
    <w:pPr>
      <w:numPr>
        <w:numId w:val="33"/>
      </w:numPr>
    </w:pPr>
  </w:style>
  <w:style w:type="numbering" w:customStyle="1" w:styleId="AMPRLISTBlue">
    <w:name w:val="(AMPR_LIST) * Blue"/>
    <w:uiPriority w:val="99"/>
    <w:pPr>
      <w:numPr>
        <w:numId w:val="34"/>
      </w:numPr>
    </w:p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Sec1TITLE2-numbered">
    <w:name w:val="(AMPR_Sec1) TITLE 2 - numbered"/>
    <w:basedOn w:val="BASE-STYLE-HEADINGS"/>
    <w:next w:val="AMPRBodyText"/>
    <w:qFormat/>
    <w:pPr>
      <w:keepNext/>
      <w:keepLines/>
      <w:pageBreakBefore/>
      <w:numPr>
        <w:numId w:val="31"/>
      </w:numPr>
      <w:spacing w:after="120" w:line="240" w:lineRule="auto"/>
      <w:jc w:val="left"/>
      <w:outlineLvl w:val="1"/>
    </w:pPr>
    <w:rPr>
      <w:rFonts w:eastAsiaTheme="minorHAnsi"/>
      <w:color w:val="4472C4" w:themeColor="accent5"/>
      <w:sz w:val="48"/>
      <w:szCs w:val="2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2TITLE2-numbered">
    <w:name w:val="(AMPR_Sec2) TITLE 2 - numbered"/>
    <w:basedOn w:val="Normal"/>
    <w:next w:val="Normal"/>
    <w:qFormat/>
    <w:pPr>
      <w:keepNext/>
      <w:keepLines/>
      <w:numPr>
        <w:numId w:val="32"/>
      </w:numPr>
      <w:spacing w:after="120" w:line="240" w:lineRule="auto"/>
      <w:outlineLvl w:val="1"/>
    </w:pPr>
    <w:rPr>
      <w:rFonts w:ascii="EC Square Sans Pro" w:hAnsi="EC Square Sans Pro" w:cs="Times New Roman"/>
      <w:color w:val="4472C4" w:themeColor="accent5"/>
      <w:sz w:val="48"/>
    </w:rPr>
  </w:style>
  <w:style w:type="paragraph" w:customStyle="1" w:styleId="AMPRSec2TITLE3-numbered">
    <w:name w:val="(AMPR_Sec2) TITLE 3 - numbered"/>
    <w:basedOn w:val="Normal"/>
    <w:next w:val="Normal"/>
    <w:qFormat/>
    <w:pPr>
      <w:keepNext/>
      <w:keepLines/>
      <w:numPr>
        <w:ilvl w:val="1"/>
        <w:numId w:val="32"/>
      </w:numPr>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color w:val="005D95"/>
      <w:sz w:val="28"/>
      <w:szCs w:val="21"/>
      <w:lang w:eastAsia="zh-CN"/>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numbering" w:customStyle="1" w:styleId="PPOLISTBlackBULLETS">
    <w:name w:val="(PPO LIST) Black BULLETS"/>
    <w:uiPriority w:val="99"/>
    <w:pPr>
      <w:numPr>
        <w:numId w:val="36"/>
      </w:numPr>
    </w:pPr>
  </w:style>
  <w:style w:type="paragraph" w:customStyle="1" w:styleId="PPOBlackBULLETS-L1">
    <w:name w:val="(PPO) Black BULLETS - L1"/>
    <w:basedOn w:val="Normal"/>
    <w:qFormat/>
    <w:pPr>
      <w:widowControl w:val="0"/>
      <w:spacing w:after="60" w:line="200" w:lineRule="exact"/>
      <w:ind w:left="499" w:hanging="357"/>
      <w:jc w:val="both"/>
    </w:pPr>
    <w:rPr>
      <w:rFonts w:ascii="EC Square Sans Cond Pro" w:eastAsia="EC Square Sans Cond Pro Medium" w:hAnsi="EC Square Sans Cond Pro" w:cs="EC Square Sans Cond Pro Medium"/>
      <w:bCs/>
      <w:color w:val="000000" w:themeColor="text1"/>
      <w:sz w:val="18"/>
      <w:szCs w:val="17"/>
    </w:rPr>
  </w:style>
  <w:style w:type="paragraph" w:customStyle="1" w:styleId="PPOBlackBULLETS-L2">
    <w:name w:val="(PPO) Black BULLETS - L2"/>
    <w:basedOn w:val="Normal"/>
    <w:qFormat/>
    <w:pPr>
      <w:widowControl w:val="0"/>
      <w:spacing w:after="60" w:line="200" w:lineRule="exact"/>
      <w:ind w:left="1077" w:hanging="357"/>
      <w:jc w:val="both"/>
    </w:pPr>
    <w:rPr>
      <w:rFonts w:ascii="EC Square Sans Cond Pro" w:eastAsia="EC Square Sans Cond Pro Medium" w:hAnsi="EC Square Sans Cond Pro" w:cs="EC Square Sans Cond Pro Medium"/>
      <w:bCs/>
      <w:color w:val="000000" w:themeColor="text1"/>
      <w:sz w:val="18"/>
      <w:szCs w:val="17"/>
    </w:rPr>
  </w:style>
  <w:style w:type="paragraph" w:customStyle="1" w:styleId="PPOExamplesTABLEText">
    <w:name w:val="(PPO) Examples TABLE Text"/>
    <w:basedOn w:val="Normal"/>
    <w:qFormat/>
    <w:pPr>
      <w:spacing w:after="0" w:line="160" w:lineRule="exact"/>
    </w:pPr>
    <w:rPr>
      <w:rFonts w:eastAsiaTheme="minorEastAsia"/>
      <w:sz w:val="17"/>
      <w:szCs w:val="17"/>
      <w:lang w:eastAsia="en-GB"/>
    </w:rPr>
  </w:style>
  <w:style w:type="paragraph" w:customStyle="1" w:styleId="Hidelastparagraphafterthetable">
    <w:name w:val="_Hide last paragraph after the table"/>
    <w:next w:val="Normal"/>
    <w:pPr>
      <w:widowControl w:val="0"/>
      <w:spacing w:after="0" w:line="20" w:lineRule="exact"/>
    </w:pPr>
    <w:rPr>
      <w:rFonts w:eastAsiaTheme="minorEastAsia"/>
      <w:vanish/>
      <w:sz w:val="2"/>
      <w:szCs w:val="2"/>
    </w:rPr>
  </w:style>
  <w:style w:type="numbering" w:styleId="111111">
    <w:name w:val="Outline List 2"/>
    <w:basedOn w:val="NoList"/>
    <w:uiPriority w:val="99"/>
    <w:semiHidden/>
    <w:unhideWhenUsed/>
    <w:pPr>
      <w:numPr>
        <w:numId w:val="37"/>
      </w:numPr>
    </w:pPr>
  </w:style>
  <w:style w:type="numbering" w:styleId="1ai">
    <w:name w:val="Outline List 1"/>
    <w:basedOn w:val="NoList"/>
    <w:uiPriority w:val="99"/>
    <w:semiHidden/>
    <w:unhideWhenUsed/>
    <w:pPr>
      <w:numPr>
        <w:numId w:val="38"/>
      </w:numPr>
    </w:pPr>
  </w:style>
  <w:style w:type="numbering" w:styleId="ArticleSection">
    <w:name w:val="Outline List 3"/>
    <w:basedOn w:val="NoList"/>
    <w:uiPriority w:val="99"/>
    <w:semiHidden/>
    <w:unhideWhenUsed/>
    <w:pPr>
      <w:numPr>
        <w:numId w:val="39"/>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character" w:customStyle="1" w:styleId="AMPRcharBlue">
    <w:name w:val="(AMPR char) Blue"/>
    <w:uiPriority w:val="1"/>
    <w:rPr>
      <w:noProof w:val="0"/>
      <w:color w:val="005D95"/>
      <w:bdr w:val="none" w:sz="0" w:space="0" w:color="auto"/>
      <w:shd w:val="clear" w:color="auto" w:fill="auto"/>
      <w:lang w:val="en-GB"/>
    </w:rPr>
  </w:style>
  <w:style w:type="character" w:customStyle="1" w:styleId="AMPRcharOrange">
    <w:name w:val="(AMPR char) Orange"/>
    <w:basedOn w:val="DefaultParagraphFont"/>
    <w:uiPriority w:val="1"/>
    <w:rPr>
      <w:noProof w:val="0"/>
      <w:color w:val="DE5F0A"/>
      <w:bdr w:val="none" w:sz="0" w:space="0" w:color="auto"/>
      <w:shd w:val="clear" w:color="auto" w:fill="auto"/>
      <w:lang w:val="en-GB"/>
    </w:rPr>
  </w:style>
  <w:style w:type="paragraph" w:customStyle="1" w:styleId="AMPRListOrange-L1-consecutive">
    <w:name w:val="(AMPR) List * [Orange] - L1 - consecutive"/>
    <w:basedOn w:val="AMPRListOrange-L1"/>
    <w:qFormat/>
    <w:pPr>
      <w:numPr>
        <w:numId w:val="0"/>
      </w:numPr>
      <w:ind w:left="697"/>
    </w:pPr>
  </w:style>
  <w:style w:type="character" w:customStyle="1" w:styleId="AMPRcharItalic">
    <w:name w:val="(AMPR char) Italic"/>
    <w:uiPriority w:val="1"/>
    <w:rPr>
      <w:i/>
      <w:noProof w:val="0"/>
      <w:bdr w:val="none" w:sz="0" w:space="0" w:color="auto"/>
      <w:shd w:val="clear" w:color="auto" w:fill="auto"/>
      <w:lang w:val="en-GB"/>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color w:val="FFFFFF" w:themeColor="background1"/>
      <w:sz w:val="24"/>
      <w:szCs w:val="24"/>
      <w:lang w:eastAsia="fr-BE"/>
    </w:rPr>
  </w:style>
  <w:style w:type="paragraph" w:customStyle="1" w:styleId="AMPRChart-Tabletitle">
    <w:name w:val="(AMPR) Chart-Table title"/>
    <w:basedOn w:val="BASE-STYLE-TEXT"/>
    <w:next w:val="AMPRSource-Table-Chart-Photo-Caption"/>
    <w:qFormat/>
    <w:pPr>
      <w:spacing w:before="120" w:after="0" w:line="240" w:lineRule="auto"/>
      <w:jc w:val="left"/>
    </w:pPr>
    <w:rPr>
      <w:rFonts w:ascii="EC Square Sans Cond Pro Medium" w:eastAsia="Calibri" w:hAnsi="EC Square Sans Cond Pro Medium"/>
      <w:iCs/>
      <w:color w:val="auto"/>
      <w:sz w:val="16"/>
      <w:szCs w:val="16"/>
      <w:lang w:eastAsia="fr-BE"/>
    </w:r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numbering" w:customStyle="1" w:styleId="PPOLISTBlackNumbersinbrackets">
    <w:name w:val="(PPO LIST) Black Numbers in brackets"/>
    <w:uiPriority w:val="99"/>
    <w:pPr>
      <w:numPr>
        <w:numId w:val="40"/>
      </w:numPr>
    </w:pPr>
  </w:style>
  <w:style w:type="paragraph" w:customStyle="1" w:styleId="PPOBlackBULLETS-L1nobullettext">
    <w:name w:val="(PPO) Black BULLETS - L1 (no bullet text)"/>
    <w:basedOn w:val="PPOBlackBULLETS-L1"/>
    <w:qFormat/>
    <w:pPr>
      <w:ind w:firstLine="0"/>
    </w:pPr>
  </w:style>
  <w:style w:type="paragraph" w:customStyle="1" w:styleId="PPOBlackNumberinBracketsLIST-L1">
    <w:name w:val="(PPO) Black Number in Brackets LIST - L1"/>
    <w:basedOn w:val="BASE-STYLE-TEXT"/>
    <w:qFormat/>
    <w:pPr>
      <w:numPr>
        <w:numId w:val="41"/>
      </w:numPr>
      <w:spacing w:after="60" w:line="200" w:lineRule="exact"/>
    </w:pPr>
    <w:rPr>
      <w:rFonts w:ascii="EC Square Sans Cond Pro" w:hAnsi="EC Square Sans Cond Pro"/>
      <w:bCs/>
      <w:szCs w:val="18"/>
    </w:rPr>
  </w:style>
  <w:style w:type="character" w:customStyle="1" w:styleId="PPOChar-Hyperlink">
    <w:name w:val="(PPO) Char - Hyperlink"/>
    <w:uiPriority w:val="1"/>
    <w:qFormat/>
    <w:rPr>
      <w:noProof w:val="0"/>
      <w:color w:val="0000FF"/>
      <w:lang w:val="en-GB"/>
    </w:rPr>
  </w:style>
  <w:style w:type="paragraph" w:customStyle="1" w:styleId="PPOExamplesTABLEHeader">
    <w:name w:val="(PPO) Examples TABLE Header"/>
    <w:basedOn w:val="BASE-STYLE-TEXT"/>
    <w:qFormat/>
    <w:pPr>
      <w:spacing w:before="60" w:after="0" w:line="200" w:lineRule="exact"/>
      <w:jc w:val="center"/>
    </w:pPr>
    <w:rPr>
      <w:rFonts w:asciiTheme="minorHAnsi" w:hAnsiTheme="minorHAnsi" w:cstheme="minorBidi"/>
      <w:b/>
      <w:bCs/>
      <w:color w:val="FFFFFF" w:themeColor="background1"/>
      <w:sz w:val="22"/>
      <w:szCs w:val="17"/>
      <w:lang w:eastAsia="en-GB"/>
    </w:rPr>
  </w:style>
  <w:style w:type="paragraph" w:customStyle="1" w:styleId="PPORunningheader-rightside">
    <w:name w:val="(PPO) Running header - right side"/>
    <w:basedOn w:val="BASE-STYLE-TEXT"/>
    <w:qFormat/>
    <w:pPr>
      <w:tabs>
        <w:tab w:val="center" w:pos="4536"/>
        <w:tab w:val="right" w:pos="9072"/>
      </w:tabs>
      <w:spacing w:after="0" w:line="240" w:lineRule="auto"/>
      <w:ind w:right="141"/>
      <w:jc w:val="right"/>
    </w:pPr>
    <w:rPr>
      <w:rFonts w:cstheme="minorHAnsi"/>
      <w:bCs/>
      <w:color w:val="28296E"/>
      <w:sz w:val="20"/>
      <w:szCs w:val="22"/>
      <w:lang w:eastAsia="fr-BE"/>
    </w:rPr>
  </w:style>
  <w:style w:type="paragraph" w:customStyle="1" w:styleId="PPORunningheader-leftside">
    <w:name w:val="(PPO) Running header - left side"/>
    <w:basedOn w:val="PPORunningheader-rightside"/>
    <w:qFormat/>
    <w:pPr>
      <w:ind w:right="0" w:firstLine="284"/>
      <w:jc w:val="left"/>
    </w:pPr>
  </w:style>
  <w:style w:type="paragraph" w:customStyle="1" w:styleId="PPOsidebarchartLegends">
    <w:name w:val="(PPO) sidebar chart Legends"/>
    <w:basedOn w:val="BASE-STYLE-TEXT"/>
    <w:qFormat/>
    <w:pPr>
      <w:spacing w:after="100"/>
      <w:ind w:left="397" w:firstLine="720"/>
      <w:jc w:val="left"/>
    </w:pPr>
    <w:rPr>
      <w:rFonts w:asciiTheme="minorHAnsi" w:hAnsiTheme="minorHAnsi" w:cstheme="minorBidi"/>
      <w:bCs/>
      <w:color w:val="auto"/>
      <w:sz w:val="16"/>
      <w:szCs w:val="14"/>
    </w:rPr>
  </w:style>
  <w:style w:type="paragraph" w:customStyle="1" w:styleId="PPOsidebartext">
    <w:name w:val="(PPO) sidebar text"/>
    <w:basedOn w:val="BASE-STYLE-TEXT"/>
    <w:qFormat/>
    <w:pPr>
      <w:spacing w:after="0"/>
      <w:jc w:val="right"/>
    </w:pPr>
    <w:rPr>
      <w:rFonts w:ascii="EC Square Sans Cond Pro" w:hAnsi="EC Square Sans Cond Pro"/>
      <w:bCs/>
      <w:szCs w:val="18"/>
    </w:rPr>
  </w:style>
  <w:style w:type="paragraph" w:customStyle="1" w:styleId="PPOsidebarchartPlaceholder">
    <w:name w:val="(PPO) sidebar chart Placeholder"/>
    <w:basedOn w:val="PPOsidebartext"/>
    <w:qFormat/>
    <w:pPr>
      <w:spacing w:before="160" w:after="160"/>
      <w:ind w:left="284"/>
    </w:pPr>
    <w:rPr>
      <w:lang w:eastAsia="en-GB"/>
    </w:rPr>
  </w:style>
  <w:style w:type="paragraph" w:customStyle="1" w:styleId="PPOsidebarLegalBasisBOXHeading">
    <w:name w:val="(PPO) sidebar Legal Basis BOX Heading"/>
    <w:basedOn w:val="BASE-STYLE-TEXT"/>
    <w:qFormat/>
    <w:pPr>
      <w:spacing w:after="160"/>
      <w:jc w:val="right"/>
    </w:pPr>
    <w:rPr>
      <w:rFonts w:cstheme="minorBidi"/>
      <w:b/>
      <w:bCs/>
      <w:color w:val="FFFFFF" w:themeColor="background1"/>
      <w:sz w:val="16"/>
    </w:rPr>
  </w:style>
  <w:style w:type="paragraph" w:customStyle="1" w:styleId="PPOsidebarLegalBasisBOXtext">
    <w:name w:val="(PPO) sidebar Legal Basis BOX text"/>
    <w:basedOn w:val="BASE-STYLE-TEXT"/>
    <w:qFormat/>
    <w:pPr>
      <w:spacing w:after="0"/>
      <w:jc w:val="right"/>
    </w:pPr>
    <w:rPr>
      <w:rFonts w:cstheme="minorBidi"/>
      <w:bCs/>
      <w:color w:val="FFFFFF" w:themeColor="background1"/>
      <w:sz w:val="14"/>
      <w:szCs w:val="14"/>
    </w:rPr>
  </w:style>
  <w:style w:type="paragraph" w:customStyle="1" w:styleId="PPOsidebarTableplaceholder">
    <w:name w:val="(PPO) sidebar Table placeholder"/>
    <w:basedOn w:val="BASE-STYLE-TEXT"/>
    <w:qFormat/>
    <w:pPr>
      <w:spacing w:line="276" w:lineRule="auto"/>
      <w:jc w:val="left"/>
    </w:pPr>
    <w:rPr>
      <w:rFonts w:asciiTheme="minorHAnsi" w:hAnsiTheme="minorHAnsi" w:cstheme="minorBidi"/>
      <w:bCs/>
      <w:color w:val="auto"/>
      <w:szCs w:val="22"/>
    </w:rPr>
  </w:style>
  <w:style w:type="paragraph" w:customStyle="1" w:styleId="PPOsidebarTabletext">
    <w:name w:val="(PPO) sidebar Table text"/>
    <w:basedOn w:val="BASE-STYLE-TEXT"/>
    <w:qFormat/>
    <w:pPr>
      <w:widowControl w:val="0"/>
      <w:spacing w:after="100" w:afterAutospacing="1" w:line="160" w:lineRule="exact"/>
      <w:jc w:val="center"/>
    </w:pPr>
    <w:rPr>
      <w:rFonts w:eastAsia="EC Square Sans Cond Pro Medium" w:cs="EC Square Sans Cond Pro Medium"/>
      <w:szCs w:val="15"/>
    </w:rPr>
  </w:style>
  <w:style w:type="paragraph" w:customStyle="1" w:styleId="PPOsidebarTabletext-rightaligned">
    <w:name w:val="(PPO) sidebar Table text - right aligned"/>
    <w:basedOn w:val="PPOsidebarTabletext"/>
    <w:qFormat/>
    <w:pPr>
      <w:jc w:val="right"/>
    </w:pPr>
  </w:style>
  <w:style w:type="paragraph" w:customStyle="1" w:styleId="PPOSpecificobjectivesBOX-Subheading">
    <w:name w:val="(PPO) Specific objectives BOX - Subheading"/>
    <w:basedOn w:val="BASE-STYLE-TEXT"/>
    <w:qFormat/>
    <w:pPr>
      <w:spacing w:before="200" w:after="60" w:line="240" w:lineRule="auto"/>
    </w:pPr>
    <w:rPr>
      <w:rFonts w:ascii="EC Square Sans Cond Pro" w:eastAsia="Calibri" w:hAnsi="EC Square Sans Cond Pro"/>
      <w:b/>
      <w:bCs/>
      <w:color w:val="auto"/>
      <w:szCs w:val="22"/>
      <w:lang w:eastAsia="fr-BE"/>
    </w:rPr>
  </w:style>
  <w:style w:type="paragraph" w:customStyle="1" w:styleId="PPOTitle3">
    <w:name w:val="(PPO) Title 3"/>
    <w:basedOn w:val="BASE-STYLE-TEXT"/>
    <w:qFormat/>
    <w:pPr>
      <w:autoSpaceDE w:val="0"/>
      <w:autoSpaceDN w:val="0"/>
      <w:adjustRightInd w:val="0"/>
      <w:spacing w:before="160" w:after="120" w:line="181" w:lineRule="atLeast"/>
    </w:pPr>
    <w:rPr>
      <w:b/>
      <w:color w:val="28296E"/>
      <w:sz w:val="21"/>
    </w:rPr>
  </w:style>
  <w:style w:type="paragraph" w:customStyle="1" w:styleId="PPOTitle3-nospacebefore">
    <w:name w:val="(PPO) Title 3 - no space before"/>
    <w:basedOn w:val="PPOTitle3"/>
    <w:qFormat/>
    <w:pPr>
      <w:spacing w:before="0"/>
    </w:pPr>
  </w:style>
  <w:style w:type="paragraph" w:customStyle="1" w:styleId="PPOTitle3-pagebreakbefore">
    <w:name w:val="(PPO) Title 3 - page break before"/>
    <w:basedOn w:val="PPOTitle3"/>
    <w:qFormat/>
    <w:pPr>
      <w:pageBreakBefore/>
    </w:pPr>
  </w:style>
  <w:style w:type="paragraph" w:customStyle="1" w:styleId="PPOTitle4-BlackBold9pt">
    <w:name w:val="(PPO) Title 4 - Black Bold 9pt"/>
    <w:basedOn w:val="BASE-STYLE-TEXT"/>
    <w:qFormat/>
    <w:pPr>
      <w:spacing w:before="160" w:after="60"/>
    </w:pPr>
    <w:rPr>
      <w:rFonts w:ascii="EC Square Sans Cond Pro" w:hAnsi="EC Square Sans Cond Pro"/>
      <w:b/>
      <w:szCs w:val="18"/>
    </w:rPr>
  </w:style>
  <w:style w:type="paragraph" w:customStyle="1" w:styleId="PPOVotedbudgetTABLEHeaderLeftcol">
    <w:name w:val="(PPO) Voted budget TABLE Header Left col"/>
    <w:basedOn w:val="BASE-STYLE-TEXT"/>
    <w:qFormat/>
    <w:pPr>
      <w:framePr w:hSpace="181" w:wrap="around" w:vAnchor="page" w:hAnchor="page" w:x="3448" w:y="13530"/>
      <w:spacing w:after="100" w:afterAutospacing="1"/>
      <w:ind w:left="190" w:right="227"/>
      <w:suppressOverlap/>
      <w:jc w:val="right"/>
    </w:pPr>
    <w:rPr>
      <w:rFonts w:cstheme="minorBidi"/>
      <w:bCs/>
      <w:color w:val="FFFFFF" w:themeColor="background1"/>
      <w:szCs w:val="22"/>
    </w:rPr>
  </w:style>
  <w:style w:type="paragraph" w:customStyle="1" w:styleId="PPOVotedbudgetTABLEHeaderRightcol">
    <w:name w:val="(PPO) Voted budget TABLE Header Right col"/>
    <w:basedOn w:val="PPOVotedbudgetTABLEHeaderLeftcol"/>
    <w:qFormat/>
    <w:pPr>
      <w:framePr w:wrap="around"/>
      <w:ind w:left="227" w:right="0"/>
      <w:jc w:val="left"/>
    </w:pPr>
  </w:style>
  <w:style w:type="paragraph" w:customStyle="1" w:styleId="PPO1AsidebarchartCenterText">
    <w:name w:val="(PPO_1A) sidebar chart Center Text"/>
    <w:basedOn w:val="BASE-STYLE-TEXT"/>
    <w:qFormat/>
    <w:pPr>
      <w:spacing w:after="120" w:line="240" w:lineRule="auto"/>
      <w:jc w:val="center"/>
    </w:pPr>
    <w:rPr>
      <w:rFonts w:cstheme="minorBidi"/>
      <w:bCs/>
      <w:color w:val="00ADDC"/>
      <w:sz w:val="22"/>
      <w:szCs w:val="22"/>
    </w:rPr>
  </w:style>
  <w:style w:type="paragraph" w:customStyle="1" w:styleId="PPO1AsidebarTablecaption">
    <w:name w:val="(PPO_1A) sidebar Table caption"/>
    <w:basedOn w:val="BASE-STYLE-TEXT"/>
    <w:qFormat/>
    <w:pPr>
      <w:widowControl w:val="0"/>
      <w:tabs>
        <w:tab w:val="right" w:pos="2181"/>
      </w:tabs>
      <w:spacing w:after="120" w:line="192" w:lineRule="exact"/>
      <w:jc w:val="right"/>
    </w:pPr>
    <w:rPr>
      <w:rFonts w:eastAsia="EC Square Sans Cond Pro Medium" w:cs="EC Square Sans Cond Pro Medium"/>
      <w:bCs/>
      <w:color w:val="00ADDC"/>
      <w:sz w:val="16"/>
      <w:shd w:val="clear" w:color="auto" w:fill="FFFFFF"/>
    </w:rPr>
  </w:style>
  <w:style w:type="paragraph" w:customStyle="1" w:styleId="PPO1AsidebarTitleBlue">
    <w:name w:val="(PPO_1A) sidebar Title Blue"/>
    <w:basedOn w:val="BASE-STYLE-TEXT"/>
    <w:qFormat/>
    <w:pPr>
      <w:autoSpaceDE w:val="0"/>
      <w:autoSpaceDN w:val="0"/>
      <w:adjustRightInd w:val="0"/>
      <w:spacing w:before="340" w:after="40" w:line="240" w:lineRule="auto"/>
      <w:jc w:val="right"/>
    </w:pPr>
    <w:rPr>
      <w:rFonts w:ascii="EC Square Sans Cond Pro" w:hAnsi="EC Square Sans Cond Pro"/>
      <w:b/>
      <w:color w:val="28296E"/>
      <w:sz w:val="16"/>
    </w:rPr>
  </w:style>
  <w:style w:type="paragraph" w:customStyle="1" w:styleId="PPO1AsidebarTitleLightBlue">
    <w:name w:val="(PPO_1A) sidebar Title Light Blue"/>
    <w:basedOn w:val="BASE-STYLE-TEXT"/>
    <w:qFormat/>
    <w:pPr>
      <w:autoSpaceDE w:val="0"/>
      <w:autoSpaceDN w:val="0"/>
      <w:adjustRightInd w:val="0"/>
      <w:spacing w:before="440" w:after="60" w:line="241" w:lineRule="atLeast"/>
      <w:jc w:val="right"/>
    </w:pPr>
    <w:rPr>
      <w:rFonts w:ascii="EC Square Sans Cond Pro" w:hAnsi="EC Square Sans Cond Pro"/>
      <w:b/>
      <w:color w:val="00ADDC"/>
      <w:sz w:val="21"/>
    </w:rPr>
  </w:style>
  <w:style w:type="paragraph" w:customStyle="1" w:styleId="PPO1ASpecificobjectivesBOX-BulletLightBlue">
    <w:name w:val="(PPO_1A) Specific objectives BOX - Bullet Light Blue"/>
    <w:basedOn w:val="BASE-STYLE-TEXT"/>
    <w:qFormat/>
    <w:pPr>
      <w:numPr>
        <w:numId w:val="42"/>
      </w:numPr>
      <w:spacing w:after="60" w:line="240" w:lineRule="auto"/>
    </w:pPr>
    <w:rPr>
      <w:rFonts w:eastAsia="Calibri"/>
      <w:bCs/>
      <w:color w:val="auto"/>
      <w:szCs w:val="22"/>
      <w:lang w:eastAsia="fr-BE"/>
    </w:rPr>
  </w:style>
  <w:style w:type="paragraph" w:customStyle="1" w:styleId="PPO1ASpecificobjectivesBOX-HeadingLightBlue">
    <w:name w:val="(PPO_1A) Specific objectives BOX - Heading Light Blue"/>
    <w:basedOn w:val="BASE-STYLE-TEXT"/>
    <w:qFormat/>
    <w:pPr>
      <w:spacing w:before="140" w:after="120"/>
      <w:ind w:left="-119" w:right="-16" w:firstLine="9"/>
      <w:jc w:val="left"/>
    </w:pPr>
    <w:rPr>
      <w:rFonts w:ascii="EC Square Sans Cond Pro" w:hAnsi="EC Square Sans Cond Pro"/>
      <w:b/>
      <w:color w:val="00ADDC"/>
      <w:sz w:val="21"/>
    </w:rPr>
  </w:style>
  <w:style w:type="numbering" w:customStyle="1" w:styleId="PPO1ASpecificObjectivesBulletsLIST">
    <w:name w:val="(PPO_1A) Specific Objectives Bullets (LIST)"/>
    <w:uiPriority w:val="99"/>
    <w:pPr>
      <w:numPr>
        <w:numId w:val="42"/>
      </w:numPr>
    </w:pPr>
  </w:style>
  <w:style w:type="paragraph" w:customStyle="1" w:styleId="PPO1ATitle1">
    <w:name w:val="(PPO_1A) Title 1"/>
    <w:basedOn w:val="BASE-STYLE-HEADINGS"/>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qFormat/>
    <w:pPr>
      <w:spacing w:before="60" w:after="60" w:line="240" w:lineRule="auto"/>
      <w:jc w:val="left"/>
    </w:pPr>
    <w:rPr>
      <w:rFonts w:cstheme="minorBidi"/>
      <w:bCs/>
      <w:color w:val="00ADDC"/>
      <w:sz w:val="22"/>
      <w:szCs w:val="22"/>
    </w:rPr>
  </w:style>
  <w:style w:type="paragraph" w:customStyle="1" w:styleId="PPO1AVotedbudgetTABLEtextBlue">
    <w:name w:val="(PPO_1A)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color w:val="0070C0"/>
      <w:sz w:val="22"/>
      <w:szCs w:val="22"/>
    </w:rPr>
  </w:style>
  <w:style w:type="paragraph" w:customStyle="1" w:styleId="PPO1BsidebarchartCenterText">
    <w:name w:val="(PPO_1B) sidebar chart Center Text"/>
    <w:basedOn w:val="BASE-STYLE-TEXT"/>
    <w:qFormat/>
    <w:pPr>
      <w:spacing w:after="120" w:line="240" w:lineRule="auto"/>
      <w:jc w:val="center"/>
    </w:pPr>
    <w:rPr>
      <w:rFonts w:cstheme="minorBidi"/>
      <w:bCs/>
      <w:color w:val="18BAA8"/>
      <w:sz w:val="22"/>
      <w:szCs w:val="22"/>
    </w:rPr>
  </w:style>
  <w:style w:type="paragraph" w:customStyle="1" w:styleId="PPO1BsidebarTablecaption">
    <w:name w:val="(PPO_1B) sidebar Table caption"/>
    <w:basedOn w:val="BASE-STYLE-TEXT"/>
    <w:qFormat/>
    <w:pPr>
      <w:widowControl w:val="0"/>
      <w:tabs>
        <w:tab w:val="right" w:pos="2181"/>
      </w:tabs>
      <w:spacing w:after="120" w:line="192" w:lineRule="exact"/>
      <w:jc w:val="right"/>
    </w:pPr>
    <w:rPr>
      <w:rFonts w:eastAsia="EC Square Sans Cond Pro Medium" w:cs="EC Square Sans Cond Pro Medium"/>
      <w:bCs/>
      <w:color w:val="18BAA8"/>
      <w:sz w:val="16"/>
      <w:shd w:val="clear" w:color="auto" w:fill="FFFFFF"/>
    </w:rPr>
  </w:style>
  <w:style w:type="paragraph" w:customStyle="1" w:styleId="PPO1BsidebarTitleDarkGreen">
    <w:name w:val="(PPO_1B) sidebar Title DarkGreen"/>
    <w:basedOn w:val="BASE-STYLE-TEXT"/>
    <w:qFormat/>
    <w:pPr>
      <w:autoSpaceDE w:val="0"/>
      <w:autoSpaceDN w:val="0"/>
      <w:adjustRightInd w:val="0"/>
      <w:spacing w:before="340" w:after="40" w:line="240" w:lineRule="auto"/>
      <w:jc w:val="right"/>
    </w:pPr>
    <w:rPr>
      <w:rFonts w:ascii="EC Square Sans Cond Pro" w:hAnsi="EC Square Sans Cond Pro"/>
      <w:b/>
      <w:color w:val="128C7D"/>
      <w:sz w:val="16"/>
    </w:rPr>
  </w:style>
  <w:style w:type="paragraph" w:customStyle="1" w:styleId="PPO1BsidebarTitleTurquoise">
    <w:name w:val="(PPO_1B) sidebar Title Turquoise"/>
    <w:basedOn w:val="BASE-STYLE-TEXT"/>
    <w:qFormat/>
    <w:pPr>
      <w:autoSpaceDE w:val="0"/>
      <w:autoSpaceDN w:val="0"/>
      <w:adjustRightInd w:val="0"/>
      <w:spacing w:before="440" w:after="60" w:line="241" w:lineRule="atLeast"/>
      <w:jc w:val="right"/>
    </w:pPr>
    <w:rPr>
      <w:rFonts w:ascii="EC Square Sans Cond Pro" w:hAnsi="EC Square Sans Cond Pro"/>
      <w:b/>
      <w:color w:val="18BAA8"/>
      <w:sz w:val="21"/>
    </w:rPr>
  </w:style>
  <w:style w:type="paragraph" w:customStyle="1" w:styleId="PPO1BSpecificobjectivesBOX-BulletTurquoise">
    <w:name w:val="(PPO_1B) Specific objectives BOX - Bullet Turquoise"/>
    <w:basedOn w:val="BASE-STYLE-TEXT"/>
    <w:qFormat/>
    <w:pPr>
      <w:numPr>
        <w:numId w:val="43"/>
      </w:numPr>
      <w:spacing w:after="60" w:line="240" w:lineRule="auto"/>
    </w:pPr>
    <w:rPr>
      <w:rFonts w:eastAsia="Calibri"/>
      <w:bCs/>
      <w:color w:val="auto"/>
      <w:szCs w:val="22"/>
      <w:lang w:eastAsia="fr-BE"/>
    </w:rPr>
  </w:style>
  <w:style w:type="paragraph" w:customStyle="1" w:styleId="PPO1BSpecificobjectivesBOX-HeadingTurquoise">
    <w:name w:val="(PPO_1B) Specific objectives BOX - Heading Turquoise"/>
    <w:basedOn w:val="BASE-STYLE-TEXT"/>
    <w:qFormat/>
    <w:pPr>
      <w:spacing w:before="140" w:after="120"/>
      <w:ind w:left="-119" w:right="-16" w:firstLine="9"/>
      <w:jc w:val="left"/>
    </w:pPr>
    <w:rPr>
      <w:rFonts w:ascii="EC Square Sans Cond Pro" w:hAnsi="EC Square Sans Cond Pro"/>
      <w:b/>
      <w:color w:val="18BAA8"/>
      <w:sz w:val="21"/>
    </w:rPr>
  </w:style>
  <w:style w:type="numbering" w:customStyle="1" w:styleId="PPO1BSpecificObjectivesBulletsLIST">
    <w:name w:val="(PPO_1B) Specific Objectives Bullets (LIST)"/>
    <w:uiPriority w:val="99"/>
    <w:pPr>
      <w:numPr>
        <w:numId w:val="43"/>
      </w:numPr>
    </w:pPr>
  </w:style>
  <w:style w:type="paragraph" w:customStyle="1" w:styleId="PPO1BTitle1">
    <w:name w:val="(PPO_1B) Title 1"/>
    <w:basedOn w:val="BASE-STYLE-HEADINGS"/>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qFormat/>
    <w:pPr>
      <w:spacing w:before="60" w:after="60" w:line="240" w:lineRule="auto"/>
      <w:jc w:val="left"/>
    </w:pPr>
    <w:rPr>
      <w:rFonts w:cstheme="minorBidi"/>
      <w:bCs/>
      <w:color w:val="18BAA8"/>
      <w:sz w:val="22"/>
      <w:szCs w:val="22"/>
    </w:rPr>
  </w:style>
  <w:style w:type="paragraph" w:customStyle="1" w:styleId="PPO1BVotedbudgetTABLEtextTurquoise">
    <w:name w:val="(PPO_1B) Voted budget TABLE text Turquoise"/>
    <w:basedOn w:val="BASE-STYLE-TEXT"/>
    <w:qFormat/>
    <w:pPr>
      <w:framePr w:hSpace="181" w:wrap="around" w:vAnchor="page" w:hAnchor="page" w:x="3448" w:y="13530"/>
      <w:spacing w:after="60" w:line="240" w:lineRule="auto"/>
      <w:suppressOverlap/>
      <w:jc w:val="center"/>
    </w:pPr>
    <w:rPr>
      <w:rFonts w:asciiTheme="minorHAnsi" w:hAnsiTheme="minorHAnsi" w:cstheme="minorBidi"/>
      <w:bCs/>
      <w:color w:val="18BAA8"/>
      <w:sz w:val="22"/>
      <w:szCs w:val="22"/>
    </w:rPr>
  </w:style>
  <w:style w:type="paragraph" w:customStyle="1" w:styleId="PPO2sidebarchartCenterText">
    <w:name w:val="(PPO_2) sidebar chart Center Text"/>
    <w:basedOn w:val="BASE-STYLE-TEXT"/>
    <w:qFormat/>
    <w:pPr>
      <w:spacing w:after="120" w:line="240" w:lineRule="auto"/>
      <w:jc w:val="center"/>
    </w:pPr>
    <w:rPr>
      <w:rFonts w:cstheme="minorBidi"/>
      <w:bCs/>
      <w:color w:val="9ACA3C"/>
      <w:sz w:val="22"/>
      <w:szCs w:val="22"/>
    </w:rPr>
  </w:style>
  <w:style w:type="paragraph" w:customStyle="1" w:styleId="PPO2sidebarTablecaption">
    <w:name w:val="(PPO_2) sidebar Table caption"/>
    <w:basedOn w:val="BASE-STYLE-TEXT"/>
    <w:qFormat/>
    <w:pPr>
      <w:widowControl w:val="0"/>
      <w:tabs>
        <w:tab w:val="right" w:pos="2181"/>
      </w:tabs>
      <w:spacing w:after="120" w:line="192" w:lineRule="exact"/>
      <w:jc w:val="right"/>
    </w:pPr>
    <w:rPr>
      <w:rFonts w:eastAsia="EC Square Sans Cond Pro Medium" w:cs="EC Square Sans Cond Pro Medium"/>
      <w:bCs/>
      <w:color w:val="9ACA3C"/>
      <w:sz w:val="16"/>
      <w:shd w:val="clear" w:color="auto" w:fill="FFFFFF"/>
    </w:rPr>
  </w:style>
  <w:style w:type="paragraph" w:customStyle="1" w:styleId="PPO2sidebarTitleOlive">
    <w:name w:val="(PPO_2) sidebar Title Olive"/>
    <w:basedOn w:val="BASE-STYLE-TEXT"/>
    <w:qFormat/>
    <w:pPr>
      <w:autoSpaceDE w:val="0"/>
      <w:autoSpaceDN w:val="0"/>
      <w:adjustRightInd w:val="0"/>
      <w:spacing w:before="340" w:after="40" w:line="240" w:lineRule="auto"/>
      <w:jc w:val="right"/>
    </w:pPr>
    <w:rPr>
      <w:rFonts w:ascii="EC Square Sans Cond Pro" w:hAnsi="EC Square Sans Cond Pro"/>
      <w:b/>
      <w:color w:val="668725"/>
      <w:sz w:val="16"/>
    </w:rPr>
  </w:style>
  <w:style w:type="paragraph" w:customStyle="1" w:styleId="PPO2sidebarTitleSpringGreen">
    <w:name w:val="(PPO_2) sidebar Title SpringGreen"/>
    <w:basedOn w:val="BASE-STYLE-TEXT"/>
    <w:qFormat/>
    <w:pPr>
      <w:autoSpaceDE w:val="0"/>
      <w:autoSpaceDN w:val="0"/>
      <w:adjustRightInd w:val="0"/>
      <w:spacing w:before="440" w:after="60" w:line="241" w:lineRule="atLeast"/>
      <w:jc w:val="right"/>
    </w:pPr>
    <w:rPr>
      <w:rFonts w:ascii="EC Square Sans Cond Pro" w:hAnsi="EC Square Sans Cond Pro"/>
      <w:b/>
      <w:color w:val="9ACA3C"/>
      <w:sz w:val="21"/>
    </w:rPr>
  </w:style>
  <w:style w:type="paragraph" w:customStyle="1" w:styleId="PPO2SpecificobjectivesBOX-BulletSpringGreen">
    <w:name w:val="(PPO_2) Specific objectives BOX - Bullet SpringGreen"/>
    <w:basedOn w:val="BASE-STYLE-TEXT"/>
    <w:qFormat/>
    <w:pPr>
      <w:numPr>
        <w:numId w:val="44"/>
      </w:numPr>
      <w:spacing w:after="60" w:line="240" w:lineRule="auto"/>
    </w:pPr>
    <w:rPr>
      <w:rFonts w:eastAsia="Calibri"/>
      <w:bCs/>
      <w:color w:val="auto"/>
      <w:szCs w:val="22"/>
      <w:lang w:eastAsia="fr-BE"/>
    </w:rPr>
  </w:style>
  <w:style w:type="paragraph" w:customStyle="1" w:styleId="PPO2SpecificobjectivesBOX-HeadingSpringGreen">
    <w:name w:val="(PPO_2) Specific objectives BOX - Heading SpringGreen"/>
    <w:basedOn w:val="BASE-STYLE-TEXT"/>
    <w:qFormat/>
    <w:pPr>
      <w:spacing w:before="140" w:after="120"/>
      <w:ind w:left="-119" w:right="-16" w:firstLine="9"/>
      <w:jc w:val="left"/>
    </w:pPr>
    <w:rPr>
      <w:rFonts w:ascii="EC Square Sans Cond Pro" w:hAnsi="EC Square Sans Cond Pro"/>
      <w:b/>
      <w:color w:val="9ACA3C"/>
      <w:sz w:val="21"/>
    </w:rPr>
  </w:style>
  <w:style w:type="numbering" w:customStyle="1" w:styleId="PPO2SpecificObjectivesBulletsLIST">
    <w:name w:val="(PPO_2) Specific Objectives Bullets (LIST)"/>
    <w:uiPriority w:val="99"/>
    <w:pPr>
      <w:numPr>
        <w:numId w:val="44"/>
      </w:numPr>
    </w:pPr>
  </w:style>
  <w:style w:type="paragraph" w:customStyle="1" w:styleId="PPO2Title1">
    <w:name w:val="(PPO_2) Title 1"/>
    <w:basedOn w:val="BASE-STYLE-HEADINGS"/>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qFormat/>
    <w:pPr>
      <w:spacing w:before="60" w:after="60" w:line="240" w:lineRule="auto"/>
      <w:jc w:val="left"/>
    </w:pPr>
    <w:rPr>
      <w:rFonts w:cstheme="minorBidi"/>
      <w:bCs/>
      <w:color w:val="9ACA3C"/>
      <w:sz w:val="22"/>
      <w:szCs w:val="22"/>
    </w:rPr>
  </w:style>
  <w:style w:type="paragraph" w:customStyle="1" w:styleId="PPO2VotedbudgetTABLEtextSpringGreen">
    <w:name w:val="(PPO_2) Voted budget TABLE text SpringGreen"/>
    <w:basedOn w:val="BASE-STYLE-TEXT"/>
    <w:qFormat/>
    <w:pPr>
      <w:framePr w:hSpace="181" w:wrap="around" w:vAnchor="page" w:hAnchor="page" w:x="3448" w:y="13530"/>
      <w:spacing w:after="60" w:line="240" w:lineRule="auto"/>
      <w:suppressOverlap/>
      <w:jc w:val="center"/>
    </w:pPr>
    <w:rPr>
      <w:rFonts w:asciiTheme="minorHAnsi" w:hAnsiTheme="minorHAnsi" w:cstheme="minorBidi"/>
      <w:bCs/>
      <w:color w:val="9ACA3C"/>
      <w:sz w:val="22"/>
      <w:szCs w:val="22"/>
    </w:rPr>
  </w:style>
  <w:style w:type="paragraph" w:customStyle="1" w:styleId="PPO3sidebarchartCenterText">
    <w:name w:val="(PPO_3) sidebar chart Center Text"/>
    <w:basedOn w:val="BASE-STYLE-TEXT"/>
    <w:qFormat/>
    <w:pPr>
      <w:spacing w:after="120" w:line="240" w:lineRule="auto"/>
      <w:jc w:val="center"/>
    </w:pPr>
    <w:rPr>
      <w:rFonts w:cstheme="minorBidi"/>
      <w:bCs/>
      <w:color w:val="585EAA"/>
      <w:sz w:val="22"/>
      <w:szCs w:val="22"/>
    </w:rPr>
  </w:style>
  <w:style w:type="paragraph" w:customStyle="1" w:styleId="PPO3sidebarTablecaption">
    <w:name w:val="(PPO_3) sidebar Table caption"/>
    <w:basedOn w:val="BASE-STYLE-TEXT"/>
    <w:qFormat/>
    <w:pPr>
      <w:widowControl w:val="0"/>
      <w:tabs>
        <w:tab w:val="right" w:pos="2181"/>
      </w:tabs>
      <w:spacing w:after="120" w:line="192" w:lineRule="exact"/>
      <w:jc w:val="right"/>
    </w:pPr>
    <w:rPr>
      <w:rFonts w:eastAsia="EC Square Sans Cond Pro Medium" w:cs="EC Square Sans Cond Pro Medium"/>
      <w:bCs/>
      <w:color w:val="585EAA"/>
      <w:sz w:val="16"/>
      <w:shd w:val="clear" w:color="auto" w:fill="FFFFFF"/>
    </w:rPr>
  </w:style>
  <w:style w:type="paragraph" w:customStyle="1" w:styleId="PPO3sidebarTitleDarkBlue">
    <w:name w:val="(PPO_3) sidebar Title DarkBlue"/>
    <w:basedOn w:val="BASE-STYLE-TEXT"/>
    <w:qFormat/>
    <w:pPr>
      <w:autoSpaceDE w:val="0"/>
      <w:autoSpaceDN w:val="0"/>
      <w:adjustRightInd w:val="0"/>
      <w:spacing w:before="340" w:after="40" w:line="240" w:lineRule="auto"/>
      <w:jc w:val="right"/>
    </w:pPr>
    <w:rPr>
      <w:rFonts w:ascii="EC Square Sans Cond Pro" w:hAnsi="EC Square Sans Cond Pro"/>
      <w:b/>
      <w:color w:val="333663"/>
      <w:sz w:val="16"/>
    </w:rPr>
  </w:style>
  <w:style w:type="paragraph" w:customStyle="1" w:styleId="PPO3sidebarTitlePurple">
    <w:name w:val="(PPO_3) sidebar Title Purple"/>
    <w:basedOn w:val="BASE-STYLE-TEXT"/>
    <w:qFormat/>
    <w:pPr>
      <w:autoSpaceDE w:val="0"/>
      <w:autoSpaceDN w:val="0"/>
      <w:adjustRightInd w:val="0"/>
      <w:spacing w:before="440" w:after="60" w:line="241" w:lineRule="atLeast"/>
      <w:jc w:val="right"/>
    </w:pPr>
    <w:rPr>
      <w:rFonts w:ascii="EC Square Sans Cond Pro" w:hAnsi="EC Square Sans Cond Pro"/>
      <w:b/>
      <w:color w:val="585EAA"/>
      <w:sz w:val="21"/>
    </w:rPr>
  </w:style>
  <w:style w:type="paragraph" w:customStyle="1" w:styleId="PPO3SpecificobjectivesBOX-BulletPurple">
    <w:name w:val="(PPO_3) Specific objectives BOX - Bullet Purple"/>
    <w:basedOn w:val="BASE-STYLE-TEXT"/>
    <w:qFormat/>
    <w:pPr>
      <w:numPr>
        <w:numId w:val="45"/>
      </w:numPr>
      <w:spacing w:after="60" w:line="240" w:lineRule="auto"/>
    </w:pPr>
    <w:rPr>
      <w:rFonts w:eastAsia="Calibri"/>
      <w:bCs/>
      <w:color w:val="auto"/>
      <w:szCs w:val="22"/>
      <w:lang w:eastAsia="fr-BE"/>
    </w:rPr>
  </w:style>
  <w:style w:type="paragraph" w:customStyle="1" w:styleId="PPO3SpecificobjectivesBOX-HeadingPurple">
    <w:name w:val="(PPO_3) Specific objectives BOX - Heading Purple"/>
    <w:basedOn w:val="BASE-STYLE-TEXT"/>
    <w:qFormat/>
    <w:pPr>
      <w:spacing w:before="140" w:after="120"/>
      <w:ind w:left="-119" w:right="-16" w:firstLine="9"/>
      <w:jc w:val="left"/>
    </w:pPr>
    <w:rPr>
      <w:rFonts w:ascii="EC Square Sans Cond Pro" w:hAnsi="EC Square Sans Cond Pro"/>
      <w:b/>
      <w:color w:val="585EAA"/>
      <w:sz w:val="21"/>
    </w:rPr>
  </w:style>
  <w:style w:type="numbering" w:customStyle="1" w:styleId="PPO3SpecificObjectivesBulletsLIST">
    <w:name w:val="(PPO_3) Specific Objectives Bullets (LIST)"/>
    <w:uiPriority w:val="99"/>
    <w:pPr>
      <w:numPr>
        <w:numId w:val="45"/>
      </w:numPr>
    </w:pPr>
  </w:style>
  <w:style w:type="paragraph" w:customStyle="1" w:styleId="PPO3Title1">
    <w:name w:val="(PPO_3) Title 1"/>
    <w:basedOn w:val="BASE-STYLE-HEADINGS"/>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qFormat/>
    <w:pPr>
      <w:spacing w:before="60" w:after="60" w:line="240" w:lineRule="auto"/>
      <w:jc w:val="left"/>
    </w:pPr>
    <w:rPr>
      <w:rFonts w:cstheme="minorBidi"/>
      <w:bCs/>
      <w:color w:val="585EAA"/>
      <w:sz w:val="22"/>
      <w:szCs w:val="22"/>
    </w:rPr>
  </w:style>
  <w:style w:type="paragraph" w:customStyle="1" w:styleId="PPO3VotedbudgetTABLEtextBlue">
    <w:name w:val="(PPO_3)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color w:val="0070C0"/>
      <w:sz w:val="22"/>
      <w:szCs w:val="22"/>
    </w:rPr>
  </w:style>
  <w:style w:type="paragraph" w:customStyle="1" w:styleId="PPO4sidebarchartCenterText">
    <w:name w:val="(PPO_4) sidebar chart Center Text"/>
    <w:basedOn w:val="BASE-STYLE-TEXT"/>
    <w:qFormat/>
    <w:pPr>
      <w:spacing w:after="120" w:line="240" w:lineRule="auto"/>
      <w:jc w:val="center"/>
    </w:pPr>
    <w:rPr>
      <w:rFonts w:cstheme="minorBidi"/>
      <w:bCs/>
      <w:color w:val="F68A42"/>
      <w:sz w:val="22"/>
      <w:szCs w:val="22"/>
    </w:rPr>
  </w:style>
  <w:style w:type="paragraph" w:customStyle="1" w:styleId="PPO4sidebarTablecaption">
    <w:name w:val="(PPO_4) sidebar Table caption"/>
    <w:basedOn w:val="BASE-STYLE-TEXT"/>
    <w:qFormat/>
    <w:pPr>
      <w:widowControl w:val="0"/>
      <w:tabs>
        <w:tab w:val="right" w:pos="2181"/>
      </w:tabs>
      <w:spacing w:after="120" w:line="192" w:lineRule="exact"/>
      <w:jc w:val="right"/>
    </w:pPr>
    <w:rPr>
      <w:rFonts w:eastAsia="EC Square Sans Cond Pro Medium" w:cs="EC Square Sans Cond Pro Medium"/>
      <w:bCs/>
      <w:color w:val="F68A42"/>
      <w:sz w:val="16"/>
      <w:shd w:val="clear" w:color="auto" w:fill="FFFFFF"/>
    </w:rPr>
  </w:style>
  <w:style w:type="paragraph" w:customStyle="1" w:styleId="PPO4sidebarTitleBrown">
    <w:name w:val="(PPO_4) sidebar Title Brown"/>
    <w:basedOn w:val="BASE-STYLE-TEXT"/>
    <w:qFormat/>
    <w:pPr>
      <w:autoSpaceDE w:val="0"/>
      <w:autoSpaceDN w:val="0"/>
      <w:adjustRightInd w:val="0"/>
      <w:spacing w:before="340" w:after="40" w:line="240" w:lineRule="auto"/>
      <w:jc w:val="right"/>
    </w:pPr>
    <w:rPr>
      <w:rFonts w:ascii="EC Square Sans Cond Pro" w:hAnsi="EC Square Sans Cond Pro"/>
      <w:b/>
      <w:color w:val="B74F09"/>
      <w:sz w:val="16"/>
    </w:rPr>
  </w:style>
  <w:style w:type="paragraph" w:customStyle="1" w:styleId="PPO4sidebarTitleLightBrown">
    <w:name w:val="(PPO_4) sidebar Title Light Brown"/>
    <w:basedOn w:val="BASE-STYLE-TEXT"/>
    <w:qFormat/>
    <w:pPr>
      <w:autoSpaceDE w:val="0"/>
      <w:autoSpaceDN w:val="0"/>
      <w:adjustRightInd w:val="0"/>
      <w:spacing w:before="440" w:after="60" w:line="241" w:lineRule="atLeast"/>
      <w:jc w:val="right"/>
    </w:pPr>
    <w:rPr>
      <w:rFonts w:ascii="EC Square Sans Cond Pro" w:hAnsi="EC Square Sans Cond Pro"/>
      <w:b/>
      <w:color w:val="F68A42"/>
      <w:sz w:val="21"/>
    </w:rPr>
  </w:style>
  <w:style w:type="paragraph" w:customStyle="1" w:styleId="PPO4SpecificobjectivesBOX-BulletLightBrown">
    <w:name w:val="(PPO_4) Specific objectives BOX - Bullet LightBrown"/>
    <w:basedOn w:val="BASE-STYLE-TEXT"/>
    <w:qFormat/>
    <w:pPr>
      <w:numPr>
        <w:numId w:val="46"/>
      </w:numPr>
      <w:spacing w:after="60" w:line="240" w:lineRule="auto"/>
    </w:pPr>
    <w:rPr>
      <w:rFonts w:eastAsia="Calibri"/>
      <w:bCs/>
      <w:color w:val="auto"/>
      <w:szCs w:val="22"/>
      <w:lang w:eastAsia="fr-BE"/>
    </w:rPr>
  </w:style>
  <w:style w:type="paragraph" w:customStyle="1" w:styleId="PPO4SpecificobjectivesBOX-HeadingLightBrown">
    <w:name w:val="(PPO_4) Specific objectives BOX - Heading Light Brown"/>
    <w:basedOn w:val="BASE-STYLE-TEXT"/>
    <w:qFormat/>
    <w:pPr>
      <w:spacing w:before="140" w:after="120"/>
      <w:ind w:left="-119" w:right="-16" w:firstLine="9"/>
      <w:jc w:val="left"/>
    </w:pPr>
    <w:rPr>
      <w:rFonts w:ascii="EC Square Sans Cond Pro" w:hAnsi="EC Square Sans Cond Pro"/>
      <w:b/>
      <w:color w:val="F68A42"/>
      <w:sz w:val="21"/>
    </w:rPr>
  </w:style>
  <w:style w:type="numbering" w:customStyle="1" w:styleId="PPO4SpecificObjectivesBulletsLIST">
    <w:name w:val="(PPO_4) Specific Objectives Bullets (LIST)"/>
    <w:uiPriority w:val="99"/>
    <w:pPr>
      <w:numPr>
        <w:numId w:val="46"/>
      </w:numPr>
    </w:pPr>
  </w:style>
  <w:style w:type="paragraph" w:customStyle="1" w:styleId="PPO4Title1">
    <w:name w:val="(PPO_4) Title 1"/>
    <w:basedOn w:val="BASE-STYLE-HEADINGS"/>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qFormat/>
    <w:pPr>
      <w:spacing w:before="60" w:after="60" w:line="240" w:lineRule="auto"/>
      <w:jc w:val="left"/>
    </w:pPr>
    <w:rPr>
      <w:rFonts w:cstheme="minorBidi"/>
      <w:bCs/>
      <w:color w:val="F68A42"/>
      <w:sz w:val="22"/>
      <w:szCs w:val="22"/>
    </w:rPr>
  </w:style>
  <w:style w:type="paragraph" w:customStyle="1" w:styleId="PPO4VotedbudgetTABLEtextLightBrown">
    <w:name w:val="(PPO_4) Voted budget TABLE text Light Brown"/>
    <w:basedOn w:val="BASE-STYLE-TEXT"/>
    <w:qFormat/>
    <w:pPr>
      <w:framePr w:hSpace="181" w:wrap="around" w:vAnchor="page" w:hAnchor="page" w:x="3448" w:y="13530"/>
      <w:spacing w:after="60" w:line="240" w:lineRule="auto"/>
      <w:suppressOverlap/>
      <w:jc w:val="center"/>
    </w:pPr>
    <w:rPr>
      <w:rFonts w:asciiTheme="minorHAnsi" w:hAnsiTheme="minorHAnsi" w:cstheme="minorBidi"/>
      <w:bCs/>
      <w:color w:val="F68A42"/>
      <w:sz w:val="22"/>
      <w:szCs w:val="22"/>
    </w:rPr>
  </w:style>
  <w:style w:type="paragraph" w:customStyle="1" w:styleId="PPOSIsidebarchartCenterText">
    <w:name w:val="(PPO_SI) sidebar chart Center Text"/>
    <w:basedOn w:val="BASE-STYLE-TEXT"/>
    <w:qFormat/>
    <w:pPr>
      <w:spacing w:after="120" w:line="240" w:lineRule="auto"/>
      <w:jc w:val="center"/>
    </w:pPr>
    <w:rPr>
      <w:rFonts w:cstheme="minorBidi"/>
      <w:bCs/>
      <w:color w:val="4BACC6"/>
      <w:sz w:val="22"/>
      <w:szCs w:val="22"/>
    </w:rPr>
  </w:style>
  <w:style w:type="paragraph" w:customStyle="1" w:styleId="PPOSIsidebarTablecaption">
    <w:name w:val="(PPO_SI) sidebar Table caption"/>
    <w:basedOn w:val="BASE-STYLE-TEXT"/>
    <w:qFormat/>
    <w:pPr>
      <w:widowControl w:val="0"/>
      <w:tabs>
        <w:tab w:val="right" w:pos="2181"/>
      </w:tabs>
      <w:spacing w:after="120" w:line="192" w:lineRule="exact"/>
      <w:jc w:val="right"/>
    </w:pPr>
    <w:rPr>
      <w:rFonts w:eastAsia="EC Square Sans Cond Pro Medium" w:cs="EC Square Sans Cond Pro Medium"/>
      <w:bCs/>
      <w:color w:val="4BACC6"/>
      <w:sz w:val="16"/>
      <w:shd w:val="clear" w:color="auto" w:fill="FFFFFF"/>
    </w:rPr>
  </w:style>
  <w:style w:type="paragraph" w:customStyle="1" w:styleId="PPOSIsidebarTitleElectricBlue">
    <w:name w:val="(PPO_SI) sidebar Title ElectricBlue"/>
    <w:basedOn w:val="BASE-STYLE-TEXT"/>
    <w:qFormat/>
    <w:pPr>
      <w:autoSpaceDE w:val="0"/>
      <w:autoSpaceDN w:val="0"/>
      <w:adjustRightInd w:val="0"/>
      <w:spacing w:before="440" w:after="60" w:line="241" w:lineRule="atLeast"/>
      <w:jc w:val="right"/>
    </w:pPr>
    <w:rPr>
      <w:rFonts w:ascii="EC Square Sans Cond Pro" w:hAnsi="EC Square Sans Cond Pro"/>
      <w:b/>
      <w:color w:val="4BACC6"/>
      <w:sz w:val="21"/>
    </w:rPr>
  </w:style>
  <w:style w:type="paragraph" w:customStyle="1" w:styleId="PPOSIsidebarTitlePeacockBlue">
    <w:name w:val="(PPO_SI) sidebar Title PeacockBlue"/>
    <w:basedOn w:val="BASE-STYLE-TEXT"/>
    <w:qFormat/>
    <w:pPr>
      <w:autoSpaceDE w:val="0"/>
      <w:autoSpaceDN w:val="0"/>
      <w:adjustRightInd w:val="0"/>
      <w:spacing w:before="340" w:after="40" w:line="240" w:lineRule="auto"/>
      <w:jc w:val="right"/>
    </w:pPr>
    <w:rPr>
      <w:rFonts w:ascii="EC Square Sans Cond Pro" w:hAnsi="EC Square Sans Cond Pro"/>
      <w:b/>
      <w:color w:val="215968"/>
      <w:sz w:val="16"/>
    </w:rPr>
  </w:style>
  <w:style w:type="paragraph" w:customStyle="1" w:styleId="PPOSISpecificobjectivesBOX-BulletElectricBlue">
    <w:name w:val="(PPO_SI) Specific objectives BOX - Bullet ElectricBlue"/>
    <w:basedOn w:val="BASE-STYLE-TEXT"/>
    <w:qFormat/>
    <w:pPr>
      <w:numPr>
        <w:numId w:val="47"/>
      </w:numPr>
      <w:spacing w:after="60" w:line="240" w:lineRule="auto"/>
    </w:pPr>
    <w:rPr>
      <w:rFonts w:eastAsia="Calibri"/>
      <w:bCs/>
      <w:color w:val="auto"/>
      <w:szCs w:val="22"/>
      <w:lang w:eastAsia="fr-BE"/>
    </w:rPr>
  </w:style>
  <w:style w:type="paragraph" w:customStyle="1" w:styleId="PPOSISpecificobjectivesBOX-HeadingElectricBlue">
    <w:name w:val="(PPO_SI) Specific objectives BOX - Heading ElectricBlue"/>
    <w:basedOn w:val="BASE-STYLE-TEXT"/>
    <w:qFormat/>
    <w:pPr>
      <w:spacing w:before="140" w:after="120"/>
      <w:ind w:left="-119" w:right="-16" w:firstLine="9"/>
      <w:jc w:val="left"/>
    </w:pPr>
    <w:rPr>
      <w:rFonts w:ascii="EC Square Sans Cond Pro" w:hAnsi="EC Square Sans Cond Pro"/>
      <w:b/>
      <w:color w:val="4BACC6"/>
      <w:sz w:val="21"/>
    </w:rPr>
  </w:style>
  <w:style w:type="numbering" w:customStyle="1" w:styleId="PPOSISpecificObjectivesBulletsLIST">
    <w:name w:val="(PPO_SI) Specific Objectives Bullets (LIST)"/>
    <w:uiPriority w:val="99"/>
    <w:pPr>
      <w:numPr>
        <w:numId w:val="47"/>
      </w:numPr>
    </w:pPr>
  </w:style>
  <w:style w:type="paragraph" w:customStyle="1" w:styleId="PPOSITitle1">
    <w:name w:val="(PPO_SI) Title 1"/>
    <w:basedOn w:val="BASE-STYLE-HEADINGS"/>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qFormat/>
    <w:pPr>
      <w:spacing w:before="60" w:after="60" w:line="240" w:lineRule="auto"/>
      <w:jc w:val="left"/>
    </w:pPr>
    <w:rPr>
      <w:rFonts w:cstheme="minorBidi"/>
      <w:bCs/>
      <w:color w:val="4BACC6"/>
      <w:sz w:val="22"/>
      <w:szCs w:val="22"/>
    </w:rPr>
  </w:style>
  <w:style w:type="paragraph" w:customStyle="1" w:styleId="PPOSIVotedbudgetTABLEElectricBlue">
    <w:name w:val="(PPO_SI) Voted budget TABLE ElectricBlue"/>
    <w:basedOn w:val="BASE-STYLE-TEXT"/>
    <w:qFormat/>
    <w:pPr>
      <w:framePr w:hSpace="181" w:wrap="around" w:vAnchor="page" w:hAnchor="page" w:x="3448" w:y="13530"/>
      <w:spacing w:after="60" w:line="240" w:lineRule="auto"/>
      <w:suppressOverlap/>
      <w:jc w:val="center"/>
    </w:pPr>
    <w:rPr>
      <w:rFonts w:asciiTheme="minorHAnsi" w:hAnsiTheme="minorHAnsi" w:cstheme="minorBidi"/>
      <w:bCs/>
      <w:color w:val="4BACC6"/>
      <w:sz w:val="22"/>
      <w:szCs w:val="22"/>
    </w:rPr>
  </w:style>
  <w:style w:type="paragraph" w:customStyle="1" w:styleId="AMPRAnnexesList-Columnspecifications-L1">
    <w:name w:val="(AMPR Annexes) List - Column specifications - L1"/>
    <w:basedOn w:val="AMPRBodyText"/>
    <w:qFormat/>
    <w:pPr>
      <w:numPr>
        <w:numId w:val="50"/>
      </w:numPr>
    </w:pPr>
  </w:style>
  <w:style w:type="paragraph" w:customStyle="1" w:styleId="AMPRAnnexesList-Columnspecifications-L1-Consecutive">
    <w:name w:val="(AMPR Annexes) List - Column specifications - L1 - Consecutive"/>
    <w:basedOn w:val="BASE-STYLE-TEXT"/>
    <w:qFormat/>
    <w:pPr>
      <w:spacing w:before="240" w:after="240" w:line="240" w:lineRule="auto"/>
      <w:ind w:left="357"/>
    </w:pPr>
    <w:rPr>
      <w:rFonts w:eastAsiaTheme="minorHAnsi" w:cstheme="minorBidi"/>
      <w:color w:val="000000"/>
      <w:sz w:val="20"/>
      <w:szCs w:val="20"/>
      <w:lang w:eastAsia="en-US"/>
    </w:rPr>
  </w:style>
  <w:style w:type="paragraph" w:customStyle="1" w:styleId="AMPRAnnexesList-Columnspecifications-L2">
    <w:name w:val="(AMPR Annexes) List - Column specifications - L2"/>
    <w:basedOn w:val="BASE-STYLE-TEXT"/>
    <w:qFormat/>
    <w:pPr>
      <w:numPr>
        <w:ilvl w:val="1"/>
        <w:numId w:val="50"/>
      </w:numPr>
      <w:spacing w:before="80" w:after="80" w:line="240" w:lineRule="auto"/>
    </w:pPr>
    <w:rPr>
      <w:rFonts w:eastAsiaTheme="minorHAnsi"/>
      <w:sz w:val="20"/>
      <w:szCs w:val="22"/>
      <w:lang w:eastAsia="en-US"/>
    </w:rPr>
  </w:style>
  <w:style w:type="numbering" w:customStyle="1" w:styleId="AMPRANNEXESLISTColumnSpecifications">
    <w:name w:val="(AMPR_ANNEXES_LIST) Column Specifications"/>
    <w:uiPriority w:val="99"/>
    <w:pPr>
      <w:numPr>
        <w:numId w:val="49"/>
      </w:numPr>
    </w:pPr>
  </w:style>
  <w:style w:type="paragraph" w:customStyle="1" w:styleId="AMPRAnnexesTITLE5">
    <w:name w:val="(AMPR_Annexes) TITLE 5"/>
    <w:basedOn w:val="BASE-STYLE-HEADINGS"/>
    <w:next w:val="AMPRBodyText"/>
    <w:qFormat/>
    <w:pPr>
      <w:keepNext/>
      <w:keepLines/>
      <w:spacing w:before="240" w:after="240" w:line="240" w:lineRule="auto"/>
      <w:ind w:left="340"/>
      <w:jc w:val="left"/>
    </w:pPr>
    <w:rPr>
      <w:rFonts w:eastAsiaTheme="minorHAnsi"/>
      <w:b/>
      <w:color w:val="FFC000" w:themeColor="accent4"/>
      <w:sz w:val="24"/>
      <w:szCs w:val="22"/>
    </w:rPr>
  </w:style>
  <w:style w:type="paragraph" w:customStyle="1" w:styleId="AMPRBOXE-bgBLUE-WHITEHeading">
    <w:name w:val="(AMPR) BOX E - bgBLUE - WHITE Heading"/>
    <w:basedOn w:val="BASE-STYLE-TEXT"/>
    <w:next w:val="AMPRBOXE-bgBLUE-WHITEtext"/>
    <w:qFormat/>
    <w:pPr>
      <w:pBdr>
        <w:top w:val="single" w:sz="4" w:space="9" w:color="005D95"/>
        <w:left w:val="single" w:sz="4" w:space="9" w:color="005D95"/>
        <w:bottom w:val="single" w:sz="4" w:space="9" w:color="005D95"/>
        <w:right w:val="single" w:sz="4" w:space="9" w:color="005D95"/>
      </w:pBdr>
      <w:shd w:val="clear" w:color="auto" w:fill="005D95"/>
      <w:spacing w:after="120" w:line="240" w:lineRule="auto"/>
    </w:pPr>
    <w:rPr>
      <w:rFonts w:eastAsiaTheme="minorHAnsi"/>
      <w:b/>
      <w:bCs/>
      <w:color w:val="FFFFFF" w:themeColor="background1"/>
      <w:sz w:val="22"/>
      <w:szCs w:val="22"/>
      <w:lang w:eastAsia="fr-BE"/>
    </w:rPr>
  </w:style>
  <w:style w:type="paragraph" w:customStyle="1" w:styleId="AMPRBOXE-bgBLUE-WHITEtext">
    <w:name w:val="(AMPR) BOX E - bgBLUE - WHITE text"/>
    <w:basedOn w:val="BASE-STYLE-TEXT"/>
    <w:qFormat/>
    <w:pPr>
      <w:pBdr>
        <w:top w:val="single" w:sz="4" w:space="9" w:color="005D95"/>
        <w:left w:val="single" w:sz="4" w:space="9" w:color="005D95"/>
        <w:bottom w:val="single" w:sz="4" w:space="9" w:color="005D95"/>
        <w:right w:val="single" w:sz="4" w:space="9" w:color="005D95"/>
      </w:pBdr>
      <w:shd w:val="clear" w:color="auto" w:fill="005D95"/>
      <w:spacing w:after="120" w:line="240" w:lineRule="auto"/>
    </w:pPr>
    <w:rPr>
      <w:rFonts w:eastAsiaTheme="minorHAnsi"/>
      <w:color w:val="FFFFFF" w:themeColor="background1"/>
      <w:sz w:val="20"/>
      <w:szCs w:val="22"/>
      <w:lang w:eastAsia="fr-BE"/>
    </w:rPr>
  </w:style>
  <w:style w:type="paragraph" w:customStyle="1" w:styleId="AMPRBOXC-bgPINK-ORANGEHeading">
    <w:name w:val="(AMPR) BOX C - bgPINK - ORANGE Heading"/>
    <w:basedOn w:val="BASE-STYLE-TEXT"/>
    <w:next w:val="AMPRBOXC-bgPINK-BLACKtext"/>
    <w:qFormat/>
    <w:pPr>
      <w:keepNext/>
      <w:keepLines/>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before="240" w:after="120" w:line="240" w:lineRule="auto"/>
    </w:pPr>
    <w:rPr>
      <w:rFonts w:eastAsiaTheme="minorHAnsi"/>
      <w:b/>
      <w:bCs/>
      <w:color w:val="ED7D31" w:themeColor="accent2"/>
      <w:sz w:val="22"/>
      <w:szCs w:val="24"/>
      <w:lang w:eastAsia="fr-BE"/>
    </w:rPr>
  </w:style>
  <w:style w:type="paragraph" w:customStyle="1" w:styleId="AMPRBOXB-bgWHITElnBLUE-BLACKHeading">
    <w:name w:val="(AMPR) BOX B - bgWHITE_lnBLUE - BLACK Heading"/>
    <w:basedOn w:val="BASE-STYLE-TEXT"/>
    <w:next w:val="AMPRBOXB-bgWHITElnBLUE-BLACK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b/>
      <w:bCs/>
      <w:sz w:val="20"/>
      <w:szCs w:val="22"/>
      <w:lang w:eastAsia="fr-BE"/>
    </w:rPr>
  </w:style>
  <w:style w:type="paragraph" w:customStyle="1" w:styleId="AMPRTABLEA-HEADERText-WHITE">
    <w:name w:val="(AMPR) TABLE A - HEADER Text - WHITE"/>
    <w:basedOn w:val="BASE-STYLE-TEXT"/>
    <w:qFormat/>
    <w:pPr>
      <w:spacing w:before="60" w:after="60" w:line="240" w:lineRule="auto"/>
      <w:jc w:val="center"/>
    </w:pPr>
    <w:rPr>
      <w:rFonts w:cs="Arial"/>
      <w:b/>
      <w:bCs/>
      <w:color w:val="FFFFFF"/>
      <w:szCs w:val="16"/>
      <w:lang w:eastAsia="en-US"/>
    </w:rPr>
  </w:style>
  <w:style w:type="table" w:customStyle="1" w:styleId="AMPRTABLEA-Template">
    <w:name w:val="(AMPR) TABLE A - Template"/>
    <w:basedOn w:val="TableNormal"/>
    <w:uiPriority w:val="99"/>
    <w:pPr>
      <w:keepLines/>
      <w:spacing w:before="60" w:after="60" w:line="240" w:lineRule="auto"/>
      <w:jc w:val="right"/>
    </w:pPr>
    <w:rPr>
      <w:rFonts w:ascii="EC Square Sans Pro" w:hAnsi="EC Square Sans Pro"/>
      <w:sz w:val="18"/>
      <w:lang w:val="fr-BE"/>
    </w:rPr>
    <w:tblPr>
      <w:tblInd w:w="108" w:type="dxa"/>
      <w:tblBorders>
        <w:bottom w:val="single" w:sz="4" w:space="0" w:color="F68A42"/>
        <w:insideH w:val="single" w:sz="4" w:space="0" w:color="F68A42"/>
        <w:insideV w:val="single" w:sz="4" w:space="0" w:color="F68A42"/>
      </w:tblBorders>
    </w:tblPr>
    <w:trPr>
      <w:cantSplit/>
    </w:trPr>
    <w:tblStylePr w:type="firstRow">
      <w:pPr>
        <w:wordWrap/>
        <w:spacing w:beforeLines="60" w:before="60" w:beforeAutospacing="0" w:afterLines="60" w:after="60" w:afterAutospacing="0" w:line="240" w:lineRule="auto"/>
        <w:jc w:val="center"/>
        <w:outlineLvl w:val="9"/>
      </w:pPr>
      <w:rPr>
        <w:rFonts w:ascii="EC Square Sans Pro" w:hAnsi="EC Square Sans Pro"/>
        <w:b w:val="0"/>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203F79"/>
        <w:vAlign w:val="center"/>
      </w:tcPr>
    </w:tblStylePr>
    <w:tblStylePr w:type="lastRow">
      <w:rPr>
        <w:b w:val="0"/>
        <w:i w:val="0"/>
      </w:rPr>
      <w:tblPr/>
      <w:tcPr>
        <w:shd w:val="clear" w:color="auto" w:fill="DEEAF6" w:themeFill="accent1" w:themeFillTint="33"/>
      </w:tcPr>
    </w:tblStylePr>
    <w:tblStylePr w:type="firstCol">
      <w:pPr>
        <w:wordWrap/>
        <w:jc w:val="left"/>
      </w:pPr>
    </w:tblStylePr>
  </w:style>
  <w:style w:type="paragraph" w:customStyle="1" w:styleId="AMPRTABLEA-TextJUSTIFIED-BLACK">
    <w:name w:val="(AMPR) TABLE A - Text JUSTIFIED - BLACK"/>
    <w:basedOn w:val="BASE-STYLE-TEXT"/>
    <w:qFormat/>
    <w:pPr>
      <w:spacing w:before="60" w:after="60" w:line="240" w:lineRule="auto"/>
    </w:pPr>
    <w:rPr>
      <w:rFonts w:asciiTheme="minorHAnsi" w:hAnsiTheme="minorHAnsi" w:cs="Arial"/>
      <w:color w:val="000000"/>
      <w:szCs w:val="18"/>
      <w:lang w:eastAsia="en-US"/>
    </w:rPr>
  </w:style>
  <w:style w:type="paragraph" w:customStyle="1" w:styleId="AMPRTABLEA-TextLEFTalligned-BLACK">
    <w:name w:val="(AMPR) TABLE A - Text LEFT_alligned - BLACK"/>
    <w:basedOn w:val="BASE-STYLE-TEXT"/>
    <w:qFormat/>
    <w:pPr>
      <w:spacing w:before="60" w:after="60" w:line="240" w:lineRule="auto"/>
      <w:jc w:val="left"/>
    </w:pPr>
    <w:rPr>
      <w:rFonts w:asciiTheme="minorHAnsi" w:hAnsiTheme="minorHAnsi" w:cs="Arial"/>
      <w:color w:val="000000"/>
      <w:szCs w:val="18"/>
      <w:lang w:eastAsia="en-US"/>
    </w:rPr>
  </w:style>
  <w:style w:type="paragraph" w:customStyle="1" w:styleId="AMPRTABLEA-TextRIGHTalligned-BLACK">
    <w:name w:val="(AMPR) TABLE A - Text RIGHT_alligned - BLACK"/>
    <w:basedOn w:val="BASE-STYLE-TEXT"/>
    <w:qFormat/>
    <w:pPr>
      <w:spacing w:before="60" w:after="60" w:line="240" w:lineRule="auto"/>
      <w:jc w:val="right"/>
    </w:pPr>
    <w:rPr>
      <w:rFonts w:asciiTheme="minorHAnsi" w:eastAsia="Times New Roman" w:hAnsiTheme="minorHAnsi" w:cs="Arial"/>
      <w:color w:val="000000"/>
      <w:szCs w:val="18"/>
      <w:lang w:eastAsia="en-US"/>
    </w:rPr>
  </w:style>
  <w:style w:type="paragraph" w:customStyle="1" w:styleId="AMPRTABLEA-TOTALLEFTalligned-BLACK">
    <w:name w:val="(AMPR) TABLE A - TOTAL LEFT_alligned - BLACK"/>
    <w:basedOn w:val="BASE-STYLE-TEXT"/>
    <w:qFormat/>
    <w:pPr>
      <w:spacing w:before="60" w:after="60" w:line="240" w:lineRule="auto"/>
      <w:jc w:val="left"/>
    </w:pPr>
    <w:rPr>
      <w:rFonts w:asciiTheme="minorHAnsi" w:eastAsia="Times New Roman" w:hAnsiTheme="minorHAnsi" w:cs="Arial"/>
      <w:b/>
      <w:color w:val="000000"/>
      <w:szCs w:val="18"/>
      <w:lang w:eastAsia="en-US"/>
    </w:rPr>
  </w:style>
  <w:style w:type="paragraph" w:customStyle="1" w:styleId="AMPRTABLEA-TOTALRIGHTalligned-BLACK">
    <w:name w:val="(AMPR) TABLE A - TOTAL RIGHT_alligned - BLACK"/>
    <w:basedOn w:val="BASE-STYLE-TEXT"/>
    <w:qFormat/>
    <w:pPr>
      <w:spacing w:before="60" w:after="60" w:line="240" w:lineRule="auto"/>
      <w:jc w:val="right"/>
    </w:pPr>
    <w:rPr>
      <w:rFonts w:asciiTheme="minorHAnsi" w:eastAsiaTheme="minorHAnsi" w:hAnsiTheme="minorHAnsi" w:cs="Arial"/>
      <w:b/>
      <w:color w:val="000000"/>
      <w:szCs w:val="18"/>
      <w:lang w:eastAsia="en-US"/>
    </w:rPr>
  </w:style>
  <w:style w:type="paragraph" w:customStyle="1" w:styleId="AMPRTABLEA-TextLEFTallignedindented-BLACK">
    <w:name w:val="(AMPR) TABLE A - Text LEFT_alligned_indented - BLACK"/>
    <w:basedOn w:val="AMPRTABLEA-TextLEFTalligned-BLACK"/>
    <w:qFormat/>
    <w:pPr>
      <w:ind w:left="142"/>
    </w:pPr>
  </w:style>
  <w:style w:type="paragraph" w:customStyle="1" w:styleId="AMPRAnnexesTITLE3-Numbered">
    <w:name w:val="(AMPR_Annexes) TITLE 3 - Numbered"/>
    <w:basedOn w:val="BASE-STYLE-HEADINGS"/>
    <w:next w:val="AMPRBodyText"/>
    <w:qFormat/>
    <w:pPr>
      <w:keepNext/>
      <w:keepLines/>
      <w:numPr>
        <w:numId w:val="55"/>
      </w:numPr>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Numbered">
    <w:name w:val="(AMPR_Annexes) TITLE 4 - Numbered"/>
    <w:basedOn w:val="BASE-STYLE-HEADINGS"/>
    <w:next w:val="AMPRBodyText"/>
    <w:qFormat/>
    <w:pPr>
      <w:keepNext/>
      <w:keepLines/>
      <w:numPr>
        <w:ilvl w:val="1"/>
        <w:numId w:val="55"/>
      </w:numPr>
      <w:spacing w:before="360" w:after="240" w:line="240" w:lineRule="auto"/>
      <w:jc w:val="left"/>
      <w:outlineLvl w:val="2"/>
    </w:pPr>
    <w:rPr>
      <w:rFonts w:eastAsiaTheme="minorHAnsi"/>
      <w:b/>
      <w:color w:val="5B9BD5" w:themeColor="accent1"/>
      <w:sz w:val="28"/>
      <w:szCs w:val="22"/>
    </w:rPr>
  </w:style>
  <w:style w:type="numbering" w:customStyle="1" w:styleId="AMPRLIST-Annexes-Headings">
    <w:name w:val="(AMPR) LIST - Annexes - Headings"/>
    <w:uiPriority w:val="99"/>
    <w:pPr>
      <w:numPr>
        <w:numId w:val="54"/>
      </w:numPr>
    </w:pPr>
  </w:style>
  <w:style w:type="paragraph" w:customStyle="1" w:styleId="AMPRAnnexesTITLE6">
    <w:name w:val="(AMPR_Annexes) TITLE 6"/>
    <w:basedOn w:val="BASE-STYLE-HEADINGS"/>
    <w:next w:val="AMPRBodyText"/>
    <w:qFormat/>
    <w:pPr>
      <w:keepNext/>
      <w:keepLines/>
      <w:spacing w:before="240" w:after="240" w:line="240" w:lineRule="auto"/>
      <w:jc w:val="left"/>
    </w:pPr>
    <w:rPr>
      <w:rFonts w:eastAsiaTheme="minorHAnsi"/>
      <w:b/>
      <w:color w:val="5B9BD5" w:themeColor="accent1"/>
      <w:sz w:val="22"/>
      <w:szCs w:val="22"/>
    </w:r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color w:val="auto"/>
      <w:sz w:val="16"/>
      <w:szCs w:val="16"/>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50.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image" Target="media/image5.emf"/><Relationship Id="rId63" Type="http://schemas.openxmlformats.org/officeDocument/2006/relationships/footer" Target="footer26.xml"/><Relationship Id="rId68" Type="http://schemas.openxmlformats.org/officeDocument/2006/relationships/header" Target="header28.xml"/><Relationship Id="rId84" Type="http://schemas.openxmlformats.org/officeDocument/2006/relationships/header" Target="header34.xml"/><Relationship Id="rId89" Type="http://schemas.openxmlformats.org/officeDocument/2006/relationships/footer" Target="footer36.xml"/><Relationship Id="rId112" Type="http://schemas.openxmlformats.org/officeDocument/2006/relationships/footer" Target="footer46.xml"/><Relationship Id="rId133" Type="http://schemas.openxmlformats.org/officeDocument/2006/relationships/footer" Target="footer57.xml"/><Relationship Id="rId138" Type="http://schemas.openxmlformats.org/officeDocument/2006/relationships/header" Target="header60.xml"/><Relationship Id="rId154" Type="http://schemas.openxmlformats.org/officeDocument/2006/relationships/footer" Target="footer67.xml"/><Relationship Id="rId159" Type="http://schemas.openxmlformats.org/officeDocument/2006/relationships/header" Target="header70.xml"/><Relationship Id="rId16" Type="http://schemas.openxmlformats.org/officeDocument/2006/relationships/header" Target="header4.xml"/><Relationship Id="rId107" Type="http://schemas.openxmlformats.org/officeDocument/2006/relationships/footer" Target="footer44.xml"/><Relationship Id="rId11" Type="http://schemas.openxmlformats.org/officeDocument/2006/relationships/footer" Target="footer2.xml"/><Relationship Id="rId32" Type="http://schemas.openxmlformats.org/officeDocument/2006/relationships/header" Target="header12.xml"/><Relationship Id="rId37" Type="http://schemas.openxmlformats.org/officeDocument/2006/relationships/footer" Target="footer14.xml"/><Relationship Id="rId53" Type="http://schemas.openxmlformats.org/officeDocument/2006/relationships/footer" Target="footer21.xml"/><Relationship Id="rId58" Type="http://schemas.openxmlformats.org/officeDocument/2006/relationships/header" Target="header24.xml"/><Relationship Id="rId74" Type="http://schemas.openxmlformats.org/officeDocument/2006/relationships/header" Target="header31.xml"/><Relationship Id="rId79" Type="http://schemas.openxmlformats.org/officeDocument/2006/relationships/footer" Target="footer33.xml"/><Relationship Id="rId102" Type="http://schemas.openxmlformats.org/officeDocument/2006/relationships/footer" Target="footer42.xml"/><Relationship Id="rId123" Type="http://schemas.openxmlformats.org/officeDocument/2006/relationships/header" Target="header53.xml"/><Relationship Id="rId128" Type="http://schemas.openxmlformats.org/officeDocument/2006/relationships/header" Target="header55.xml"/><Relationship Id="rId144" Type="http://schemas.openxmlformats.org/officeDocument/2006/relationships/header" Target="header63.xml"/><Relationship Id="rId149" Type="http://schemas.openxmlformats.org/officeDocument/2006/relationships/footer" Target="footer65.xml"/><Relationship Id="rId5" Type="http://schemas.openxmlformats.org/officeDocument/2006/relationships/footnotes" Target="footnotes.xml"/><Relationship Id="rId90" Type="http://schemas.openxmlformats.org/officeDocument/2006/relationships/image" Target="media/image12.emf"/><Relationship Id="rId95" Type="http://schemas.openxmlformats.org/officeDocument/2006/relationships/header" Target="header39.xml"/><Relationship Id="rId160" Type="http://schemas.openxmlformats.org/officeDocument/2006/relationships/header" Target="header71.xml"/><Relationship Id="rId165" Type="http://schemas.openxmlformats.org/officeDocument/2006/relationships/fontTable" Target="fontTable.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7.xml"/><Relationship Id="rId48" Type="http://schemas.openxmlformats.org/officeDocument/2006/relationships/header" Target="header19.xml"/><Relationship Id="rId64" Type="http://schemas.openxmlformats.org/officeDocument/2006/relationships/header" Target="header27.xml"/><Relationship Id="rId69" Type="http://schemas.openxmlformats.org/officeDocument/2006/relationships/header" Target="header29.xml"/><Relationship Id="rId113" Type="http://schemas.openxmlformats.org/officeDocument/2006/relationships/footer" Target="footer47.xml"/><Relationship Id="rId118" Type="http://schemas.openxmlformats.org/officeDocument/2006/relationships/footer" Target="footer49.xml"/><Relationship Id="rId134" Type="http://schemas.openxmlformats.org/officeDocument/2006/relationships/header" Target="header58.xml"/><Relationship Id="rId139" Type="http://schemas.openxmlformats.org/officeDocument/2006/relationships/footer" Target="footer60.xml"/><Relationship Id="rId80" Type="http://schemas.openxmlformats.org/officeDocument/2006/relationships/image" Target="media/image8.emf"/><Relationship Id="rId85" Type="http://schemas.openxmlformats.org/officeDocument/2006/relationships/header" Target="header35.xml"/><Relationship Id="rId150" Type="http://schemas.openxmlformats.org/officeDocument/2006/relationships/header" Target="header66.xml"/><Relationship Id="rId155" Type="http://schemas.openxmlformats.org/officeDocument/2006/relationships/footer" Target="footer68.xm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header" Target="header15.xml"/><Relationship Id="rId59" Type="http://schemas.openxmlformats.org/officeDocument/2006/relationships/footer" Target="footer24.xml"/><Relationship Id="rId103" Type="http://schemas.openxmlformats.org/officeDocument/2006/relationships/chart" Target="charts/chart1.xml"/><Relationship Id="rId108" Type="http://schemas.openxmlformats.org/officeDocument/2006/relationships/header" Target="header45.xml"/><Relationship Id="rId124" Type="http://schemas.openxmlformats.org/officeDocument/2006/relationships/footer" Target="footer52.xml"/><Relationship Id="rId129" Type="http://schemas.openxmlformats.org/officeDocument/2006/relationships/header" Target="header56.xml"/><Relationship Id="rId54" Type="http://schemas.openxmlformats.org/officeDocument/2006/relationships/header" Target="header22.xml"/><Relationship Id="rId70" Type="http://schemas.openxmlformats.org/officeDocument/2006/relationships/footer" Target="footer28.xml"/><Relationship Id="rId75" Type="http://schemas.openxmlformats.org/officeDocument/2006/relationships/header" Target="header32.xml"/><Relationship Id="rId91" Type="http://schemas.openxmlformats.org/officeDocument/2006/relationships/header" Target="header37.xml"/><Relationship Id="rId96" Type="http://schemas.openxmlformats.org/officeDocument/2006/relationships/footer" Target="footer39.xml"/><Relationship Id="rId140" Type="http://schemas.openxmlformats.org/officeDocument/2006/relationships/header" Target="header61.xml"/><Relationship Id="rId145" Type="http://schemas.openxmlformats.org/officeDocument/2006/relationships/footer" Target="footer63.xml"/><Relationship Id="rId161" Type="http://schemas.openxmlformats.org/officeDocument/2006/relationships/footer" Target="footer70.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footer" Target="footer23.xml"/><Relationship Id="rId106" Type="http://schemas.openxmlformats.org/officeDocument/2006/relationships/footer" Target="footer43.xml"/><Relationship Id="rId114" Type="http://schemas.openxmlformats.org/officeDocument/2006/relationships/header" Target="header48.xml"/><Relationship Id="rId119" Type="http://schemas.openxmlformats.org/officeDocument/2006/relationships/footer" Target="footer50.xml"/><Relationship Id="rId127" Type="http://schemas.openxmlformats.org/officeDocument/2006/relationships/footer" Target="footer54.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footer" Target="footer30.xml"/><Relationship Id="rId78" Type="http://schemas.openxmlformats.org/officeDocument/2006/relationships/header" Target="header33.xml"/><Relationship Id="rId81" Type="http://schemas.openxmlformats.org/officeDocument/2006/relationships/image" Target="media/image9.emf"/><Relationship Id="rId86" Type="http://schemas.openxmlformats.org/officeDocument/2006/relationships/footer" Target="footer34.xml"/><Relationship Id="rId94" Type="http://schemas.openxmlformats.org/officeDocument/2006/relationships/footer" Target="footer38.xml"/><Relationship Id="rId99" Type="http://schemas.openxmlformats.org/officeDocument/2006/relationships/footer" Target="footer40.xml"/><Relationship Id="rId101" Type="http://schemas.openxmlformats.org/officeDocument/2006/relationships/header" Target="header42.xml"/><Relationship Id="rId122" Type="http://schemas.openxmlformats.org/officeDocument/2006/relationships/header" Target="header52.xml"/><Relationship Id="rId130" Type="http://schemas.openxmlformats.org/officeDocument/2006/relationships/footer" Target="footer55.xml"/><Relationship Id="rId135" Type="http://schemas.openxmlformats.org/officeDocument/2006/relationships/header" Target="header59.xml"/><Relationship Id="rId143" Type="http://schemas.openxmlformats.org/officeDocument/2006/relationships/footer" Target="footer62.xml"/><Relationship Id="rId148" Type="http://schemas.openxmlformats.org/officeDocument/2006/relationships/footer" Target="footer64.xml"/><Relationship Id="rId151" Type="http://schemas.openxmlformats.org/officeDocument/2006/relationships/footer" Target="footer66.xml"/><Relationship Id="rId156" Type="http://schemas.openxmlformats.org/officeDocument/2006/relationships/header" Target="header69.xml"/><Relationship Id="rId164" Type="http://schemas.openxmlformats.org/officeDocument/2006/relationships/footer" Target="footer7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footer" Target="footer15.xml"/><Relationship Id="rId109" Type="http://schemas.openxmlformats.org/officeDocument/2006/relationships/footer" Target="footer45.xml"/><Relationship Id="rId34" Type="http://schemas.openxmlformats.org/officeDocument/2006/relationships/header" Target="header13.xml"/><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footer" Target="footer31.xml"/><Relationship Id="rId97" Type="http://schemas.openxmlformats.org/officeDocument/2006/relationships/header" Target="header40.xml"/><Relationship Id="rId104" Type="http://schemas.openxmlformats.org/officeDocument/2006/relationships/header" Target="header43.xml"/><Relationship Id="rId120" Type="http://schemas.openxmlformats.org/officeDocument/2006/relationships/header" Target="header51.xml"/><Relationship Id="rId125" Type="http://schemas.openxmlformats.org/officeDocument/2006/relationships/footer" Target="footer53.xml"/><Relationship Id="rId141" Type="http://schemas.openxmlformats.org/officeDocument/2006/relationships/header" Target="header62.xml"/><Relationship Id="rId146" Type="http://schemas.openxmlformats.org/officeDocument/2006/relationships/header" Target="header64.xml"/><Relationship Id="rId7" Type="http://schemas.openxmlformats.org/officeDocument/2006/relationships/image" Target="media/image1.emf"/><Relationship Id="rId71" Type="http://schemas.openxmlformats.org/officeDocument/2006/relationships/footer" Target="footer29.xml"/><Relationship Id="rId92" Type="http://schemas.openxmlformats.org/officeDocument/2006/relationships/header" Target="header38.xml"/><Relationship Id="rId162" Type="http://schemas.openxmlformats.org/officeDocument/2006/relationships/footer" Target="footer71.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image" Target="media/image6.emf"/><Relationship Id="rId87" Type="http://schemas.openxmlformats.org/officeDocument/2006/relationships/footer" Target="footer35.xml"/><Relationship Id="rId110" Type="http://schemas.openxmlformats.org/officeDocument/2006/relationships/header" Target="header46.xml"/><Relationship Id="rId115" Type="http://schemas.openxmlformats.org/officeDocument/2006/relationships/footer" Target="footer48.xml"/><Relationship Id="rId131" Type="http://schemas.openxmlformats.org/officeDocument/2006/relationships/footer" Target="footer56.xml"/><Relationship Id="rId136" Type="http://schemas.openxmlformats.org/officeDocument/2006/relationships/footer" Target="footer58.xml"/><Relationship Id="rId157" Type="http://schemas.openxmlformats.org/officeDocument/2006/relationships/footer" Target="footer69.xml"/><Relationship Id="rId61" Type="http://schemas.openxmlformats.org/officeDocument/2006/relationships/header" Target="header26.xml"/><Relationship Id="rId82" Type="http://schemas.openxmlformats.org/officeDocument/2006/relationships/image" Target="media/image10.emf"/><Relationship Id="rId152" Type="http://schemas.openxmlformats.org/officeDocument/2006/relationships/header" Target="header67.xml"/><Relationship Id="rId19" Type="http://schemas.openxmlformats.org/officeDocument/2006/relationships/footer" Target="footer5.xml"/><Relationship Id="rId14" Type="http://schemas.openxmlformats.org/officeDocument/2006/relationships/image" Target="media/image2.emf"/><Relationship Id="rId30" Type="http://schemas.openxmlformats.org/officeDocument/2006/relationships/footer" Target="footer10.xml"/><Relationship Id="rId35" Type="http://schemas.openxmlformats.org/officeDocument/2006/relationships/header" Target="header14.xml"/><Relationship Id="rId56" Type="http://schemas.openxmlformats.org/officeDocument/2006/relationships/footer" Target="footer22.xml"/><Relationship Id="rId77" Type="http://schemas.openxmlformats.org/officeDocument/2006/relationships/footer" Target="footer32.xml"/><Relationship Id="rId100" Type="http://schemas.openxmlformats.org/officeDocument/2006/relationships/footer" Target="footer41.xml"/><Relationship Id="rId105" Type="http://schemas.openxmlformats.org/officeDocument/2006/relationships/header" Target="header44.xml"/><Relationship Id="rId126" Type="http://schemas.openxmlformats.org/officeDocument/2006/relationships/header" Target="header54.xml"/><Relationship Id="rId147" Type="http://schemas.openxmlformats.org/officeDocument/2006/relationships/header" Target="header65.xml"/><Relationship Id="rId8" Type="http://schemas.openxmlformats.org/officeDocument/2006/relationships/header" Target="header1.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footer" Target="footer37.xml"/><Relationship Id="rId98" Type="http://schemas.openxmlformats.org/officeDocument/2006/relationships/header" Target="header41.xml"/><Relationship Id="rId121" Type="http://schemas.openxmlformats.org/officeDocument/2006/relationships/footer" Target="footer51.xml"/><Relationship Id="rId142" Type="http://schemas.openxmlformats.org/officeDocument/2006/relationships/footer" Target="footer61.xml"/><Relationship Id="rId163" Type="http://schemas.openxmlformats.org/officeDocument/2006/relationships/header" Target="header72.xm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image" Target="media/image4.emf"/><Relationship Id="rId67" Type="http://schemas.openxmlformats.org/officeDocument/2006/relationships/image" Target="media/image7.emf"/><Relationship Id="rId116" Type="http://schemas.openxmlformats.org/officeDocument/2006/relationships/header" Target="header49.xml"/><Relationship Id="rId137" Type="http://schemas.openxmlformats.org/officeDocument/2006/relationships/footer" Target="footer59.xml"/><Relationship Id="rId158" Type="http://schemas.openxmlformats.org/officeDocument/2006/relationships/image" Target="media/image13.jpg"/><Relationship Id="rId20" Type="http://schemas.openxmlformats.org/officeDocument/2006/relationships/header" Target="header6.xml"/><Relationship Id="rId41" Type="http://schemas.openxmlformats.org/officeDocument/2006/relationships/header" Target="header17.xml"/><Relationship Id="rId62" Type="http://schemas.openxmlformats.org/officeDocument/2006/relationships/footer" Target="footer25.xml"/><Relationship Id="rId83" Type="http://schemas.openxmlformats.org/officeDocument/2006/relationships/image" Target="media/image11.emf"/><Relationship Id="rId88" Type="http://schemas.openxmlformats.org/officeDocument/2006/relationships/header" Target="header36.xml"/><Relationship Id="rId111" Type="http://schemas.openxmlformats.org/officeDocument/2006/relationships/header" Target="header47.xml"/><Relationship Id="rId132" Type="http://schemas.openxmlformats.org/officeDocument/2006/relationships/header" Target="header57.xml"/><Relationship Id="rId153" Type="http://schemas.openxmlformats.org/officeDocument/2006/relationships/header" Target="header68.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info/publications/annual-activity-reports_en" TargetMode="External"/><Relationship Id="rId1" Type="http://schemas.openxmlformats.org/officeDocument/2006/relationships/hyperlink" Target="https://ec.europa.eu/environment/emas/pdf/other/ES2019_consolidated_volume_web_edition_optimised.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yintracomm-collab.ec.europa.eu/networks/AMPR/Document%20Library/File%20D%20source%20files%20for%20visuals/Annex_APC_overdue%20recs%20period%20June15_April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087367880573649E-2"/>
          <c:y val="6.9863749520401877E-2"/>
          <c:w val="0.92312366083344843"/>
          <c:h val="0.70295105304743477"/>
        </c:manualLayout>
      </c:layout>
      <c:lineChart>
        <c:grouping val="standard"/>
        <c:varyColors val="0"/>
        <c:ser>
          <c:idx val="0"/>
          <c:order val="0"/>
          <c:tx>
            <c:strRef>
              <c:f>Sheet1!$B$1</c:f>
              <c:strCache>
                <c:ptCount val="1"/>
                <c:pt idx="0">
                  <c:v>Total</c:v>
                </c:pt>
              </c:strCache>
            </c:strRef>
          </c:tx>
          <c:spPr>
            <a:ln w="19050" cap="rnd">
              <a:solidFill>
                <a:srgbClr val="F68A42"/>
              </a:solidFill>
              <a:round/>
            </a:ln>
            <a:effectLst/>
          </c:spPr>
          <c:marker>
            <c:symbol val="circle"/>
            <c:size val="5"/>
            <c:spPr>
              <a:solidFill>
                <a:srgbClr val="F68A42"/>
              </a:solidFill>
              <a:ln w="9525">
                <a:solidFill>
                  <a:srgbClr val="F68A42"/>
                </a:solidFill>
              </a:ln>
              <a:effectLst/>
            </c:spPr>
          </c:marker>
          <c:dLbls>
            <c:dLbl>
              <c:idx val="0"/>
              <c:layout>
                <c:manualLayout>
                  <c:x val="-1.4911426990619151E-2"/>
                  <c:y val="-3.5027674265925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54-4FE7-984D-A75412D8BB8E}"/>
                </c:ext>
              </c:extLst>
            </c:dLbl>
            <c:dLbl>
              <c:idx val="10"/>
              <c:layout>
                <c:manualLayout>
                  <c:x val="-7.5973386582501717E-3"/>
                  <c:y val="-3.8816090889557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54-4FE7-984D-A75412D8BB8E}"/>
                </c:ext>
              </c:extLst>
            </c:dLbl>
            <c:dLbl>
              <c:idx val="11"/>
              <c:layout>
                <c:manualLayout>
                  <c:x val="-2.5324462194167238E-3"/>
                  <c:y val="-4.2697699978513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54-4FE7-984D-A75412D8BB8E}"/>
                </c:ext>
              </c:extLst>
            </c:dLbl>
            <c:dLbl>
              <c:idx val="13"/>
              <c:layout>
                <c:manualLayout>
                  <c:x val="-4.9704862701079652E-3"/>
                  <c:y val="2.3357646333968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54-4FE7-984D-A75412D8BB8E}"/>
                </c:ext>
              </c:extLst>
            </c:dLbl>
            <c:dLbl>
              <c:idx val="14"/>
              <c:layout>
                <c:manualLayout>
                  <c:x val="-8.0360115083621605E-3"/>
                  <c:y val="-7.87967793832887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54-4FE7-984D-A75412D8BB8E}"/>
                </c:ext>
              </c:extLst>
            </c:dLbl>
            <c:dLbl>
              <c:idx val="15"/>
              <c:layout>
                <c:manualLayout>
                  <c:x val="-3.7278647025809922E-2"/>
                  <c:y val="4.11406896734511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54-4FE7-984D-A75412D8BB8E}"/>
                </c:ext>
              </c:extLst>
            </c:dLbl>
            <c:dLbl>
              <c:idx val="16"/>
              <c:layout>
                <c:manualLayout>
                  <c:x val="-1.758724467769486E-2"/>
                  <c:y val="3.4139377068374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54-4FE7-984D-A75412D8BB8E}"/>
                </c:ext>
              </c:extLst>
            </c:dLbl>
            <c:dLbl>
              <c:idx val="17"/>
              <c:layout>
                <c:manualLayout>
                  <c:x val="-2.1984055847118537E-2"/>
                  <c:y val="-3.4139377068374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54-4FE7-984D-A75412D8BB8E}"/>
                </c:ext>
              </c:extLst>
            </c:dLbl>
            <c:dLbl>
              <c:idx val="18"/>
              <c:layout>
                <c:manualLayout>
                  <c:x val="-2.1984055847118537E-2"/>
                  <c:y val="-3.4139377068374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54-4FE7-984D-A75412D8BB8E}"/>
                </c:ext>
              </c:extLst>
            </c:dLbl>
            <c:dLbl>
              <c:idx val="19"/>
              <c:layout>
                <c:manualLayout>
                  <c:x val="-1.0992027923559187E-2"/>
                  <c:y val="1.5173056474833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254-4FE7-984D-A75412D8BB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 June 2015</c:v>
                </c:pt>
                <c:pt idx="1">
                  <c:v> October 2015</c:v>
                </c:pt>
                <c:pt idx="2">
                  <c:v> January 2016</c:v>
                </c:pt>
                <c:pt idx="3">
                  <c:v> April 2016</c:v>
                </c:pt>
                <c:pt idx="4">
                  <c:v> June 2016</c:v>
                </c:pt>
                <c:pt idx="5">
                  <c:v> October 2016</c:v>
                </c:pt>
                <c:pt idx="6">
                  <c:v> January 2017</c:v>
                </c:pt>
                <c:pt idx="7">
                  <c:v> April 2017</c:v>
                </c:pt>
                <c:pt idx="8">
                  <c:v> June 2017</c:v>
                </c:pt>
                <c:pt idx="9">
                  <c:v> October 2017</c:v>
                </c:pt>
                <c:pt idx="10">
                  <c:v> January 2018</c:v>
                </c:pt>
                <c:pt idx="11">
                  <c:v> April 2018</c:v>
                </c:pt>
                <c:pt idx="12">
                  <c:v> June 2018</c:v>
                </c:pt>
                <c:pt idx="13">
                  <c:v> October 2018</c:v>
                </c:pt>
                <c:pt idx="14">
                  <c:v> January 2019</c:v>
                </c:pt>
                <c:pt idx="15">
                  <c:v> April 2019</c:v>
                </c:pt>
                <c:pt idx="16">
                  <c:v> June 2019</c:v>
                </c:pt>
                <c:pt idx="17">
                  <c:v> October 2019</c:v>
                </c:pt>
                <c:pt idx="18">
                  <c:v> January 2020</c:v>
                </c:pt>
                <c:pt idx="19">
                  <c:v> April 2020</c:v>
                </c:pt>
              </c:strCache>
            </c:strRef>
          </c:cat>
          <c:val>
            <c:numRef>
              <c:f>Sheet1!$B$2:$B$21</c:f>
              <c:numCache>
                <c:formatCode>General</c:formatCode>
                <c:ptCount val="20"/>
                <c:pt idx="0">
                  <c:v>28</c:v>
                </c:pt>
                <c:pt idx="1">
                  <c:v>27</c:v>
                </c:pt>
                <c:pt idx="2">
                  <c:v>32</c:v>
                </c:pt>
                <c:pt idx="3">
                  <c:v>25</c:v>
                </c:pt>
                <c:pt idx="4">
                  <c:v>20</c:v>
                </c:pt>
                <c:pt idx="5">
                  <c:v>34</c:v>
                </c:pt>
                <c:pt idx="6">
                  <c:v>18</c:v>
                </c:pt>
                <c:pt idx="7">
                  <c:v>14</c:v>
                </c:pt>
                <c:pt idx="8">
                  <c:v>11</c:v>
                </c:pt>
                <c:pt idx="9">
                  <c:v>19</c:v>
                </c:pt>
                <c:pt idx="10">
                  <c:v>12</c:v>
                </c:pt>
                <c:pt idx="11">
                  <c:v>12</c:v>
                </c:pt>
                <c:pt idx="12">
                  <c:v>12</c:v>
                </c:pt>
                <c:pt idx="13">
                  <c:v>16</c:v>
                </c:pt>
                <c:pt idx="14">
                  <c:v>18</c:v>
                </c:pt>
                <c:pt idx="15">
                  <c:v>14</c:v>
                </c:pt>
                <c:pt idx="16">
                  <c:v>5</c:v>
                </c:pt>
                <c:pt idx="17">
                  <c:v>7</c:v>
                </c:pt>
                <c:pt idx="18">
                  <c:v>6</c:v>
                </c:pt>
                <c:pt idx="19">
                  <c:v>4</c:v>
                </c:pt>
              </c:numCache>
            </c:numRef>
          </c:val>
          <c:smooth val="0"/>
          <c:extLst>
            <c:ext xmlns:c16="http://schemas.microsoft.com/office/drawing/2014/chart" uri="{C3380CC4-5D6E-409C-BE32-E72D297353CC}">
              <c16:uniqueId val="{0000000A-3254-4FE7-984D-A75412D8BB8E}"/>
            </c:ext>
          </c:extLst>
        </c:ser>
        <c:dLbls>
          <c:showLegendKey val="0"/>
          <c:showVal val="0"/>
          <c:showCatName val="0"/>
          <c:showSerName val="0"/>
          <c:showPercent val="0"/>
          <c:showBubbleSize val="0"/>
        </c:dLbls>
        <c:marker val="1"/>
        <c:smooth val="0"/>
        <c:axId val="115865088"/>
        <c:axId val="115866624"/>
      </c:lineChart>
      <c:catAx>
        <c:axId val="115865088"/>
        <c:scaling>
          <c:orientation val="minMax"/>
        </c:scaling>
        <c:delete val="0"/>
        <c:axPos val="b"/>
        <c:minorGridlines>
          <c:spPr>
            <a:ln w="6350" cap="flat" cmpd="sng" algn="ctr">
              <a:solidFill>
                <a:srgbClr val="E2E2E2"/>
              </a:solidFill>
              <a:prstDash val="solid"/>
              <a:round/>
            </a:ln>
            <a:effectLst/>
          </c:spPr>
        </c:min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EC Square Sans Pro" panose="020B0506040000020004" pitchFamily="34" charset="0"/>
                <a:ea typeface="+mn-ea"/>
                <a:cs typeface="+mn-cs"/>
              </a:defRPr>
            </a:pPr>
            <a:endParaRPr lang="fr-FR"/>
          </a:p>
        </c:txPr>
        <c:crossAx val="115866624"/>
        <c:crosses val="autoZero"/>
        <c:auto val="0"/>
        <c:lblAlgn val="ctr"/>
        <c:lblOffset val="100"/>
        <c:noMultiLvlLbl val="0"/>
      </c:catAx>
      <c:valAx>
        <c:axId val="11586662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fr-FR"/>
          </a:p>
        </c:txPr>
        <c:crossAx val="115865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30729</Words>
  <Characters>168401</Characters>
  <Application>Microsoft Office Word</Application>
  <DocSecurity>0</DocSecurity>
  <Lines>6476</Lines>
  <Paragraphs>4328</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194802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VERLO Ann Catrin (SG)</dc:creator>
  <cp:keywords/>
  <dc:description/>
  <cp:lastModifiedBy>HEILEMANN Stefanie (SG)</cp:lastModifiedBy>
  <cp:revision>3</cp:revision>
  <dcterms:created xsi:type="dcterms:W3CDTF">2020-06-24T06:16:00Z</dcterms:created>
  <dcterms:modified xsi:type="dcterms:W3CDTF">2020-06-24T07:08:00Z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2</vt:lpwstr>
  </property>
  <property fmtid="{D5CDD505-2E9C-101B-9397-08002B2CF9AE}" pid="4" name="Last annex">
    <vt:lpwstr>11</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y fmtid="{D5CDD505-2E9C-101B-9397-08002B2CF9AE}" pid="9" name="CPTemplateID">
    <vt:lpwstr>CP-039</vt:lpwstr>
  </property>
  <property fmtid="{D5CDD505-2E9C-101B-9397-08002B2CF9AE}" pid="10" name="Last edited using">
    <vt:lpwstr>LW 7.0.1, Build 20190916</vt:lpwstr>
  </property>
  <property fmtid="{D5CDD505-2E9C-101B-9397-08002B2CF9AE}" pid="11" name="Created using">
    <vt:lpwstr>LW 7.0.1, Build 20190916</vt:lpwstr>
  </property>
</Properties>
</file>